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BA3C" w14:textId="0ECE3DC2" w:rsidR="00845C4D" w:rsidRPr="008C4198" w:rsidRDefault="00845C4D" w:rsidP="00845C4D">
      <w:pPr>
        <w:rPr>
          <w:rFonts w:cs="Calibri"/>
          <w:b/>
          <w:u w:val="single"/>
        </w:rPr>
      </w:pPr>
      <w:bookmarkStart w:id="0" w:name="_Hlk129100221"/>
      <w:bookmarkEnd w:id="0"/>
      <w:r w:rsidRPr="008C4198">
        <w:rPr>
          <w:rFonts w:cs="Calibri"/>
          <w:color w:val="FF0000"/>
        </w:rPr>
        <w:t>An addendum to th</w:t>
      </w:r>
      <w:r>
        <w:rPr>
          <w:rFonts w:cs="Calibri"/>
          <w:color w:val="FF0000"/>
        </w:rPr>
        <w:t>i</w:t>
      </w:r>
      <w:r w:rsidRPr="008C4198">
        <w:rPr>
          <w:rFonts w:cs="Calibri"/>
          <w:color w:val="FF0000"/>
        </w:rPr>
        <w:t xml:space="preserve">s </w:t>
      </w:r>
      <w:r>
        <w:rPr>
          <w:rFonts w:cs="Calibri"/>
          <w:color w:val="FF0000"/>
        </w:rPr>
        <w:t>public summary document</w:t>
      </w:r>
      <w:r w:rsidRPr="008C4198">
        <w:rPr>
          <w:rFonts w:cs="Calibri"/>
          <w:color w:val="FF0000"/>
        </w:rPr>
        <w:t xml:space="preserve"> has </w:t>
      </w:r>
      <w:proofErr w:type="gramStart"/>
      <w:r w:rsidRPr="008C4198">
        <w:rPr>
          <w:rFonts w:cs="Calibri"/>
          <w:color w:val="FF0000"/>
        </w:rPr>
        <w:t>been included</w:t>
      </w:r>
      <w:proofErr w:type="gramEnd"/>
      <w:r w:rsidRPr="008C4198">
        <w:rPr>
          <w:rFonts w:cs="Calibri"/>
          <w:color w:val="FF0000"/>
        </w:rPr>
        <w:t xml:space="preserve"> at the end of the document</w:t>
      </w:r>
    </w:p>
    <w:p w14:paraId="0C14B4E9" w14:textId="0EE78E6D" w:rsidR="00BF27A0" w:rsidRPr="0074058E" w:rsidRDefault="0094796B" w:rsidP="006C5B33">
      <w:pPr>
        <w:pStyle w:val="1-MainHeading"/>
        <w:rPr>
          <w:rFonts w:eastAsia="Calibri"/>
          <w:lang w:eastAsia="en-US"/>
        </w:rPr>
      </w:pPr>
      <w:r w:rsidRPr="0074058E">
        <w:t>7.13</w:t>
      </w:r>
      <w:r w:rsidR="001F44F5" w:rsidRPr="0074058E">
        <w:tab/>
        <w:t>OLAPARIB</w:t>
      </w:r>
      <w:r w:rsidR="40930EF5" w:rsidRPr="0074058E">
        <w:t>,</w:t>
      </w:r>
      <w:r w:rsidR="000B7767" w:rsidRPr="0074058E">
        <w:br/>
      </w:r>
      <w:r w:rsidR="001F44F5" w:rsidRPr="0074058E">
        <w:rPr>
          <w:rFonts w:cstheme="minorHAnsi"/>
        </w:rPr>
        <w:t>Tablet 100 mg,</w:t>
      </w:r>
      <w:r w:rsidR="001F44F5" w:rsidRPr="0074058E">
        <w:t xml:space="preserve"> </w:t>
      </w:r>
      <w:r w:rsidR="001F44F5" w:rsidRPr="0074058E">
        <w:br/>
      </w:r>
      <w:r w:rsidR="001F44F5" w:rsidRPr="0074058E">
        <w:rPr>
          <w:rFonts w:cstheme="minorHAnsi"/>
        </w:rPr>
        <w:t>Tablet 150 </w:t>
      </w:r>
      <w:r w:rsidR="00080F83" w:rsidRPr="0074058E">
        <w:rPr>
          <w:rFonts w:cstheme="minorHAnsi"/>
        </w:rPr>
        <w:t>mg</w:t>
      </w:r>
      <w:r w:rsidR="0CF130DF" w:rsidRPr="0074058E">
        <w:t>,</w:t>
      </w:r>
      <w:r w:rsidR="000B7767" w:rsidRPr="0074058E">
        <w:br/>
      </w:r>
      <w:r w:rsidR="001F44F5" w:rsidRPr="0074058E" w:rsidDel="00971E91">
        <w:rPr>
          <w:rFonts w:cstheme="minorHAnsi"/>
        </w:rPr>
        <w:t>Lynparza®</w:t>
      </w:r>
      <w:r w:rsidR="0CF130DF" w:rsidRPr="0074058E">
        <w:t>,</w:t>
      </w:r>
      <w:r w:rsidR="000B7767" w:rsidRPr="0074058E">
        <w:br/>
      </w:r>
      <w:r w:rsidR="00DE0078" w:rsidRPr="0074058E">
        <w:t>AstraZeneca Pty Ltd</w:t>
      </w:r>
    </w:p>
    <w:p w14:paraId="1DE8D195" w14:textId="40C679A1" w:rsidR="003F044F" w:rsidRPr="0074058E" w:rsidRDefault="009C5B72" w:rsidP="006C5B33">
      <w:pPr>
        <w:pStyle w:val="2-SectionHeading"/>
        <w:rPr>
          <w:rFonts w:eastAsia="Calibri"/>
        </w:rPr>
      </w:pPr>
      <w:r w:rsidRPr="0074058E">
        <w:t>Purpose</w:t>
      </w:r>
    </w:p>
    <w:p w14:paraId="1B96DBE8" w14:textId="64778E82" w:rsidR="00E314E3" w:rsidRPr="0074058E" w:rsidRDefault="00E314E3" w:rsidP="00E314E3">
      <w:pPr>
        <w:pStyle w:val="3-BodyText"/>
      </w:pPr>
      <w:r w:rsidRPr="0074058E">
        <w:t>The early re-entry resubmission sought to list olaparib with a General Schedule Authority Required listing for maintenance therapy in patients with newly diagnosed advanced epithelial ovarian, fallopian tube or primary peritoneal cancer that is both homologous recombination deficiency</w:t>
      </w:r>
      <w:r w:rsidRPr="0074058E">
        <w:rPr>
          <w:iCs/>
        </w:rPr>
        <w:t xml:space="preserve"> (</w:t>
      </w:r>
      <w:r w:rsidRPr="0074058E">
        <w:t>HRD) positive and breast cancer gene (</w:t>
      </w:r>
      <w:r w:rsidRPr="0074058E">
        <w:rPr>
          <w:i/>
          <w:iCs/>
        </w:rPr>
        <w:t>BRCA</w:t>
      </w:r>
      <w:r w:rsidRPr="0074058E">
        <w:t>) wild type (</w:t>
      </w:r>
      <w:r w:rsidRPr="0074058E">
        <w:rPr>
          <w:i/>
          <w:iCs/>
        </w:rPr>
        <w:t>BRCA</w:t>
      </w:r>
      <w:r w:rsidRPr="0074058E">
        <w:t xml:space="preserve">wt). </w:t>
      </w:r>
    </w:p>
    <w:p w14:paraId="4C73658B" w14:textId="25C90D10" w:rsidR="00955D67" w:rsidRPr="0074058E" w:rsidRDefault="6657D135" w:rsidP="00955D67">
      <w:pPr>
        <w:pStyle w:val="3-BodyText"/>
      </w:pPr>
      <w:r w:rsidRPr="0074058E">
        <w:t xml:space="preserve">The </w:t>
      </w:r>
      <w:r w:rsidR="009D55E2" w:rsidRPr="0074058E">
        <w:t>re</w:t>
      </w:r>
      <w:r w:rsidRPr="0074058E">
        <w:t xml:space="preserve">submission was based on </w:t>
      </w:r>
      <w:r w:rsidR="009D55E2" w:rsidRPr="0074058E">
        <w:t xml:space="preserve">the PBAC </w:t>
      </w:r>
      <w:r w:rsidR="00D72D15" w:rsidRPr="0074058E">
        <w:t>advice</w:t>
      </w:r>
      <w:r w:rsidR="00B7286D" w:rsidRPr="0074058E">
        <w:t xml:space="preserve"> </w:t>
      </w:r>
      <w:r w:rsidR="009D55E2" w:rsidRPr="0074058E">
        <w:t xml:space="preserve">from </w:t>
      </w:r>
      <w:r w:rsidR="00430BB4" w:rsidRPr="0074058E">
        <w:t xml:space="preserve">the </w:t>
      </w:r>
      <w:r w:rsidR="00AD6F94" w:rsidRPr="0074058E">
        <w:t>July 2022</w:t>
      </w:r>
      <w:r w:rsidR="00430BB4" w:rsidRPr="0074058E">
        <w:t xml:space="preserve"> meeting</w:t>
      </w:r>
      <w:r w:rsidR="00CB490C" w:rsidRPr="0074058E">
        <w:t xml:space="preserve">. </w:t>
      </w:r>
      <w:r w:rsidR="002E4ADE" w:rsidRPr="0074058E">
        <w:rPr>
          <w:iCs/>
        </w:rPr>
        <w:t xml:space="preserve">The previous submission was an integrated </w:t>
      </w:r>
      <w:r w:rsidR="009B4FF0" w:rsidRPr="0074058E">
        <w:rPr>
          <w:iCs/>
        </w:rPr>
        <w:t>co-dependent</w:t>
      </w:r>
      <w:r w:rsidR="002E4ADE" w:rsidRPr="0074058E">
        <w:rPr>
          <w:iCs/>
        </w:rPr>
        <w:t xml:space="preserve"> submission and as the MSAC did not support public funding of HRD testing at its July 2022 Meeting, the PBAC can either decide not to recommend or defer its decision. </w:t>
      </w:r>
      <w:r w:rsidRPr="0074058E">
        <w:rPr>
          <w:iCs/>
          <w:snapToGrid w:val="0"/>
        </w:rPr>
        <w:t>Th</w:t>
      </w:r>
      <w:r w:rsidR="00430BB4" w:rsidRPr="0074058E">
        <w:rPr>
          <w:iCs/>
          <w:snapToGrid w:val="0"/>
        </w:rPr>
        <w:t>e</w:t>
      </w:r>
      <w:r w:rsidRPr="0074058E">
        <w:rPr>
          <w:iCs/>
          <w:snapToGrid w:val="0"/>
        </w:rPr>
        <w:t xml:space="preserve"> </w:t>
      </w:r>
      <w:r w:rsidR="009D55E2" w:rsidRPr="0074058E">
        <w:rPr>
          <w:iCs/>
          <w:snapToGrid w:val="0"/>
        </w:rPr>
        <w:t xml:space="preserve">resubmission </w:t>
      </w:r>
      <w:r w:rsidR="00D72D15" w:rsidRPr="0074058E">
        <w:rPr>
          <w:iCs/>
          <w:snapToGrid w:val="0"/>
        </w:rPr>
        <w:t xml:space="preserve">partially </w:t>
      </w:r>
      <w:r w:rsidR="009D55E2" w:rsidRPr="0074058E">
        <w:rPr>
          <w:iCs/>
          <w:snapToGrid w:val="0"/>
        </w:rPr>
        <w:t xml:space="preserve">addressed the </w:t>
      </w:r>
      <w:r w:rsidRPr="0074058E">
        <w:rPr>
          <w:iCs/>
          <w:snapToGrid w:val="0"/>
        </w:rPr>
        <w:t>is</w:t>
      </w:r>
      <w:r w:rsidR="009D55E2" w:rsidRPr="0074058E">
        <w:rPr>
          <w:iCs/>
          <w:snapToGrid w:val="0"/>
        </w:rPr>
        <w:t>sues raised</w:t>
      </w:r>
      <w:r w:rsidRPr="0074058E">
        <w:rPr>
          <w:iCs/>
          <w:snapToGrid w:val="0"/>
        </w:rPr>
        <w:t xml:space="preserve"> </w:t>
      </w:r>
      <w:r w:rsidR="009D55E2" w:rsidRPr="0074058E">
        <w:rPr>
          <w:iCs/>
        </w:rPr>
        <w:t xml:space="preserve">by </w:t>
      </w:r>
      <w:r w:rsidR="00430BB4" w:rsidRPr="0074058E">
        <w:rPr>
          <w:iCs/>
        </w:rPr>
        <w:t xml:space="preserve">the </w:t>
      </w:r>
      <w:r w:rsidR="009D55E2" w:rsidRPr="0074058E">
        <w:rPr>
          <w:iCs/>
        </w:rPr>
        <w:t>PBAC</w:t>
      </w:r>
      <w:r w:rsidR="009B750F" w:rsidRPr="0074058E">
        <w:rPr>
          <w:iCs/>
        </w:rPr>
        <w:t>;</w:t>
      </w:r>
      <w:r w:rsidR="009D55E2" w:rsidRPr="0074058E">
        <w:rPr>
          <w:iCs/>
        </w:rPr>
        <w:t xml:space="preserve"> </w:t>
      </w:r>
      <w:r w:rsidR="009B750F" w:rsidRPr="0074058E">
        <w:rPr>
          <w:iCs/>
        </w:rPr>
        <w:t>see</w:t>
      </w:r>
      <w:r w:rsidR="002B6EA3" w:rsidRPr="0074058E">
        <w:rPr>
          <w:iCs/>
        </w:rPr>
        <w:t xml:space="preserve"> </w:t>
      </w:r>
      <w:r w:rsidR="002B6EA3" w:rsidRPr="0074058E">
        <w:rPr>
          <w:iCs/>
        </w:rPr>
        <w:fldChar w:fldCharType="begin" w:fldLock="1"/>
      </w:r>
      <w:r w:rsidR="002B6EA3" w:rsidRPr="0074058E">
        <w:rPr>
          <w:iCs/>
        </w:rPr>
        <w:instrText xml:space="preserve"> REF _Ref116896219 \h  \* MERGEFORMAT </w:instrText>
      </w:r>
      <w:r w:rsidR="002B6EA3" w:rsidRPr="0074058E">
        <w:rPr>
          <w:iCs/>
        </w:rPr>
      </w:r>
      <w:r w:rsidR="002B6EA3" w:rsidRPr="0074058E">
        <w:rPr>
          <w:iCs/>
        </w:rPr>
        <w:fldChar w:fldCharType="separate"/>
      </w:r>
      <w:r w:rsidR="00ED2FAA" w:rsidRPr="00ED2FAA">
        <w:rPr>
          <w:iCs/>
        </w:rPr>
        <w:t>Table 6</w:t>
      </w:r>
      <w:r w:rsidR="002B6EA3" w:rsidRPr="0074058E">
        <w:rPr>
          <w:iCs/>
        </w:rPr>
        <w:fldChar w:fldCharType="end"/>
      </w:r>
      <w:r w:rsidR="002B6EA3" w:rsidRPr="0074058E">
        <w:rPr>
          <w:iCs/>
        </w:rPr>
        <w:t>.</w:t>
      </w:r>
    </w:p>
    <w:p w14:paraId="1018236F" w14:textId="26EA15C9" w:rsidR="00955D67" w:rsidRPr="0074058E" w:rsidRDefault="00955D67" w:rsidP="00026020">
      <w:pPr>
        <w:pStyle w:val="3-BodyText"/>
      </w:pPr>
      <w:r w:rsidRPr="0074058E">
        <w:fldChar w:fldCharType="begin" w:fldLock="1"/>
      </w:r>
      <w:r w:rsidRPr="0074058E">
        <w:instrText xml:space="preserve"> REF _Ref116895775 \h  \* MERGEFORMAT </w:instrText>
      </w:r>
      <w:r w:rsidRPr="0074058E">
        <w:fldChar w:fldCharType="separate"/>
      </w:r>
      <w:r w:rsidR="00ED2FAA" w:rsidRPr="00ED2FAA">
        <w:t>Table 1</w:t>
      </w:r>
      <w:r w:rsidRPr="0074058E">
        <w:fldChar w:fldCharType="end"/>
      </w:r>
      <w:r w:rsidRPr="0074058E">
        <w:t xml:space="preserve"> presents the key components of the clinical issue addressed by the resubmission.</w:t>
      </w:r>
    </w:p>
    <w:p w14:paraId="0B4A4A97" w14:textId="57375EF4" w:rsidR="00955D67" w:rsidRPr="0074058E" w:rsidRDefault="00955D67" w:rsidP="00955D67">
      <w:pPr>
        <w:pStyle w:val="Caption"/>
        <w:spacing w:after="0"/>
        <w:rPr>
          <w:i w:val="0"/>
          <w:szCs w:val="20"/>
        </w:rPr>
      </w:pPr>
      <w:bookmarkStart w:id="1" w:name="_Ref116895775"/>
      <w:r w:rsidRPr="0074058E">
        <w:rPr>
          <w:rFonts w:ascii="Arial Narrow" w:hAnsi="Arial Narrow"/>
          <w:b/>
          <w:bCs/>
          <w:i w:val="0"/>
          <w:iCs w:val="0"/>
          <w:sz w:val="20"/>
          <w:szCs w:val="20"/>
        </w:rPr>
        <w:lastRenderedPageBreak/>
        <w:t xml:space="preserve">Table </w:t>
      </w:r>
      <w:r w:rsidRPr="0074058E">
        <w:rPr>
          <w:rFonts w:ascii="Arial Narrow" w:hAnsi="Arial Narrow"/>
          <w:b/>
          <w:bCs/>
          <w:i w:val="0"/>
          <w:iCs w:val="0"/>
          <w:sz w:val="20"/>
          <w:szCs w:val="20"/>
        </w:rPr>
        <w:fldChar w:fldCharType="begin" w:fldLock="1"/>
      </w:r>
      <w:r w:rsidRPr="0074058E">
        <w:rPr>
          <w:rFonts w:ascii="Arial Narrow" w:hAnsi="Arial Narrow"/>
          <w:b/>
          <w:bCs/>
          <w:i w:val="0"/>
          <w:iCs w:val="0"/>
          <w:sz w:val="20"/>
          <w:szCs w:val="20"/>
        </w:rPr>
        <w:instrText xml:space="preserve"> SEQ Table \* ARABIC </w:instrText>
      </w:r>
      <w:r w:rsidRPr="0074058E">
        <w:rPr>
          <w:rFonts w:ascii="Arial Narrow" w:hAnsi="Arial Narrow"/>
          <w:b/>
          <w:bCs/>
          <w:i w:val="0"/>
          <w:iCs w:val="0"/>
          <w:sz w:val="20"/>
          <w:szCs w:val="20"/>
        </w:rPr>
        <w:fldChar w:fldCharType="separate"/>
      </w:r>
      <w:r w:rsidR="00ED2FAA">
        <w:rPr>
          <w:rFonts w:ascii="Arial Narrow" w:hAnsi="Arial Narrow"/>
          <w:b/>
          <w:bCs/>
          <w:i w:val="0"/>
          <w:iCs w:val="0"/>
          <w:noProof/>
          <w:sz w:val="20"/>
          <w:szCs w:val="20"/>
        </w:rPr>
        <w:t>1</w:t>
      </w:r>
      <w:r w:rsidRPr="0074058E">
        <w:rPr>
          <w:rFonts w:ascii="Arial Narrow" w:hAnsi="Arial Narrow"/>
          <w:b/>
          <w:bCs/>
          <w:i w:val="0"/>
          <w:iCs w:val="0"/>
          <w:sz w:val="20"/>
          <w:szCs w:val="20"/>
        </w:rPr>
        <w:fldChar w:fldCharType="end"/>
      </w:r>
      <w:bookmarkEnd w:id="1"/>
      <w:r w:rsidRPr="0074058E">
        <w:rPr>
          <w:rFonts w:ascii="Arial Narrow" w:hAnsi="Arial Narrow"/>
          <w:b/>
          <w:bCs/>
          <w:i w:val="0"/>
          <w:iCs w:val="0"/>
          <w:sz w:val="20"/>
          <w:szCs w:val="20"/>
        </w:rPr>
        <w:t>: Key components of the clinical issue addressed by the submission (as stated in the submission)</w:t>
      </w:r>
    </w:p>
    <w:tbl>
      <w:tblPr>
        <w:tblStyle w:val="TableGrid"/>
        <w:tblW w:w="0" w:type="auto"/>
        <w:tblLook w:val="04A0" w:firstRow="1" w:lastRow="0" w:firstColumn="1" w:lastColumn="0" w:noHBand="0" w:noVBand="1"/>
        <w:tblCaption w:val="Table 1"/>
        <w:tblDescription w:val="Key components of the clinical issue addressed by the submission "/>
      </w:tblPr>
      <w:tblGrid>
        <w:gridCol w:w="1271"/>
        <w:gridCol w:w="7745"/>
      </w:tblGrid>
      <w:tr w:rsidR="00955D67" w:rsidRPr="0074058E" w14:paraId="1C4FA77D" w14:textId="77777777" w:rsidTr="00206731">
        <w:trPr>
          <w:cantSplit/>
          <w:tblHeader/>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C1C35BB" w14:textId="77777777" w:rsidR="00955D67" w:rsidRPr="0074058E" w:rsidRDefault="00955D67" w:rsidP="00206731">
            <w:pPr>
              <w:pStyle w:val="In-tableHeading"/>
              <w:rPr>
                <w:lang w:val="en-AU"/>
              </w:rPr>
            </w:pPr>
            <w:r w:rsidRPr="0074058E">
              <w:rPr>
                <w:lang w:val="en-AU"/>
              </w:rPr>
              <w:t>Component</w:t>
            </w:r>
          </w:p>
        </w:tc>
        <w:tc>
          <w:tcPr>
            <w:tcW w:w="7745" w:type="dxa"/>
            <w:tcBorders>
              <w:top w:val="single" w:sz="4" w:space="0" w:color="auto"/>
              <w:left w:val="single" w:sz="4" w:space="0" w:color="auto"/>
              <w:bottom w:val="single" w:sz="4" w:space="0" w:color="auto"/>
              <w:right w:val="single" w:sz="4" w:space="0" w:color="auto"/>
            </w:tcBorders>
            <w:shd w:val="clear" w:color="auto" w:fill="auto"/>
            <w:hideMark/>
          </w:tcPr>
          <w:p w14:paraId="21462D96" w14:textId="77777777" w:rsidR="00955D67" w:rsidRPr="0074058E" w:rsidRDefault="00955D67" w:rsidP="00206731">
            <w:pPr>
              <w:pStyle w:val="In-tableHeading"/>
              <w:rPr>
                <w:lang w:val="en-AU"/>
              </w:rPr>
            </w:pPr>
            <w:r w:rsidRPr="0074058E">
              <w:rPr>
                <w:lang w:val="en-AU"/>
              </w:rPr>
              <w:t>Description</w:t>
            </w:r>
          </w:p>
        </w:tc>
      </w:tr>
      <w:tr w:rsidR="00955D67" w:rsidRPr="0074058E" w14:paraId="7AF49671" w14:textId="77777777" w:rsidTr="00206731">
        <w:trPr>
          <w:cantSplit/>
        </w:trPr>
        <w:tc>
          <w:tcPr>
            <w:tcW w:w="1271" w:type="dxa"/>
            <w:tcBorders>
              <w:top w:val="single" w:sz="4" w:space="0" w:color="auto"/>
              <w:left w:val="single" w:sz="4" w:space="0" w:color="auto"/>
              <w:bottom w:val="single" w:sz="4" w:space="0" w:color="auto"/>
              <w:right w:val="single" w:sz="4" w:space="0" w:color="auto"/>
            </w:tcBorders>
            <w:vAlign w:val="center"/>
            <w:hideMark/>
          </w:tcPr>
          <w:p w14:paraId="36D931A4" w14:textId="77777777" w:rsidR="00955D67" w:rsidRPr="0074058E" w:rsidRDefault="00955D67" w:rsidP="00206731">
            <w:pPr>
              <w:pStyle w:val="TableText"/>
              <w:keepLines/>
            </w:pPr>
            <w:r w:rsidRPr="0074058E">
              <w:t>Test population</w:t>
            </w:r>
          </w:p>
        </w:tc>
        <w:tc>
          <w:tcPr>
            <w:tcW w:w="7745" w:type="dxa"/>
            <w:tcBorders>
              <w:top w:val="single" w:sz="4" w:space="0" w:color="auto"/>
              <w:left w:val="single" w:sz="4" w:space="0" w:color="auto"/>
              <w:bottom w:val="single" w:sz="4" w:space="0" w:color="auto"/>
              <w:right w:val="single" w:sz="4" w:space="0" w:color="auto"/>
            </w:tcBorders>
            <w:hideMark/>
          </w:tcPr>
          <w:p w14:paraId="45522224" w14:textId="0ACF5036" w:rsidR="00955D67" w:rsidRPr="0074058E" w:rsidRDefault="00955D67" w:rsidP="00206731">
            <w:pPr>
              <w:pStyle w:val="TableText"/>
              <w:keepLines/>
            </w:pPr>
            <w:r w:rsidRPr="0074058E">
              <w:t xml:space="preserve">Patient with </w:t>
            </w:r>
            <w:r w:rsidR="00A80284" w:rsidRPr="0074058E">
              <w:t>newly diagnosed,</w:t>
            </w:r>
            <w:r w:rsidRPr="0074058E">
              <w:t xml:space="preserve"> advanced (FIGO stage III-IV) high-grade epithelial ovarian, fallopian tube or primary peritoneal cancer.</w:t>
            </w:r>
          </w:p>
        </w:tc>
      </w:tr>
      <w:tr w:rsidR="00955D67" w:rsidRPr="0074058E" w14:paraId="7549595E" w14:textId="77777777" w:rsidTr="00206731">
        <w:trPr>
          <w:cantSplit/>
        </w:trPr>
        <w:tc>
          <w:tcPr>
            <w:tcW w:w="1271" w:type="dxa"/>
            <w:tcBorders>
              <w:top w:val="single" w:sz="4" w:space="0" w:color="auto"/>
              <w:left w:val="single" w:sz="4" w:space="0" w:color="auto"/>
              <w:bottom w:val="single" w:sz="4" w:space="0" w:color="auto"/>
              <w:right w:val="single" w:sz="4" w:space="0" w:color="auto"/>
            </w:tcBorders>
            <w:vAlign w:val="center"/>
            <w:hideMark/>
          </w:tcPr>
          <w:p w14:paraId="143C6550" w14:textId="77777777" w:rsidR="00955D67" w:rsidRPr="0074058E" w:rsidRDefault="00955D67" w:rsidP="00206731">
            <w:pPr>
              <w:pStyle w:val="TableText"/>
              <w:keepLines/>
            </w:pPr>
            <w:r w:rsidRPr="0074058E">
              <w:t>Treatment population</w:t>
            </w:r>
          </w:p>
        </w:tc>
        <w:tc>
          <w:tcPr>
            <w:tcW w:w="7745" w:type="dxa"/>
            <w:tcBorders>
              <w:top w:val="single" w:sz="4" w:space="0" w:color="auto"/>
              <w:left w:val="single" w:sz="4" w:space="0" w:color="auto"/>
              <w:bottom w:val="single" w:sz="4" w:space="0" w:color="auto"/>
              <w:right w:val="single" w:sz="4" w:space="0" w:color="auto"/>
            </w:tcBorders>
            <w:hideMark/>
          </w:tcPr>
          <w:p w14:paraId="6C077611" w14:textId="77777777" w:rsidR="00955D67" w:rsidRPr="0074058E" w:rsidRDefault="00955D67" w:rsidP="00206731">
            <w:pPr>
              <w:pStyle w:val="TableText"/>
              <w:keepLines/>
            </w:pPr>
            <w:r w:rsidRPr="0074058E">
              <w:t xml:space="preserve">Patient with newly diagnosed, advanced (FIGO stage III-IV) high-grade epithelial ovarian, fallopian tube or primary peritoneal cancer who are in response (complete or partial) to first-line platinum-based chemotherapy and found to have HRD positive and </w:t>
            </w:r>
            <w:r w:rsidRPr="0074058E">
              <w:rPr>
                <w:i/>
                <w:iCs/>
              </w:rPr>
              <w:t>BRCA</w:t>
            </w:r>
            <w:r w:rsidRPr="0074058E">
              <w:t xml:space="preserve"> pathogenic variant negative status.</w:t>
            </w:r>
          </w:p>
        </w:tc>
      </w:tr>
      <w:tr w:rsidR="00955D67" w:rsidRPr="0074058E" w14:paraId="13C9C3BA" w14:textId="77777777" w:rsidTr="00206731">
        <w:trPr>
          <w:cantSplit/>
        </w:trPr>
        <w:tc>
          <w:tcPr>
            <w:tcW w:w="1271" w:type="dxa"/>
            <w:tcBorders>
              <w:top w:val="single" w:sz="4" w:space="0" w:color="auto"/>
              <w:left w:val="single" w:sz="4" w:space="0" w:color="auto"/>
              <w:bottom w:val="single" w:sz="4" w:space="0" w:color="auto"/>
              <w:right w:val="single" w:sz="4" w:space="0" w:color="auto"/>
            </w:tcBorders>
            <w:vAlign w:val="center"/>
            <w:hideMark/>
          </w:tcPr>
          <w:p w14:paraId="19F65A45" w14:textId="77777777" w:rsidR="00955D67" w:rsidRPr="0074058E" w:rsidRDefault="00955D67" w:rsidP="00206731">
            <w:pPr>
              <w:pStyle w:val="TableText"/>
              <w:keepLines/>
            </w:pPr>
            <w:r w:rsidRPr="0074058E">
              <w:t>Intervention</w:t>
            </w:r>
          </w:p>
        </w:tc>
        <w:tc>
          <w:tcPr>
            <w:tcW w:w="7745" w:type="dxa"/>
            <w:tcBorders>
              <w:top w:val="single" w:sz="4" w:space="0" w:color="auto"/>
              <w:left w:val="single" w:sz="4" w:space="0" w:color="auto"/>
              <w:bottom w:val="single" w:sz="4" w:space="0" w:color="auto"/>
              <w:right w:val="single" w:sz="4" w:space="0" w:color="auto"/>
            </w:tcBorders>
            <w:hideMark/>
          </w:tcPr>
          <w:p w14:paraId="1AF1CAEE" w14:textId="1D5F2109" w:rsidR="00955D67" w:rsidRPr="0074058E" w:rsidRDefault="00955D67" w:rsidP="00206731">
            <w:pPr>
              <w:pStyle w:val="TableText"/>
              <w:keepLines/>
            </w:pPr>
            <w:r w:rsidRPr="0074058E">
              <w:t>Test of tumour tissue to determine HRD status (</w:t>
            </w:r>
            <w:r w:rsidR="009B4FF0" w:rsidRPr="0074058E">
              <w:t>i.e.</w:t>
            </w:r>
            <w:r w:rsidRPr="0074058E">
              <w:t xml:space="preserve"> both </w:t>
            </w:r>
            <w:r w:rsidRPr="0074058E">
              <w:rPr>
                <w:i/>
                <w:iCs/>
              </w:rPr>
              <w:t>BRCA</w:t>
            </w:r>
            <w:r w:rsidRPr="0074058E">
              <w:t xml:space="preserve"> status and genomic instability status).</w:t>
            </w:r>
          </w:p>
          <w:p w14:paraId="4902D956" w14:textId="77777777" w:rsidR="00955D67" w:rsidRPr="0074058E" w:rsidRDefault="00955D67" w:rsidP="00206731">
            <w:pPr>
              <w:pStyle w:val="TableText"/>
              <w:keepLines/>
            </w:pPr>
            <w:r w:rsidRPr="0074058E">
              <w:t>The proposed test is the SOPHiA Genetics HRD assay.</w:t>
            </w:r>
          </w:p>
          <w:p w14:paraId="0D58A005" w14:textId="4A5F2137" w:rsidR="00955D67" w:rsidRPr="0074058E" w:rsidRDefault="00955D67" w:rsidP="00206731">
            <w:pPr>
              <w:pStyle w:val="TableText"/>
              <w:keepLines/>
            </w:pPr>
            <w:r w:rsidRPr="0074058E">
              <w:t xml:space="preserve">If HRD positive </w:t>
            </w:r>
            <w:r w:rsidRPr="0074058E">
              <w:rPr>
                <w:i/>
                <w:iCs/>
              </w:rPr>
              <w:t>BRCA</w:t>
            </w:r>
            <w:r w:rsidRPr="0074058E">
              <w:t>wt patient can receive olaparib (300mg twice daily, up to 24 months) + bevacizumab (15mg/kg every 3 weeks for up to 22 cycles/15 months).</w:t>
            </w:r>
          </w:p>
          <w:p w14:paraId="1BFFA940" w14:textId="77777777" w:rsidR="00955D67" w:rsidRPr="0074058E" w:rsidRDefault="00955D67" w:rsidP="00206731">
            <w:pPr>
              <w:pStyle w:val="TableText"/>
              <w:keepLines/>
            </w:pPr>
            <w:r w:rsidRPr="0074058E">
              <w:t xml:space="preserve">If HRD negative </w:t>
            </w:r>
            <w:r w:rsidRPr="0074058E">
              <w:rPr>
                <w:i/>
                <w:iCs/>
              </w:rPr>
              <w:t>BRCA</w:t>
            </w:r>
            <w:r w:rsidRPr="0074058E">
              <w:t xml:space="preserve">wt, patient can receive bevacizumab (15mg/kg every 3 weeks for up to </w:t>
            </w:r>
            <w:proofErr w:type="gramStart"/>
            <w:r w:rsidRPr="0074058E">
              <w:t>22</w:t>
            </w:r>
            <w:proofErr w:type="gramEnd"/>
            <w:r w:rsidRPr="0074058E">
              <w:t xml:space="preserve"> cycles/15 months). OR watch and wait (i.e. placebo).</w:t>
            </w:r>
          </w:p>
          <w:p w14:paraId="3A0CB007" w14:textId="77777777" w:rsidR="00955D67" w:rsidRPr="0074058E" w:rsidRDefault="00955D67" w:rsidP="00206731">
            <w:pPr>
              <w:pStyle w:val="TableText"/>
              <w:keepLines/>
            </w:pPr>
            <w:r w:rsidRPr="0074058E">
              <w:t xml:space="preserve">If </w:t>
            </w:r>
            <w:r w:rsidRPr="0074058E">
              <w:rPr>
                <w:i/>
                <w:iCs/>
              </w:rPr>
              <w:t>BRCA</w:t>
            </w:r>
            <w:r w:rsidRPr="0074058E">
              <w:t>m, patient can receive olaparib monotherapy (300mg twice daily, up to 24 months)</w:t>
            </w:r>
          </w:p>
        </w:tc>
      </w:tr>
      <w:tr w:rsidR="00955D67" w:rsidRPr="0074058E" w14:paraId="382C47E7" w14:textId="77777777" w:rsidTr="00206731">
        <w:trPr>
          <w:cantSplit/>
        </w:trPr>
        <w:tc>
          <w:tcPr>
            <w:tcW w:w="1271" w:type="dxa"/>
            <w:tcBorders>
              <w:top w:val="single" w:sz="4" w:space="0" w:color="auto"/>
              <w:left w:val="single" w:sz="4" w:space="0" w:color="auto"/>
              <w:bottom w:val="single" w:sz="4" w:space="0" w:color="auto"/>
              <w:right w:val="single" w:sz="4" w:space="0" w:color="auto"/>
            </w:tcBorders>
            <w:vAlign w:val="center"/>
            <w:hideMark/>
          </w:tcPr>
          <w:p w14:paraId="3E667F7A" w14:textId="77777777" w:rsidR="00955D67" w:rsidRPr="0074058E" w:rsidRDefault="00955D67" w:rsidP="00206731">
            <w:pPr>
              <w:pStyle w:val="TableText"/>
              <w:keepLines/>
            </w:pPr>
            <w:r w:rsidRPr="0074058E">
              <w:t>Comparator</w:t>
            </w:r>
          </w:p>
        </w:tc>
        <w:tc>
          <w:tcPr>
            <w:tcW w:w="7745" w:type="dxa"/>
            <w:tcBorders>
              <w:top w:val="single" w:sz="4" w:space="0" w:color="auto"/>
              <w:left w:val="single" w:sz="4" w:space="0" w:color="auto"/>
              <w:bottom w:val="single" w:sz="4" w:space="0" w:color="auto"/>
              <w:right w:val="single" w:sz="4" w:space="0" w:color="auto"/>
            </w:tcBorders>
            <w:hideMark/>
          </w:tcPr>
          <w:p w14:paraId="7D353B0A" w14:textId="70E15934" w:rsidR="00955D67" w:rsidRPr="0074058E" w:rsidRDefault="00955D67" w:rsidP="00206731">
            <w:pPr>
              <w:pStyle w:val="TableText"/>
              <w:keepLines/>
            </w:pPr>
            <w:r w:rsidRPr="0074058E">
              <w:t xml:space="preserve">Test of tumour tissue to determine </w:t>
            </w:r>
            <w:r w:rsidRPr="0074058E">
              <w:rPr>
                <w:i/>
                <w:iCs/>
              </w:rPr>
              <w:t>BRCA</w:t>
            </w:r>
            <w:r w:rsidRPr="0074058E">
              <w:t xml:space="preserve"> status only. </w:t>
            </w:r>
            <w:r w:rsidRPr="0074058E">
              <w:rPr>
                <w:i/>
                <w:iCs/>
              </w:rPr>
              <w:t>BRCA</w:t>
            </w:r>
            <w:r w:rsidRPr="0074058E">
              <w:t xml:space="preserve"> testing via NGS is the reference standard for </w:t>
            </w:r>
            <w:r w:rsidRPr="0074058E">
              <w:rPr>
                <w:i/>
                <w:iCs/>
              </w:rPr>
              <w:t xml:space="preserve">BRCA </w:t>
            </w:r>
            <w:r w:rsidRPr="0074058E">
              <w:t>testing with HRD tests. The Myriad myChoice CDx test was the clinical utility standard nominated in the submission^. The Myriad myChoice HRD Plus test was used in the PAOLA</w:t>
            </w:r>
            <w:r w:rsidRPr="0074058E">
              <w:noBreakHyphen/>
            </w:r>
            <w:proofErr w:type="gramStart"/>
            <w:r w:rsidRPr="0074058E">
              <w:t>1</w:t>
            </w:r>
            <w:proofErr w:type="gramEnd"/>
            <w:r w:rsidRPr="0074058E">
              <w:t xml:space="preserve"> trial</w:t>
            </w:r>
            <w:r w:rsidR="007A6201" w:rsidRPr="0074058E">
              <w:t>.</w:t>
            </w:r>
          </w:p>
          <w:p w14:paraId="7E26F906" w14:textId="77777777" w:rsidR="00955D67" w:rsidRPr="0074058E" w:rsidRDefault="00955D67" w:rsidP="00206731">
            <w:pPr>
              <w:pStyle w:val="TableText"/>
              <w:keepLines/>
            </w:pPr>
            <w:r w:rsidRPr="0074058E">
              <w:t>Bevacizumab monotherapy as maintenance following platinum-based chemotherapy is the predominant comparator for this population and this submission. Watch and wait (i.e. placebo) as a supplementary comparator.</w:t>
            </w:r>
          </w:p>
        </w:tc>
      </w:tr>
      <w:tr w:rsidR="00955D67" w:rsidRPr="0074058E" w14:paraId="14FA89B0" w14:textId="77777777" w:rsidTr="00206731">
        <w:trPr>
          <w:cantSplit/>
        </w:trPr>
        <w:tc>
          <w:tcPr>
            <w:tcW w:w="1271" w:type="dxa"/>
            <w:tcBorders>
              <w:top w:val="single" w:sz="4" w:space="0" w:color="auto"/>
              <w:left w:val="single" w:sz="4" w:space="0" w:color="auto"/>
              <w:bottom w:val="single" w:sz="4" w:space="0" w:color="auto"/>
              <w:right w:val="single" w:sz="4" w:space="0" w:color="auto"/>
            </w:tcBorders>
            <w:vAlign w:val="center"/>
            <w:hideMark/>
          </w:tcPr>
          <w:p w14:paraId="15CF31FA" w14:textId="77777777" w:rsidR="00955D67" w:rsidRPr="0074058E" w:rsidRDefault="00955D67" w:rsidP="00206731">
            <w:pPr>
              <w:pStyle w:val="TableText"/>
              <w:keepLines/>
            </w:pPr>
            <w:r w:rsidRPr="0074058E">
              <w:t>Outcomes</w:t>
            </w:r>
          </w:p>
        </w:tc>
        <w:tc>
          <w:tcPr>
            <w:tcW w:w="7745" w:type="dxa"/>
            <w:tcBorders>
              <w:top w:val="single" w:sz="4" w:space="0" w:color="auto"/>
              <w:left w:val="single" w:sz="4" w:space="0" w:color="auto"/>
              <w:bottom w:val="single" w:sz="4" w:space="0" w:color="auto"/>
              <w:right w:val="single" w:sz="4" w:space="0" w:color="auto"/>
            </w:tcBorders>
            <w:hideMark/>
          </w:tcPr>
          <w:p w14:paraId="48BCFB1E" w14:textId="77777777" w:rsidR="00955D67" w:rsidRPr="0074058E" w:rsidRDefault="00955D67" w:rsidP="00206731">
            <w:pPr>
              <w:pStyle w:val="TableText"/>
              <w:keepLines/>
            </w:pPr>
            <w:r w:rsidRPr="0074058E">
              <w:t>PFS, PFS2, OS, quality of life, safety and tolerability for olaparib plus bevacizumab vs bevacizumab monotherapy</w:t>
            </w:r>
          </w:p>
        </w:tc>
      </w:tr>
      <w:tr w:rsidR="00955D67" w:rsidRPr="0074058E" w14:paraId="0BA4AF91" w14:textId="77777777" w:rsidTr="00206731">
        <w:trPr>
          <w:cantSplit/>
        </w:trPr>
        <w:tc>
          <w:tcPr>
            <w:tcW w:w="1271" w:type="dxa"/>
            <w:tcBorders>
              <w:top w:val="single" w:sz="4" w:space="0" w:color="auto"/>
              <w:left w:val="single" w:sz="4" w:space="0" w:color="auto"/>
              <w:bottom w:val="single" w:sz="4" w:space="0" w:color="auto"/>
              <w:right w:val="single" w:sz="4" w:space="0" w:color="auto"/>
            </w:tcBorders>
            <w:vAlign w:val="center"/>
            <w:hideMark/>
          </w:tcPr>
          <w:p w14:paraId="6A80EBF8" w14:textId="77777777" w:rsidR="00955D67" w:rsidRPr="0074058E" w:rsidRDefault="00955D67" w:rsidP="00206731">
            <w:pPr>
              <w:pStyle w:val="TableText"/>
              <w:keepLines/>
            </w:pPr>
            <w:r w:rsidRPr="0074058E">
              <w:t>Clinical claim</w:t>
            </w:r>
          </w:p>
        </w:tc>
        <w:tc>
          <w:tcPr>
            <w:tcW w:w="7745" w:type="dxa"/>
            <w:tcBorders>
              <w:top w:val="single" w:sz="4" w:space="0" w:color="auto"/>
              <w:left w:val="single" w:sz="4" w:space="0" w:color="auto"/>
              <w:bottom w:val="single" w:sz="4" w:space="0" w:color="auto"/>
              <w:right w:val="single" w:sz="4" w:space="0" w:color="auto"/>
            </w:tcBorders>
            <w:hideMark/>
          </w:tcPr>
          <w:p w14:paraId="6EE96A6C" w14:textId="77777777" w:rsidR="00955D67" w:rsidRPr="0074058E" w:rsidRDefault="00955D67" w:rsidP="00206731">
            <w:pPr>
              <w:pStyle w:val="TableText"/>
              <w:keepLines/>
            </w:pPr>
            <w:r w:rsidRPr="0074058E">
              <w:t>In patients with advanced (FIGO stage III-IV)</w:t>
            </w:r>
            <w:r w:rsidRPr="0074058E">
              <w:rPr>
                <w:i/>
              </w:rPr>
              <w:t xml:space="preserve"> </w:t>
            </w:r>
            <w:r w:rsidRPr="0074058E">
              <w:t xml:space="preserve">high-grade epithelial ovarian, fallopian tube or primary peritoneal cancer who are in response (complete or partial) to first-line platinum-based positive chemotherapy, HRD testing to determine HRD + </w:t>
            </w:r>
            <w:r w:rsidRPr="0074058E">
              <w:rPr>
                <w:i/>
                <w:iCs/>
              </w:rPr>
              <w:t>BRCA</w:t>
            </w:r>
            <w:r w:rsidRPr="0074058E">
              <w:t xml:space="preserve">wt and eligibility to access olaparib in combination with bevacizumab is more effective than bevacizumab alone at improving PFS; and no worse in terms of safety. </w:t>
            </w:r>
          </w:p>
        </w:tc>
      </w:tr>
    </w:tbl>
    <w:p w14:paraId="47F00ABE" w14:textId="77777777" w:rsidR="00955D67" w:rsidRPr="0074058E" w:rsidRDefault="00955D67" w:rsidP="00955D67">
      <w:pPr>
        <w:pStyle w:val="TableFooter"/>
        <w:keepNext/>
        <w:keepLines/>
      </w:pPr>
      <w:r w:rsidRPr="0074058E">
        <w:rPr>
          <w:i/>
          <w:iCs/>
        </w:rPr>
        <w:t>BRCA</w:t>
      </w:r>
      <w:r w:rsidRPr="0074058E">
        <w:t xml:space="preserve"> = breast cancer gene; </w:t>
      </w:r>
      <w:r w:rsidRPr="0074058E">
        <w:rPr>
          <w:i/>
          <w:iCs/>
        </w:rPr>
        <w:t>BRCA</w:t>
      </w:r>
      <w:r w:rsidRPr="0074058E">
        <w:t>m</w:t>
      </w:r>
      <w:r w:rsidRPr="0074058E">
        <w:rPr>
          <w:i/>
          <w:iCs/>
        </w:rPr>
        <w:t xml:space="preserve"> </w:t>
      </w:r>
      <w:r w:rsidRPr="0074058E">
        <w:t>= breast cancer gene mutation;</w:t>
      </w:r>
      <w:r w:rsidRPr="0074058E">
        <w:rPr>
          <w:i/>
          <w:iCs/>
        </w:rPr>
        <w:t xml:space="preserve"> BRCA</w:t>
      </w:r>
      <w:r w:rsidRPr="0074058E">
        <w:t xml:space="preserve">wt = breast cancer gene wild type; FIGO = International Federation of Gynaecology and Obstetrics; HRD = homologous recombination deficiency; </w:t>
      </w:r>
      <w:r w:rsidRPr="0074058E">
        <w:rPr>
          <w:lang w:eastAsia="zh-CN"/>
        </w:rPr>
        <w:t>NGS = next-generation sequencing;</w:t>
      </w:r>
      <w:r w:rsidRPr="0074058E">
        <w:t xml:space="preserve"> OS = overall survival; PFS = progression free survival; PFS2 = time from randomisation to second progression or death</w:t>
      </w:r>
    </w:p>
    <w:p w14:paraId="5ED8F649" w14:textId="77777777" w:rsidR="00955D67" w:rsidRPr="0074058E" w:rsidRDefault="00955D67" w:rsidP="00955D67">
      <w:pPr>
        <w:pStyle w:val="TableFooter"/>
        <w:keepNext/>
        <w:keepLines/>
      </w:pPr>
      <w:r w:rsidRPr="0074058E">
        <w:t>^ The clinical utility standard, as per the definition in the MSAC Guidelines, should be the Myriad myChoice HRD plus test – the test used in the PAOLA-1 trial (based on the protocol and CSR).</w:t>
      </w:r>
    </w:p>
    <w:p w14:paraId="0F30ADEB" w14:textId="3E8A2036" w:rsidR="00955D67" w:rsidRPr="0074058E" w:rsidRDefault="00955D67" w:rsidP="00017E19">
      <w:pPr>
        <w:pStyle w:val="TableFooter"/>
        <w:keepNext/>
        <w:keepLines/>
        <w:rPr>
          <w:rFonts w:eastAsiaTheme="minorEastAsia"/>
        </w:rPr>
      </w:pPr>
      <w:r w:rsidRPr="0074058E">
        <w:t>Source: Table 1.2, p23 of the previous submission.</w:t>
      </w:r>
    </w:p>
    <w:p w14:paraId="0935F4B2" w14:textId="4E0B0190" w:rsidR="5D80A09E" w:rsidRPr="0074058E" w:rsidRDefault="004877C2" w:rsidP="006C5B33">
      <w:pPr>
        <w:pStyle w:val="2-SectionHeading"/>
        <w:rPr>
          <w:rFonts w:eastAsiaTheme="minorEastAsia"/>
        </w:rPr>
      </w:pPr>
      <w:r w:rsidRPr="0074058E">
        <w:t>Background</w:t>
      </w:r>
    </w:p>
    <w:p w14:paraId="3862ED18" w14:textId="718D75AE" w:rsidR="002B6EA3" w:rsidRPr="0074058E" w:rsidRDefault="002B6EA3" w:rsidP="00F81D86">
      <w:pPr>
        <w:pStyle w:val="4-SubsectionHeading"/>
      </w:pPr>
      <w:r w:rsidRPr="0074058E">
        <w:t>Registration status</w:t>
      </w:r>
    </w:p>
    <w:p w14:paraId="6C0B25F7" w14:textId="5021B67E" w:rsidR="002063C8" w:rsidRPr="0074058E" w:rsidRDefault="002063C8" w:rsidP="006C5B33">
      <w:pPr>
        <w:pStyle w:val="3-BodyText"/>
      </w:pPr>
      <w:r w:rsidRPr="0074058E">
        <w:t>Olaparib</w:t>
      </w:r>
      <w:r w:rsidR="00147566" w:rsidRPr="0074058E">
        <w:t xml:space="preserve"> was TGA registered on </w:t>
      </w:r>
      <w:r w:rsidRPr="0074058E">
        <w:t>10 March 2021</w:t>
      </w:r>
      <w:r w:rsidR="00147566" w:rsidRPr="0074058E">
        <w:t xml:space="preserve"> for </w:t>
      </w:r>
      <w:r w:rsidR="00DA4140" w:rsidRPr="0074058E">
        <w:t xml:space="preserve">the following </w:t>
      </w:r>
      <w:r w:rsidR="00147566" w:rsidRPr="0074058E">
        <w:t>indication</w:t>
      </w:r>
      <w:r w:rsidRPr="0074058E">
        <w:t>:</w:t>
      </w:r>
    </w:p>
    <w:p w14:paraId="07524AC9" w14:textId="77777777" w:rsidR="002063C8" w:rsidRPr="0074058E" w:rsidRDefault="002063C8" w:rsidP="00B32766">
      <w:pPr>
        <w:pStyle w:val="3-BodyText"/>
        <w:numPr>
          <w:ilvl w:val="0"/>
          <w:numId w:val="0"/>
        </w:numPr>
        <w:ind w:left="720"/>
      </w:pPr>
      <w:r w:rsidRPr="0074058E">
        <w:t xml:space="preserve">Olaparib in combination with bevacizumab </w:t>
      </w:r>
      <w:proofErr w:type="gramStart"/>
      <w:r w:rsidRPr="0074058E">
        <w:t>is indicated</w:t>
      </w:r>
      <w:proofErr w:type="gramEnd"/>
      <w:r w:rsidRPr="0074058E">
        <w:t xml:space="preserve"> for the maintenance treatment of adult patients with advanced epithelial ovarian, fallopian tube or primary peritoneal cancer who are in complete or partial response to first-line platinum-based chemotherapy and whose cancer is associated with homologous recombination deficiency (HRD)-positive status defined by either: </w:t>
      </w:r>
    </w:p>
    <w:p w14:paraId="7B0BAD39" w14:textId="77777777" w:rsidR="002063C8" w:rsidRPr="0074058E" w:rsidRDefault="002063C8" w:rsidP="00F659ED">
      <w:pPr>
        <w:pStyle w:val="3-BodyText"/>
        <w:numPr>
          <w:ilvl w:val="1"/>
          <w:numId w:val="7"/>
        </w:numPr>
        <w:ind w:left="993"/>
      </w:pPr>
      <w:r w:rsidRPr="0074058E">
        <w:t xml:space="preserve">a deleterious or suspected deleterious </w:t>
      </w:r>
      <w:r w:rsidRPr="0074058E">
        <w:rPr>
          <w:i/>
          <w:iCs/>
        </w:rPr>
        <w:t>BRCA</w:t>
      </w:r>
      <w:r w:rsidRPr="0074058E">
        <w:t xml:space="preserve"> mutation (germline or somatic), and/or</w:t>
      </w:r>
    </w:p>
    <w:p w14:paraId="0A016A5B" w14:textId="77777777" w:rsidR="002063C8" w:rsidRPr="0074058E" w:rsidRDefault="002063C8" w:rsidP="00F659ED">
      <w:pPr>
        <w:pStyle w:val="3-BodyText"/>
        <w:numPr>
          <w:ilvl w:val="1"/>
          <w:numId w:val="7"/>
        </w:numPr>
        <w:ind w:left="993"/>
      </w:pPr>
      <w:r w:rsidRPr="0074058E">
        <w:t>genomic instability</w:t>
      </w:r>
    </w:p>
    <w:p w14:paraId="72943198" w14:textId="264DA6F2" w:rsidR="002063C8" w:rsidRPr="0074058E" w:rsidRDefault="002063C8" w:rsidP="00B32766">
      <w:pPr>
        <w:pStyle w:val="3-BodyText"/>
        <w:numPr>
          <w:ilvl w:val="0"/>
          <w:numId w:val="0"/>
        </w:numPr>
        <w:ind w:left="720"/>
      </w:pPr>
      <w:r w:rsidRPr="0074058E">
        <w:lastRenderedPageBreak/>
        <w:t>HRD status should be determined by an experienced laboratory using a validated test method.</w:t>
      </w:r>
      <w:r w:rsidR="00147566" w:rsidRPr="0074058E">
        <w:t xml:space="preserve"> </w:t>
      </w:r>
    </w:p>
    <w:p w14:paraId="03E65E8B" w14:textId="77777777" w:rsidR="002B6EA3" w:rsidRPr="0074058E" w:rsidRDefault="002B6EA3" w:rsidP="00F81D86">
      <w:pPr>
        <w:pStyle w:val="4-SubsectionHeading"/>
      </w:pPr>
      <w:bookmarkStart w:id="2" w:name="_Toc22897639"/>
      <w:bookmarkStart w:id="3" w:name="_Toc114052518"/>
      <w:r w:rsidRPr="0074058E">
        <w:t>Previous PBAC consideration</w:t>
      </w:r>
      <w:bookmarkEnd w:id="2"/>
      <w:bookmarkEnd w:id="3"/>
    </w:p>
    <w:p w14:paraId="127A7494" w14:textId="10BAFEEA" w:rsidR="007A6201" w:rsidRPr="0074058E" w:rsidRDefault="00205224" w:rsidP="007A6201">
      <w:pPr>
        <w:pStyle w:val="3-BodyText"/>
      </w:pPr>
      <w:r w:rsidRPr="0074058E">
        <w:t xml:space="preserve">An integrated </w:t>
      </w:r>
      <w:r w:rsidR="009B4FF0" w:rsidRPr="0074058E">
        <w:t>co-dependent</w:t>
      </w:r>
      <w:r w:rsidRPr="0074058E">
        <w:t xml:space="preserve"> submission requesting MBS listing of HRD testing and PBS listing of olaparib for use in combination with bevacizumab for maintenance therapy in patients with newly diagnosed advanced epithelial ovarian, fallopian tube or primary peritoneal cancer that is both HRD positive </w:t>
      </w:r>
      <w:r w:rsidRPr="0074058E">
        <w:rPr>
          <w:rFonts w:cstheme="minorHAnsi"/>
          <w:szCs w:val="24"/>
        </w:rPr>
        <w:t xml:space="preserve">and </w:t>
      </w:r>
      <w:r w:rsidRPr="0074058E">
        <w:rPr>
          <w:i/>
          <w:iCs/>
        </w:rPr>
        <w:t>BRCAwt</w:t>
      </w:r>
      <w:r w:rsidRPr="0074058E">
        <w:t xml:space="preserve"> </w:t>
      </w:r>
      <w:proofErr w:type="gramStart"/>
      <w:r w:rsidRPr="0074058E">
        <w:t>was previously considered</w:t>
      </w:r>
      <w:proofErr w:type="gramEnd"/>
      <w:r w:rsidRPr="0074058E">
        <w:t xml:space="preserve"> by the PBAC and MSAC in July 2022. </w:t>
      </w:r>
    </w:p>
    <w:p w14:paraId="1A2C2377" w14:textId="1245DCEC" w:rsidR="00205224" w:rsidRPr="0074058E" w:rsidRDefault="00205224" w:rsidP="00205224">
      <w:pPr>
        <w:pStyle w:val="3-BodyText"/>
      </w:pPr>
      <w:r w:rsidRPr="0074058E">
        <w:t xml:space="preserve">In </w:t>
      </w:r>
      <w:proofErr w:type="gramStart"/>
      <w:r w:rsidRPr="0074058E">
        <w:t>July 2022</w:t>
      </w:r>
      <w:proofErr w:type="gramEnd"/>
      <w:r w:rsidRPr="0074058E">
        <w:t xml:space="preserve"> the PBAC did not recommend olaparib for use in combination with bevacizumab for maintenance therapy in patients with newly diagnosed HRD positive </w:t>
      </w:r>
      <w:r w:rsidRPr="0074058E">
        <w:rPr>
          <w:i/>
          <w:iCs/>
        </w:rPr>
        <w:t>BRCA</w:t>
      </w:r>
      <w:r w:rsidRPr="0074058E">
        <w:t xml:space="preserve">wt advanced epithelial ovarian, fallopian tube or primary peritoneal cancer. “The PBAC considered that a clinical claim of superior efficacy </w:t>
      </w:r>
      <w:proofErr w:type="gramStart"/>
      <w:r w:rsidRPr="0074058E">
        <w:t>was supported</w:t>
      </w:r>
      <w:proofErr w:type="gramEnd"/>
      <w:r w:rsidRPr="0074058E">
        <w:t xml:space="preserve"> for olaparib plus bevacizumab in the HRD positive group, compared with bevacizumab alone based on PFS benefit, although the OS benefit was uncertain due to immature data. The PBAC considered that olaparib plus bevacizumab was inferior compared with bevacizumab alone in terms of safety, but would be manageable in practice. The PBAC considered that revisions to the inputs for the economic model were required so that they were consistent with those previously accepted by the PBAC for olaparib monotherapy in the </w:t>
      </w:r>
      <w:r w:rsidRPr="0074058E">
        <w:rPr>
          <w:i/>
          <w:iCs/>
        </w:rPr>
        <w:t>BRCA</w:t>
      </w:r>
      <w:r w:rsidRPr="0074058E">
        <w:t xml:space="preserve">m group and with these revisions the ICER would increase substantially and hence a price reduction would be required for the proposed listing to be </w:t>
      </w:r>
      <w:proofErr w:type="gramStart"/>
      <w:r w:rsidRPr="0074058E">
        <w:t>considered acceptably</w:t>
      </w:r>
      <w:proofErr w:type="gramEnd"/>
      <w:r w:rsidRPr="0074058E">
        <w:t xml:space="preserve"> cost</w:t>
      </w:r>
      <w:r w:rsidRPr="0074058E">
        <w:noBreakHyphen/>
        <w:t>effective” (</w:t>
      </w:r>
      <w:r w:rsidR="00A502BB" w:rsidRPr="0074058E">
        <w:t>p</w:t>
      </w:r>
      <w:r w:rsidRPr="0074058E">
        <w:t xml:space="preserve">aragraph 7.1 </w:t>
      </w:r>
      <w:r w:rsidR="006E635E" w:rsidRPr="0074058E">
        <w:t xml:space="preserve">olaparib </w:t>
      </w:r>
      <w:r w:rsidR="001A3DAF" w:rsidRPr="001A3DAF">
        <w:t xml:space="preserve">Public Summary Document </w:t>
      </w:r>
      <w:r w:rsidR="001A3DAF">
        <w:t>(</w:t>
      </w:r>
      <w:r w:rsidR="006E635E" w:rsidRPr="0074058E">
        <w:t>PSD</w:t>
      </w:r>
      <w:r w:rsidR="001A3DAF">
        <w:t>)</w:t>
      </w:r>
      <w:r w:rsidRPr="0074058E">
        <w:t xml:space="preserve">, July 2022 PBAC meeting). The PBAC also sought advice from MSAC regarding the HRD testing component (paragraph 7.2 </w:t>
      </w:r>
      <w:r w:rsidR="006E635E" w:rsidRPr="0074058E">
        <w:t>olaparib PSD</w:t>
      </w:r>
      <w:r w:rsidRPr="0074058E">
        <w:t>, July 2022 PBAC meeting).</w:t>
      </w:r>
    </w:p>
    <w:p w14:paraId="6A21FA83" w14:textId="1317111E" w:rsidR="009214B9" w:rsidRPr="0074058E" w:rsidRDefault="009214B9" w:rsidP="009214B9">
      <w:pPr>
        <w:pStyle w:val="3-BodyText"/>
      </w:pPr>
      <w:bookmarkStart w:id="4" w:name="_Ref116931624"/>
      <w:r w:rsidRPr="0074058E">
        <w:t>The PBAC considered if the sponsor accepted the early re-entry pathway, the following changes may address these outstanding issues without requiring further re-evaluation:</w:t>
      </w:r>
      <w:bookmarkEnd w:id="4"/>
    </w:p>
    <w:p w14:paraId="34945692" w14:textId="0C4DEBAF" w:rsidR="009214B9" w:rsidRPr="0074058E" w:rsidRDefault="009214B9" w:rsidP="00F659ED">
      <w:pPr>
        <w:pStyle w:val="ListParagraph"/>
        <w:widowControl w:val="0"/>
        <w:numPr>
          <w:ilvl w:val="0"/>
          <w:numId w:val="12"/>
        </w:numPr>
        <w:spacing w:after="160"/>
        <w:ind w:left="1134" w:hanging="425"/>
        <w:jc w:val="both"/>
      </w:pPr>
      <w:r w:rsidRPr="0074058E">
        <w:t>Revise the inputs for the economic model as follows:</w:t>
      </w:r>
    </w:p>
    <w:p w14:paraId="39C9F6DB" w14:textId="6FC03AAA" w:rsidR="009214B9" w:rsidRPr="0074058E" w:rsidRDefault="009214B9" w:rsidP="00F659ED">
      <w:pPr>
        <w:pStyle w:val="ListParagraph"/>
        <w:widowControl w:val="0"/>
        <w:numPr>
          <w:ilvl w:val="1"/>
          <w:numId w:val="12"/>
        </w:numPr>
        <w:spacing w:after="160"/>
        <w:jc w:val="both"/>
      </w:pPr>
      <w:r w:rsidRPr="0074058E">
        <w:t xml:space="preserve">Use of cure fractions consistent with those accepted for the olaparib </w:t>
      </w:r>
      <w:r w:rsidRPr="0074058E">
        <w:rPr>
          <w:i/>
          <w:iCs/>
        </w:rPr>
        <w:t>BRCA</w:t>
      </w:r>
      <w:r w:rsidRPr="0074058E">
        <w:t xml:space="preserve">m model, thus assuming a cure fraction of no more than 25.45% for olaparib plus bevacizumab (paragraph 7.13, </w:t>
      </w:r>
      <w:r w:rsidR="006E635E" w:rsidRPr="0074058E">
        <w:t>olaparib PSD</w:t>
      </w:r>
      <w:r w:rsidRPr="0074058E">
        <w:t>, July 2022 PBAC meeting).</w:t>
      </w:r>
    </w:p>
    <w:p w14:paraId="141004E8" w14:textId="02313495" w:rsidR="009214B9" w:rsidRPr="0074058E" w:rsidRDefault="009214B9" w:rsidP="00F659ED">
      <w:pPr>
        <w:pStyle w:val="ListParagraph"/>
        <w:widowControl w:val="0"/>
        <w:numPr>
          <w:ilvl w:val="1"/>
          <w:numId w:val="12"/>
        </w:numPr>
        <w:spacing w:after="160"/>
        <w:jc w:val="both"/>
      </w:pPr>
      <w:r w:rsidRPr="0074058E">
        <w:t xml:space="preserve">Use of loglogistic PFS extrapolations consistent with those accepted for the olaparib </w:t>
      </w:r>
      <w:r w:rsidRPr="0074058E">
        <w:rPr>
          <w:i/>
          <w:iCs/>
        </w:rPr>
        <w:t>BRCA</w:t>
      </w:r>
      <w:r w:rsidRPr="0074058E">
        <w:t xml:space="preserve">m model. However, noting the uncertainty in these PFS extrapolations, particularly for the bevacizumab monotherapy arm, the PBAC considered that a resubmission should </w:t>
      </w:r>
      <w:proofErr w:type="gramStart"/>
      <w:r w:rsidRPr="0074058E">
        <w:t>be supported</w:t>
      </w:r>
      <w:proofErr w:type="gramEnd"/>
      <w:r w:rsidRPr="0074058E">
        <w:t xml:space="preserve"> by more mature PFS data from DCO3 to validate these modelled PFS curves (paragraph 7.13, </w:t>
      </w:r>
      <w:r w:rsidR="006E635E" w:rsidRPr="0074058E">
        <w:t>olaparib PSD</w:t>
      </w:r>
      <w:r w:rsidRPr="0074058E">
        <w:t>, July 2022 PBAC meeting).</w:t>
      </w:r>
    </w:p>
    <w:p w14:paraId="4598E77C" w14:textId="5411C163" w:rsidR="009214B9" w:rsidRPr="0074058E" w:rsidRDefault="009214B9" w:rsidP="00F659ED">
      <w:pPr>
        <w:pStyle w:val="ListParagraph"/>
        <w:widowControl w:val="0"/>
        <w:numPr>
          <w:ilvl w:val="1"/>
          <w:numId w:val="12"/>
        </w:numPr>
        <w:spacing w:after="160"/>
        <w:jc w:val="both"/>
      </w:pPr>
      <w:r w:rsidRPr="0074058E">
        <w:t xml:space="preserve">Use of a post-progression utility value (0.557) consistent with that accepted for the olaparib </w:t>
      </w:r>
      <w:r w:rsidRPr="0074058E">
        <w:rPr>
          <w:i/>
          <w:iCs/>
        </w:rPr>
        <w:t>BRCA</w:t>
      </w:r>
      <w:r w:rsidRPr="0074058E">
        <w:t xml:space="preserve">m model (paragraph 7.15, </w:t>
      </w:r>
      <w:r w:rsidR="006E635E" w:rsidRPr="0074058E">
        <w:t>olaparib PSD</w:t>
      </w:r>
      <w:r w:rsidRPr="0074058E">
        <w:t xml:space="preserve">, July 2022 PBAC </w:t>
      </w:r>
      <w:r w:rsidRPr="0074058E">
        <w:lastRenderedPageBreak/>
        <w:t>meeting).</w:t>
      </w:r>
    </w:p>
    <w:p w14:paraId="15F56A86" w14:textId="2FF158D0" w:rsidR="009214B9" w:rsidRPr="0074058E" w:rsidRDefault="009214B9" w:rsidP="00F659ED">
      <w:pPr>
        <w:pStyle w:val="ListParagraph"/>
        <w:widowControl w:val="0"/>
        <w:numPr>
          <w:ilvl w:val="1"/>
          <w:numId w:val="12"/>
        </w:numPr>
        <w:spacing w:after="160"/>
        <w:jc w:val="both"/>
      </w:pPr>
      <w:r w:rsidRPr="0074058E">
        <w:t xml:space="preserve">A </w:t>
      </w:r>
      <w:r w:rsidRPr="0074058E">
        <w:rPr>
          <w:i/>
        </w:rPr>
        <w:t>BRCA</w:t>
      </w:r>
      <w:r w:rsidRPr="0074058E">
        <w:t xml:space="preserve"> testing cost of $1,000 (paragraph 6.71, </w:t>
      </w:r>
      <w:r w:rsidR="006E635E" w:rsidRPr="0074058E">
        <w:t>olaparib PSD</w:t>
      </w:r>
      <w:r w:rsidRPr="0074058E">
        <w:t>, July 2022 PBAC meeting); and</w:t>
      </w:r>
    </w:p>
    <w:p w14:paraId="03044E6E" w14:textId="35233D0C" w:rsidR="009214B9" w:rsidRPr="0074058E" w:rsidRDefault="009214B9" w:rsidP="00F659ED">
      <w:pPr>
        <w:pStyle w:val="ListParagraph"/>
        <w:widowControl w:val="0"/>
        <w:numPr>
          <w:ilvl w:val="1"/>
          <w:numId w:val="12"/>
        </w:numPr>
        <w:spacing w:after="160"/>
        <w:jc w:val="both"/>
      </w:pPr>
      <w:r w:rsidRPr="0074058E">
        <w:t>A price reduction to result in an ICER of less than $50,000/QALY gained (paragraph 7.16, olaparib</w:t>
      </w:r>
      <w:r w:rsidR="006E635E" w:rsidRPr="0074058E">
        <w:t xml:space="preserve"> PSD</w:t>
      </w:r>
      <w:r w:rsidRPr="0074058E">
        <w:t>, July 2022 PBAC meeting).</w:t>
      </w:r>
    </w:p>
    <w:p w14:paraId="027D40D0" w14:textId="0670D8FA" w:rsidR="00205224" w:rsidRPr="0074058E" w:rsidRDefault="009214B9" w:rsidP="00F659ED">
      <w:pPr>
        <w:pStyle w:val="ListParagraph"/>
        <w:widowControl w:val="0"/>
        <w:numPr>
          <w:ilvl w:val="0"/>
          <w:numId w:val="12"/>
        </w:numPr>
        <w:spacing w:after="160"/>
        <w:ind w:left="1134" w:hanging="425"/>
        <w:jc w:val="both"/>
      </w:pPr>
      <w:r w:rsidRPr="0074058E">
        <w:t>Recalculation of the financial implications using the revised olaparib price and mean treatment duration.</w:t>
      </w:r>
    </w:p>
    <w:p w14:paraId="07EC6BFC" w14:textId="2294F53E" w:rsidR="009214B9" w:rsidRPr="0074058E" w:rsidRDefault="00205224" w:rsidP="00017E19">
      <w:pPr>
        <w:pStyle w:val="3-BodyText"/>
        <w:spacing w:after="240"/>
      </w:pPr>
      <w:r w:rsidRPr="0074058E">
        <w:fldChar w:fldCharType="begin" w:fldLock="1"/>
      </w:r>
      <w:r w:rsidRPr="0074058E">
        <w:instrText xml:space="preserve"> REF _Ref116899759 \h  \* MERGEFORMAT </w:instrText>
      </w:r>
      <w:r w:rsidRPr="0074058E">
        <w:fldChar w:fldCharType="separate"/>
      </w:r>
      <w:r w:rsidR="00ED2FAA" w:rsidRPr="00ED2FAA">
        <w:t>Table 2</w:t>
      </w:r>
      <w:r w:rsidRPr="0074058E">
        <w:fldChar w:fldCharType="end"/>
      </w:r>
      <w:r w:rsidRPr="0074058E">
        <w:t xml:space="preserve"> summarises the key matters from the previous PBAC consideration and how the resubmission addressed those concerns.</w:t>
      </w:r>
      <w:bookmarkStart w:id="5" w:name="_Ref116660538"/>
    </w:p>
    <w:p w14:paraId="45D3C7F8" w14:textId="2507A8BB" w:rsidR="00955D67" w:rsidRPr="0074058E" w:rsidRDefault="00955D67" w:rsidP="00955D67">
      <w:pPr>
        <w:pStyle w:val="Caption"/>
        <w:spacing w:after="0"/>
        <w:rPr>
          <w:i w:val="0"/>
          <w:szCs w:val="20"/>
        </w:rPr>
      </w:pPr>
      <w:bookmarkStart w:id="6" w:name="_Ref116899759"/>
      <w:r w:rsidRPr="0074058E">
        <w:rPr>
          <w:rFonts w:ascii="Arial Narrow" w:hAnsi="Arial Narrow"/>
          <w:b/>
          <w:bCs/>
          <w:i w:val="0"/>
          <w:iCs w:val="0"/>
          <w:sz w:val="20"/>
          <w:szCs w:val="20"/>
        </w:rPr>
        <w:t xml:space="preserve">Table </w:t>
      </w:r>
      <w:r w:rsidRPr="0074058E">
        <w:rPr>
          <w:rFonts w:ascii="Arial Narrow" w:hAnsi="Arial Narrow"/>
          <w:b/>
          <w:bCs/>
          <w:i w:val="0"/>
          <w:iCs w:val="0"/>
          <w:sz w:val="20"/>
          <w:szCs w:val="20"/>
        </w:rPr>
        <w:fldChar w:fldCharType="begin" w:fldLock="1"/>
      </w:r>
      <w:r w:rsidRPr="0074058E">
        <w:rPr>
          <w:rFonts w:ascii="Arial Narrow" w:hAnsi="Arial Narrow"/>
          <w:b/>
          <w:bCs/>
          <w:i w:val="0"/>
          <w:iCs w:val="0"/>
          <w:sz w:val="20"/>
          <w:szCs w:val="20"/>
        </w:rPr>
        <w:instrText xml:space="preserve"> SEQ Table \* ARABIC </w:instrText>
      </w:r>
      <w:r w:rsidRPr="0074058E">
        <w:rPr>
          <w:rFonts w:ascii="Arial Narrow" w:hAnsi="Arial Narrow"/>
          <w:b/>
          <w:bCs/>
          <w:i w:val="0"/>
          <w:iCs w:val="0"/>
          <w:sz w:val="20"/>
          <w:szCs w:val="20"/>
        </w:rPr>
        <w:fldChar w:fldCharType="separate"/>
      </w:r>
      <w:r w:rsidR="00ED2FAA">
        <w:rPr>
          <w:rFonts w:ascii="Arial Narrow" w:hAnsi="Arial Narrow"/>
          <w:b/>
          <w:bCs/>
          <w:i w:val="0"/>
          <w:iCs w:val="0"/>
          <w:noProof/>
          <w:sz w:val="20"/>
          <w:szCs w:val="20"/>
        </w:rPr>
        <w:t>2</w:t>
      </w:r>
      <w:r w:rsidRPr="0074058E">
        <w:rPr>
          <w:rFonts w:ascii="Arial Narrow" w:hAnsi="Arial Narrow"/>
          <w:b/>
          <w:bCs/>
          <w:i w:val="0"/>
          <w:iCs w:val="0"/>
          <w:sz w:val="20"/>
          <w:szCs w:val="20"/>
        </w:rPr>
        <w:fldChar w:fldCharType="end"/>
      </w:r>
      <w:bookmarkEnd w:id="5"/>
      <w:bookmarkEnd w:id="6"/>
      <w:r w:rsidRPr="0074058E">
        <w:rPr>
          <w:rFonts w:ascii="Arial Narrow" w:hAnsi="Arial Narrow"/>
          <w:b/>
          <w:bCs/>
          <w:i w:val="0"/>
          <w:iCs w:val="0"/>
          <w:sz w:val="20"/>
          <w:szCs w:val="20"/>
        </w:rPr>
        <w:t xml:space="preserve">: Summary of key matters to </w:t>
      </w:r>
      <w:proofErr w:type="gramStart"/>
      <w:r w:rsidRPr="0074058E">
        <w:rPr>
          <w:rFonts w:ascii="Arial Narrow" w:hAnsi="Arial Narrow"/>
          <w:b/>
          <w:bCs/>
          <w:i w:val="0"/>
          <w:iCs w:val="0"/>
          <w:sz w:val="20"/>
          <w:szCs w:val="20"/>
        </w:rPr>
        <w:t>be addressed</w:t>
      </w:r>
      <w:proofErr w:type="gramEnd"/>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3373"/>
        <w:gridCol w:w="1628"/>
      </w:tblGrid>
      <w:tr w:rsidR="00955D67" w:rsidRPr="0074058E" w14:paraId="65EE9DCE" w14:textId="77777777" w:rsidTr="00E571FA">
        <w:trPr>
          <w:cantSplit/>
          <w:tblHeader/>
        </w:trPr>
        <w:tc>
          <w:tcPr>
            <w:tcW w:w="2220" w:type="pct"/>
            <w:vAlign w:val="center"/>
          </w:tcPr>
          <w:p w14:paraId="68AB3D06" w14:textId="77777777" w:rsidR="00955D67" w:rsidRPr="0074058E" w:rsidRDefault="00955D67" w:rsidP="00345E18">
            <w:pPr>
              <w:pStyle w:val="In-tableHeading"/>
              <w:keepNext w:val="0"/>
              <w:widowControl w:val="0"/>
              <w:rPr>
                <w:lang w:val="en-AU"/>
              </w:rPr>
            </w:pPr>
            <w:r w:rsidRPr="0074058E">
              <w:rPr>
                <w:lang w:val="en-AU"/>
              </w:rPr>
              <w:t>Matter of concern</w:t>
            </w:r>
          </w:p>
        </w:tc>
        <w:tc>
          <w:tcPr>
            <w:tcW w:w="1875" w:type="pct"/>
            <w:vAlign w:val="center"/>
          </w:tcPr>
          <w:p w14:paraId="0C50F769" w14:textId="77777777" w:rsidR="00955D67" w:rsidRPr="0074058E" w:rsidRDefault="00955D67" w:rsidP="00345E18">
            <w:pPr>
              <w:pStyle w:val="In-tableHeading"/>
              <w:keepNext w:val="0"/>
              <w:widowControl w:val="0"/>
              <w:rPr>
                <w:lang w:val="en-AU"/>
              </w:rPr>
            </w:pPr>
            <w:r w:rsidRPr="0074058E">
              <w:rPr>
                <w:lang w:val="en-AU"/>
              </w:rPr>
              <w:t>Response</w:t>
            </w:r>
          </w:p>
        </w:tc>
        <w:tc>
          <w:tcPr>
            <w:tcW w:w="905" w:type="pct"/>
            <w:vAlign w:val="center"/>
          </w:tcPr>
          <w:p w14:paraId="19301DA9" w14:textId="77777777" w:rsidR="00955D67" w:rsidRPr="0074058E" w:rsidRDefault="00955D67" w:rsidP="00345E18">
            <w:pPr>
              <w:pStyle w:val="In-tableHeading"/>
              <w:keepNext w:val="0"/>
              <w:widowControl w:val="0"/>
              <w:rPr>
                <w:lang w:val="en-AU"/>
              </w:rPr>
            </w:pPr>
            <w:r w:rsidRPr="0074058E">
              <w:rPr>
                <w:lang w:val="en-AU"/>
              </w:rPr>
              <w:t>Addressed?</w:t>
            </w:r>
          </w:p>
        </w:tc>
      </w:tr>
      <w:tr w:rsidR="00955D67" w:rsidRPr="0074058E" w14:paraId="4FE515A0" w14:textId="77777777" w:rsidTr="00957E75">
        <w:trPr>
          <w:cantSplit/>
        </w:trPr>
        <w:tc>
          <w:tcPr>
            <w:tcW w:w="5000" w:type="pct"/>
            <w:gridSpan w:val="3"/>
            <w:vAlign w:val="center"/>
          </w:tcPr>
          <w:p w14:paraId="0E28D7A2" w14:textId="77777777" w:rsidR="00955D67" w:rsidRPr="0074058E" w:rsidRDefault="00955D67" w:rsidP="00345E18">
            <w:pPr>
              <w:pStyle w:val="In-tableHeading"/>
              <w:keepNext w:val="0"/>
              <w:widowControl w:val="0"/>
              <w:rPr>
                <w:lang w:val="en-AU"/>
              </w:rPr>
            </w:pPr>
            <w:r w:rsidRPr="0074058E">
              <w:rPr>
                <w:lang w:val="en-AU"/>
              </w:rPr>
              <w:t>Economic model</w:t>
            </w:r>
          </w:p>
        </w:tc>
      </w:tr>
      <w:tr w:rsidR="009214B9" w:rsidRPr="0074058E" w14:paraId="4781EC4B" w14:textId="77777777" w:rsidTr="00957E75">
        <w:trPr>
          <w:cantSplit/>
        </w:trPr>
        <w:tc>
          <w:tcPr>
            <w:tcW w:w="2220" w:type="pct"/>
            <w:vAlign w:val="center"/>
          </w:tcPr>
          <w:p w14:paraId="4B654E1E" w14:textId="77777777" w:rsidR="009214B9" w:rsidRPr="0074058E" w:rsidRDefault="009214B9" w:rsidP="00474E79">
            <w:pPr>
              <w:pStyle w:val="TableText"/>
              <w:keepNext w:val="0"/>
              <w:widowControl w:val="0"/>
              <w:rPr>
                <w:u w:val="single"/>
              </w:rPr>
            </w:pPr>
            <w:r w:rsidRPr="0074058E">
              <w:rPr>
                <w:u w:val="single"/>
              </w:rPr>
              <w:t>Cure fraction</w:t>
            </w:r>
          </w:p>
          <w:p w14:paraId="4BB29E2E" w14:textId="463F78C4" w:rsidR="009214B9" w:rsidRPr="0074058E" w:rsidRDefault="009214B9" w:rsidP="00474E79">
            <w:pPr>
              <w:pStyle w:val="TableText"/>
              <w:keepNext w:val="0"/>
              <w:widowControl w:val="0"/>
            </w:pPr>
            <w:r w:rsidRPr="0074058E">
              <w:t xml:space="preserve">The PBAC considered the cure fraction used for olaparib plus bevacizumab in the previous submission (38.6%) appeared substantially and implausibly overestimated. The PBAC noted that the chosen cure fractions were inconsistent with those estimated for olaparib monotherapy in the </w:t>
            </w:r>
            <w:r w:rsidRPr="0074058E">
              <w:rPr>
                <w:i/>
                <w:iCs/>
              </w:rPr>
              <w:t>BRCA</w:t>
            </w:r>
            <w:r w:rsidRPr="0074058E">
              <w:t>m model using data from SOLO1 (paragraph 7.13, olaparib</w:t>
            </w:r>
            <w:r w:rsidR="006E635E" w:rsidRPr="0074058E">
              <w:t xml:space="preserve"> PSD</w:t>
            </w:r>
            <w:r w:rsidRPr="0074058E">
              <w:t>, July 2022 PBAC meeting).</w:t>
            </w:r>
          </w:p>
          <w:p w14:paraId="1E6B198A" w14:textId="65126CC5" w:rsidR="009214B9" w:rsidRPr="0074058E" w:rsidRDefault="009214B9" w:rsidP="00474E79">
            <w:pPr>
              <w:pStyle w:val="TableText"/>
              <w:keepNext w:val="0"/>
              <w:widowControl w:val="0"/>
            </w:pPr>
            <w:r w:rsidRPr="0074058E">
              <w:t xml:space="preserve">The PBAC considered it appropriate to use cure fractions consistent with those accepted for the olaparib </w:t>
            </w:r>
            <w:r w:rsidRPr="0074058E">
              <w:rPr>
                <w:i/>
                <w:iCs/>
              </w:rPr>
              <w:t>BRCA</w:t>
            </w:r>
            <w:r w:rsidRPr="0074058E">
              <w:t>m model (no more than 25.45% for olaparib plus bevacizumab (paragraph 7.18, olaparib</w:t>
            </w:r>
            <w:r w:rsidR="006E635E" w:rsidRPr="0074058E">
              <w:t xml:space="preserve"> PSD</w:t>
            </w:r>
            <w:r w:rsidRPr="0074058E">
              <w:t>, July 2022 PBAC meeting).</w:t>
            </w:r>
          </w:p>
        </w:tc>
        <w:tc>
          <w:tcPr>
            <w:tcW w:w="1875" w:type="pct"/>
            <w:vAlign w:val="center"/>
          </w:tcPr>
          <w:p w14:paraId="0DBF79E9" w14:textId="77777777" w:rsidR="009214B9" w:rsidRPr="0074058E" w:rsidRDefault="009214B9" w:rsidP="00474E79">
            <w:pPr>
              <w:pStyle w:val="TableText"/>
              <w:keepNext w:val="0"/>
              <w:widowControl w:val="0"/>
            </w:pPr>
            <w:r w:rsidRPr="0074058E">
              <w:t>The resubmission applied a cure fraction of 30%, based on comparative rates from the PAOLA-1 trial DCO3 data. The resubmission (p16) stated that a cure fraction of 30% for olaparib plus bevacizumab more accurately reflected the PAOLA-1 DCO3 data.</w:t>
            </w:r>
          </w:p>
          <w:p w14:paraId="05B48AA8" w14:textId="77777777" w:rsidR="009214B9" w:rsidRPr="0074058E" w:rsidRDefault="009214B9" w:rsidP="00474E79">
            <w:pPr>
              <w:pStyle w:val="TableText"/>
              <w:keepNext w:val="0"/>
              <w:widowControl w:val="0"/>
            </w:pPr>
            <w:r w:rsidRPr="0074058E">
              <w:t>The cure fraction used for bevacizumab monotherapy remained at 6.6%, as in the previous submission.</w:t>
            </w:r>
          </w:p>
        </w:tc>
        <w:tc>
          <w:tcPr>
            <w:tcW w:w="905" w:type="pct"/>
            <w:vAlign w:val="center"/>
          </w:tcPr>
          <w:p w14:paraId="7A380C8B" w14:textId="50AD9534" w:rsidR="009214B9" w:rsidRPr="0074058E" w:rsidRDefault="009214B9" w:rsidP="00474E79">
            <w:pPr>
              <w:pStyle w:val="TableText"/>
              <w:keepNext w:val="0"/>
              <w:widowControl w:val="0"/>
              <w:rPr>
                <w:iCs/>
              </w:rPr>
            </w:pPr>
            <w:r w:rsidRPr="0074058E">
              <w:rPr>
                <w:iCs/>
              </w:rPr>
              <w:t>Not addressed</w:t>
            </w:r>
            <w:r w:rsidR="00C64FCF" w:rsidRPr="0074058E">
              <w:rPr>
                <w:iCs/>
              </w:rPr>
              <w:t xml:space="preserve"> as per PBAC advice</w:t>
            </w:r>
            <w:r w:rsidRPr="0074058E">
              <w:rPr>
                <w:iCs/>
              </w:rPr>
              <w:t>.</w:t>
            </w:r>
          </w:p>
          <w:p w14:paraId="53463591" w14:textId="7E740D46" w:rsidR="009214B9" w:rsidRPr="0074058E" w:rsidRDefault="00C64FCF" w:rsidP="00474E79">
            <w:pPr>
              <w:pStyle w:val="TableText"/>
              <w:keepNext w:val="0"/>
              <w:widowControl w:val="0"/>
              <w:rPr>
                <w:i/>
                <w:iCs/>
              </w:rPr>
            </w:pPr>
            <w:r w:rsidRPr="0074058E">
              <w:rPr>
                <w:iCs/>
              </w:rPr>
              <w:t xml:space="preserve">Proposed </w:t>
            </w:r>
            <w:r w:rsidR="009214B9" w:rsidRPr="0074058E">
              <w:rPr>
                <w:iCs/>
              </w:rPr>
              <w:t>cure fraction for olaparib plus bevacizumab</w:t>
            </w:r>
            <w:r w:rsidR="00820F19" w:rsidRPr="0074058E">
              <w:rPr>
                <w:iCs/>
              </w:rPr>
              <w:t xml:space="preserve"> (25.45%) </w:t>
            </w:r>
            <w:proofErr w:type="gramStart"/>
            <w:r w:rsidR="00820F19" w:rsidRPr="0074058E">
              <w:rPr>
                <w:iCs/>
              </w:rPr>
              <w:t>was</w:t>
            </w:r>
            <w:r w:rsidR="009214B9" w:rsidRPr="0074058E">
              <w:rPr>
                <w:iCs/>
              </w:rPr>
              <w:t xml:space="preserve"> not used</w:t>
            </w:r>
            <w:proofErr w:type="gramEnd"/>
            <w:r w:rsidR="009214B9" w:rsidRPr="0074058E">
              <w:rPr>
                <w:iCs/>
              </w:rPr>
              <w:t>.</w:t>
            </w:r>
          </w:p>
        </w:tc>
      </w:tr>
      <w:tr w:rsidR="00D21D90" w:rsidRPr="0074058E" w14:paraId="4500C422" w14:textId="77777777" w:rsidTr="00957E75">
        <w:trPr>
          <w:cantSplit/>
        </w:trPr>
        <w:tc>
          <w:tcPr>
            <w:tcW w:w="2220" w:type="pct"/>
            <w:vAlign w:val="center"/>
          </w:tcPr>
          <w:p w14:paraId="5DA728AD" w14:textId="742ED1B2" w:rsidR="00D21D90" w:rsidRPr="0074058E" w:rsidRDefault="00D21D90" w:rsidP="00225E2F">
            <w:pPr>
              <w:pStyle w:val="TableText"/>
              <w:keepNext w:val="0"/>
              <w:widowControl w:val="0"/>
              <w:rPr>
                <w:u w:val="single"/>
              </w:rPr>
            </w:pPr>
            <w:r w:rsidRPr="0074058E">
              <w:rPr>
                <w:u w:val="single"/>
              </w:rPr>
              <w:t>PFS extrapolations</w:t>
            </w:r>
          </w:p>
          <w:p w14:paraId="7CFC9774" w14:textId="343E63B8" w:rsidR="00D21D90" w:rsidRPr="0074058E" w:rsidRDefault="00D21D90" w:rsidP="00225E2F">
            <w:pPr>
              <w:pStyle w:val="TableText"/>
              <w:keepNext w:val="0"/>
              <w:widowControl w:val="0"/>
              <w:rPr>
                <w:iCs/>
              </w:rPr>
            </w:pPr>
            <w:r w:rsidRPr="0074058E">
              <w:rPr>
                <w:iCs/>
              </w:rPr>
              <w:t xml:space="preserve">The PBAC considered that the submission’s use of </w:t>
            </w:r>
            <w:r w:rsidRPr="0074058E">
              <w:t xml:space="preserve">loglogistic </w:t>
            </w:r>
            <w:r w:rsidRPr="0074058E">
              <w:rPr>
                <w:iCs/>
              </w:rPr>
              <w:t xml:space="preserve">extrapolation for bevacizumab monotherapy PFS added uncertainty to the analysis </w:t>
            </w:r>
            <w:r w:rsidRPr="0074058E">
              <w:t>(paragraph 7.13, olaparib</w:t>
            </w:r>
            <w:r w:rsidR="006E635E" w:rsidRPr="0074058E">
              <w:t xml:space="preserve"> PSD</w:t>
            </w:r>
            <w:r w:rsidRPr="0074058E">
              <w:t>, July 2022 PBAC meeting)</w:t>
            </w:r>
            <w:r w:rsidRPr="0074058E">
              <w:rPr>
                <w:iCs/>
              </w:rPr>
              <w:t xml:space="preserve">. </w:t>
            </w:r>
          </w:p>
          <w:p w14:paraId="38587FAA" w14:textId="15FB8768" w:rsidR="00D21D90" w:rsidRPr="0074058E" w:rsidRDefault="00D21D90" w:rsidP="00225E2F">
            <w:pPr>
              <w:pStyle w:val="TableText"/>
              <w:keepNext w:val="0"/>
              <w:widowControl w:val="0"/>
            </w:pPr>
            <w:r w:rsidRPr="0074058E">
              <w:t xml:space="preserve">PAOLA-1 DCO2 data </w:t>
            </w:r>
            <w:proofErr w:type="gramStart"/>
            <w:r w:rsidRPr="0074058E">
              <w:t>was presented</w:t>
            </w:r>
            <w:proofErr w:type="gramEnd"/>
            <w:r w:rsidRPr="0074058E">
              <w:t xml:space="preserve"> in the previous submission. The PBAC considered that a resubmission should </w:t>
            </w:r>
            <w:proofErr w:type="gramStart"/>
            <w:r w:rsidRPr="0074058E">
              <w:t>be supported</w:t>
            </w:r>
            <w:proofErr w:type="gramEnd"/>
            <w:r w:rsidRPr="0074058E">
              <w:t xml:space="preserve"> by more mature PFS data from DCO3 (expected to be available in Q3 2022) to validate the modelled PFS curves (paragraphs 7.8 and 7.18, olaparib</w:t>
            </w:r>
            <w:r w:rsidR="006E635E" w:rsidRPr="0074058E">
              <w:t xml:space="preserve"> PSD</w:t>
            </w:r>
            <w:r w:rsidRPr="0074058E">
              <w:t>, July 2022 PBAC meeting).</w:t>
            </w:r>
          </w:p>
        </w:tc>
        <w:tc>
          <w:tcPr>
            <w:tcW w:w="1875" w:type="pct"/>
            <w:vAlign w:val="center"/>
          </w:tcPr>
          <w:p w14:paraId="1AC0230B" w14:textId="762F57E7" w:rsidR="00D21D90" w:rsidRPr="0074058E" w:rsidRDefault="00D21D90" w:rsidP="00225E2F">
            <w:pPr>
              <w:pStyle w:val="TableText"/>
              <w:keepNext w:val="0"/>
              <w:widowControl w:val="0"/>
            </w:pPr>
            <w:r w:rsidRPr="0074058E">
              <w:t xml:space="preserve">The resubmission presented DCO3 data. However DC03 data </w:t>
            </w:r>
            <w:proofErr w:type="gramStart"/>
            <w:r w:rsidRPr="0074058E">
              <w:t>was not used</w:t>
            </w:r>
            <w:proofErr w:type="gramEnd"/>
            <w:r w:rsidRPr="0074058E">
              <w:t xml:space="preserve"> directly in economic modelling. </w:t>
            </w:r>
          </w:p>
          <w:p w14:paraId="114C353A" w14:textId="103165EE" w:rsidR="00A6487D" w:rsidRPr="0074058E" w:rsidRDefault="00A6487D" w:rsidP="00225E2F">
            <w:pPr>
              <w:pStyle w:val="TableText"/>
              <w:keepNext w:val="0"/>
              <w:widowControl w:val="0"/>
            </w:pPr>
            <w:r w:rsidRPr="0074058E">
              <w:t xml:space="preserve">The submission maintained </w:t>
            </w:r>
            <w:r w:rsidR="00A80284" w:rsidRPr="0074058E">
              <w:t xml:space="preserve">the </w:t>
            </w:r>
            <w:r w:rsidRPr="0074058E">
              <w:t>use of loglogistic extrapolations in both arms.</w:t>
            </w:r>
          </w:p>
          <w:p w14:paraId="2FB8D886" w14:textId="0413BBF9" w:rsidR="00A6487D" w:rsidRPr="0074058E" w:rsidRDefault="00A6487D" w:rsidP="00225E2F">
            <w:pPr>
              <w:pStyle w:val="TableText"/>
              <w:keepNext w:val="0"/>
              <w:widowControl w:val="0"/>
              <w:rPr>
                <w:iCs/>
              </w:rPr>
            </w:pPr>
            <w:r w:rsidRPr="0074058E">
              <w:rPr>
                <w:iCs/>
              </w:rPr>
              <w:t xml:space="preserve">The </w:t>
            </w:r>
            <w:r w:rsidR="001E1039" w:rsidRPr="0074058E">
              <w:rPr>
                <w:iCs/>
              </w:rPr>
              <w:t>re</w:t>
            </w:r>
            <w:r w:rsidRPr="0074058E">
              <w:rPr>
                <w:iCs/>
              </w:rPr>
              <w:t>submission</w:t>
            </w:r>
            <w:r w:rsidR="001E1039" w:rsidRPr="0074058E">
              <w:rPr>
                <w:iCs/>
              </w:rPr>
              <w:t xml:space="preserve"> </w:t>
            </w:r>
            <w:r w:rsidRPr="0074058E">
              <w:rPr>
                <w:iCs/>
              </w:rPr>
              <w:t>applied KM data up to the end of study follow-up</w:t>
            </w:r>
            <w:r w:rsidR="001E1039" w:rsidRPr="0074058E">
              <w:rPr>
                <w:iCs/>
              </w:rPr>
              <w:t>. The previous submission</w:t>
            </w:r>
            <w:r w:rsidRPr="0074058E">
              <w:rPr>
                <w:iCs/>
              </w:rPr>
              <w:t xml:space="preserve"> </w:t>
            </w:r>
            <w:r w:rsidR="001E1039" w:rsidRPr="0074058E">
              <w:rPr>
                <w:iCs/>
              </w:rPr>
              <w:t>used the extrapolation f</w:t>
            </w:r>
            <w:r w:rsidRPr="0074058E">
              <w:rPr>
                <w:iCs/>
              </w:rPr>
              <w:t xml:space="preserve">unctions </w:t>
            </w:r>
            <w:r w:rsidR="001E1039" w:rsidRPr="0074058E">
              <w:rPr>
                <w:iCs/>
              </w:rPr>
              <w:t>for the whole model duration</w:t>
            </w:r>
            <w:r w:rsidRPr="0074058E">
              <w:rPr>
                <w:iCs/>
              </w:rPr>
              <w:t xml:space="preserve">. This change </w:t>
            </w:r>
            <w:proofErr w:type="gramStart"/>
            <w:r w:rsidRPr="0074058E">
              <w:rPr>
                <w:iCs/>
              </w:rPr>
              <w:t>was not requested</w:t>
            </w:r>
            <w:proofErr w:type="gramEnd"/>
            <w:r w:rsidRPr="0074058E">
              <w:rPr>
                <w:iCs/>
              </w:rPr>
              <w:t xml:space="preserve"> by the PBAC.</w:t>
            </w:r>
          </w:p>
          <w:p w14:paraId="362664B1" w14:textId="1AB13161" w:rsidR="00A6487D" w:rsidRPr="0074058E" w:rsidRDefault="00A6487D" w:rsidP="00225E2F">
            <w:pPr>
              <w:pStyle w:val="TableText"/>
              <w:keepNext w:val="0"/>
              <w:widowControl w:val="0"/>
            </w:pPr>
          </w:p>
        </w:tc>
        <w:tc>
          <w:tcPr>
            <w:tcW w:w="905" w:type="pct"/>
            <w:vAlign w:val="center"/>
          </w:tcPr>
          <w:p w14:paraId="04302993" w14:textId="58854E37" w:rsidR="00D21D90" w:rsidRPr="0074058E" w:rsidRDefault="00D21D90" w:rsidP="00225E2F">
            <w:pPr>
              <w:pStyle w:val="TableText"/>
              <w:keepNext w:val="0"/>
              <w:widowControl w:val="0"/>
              <w:rPr>
                <w:iCs/>
              </w:rPr>
            </w:pPr>
          </w:p>
          <w:p w14:paraId="79F19C29" w14:textId="570D2E6D" w:rsidR="00957FBB" w:rsidRPr="0074058E" w:rsidRDefault="00957FBB" w:rsidP="00225E2F">
            <w:pPr>
              <w:pStyle w:val="TableText"/>
              <w:keepNext w:val="0"/>
              <w:widowControl w:val="0"/>
              <w:rPr>
                <w:i/>
                <w:iCs/>
              </w:rPr>
            </w:pPr>
            <w:r w:rsidRPr="0074058E">
              <w:rPr>
                <w:iCs/>
              </w:rPr>
              <w:t>PBAC advice required.</w:t>
            </w:r>
          </w:p>
        </w:tc>
      </w:tr>
      <w:tr w:rsidR="00D21D90" w:rsidRPr="0074058E" w14:paraId="690E3EF7" w14:textId="77777777" w:rsidTr="00957E75">
        <w:trPr>
          <w:cantSplit/>
        </w:trPr>
        <w:tc>
          <w:tcPr>
            <w:tcW w:w="2220" w:type="pct"/>
            <w:vAlign w:val="center"/>
          </w:tcPr>
          <w:p w14:paraId="26363BE0" w14:textId="65D5144E" w:rsidR="00D21D90" w:rsidRPr="0074058E" w:rsidRDefault="00D21D90" w:rsidP="00D91E48">
            <w:pPr>
              <w:pStyle w:val="TableText"/>
              <w:keepNext w:val="0"/>
              <w:widowControl w:val="0"/>
              <w:rPr>
                <w:u w:val="single"/>
              </w:rPr>
            </w:pPr>
            <w:r w:rsidRPr="0074058E">
              <w:rPr>
                <w:u w:val="single"/>
              </w:rPr>
              <w:t>Post-progression utility</w:t>
            </w:r>
          </w:p>
          <w:p w14:paraId="1800AF71" w14:textId="4151813D" w:rsidR="00D21D90" w:rsidRPr="0074058E" w:rsidRDefault="00D21D90" w:rsidP="00D91E48">
            <w:pPr>
              <w:pStyle w:val="TableText"/>
              <w:keepNext w:val="0"/>
              <w:widowControl w:val="0"/>
            </w:pPr>
            <w:r w:rsidRPr="0074058E">
              <w:t xml:space="preserve">The model presented in the previous submission used a post-progression utility value of 0.544 (average literature value). The PBAC proposed that this </w:t>
            </w:r>
            <w:proofErr w:type="gramStart"/>
            <w:r w:rsidRPr="0074058E">
              <w:t>be revised</w:t>
            </w:r>
            <w:proofErr w:type="gramEnd"/>
            <w:r w:rsidRPr="0074058E">
              <w:t xml:space="preserve"> to a post-progression utility value of 0.557, consistent with olaparib </w:t>
            </w:r>
            <w:r w:rsidRPr="0074058E">
              <w:rPr>
                <w:i/>
              </w:rPr>
              <w:t>BRCA</w:t>
            </w:r>
            <w:r w:rsidRPr="0074058E">
              <w:t>m model (paragraph 7.18, olaparib</w:t>
            </w:r>
            <w:r w:rsidR="006E635E" w:rsidRPr="0074058E">
              <w:t xml:space="preserve"> PSD</w:t>
            </w:r>
            <w:r w:rsidRPr="0074058E">
              <w:t>, July 2022 PBAC meeting).</w:t>
            </w:r>
          </w:p>
        </w:tc>
        <w:tc>
          <w:tcPr>
            <w:tcW w:w="1875" w:type="pct"/>
            <w:vAlign w:val="center"/>
          </w:tcPr>
          <w:p w14:paraId="6D574602" w14:textId="77777777" w:rsidR="00D21D90" w:rsidRPr="0074058E" w:rsidRDefault="00D21D90" w:rsidP="00D91E48">
            <w:pPr>
              <w:pStyle w:val="TableText"/>
              <w:keepNext w:val="0"/>
              <w:widowControl w:val="0"/>
            </w:pPr>
            <w:r w:rsidRPr="0074058E">
              <w:t>The resubmission model used a post-progression utility value of 0.557.</w:t>
            </w:r>
          </w:p>
        </w:tc>
        <w:tc>
          <w:tcPr>
            <w:tcW w:w="905" w:type="pct"/>
            <w:vAlign w:val="center"/>
          </w:tcPr>
          <w:p w14:paraId="4825B143" w14:textId="77777777" w:rsidR="00D21D90" w:rsidRPr="0074058E" w:rsidRDefault="00D21D90" w:rsidP="00D91E48">
            <w:pPr>
              <w:pStyle w:val="TableText"/>
              <w:keepNext w:val="0"/>
              <w:widowControl w:val="0"/>
              <w:rPr>
                <w:iCs/>
              </w:rPr>
            </w:pPr>
            <w:r w:rsidRPr="0074058E">
              <w:rPr>
                <w:iCs/>
              </w:rPr>
              <w:t>Addressed</w:t>
            </w:r>
          </w:p>
        </w:tc>
      </w:tr>
      <w:tr w:rsidR="00D21D90" w:rsidRPr="0074058E" w14:paraId="1A4B9665" w14:textId="77777777" w:rsidTr="00957E75">
        <w:trPr>
          <w:cantSplit/>
        </w:trPr>
        <w:tc>
          <w:tcPr>
            <w:tcW w:w="2220" w:type="pct"/>
            <w:vAlign w:val="center"/>
          </w:tcPr>
          <w:p w14:paraId="76522187" w14:textId="037FDB57" w:rsidR="00D21D90" w:rsidRPr="0074058E" w:rsidRDefault="00D21D90" w:rsidP="00010973">
            <w:pPr>
              <w:pStyle w:val="TableText"/>
              <w:keepNext w:val="0"/>
              <w:widowControl w:val="0"/>
              <w:rPr>
                <w:u w:val="single"/>
              </w:rPr>
            </w:pPr>
            <w:r w:rsidRPr="0074058E">
              <w:rPr>
                <w:i/>
                <w:iCs/>
                <w:u w:val="single"/>
              </w:rPr>
              <w:lastRenderedPageBreak/>
              <w:t>BRCA</w:t>
            </w:r>
            <w:r w:rsidRPr="0074058E">
              <w:rPr>
                <w:u w:val="single"/>
              </w:rPr>
              <w:t xml:space="preserve"> testing cost</w:t>
            </w:r>
          </w:p>
          <w:p w14:paraId="0D990443" w14:textId="378FCA60" w:rsidR="00D21D90" w:rsidRPr="0074058E" w:rsidRDefault="00D21D90" w:rsidP="00010973">
            <w:pPr>
              <w:pStyle w:val="TableText"/>
              <w:keepNext w:val="0"/>
              <w:widowControl w:val="0"/>
            </w:pPr>
            <w:r w:rsidRPr="0074058E">
              <w:t xml:space="preserve">The PBAC proposed use of a </w:t>
            </w:r>
            <w:r w:rsidRPr="0074058E">
              <w:rPr>
                <w:i/>
              </w:rPr>
              <w:t>BRCA</w:t>
            </w:r>
            <w:r w:rsidRPr="0074058E">
              <w:t xml:space="preserve"> testing cost of $1,000 instead of $1,200 used in the previous submission (paragraph 7.18, olaparib </w:t>
            </w:r>
            <w:r w:rsidR="006E635E" w:rsidRPr="0074058E">
              <w:t>PSD</w:t>
            </w:r>
            <w:r w:rsidRPr="0074058E">
              <w:t>, July 2022 PBAC meeting).</w:t>
            </w:r>
          </w:p>
        </w:tc>
        <w:tc>
          <w:tcPr>
            <w:tcW w:w="1875" w:type="pct"/>
            <w:vAlign w:val="center"/>
          </w:tcPr>
          <w:p w14:paraId="424530D7" w14:textId="77777777" w:rsidR="00D21D90" w:rsidRPr="0074058E" w:rsidRDefault="00D21D90" w:rsidP="00010973">
            <w:pPr>
              <w:pStyle w:val="TableText"/>
              <w:keepNext w:val="0"/>
              <w:widowControl w:val="0"/>
            </w:pPr>
            <w:r w:rsidRPr="0074058E">
              <w:rPr>
                <w:i/>
              </w:rPr>
              <w:t>BRCA</w:t>
            </w:r>
            <w:r w:rsidRPr="0074058E">
              <w:t xml:space="preserve"> testing cost $1,000 used in resubmission for both economic model and financial estimates.</w:t>
            </w:r>
          </w:p>
        </w:tc>
        <w:tc>
          <w:tcPr>
            <w:tcW w:w="905" w:type="pct"/>
            <w:vAlign w:val="center"/>
          </w:tcPr>
          <w:p w14:paraId="736F9247" w14:textId="77777777" w:rsidR="00D21D90" w:rsidRPr="0074058E" w:rsidRDefault="00D21D90" w:rsidP="00010973">
            <w:pPr>
              <w:pStyle w:val="TableText"/>
              <w:keepNext w:val="0"/>
              <w:widowControl w:val="0"/>
              <w:rPr>
                <w:iCs/>
              </w:rPr>
            </w:pPr>
            <w:r w:rsidRPr="0074058E">
              <w:rPr>
                <w:iCs/>
              </w:rPr>
              <w:t>Addressed</w:t>
            </w:r>
          </w:p>
        </w:tc>
      </w:tr>
      <w:tr w:rsidR="00955D67" w:rsidRPr="0074058E" w14:paraId="22223174" w14:textId="77777777" w:rsidTr="00957E75">
        <w:trPr>
          <w:cantSplit/>
        </w:trPr>
        <w:tc>
          <w:tcPr>
            <w:tcW w:w="2220" w:type="pct"/>
            <w:vAlign w:val="center"/>
          </w:tcPr>
          <w:p w14:paraId="573DF82C" w14:textId="77777777" w:rsidR="00D21D90" w:rsidRPr="0074058E" w:rsidRDefault="00D21D90" w:rsidP="00345E18">
            <w:pPr>
              <w:pStyle w:val="TableText"/>
              <w:keepNext w:val="0"/>
              <w:widowControl w:val="0"/>
              <w:rPr>
                <w:u w:val="single"/>
              </w:rPr>
            </w:pPr>
            <w:r w:rsidRPr="0074058E">
              <w:rPr>
                <w:u w:val="single"/>
              </w:rPr>
              <w:t>Olaparib price</w:t>
            </w:r>
          </w:p>
          <w:p w14:paraId="227B88AC" w14:textId="407F0C71" w:rsidR="00955D67" w:rsidRPr="0074058E" w:rsidRDefault="00955D67" w:rsidP="00345E18">
            <w:pPr>
              <w:pStyle w:val="TableText"/>
              <w:keepNext w:val="0"/>
              <w:widowControl w:val="0"/>
            </w:pPr>
            <w:r w:rsidRPr="0074058E">
              <w:t xml:space="preserve">A lower price </w:t>
            </w:r>
            <w:proofErr w:type="gramStart"/>
            <w:r w:rsidRPr="0074058E">
              <w:t>was requested</w:t>
            </w:r>
            <w:proofErr w:type="gramEnd"/>
            <w:r w:rsidRPr="0074058E">
              <w:t xml:space="preserve"> to align with a maximum ICER of $50,000/QALY using inputs recommended by the PBAC as described below (paragraph 7.18, olaparib</w:t>
            </w:r>
            <w:r w:rsidR="006E635E" w:rsidRPr="0074058E">
              <w:t xml:space="preserve"> PSD</w:t>
            </w:r>
            <w:r w:rsidRPr="0074058E">
              <w:t>, July 2022 PBAC meeting).</w:t>
            </w:r>
          </w:p>
          <w:p w14:paraId="7836F763" w14:textId="77777777" w:rsidR="00955D67" w:rsidRPr="0074058E" w:rsidRDefault="00955D67" w:rsidP="00345E18">
            <w:pPr>
              <w:pStyle w:val="TableText"/>
              <w:keepNext w:val="0"/>
              <w:widowControl w:val="0"/>
            </w:pPr>
            <w:r w:rsidRPr="0074058E">
              <w:t xml:space="preserve">Price submitted (July 2022): </w:t>
            </w:r>
          </w:p>
          <w:p w14:paraId="6FBD870D" w14:textId="77777777" w:rsidR="00955D67" w:rsidRPr="0074058E" w:rsidRDefault="00955D67" w:rsidP="00345E18">
            <w:pPr>
              <w:pStyle w:val="TableText"/>
              <w:keepNext w:val="0"/>
              <w:widowControl w:val="0"/>
            </w:pPr>
            <w:r w:rsidRPr="0074058E">
              <w:t>AEMP published (per pack): $3,234.75</w:t>
            </w:r>
          </w:p>
          <w:p w14:paraId="54F2E1C0" w14:textId="55061D23" w:rsidR="00955D67" w:rsidRPr="0074058E" w:rsidRDefault="00955D67" w:rsidP="00345E18">
            <w:pPr>
              <w:pStyle w:val="TableText"/>
              <w:keepNext w:val="0"/>
              <w:widowControl w:val="0"/>
            </w:pPr>
            <w:r w:rsidRPr="0074058E">
              <w:t>AEMP effective (per pack): $</w:t>
            </w:r>
            <w:r w:rsidR="00ED35F2" w:rsidRPr="002326FB">
              <w:rPr>
                <w:color w:val="000000"/>
                <w:spacing w:val="180"/>
                <w:shd w:val="solid" w:color="000000" w:fill="000000"/>
                <w:fitText w:val="266" w:id="-1300508928"/>
                <w14:textFill>
                  <w14:solidFill>
                    <w14:srgbClr w14:val="000000">
                      <w14:alpha w14:val="100000"/>
                    </w14:srgbClr>
                  </w14:solidFill>
                </w14:textFill>
              </w:rPr>
              <w:t>|</w:t>
            </w:r>
            <w:r w:rsidR="00ED35F2" w:rsidRPr="002326FB">
              <w:rPr>
                <w:color w:val="000000"/>
                <w:shd w:val="solid" w:color="000000" w:fill="000000"/>
                <w:fitText w:val="266" w:id="-1300508928"/>
                <w14:textFill>
                  <w14:solidFill>
                    <w14:srgbClr w14:val="000000">
                      <w14:alpha w14:val="100000"/>
                    </w14:srgbClr>
                  </w14:solidFill>
                </w14:textFill>
              </w:rPr>
              <w:t>|</w:t>
            </w:r>
          </w:p>
          <w:p w14:paraId="04CB6F7A" w14:textId="77777777" w:rsidR="00955D67" w:rsidRPr="0074058E" w:rsidRDefault="00955D67" w:rsidP="00345E18">
            <w:pPr>
              <w:pStyle w:val="TableText"/>
              <w:keepNext w:val="0"/>
              <w:widowControl w:val="0"/>
            </w:pPr>
            <w:r w:rsidRPr="0074058E">
              <w:t>DPMQ published $6,630.72</w:t>
            </w:r>
          </w:p>
          <w:p w14:paraId="0B803DF1" w14:textId="61A62124" w:rsidR="00955D67" w:rsidRPr="0074058E" w:rsidRDefault="00955D67" w:rsidP="00345E18">
            <w:pPr>
              <w:pStyle w:val="TableText"/>
              <w:keepNext w:val="0"/>
              <w:widowControl w:val="0"/>
            </w:pPr>
            <w:r w:rsidRPr="0074058E">
              <w:t>DPMQ effective $</w:t>
            </w:r>
            <w:r w:rsidR="00ED35F2" w:rsidRPr="002326FB">
              <w:rPr>
                <w:color w:val="000000"/>
                <w:spacing w:val="191"/>
                <w:shd w:val="solid" w:color="000000" w:fill="000000"/>
                <w:fitText w:val="277" w:id="-1300508927"/>
                <w14:textFill>
                  <w14:solidFill>
                    <w14:srgbClr w14:val="000000">
                      <w14:alpha w14:val="100000"/>
                    </w14:srgbClr>
                  </w14:solidFill>
                </w14:textFill>
              </w:rPr>
              <w:t>|</w:t>
            </w:r>
            <w:r w:rsidR="00ED35F2" w:rsidRPr="002326FB">
              <w:rPr>
                <w:color w:val="000000"/>
                <w:spacing w:val="1"/>
                <w:shd w:val="solid" w:color="000000" w:fill="000000"/>
                <w:fitText w:val="277" w:id="-1300508927"/>
                <w14:textFill>
                  <w14:solidFill>
                    <w14:srgbClr w14:val="000000">
                      <w14:alpha w14:val="100000"/>
                    </w14:srgbClr>
                  </w14:solidFill>
                </w14:textFill>
              </w:rPr>
              <w:t>|</w:t>
            </w:r>
          </w:p>
        </w:tc>
        <w:tc>
          <w:tcPr>
            <w:tcW w:w="1875" w:type="pct"/>
            <w:vAlign w:val="center"/>
          </w:tcPr>
          <w:p w14:paraId="51D4F6E1" w14:textId="40F6261F" w:rsidR="00955D67" w:rsidRPr="0074058E" w:rsidRDefault="00955D67" w:rsidP="00345E18">
            <w:pPr>
              <w:pStyle w:val="TableText"/>
              <w:keepNext w:val="0"/>
              <w:widowControl w:val="0"/>
            </w:pPr>
            <w:r w:rsidRPr="0074058E">
              <w:t>The resubmission included a revised price (</w:t>
            </w:r>
            <w:r w:rsidR="00ED35F2" w:rsidRPr="00ED35F2">
              <w:rPr>
                <w:color w:val="000000"/>
                <w:spacing w:val="190"/>
                <w:shd w:val="solid" w:color="000000" w:fill="000000"/>
                <w:fitText w:val="276" w:id="-1300508926"/>
                <w14:textFill>
                  <w14:solidFill>
                    <w14:srgbClr w14:val="000000">
                      <w14:alpha w14:val="100000"/>
                    </w14:srgbClr>
                  </w14:solidFill>
                </w14:textFill>
              </w:rPr>
              <w:t>|</w:t>
            </w:r>
            <w:r w:rsidR="00ED35F2" w:rsidRPr="00ED35F2">
              <w:rPr>
                <w:color w:val="000000"/>
                <w:spacing w:val="1"/>
                <w:shd w:val="solid" w:color="000000" w:fill="000000"/>
                <w:fitText w:val="276" w:id="-1300508926"/>
                <w14:textFill>
                  <w14:solidFill>
                    <w14:srgbClr w14:val="000000">
                      <w14:alpha w14:val="100000"/>
                    </w14:srgbClr>
                  </w14:solidFill>
                </w14:textFill>
              </w:rPr>
              <w:t>|</w:t>
            </w:r>
            <w:r w:rsidRPr="0095157E">
              <w:t xml:space="preserve">% </w:t>
            </w:r>
            <w:r w:rsidRPr="0074058E">
              <w:t xml:space="preserve">reduction on the effective AEMP per pack compared to the previous submission). </w:t>
            </w:r>
          </w:p>
          <w:p w14:paraId="720FF5A5" w14:textId="77777777" w:rsidR="00955D67" w:rsidRPr="0074058E" w:rsidRDefault="00955D67" w:rsidP="00345E18">
            <w:pPr>
              <w:pStyle w:val="TableText"/>
              <w:keepNext w:val="0"/>
              <w:widowControl w:val="0"/>
            </w:pPr>
            <w:r w:rsidRPr="0074058E">
              <w:t>AEMP published (per pack): $3,234.75</w:t>
            </w:r>
          </w:p>
          <w:p w14:paraId="694FA7F6" w14:textId="6D93DF04" w:rsidR="00955D67" w:rsidRPr="0074058E" w:rsidRDefault="00955D67" w:rsidP="00345E18">
            <w:pPr>
              <w:pStyle w:val="TableText"/>
              <w:keepNext w:val="0"/>
              <w:widowControl w:val="0"/>
            </w:pPr>
            <w:r w:rsidRPr="0074058E">
              <w:t>AEMP effective (per pack): $</w:t>
            </w:r>
            <w:r w:rsidR="00ED35F2" w:rsidRPr="00ED35F2">
              <w:rPr>
                <w:color w:val="000000"/>
                <w:spacing w:val="180"/>
                <w:shd w:val="solid" w:color="000000" w:fill="000000"/>
                <w:fitText w:val="266" w:id="-1300508925"/>
                <w14:textFill>
                  <w14:solidFill>
                    <w14:srgbClr w14:val="000000">
                      <w14:alpha w14:val="100000"/>
                    </w14:srgbClr>
                  </w14:solidFill>
                </w14:textFill>
              </w:rPr>
              <w:t>|</w:t>
            </w:r>
            <w:r w:rsidR="00ED35F2" w:rsidRPr="00ED35F2">
              <w:rPr>
                <w:color w:val="000000"/>
                <w:spacing w:val="1"/>
                <w:shd w:val="solid" w:color="000000" w:fill="000000"/>
                <w:fitText w:val="266" w:id="-1300508925"/>
                <w14:textFill>
                  <w14:solidFill>
                    <w14:srgbClr w14:val="000000">
                      <w14:alpha w14:val="100000"/>
                    </w14:srgbClr>
                  </w14:solidFill>
                </w14:textFill>
              </w:rPr>
              <w:t>|</w:t>
            </w:r>
          </w:p>
          <w:p w14:paraId="2FEB6D4C" w14:textId="77777777" w:rsidR="00955D67" w:rsidRPr="0074058E" w:rsidRDefault="00955D67" w:rsidP="00345E18">
            <w:pPr>
              <w:pStyle w:val="TableText"/>
              <w:keepNext w:val="0"/>
              <w:widowControl w:val="0"/>
            </w:pPr>
            <w:r w:rsidRPr="0074058E">
              <w:t>DPMQ published $6,630.78</w:t>
            </w:r>
          </w:p>
          <w:p w14:paraId="75CCC9C8" w14:textId="669562F3" w:rsidR="00955D67" w:rsidRPr="0074058E" w:rsidRDefault="00955D67" w:rsidP="00345E18">
            <w:pPr>
              <w:pStyle w:val="TableText"/>
              <w:keepNext w:val="0"/>
              <w:widowControl w:val="0"/>
            </w:pPr>
            <w:r w:rsidRPr="0074058E">
              <w:t>DPMQ effective $</w:t>
            </w:r>
            <w:r w:rsidR="00ED35F2" w:rsidRPr="002326FB">
              <w:rPr>
                <w:color w:val="000000"/>
                <w:spacing w:val="191"/>
                <w:shd w:val="solid" w:color="000000" w:fill="000000"/>
                <w:fitText w:val="277" w:id="-1300508924"/>
                <w14:textFill>
                  <w14:solidFill>
                    <w14:srgbClr w14:val="000000">
                      <w14:alpha w14:val="100000"/>
                    </w14:srgbClr>
                  </w14:solidFill>
                </w14:textFill>
              </w:rPr>
              <w:t>|</w:t>
            </w:r>
            <w:r w:rsidR="00ED35F2" w:rsidRPr="002326FB">
              <w:rPr>
                <w:color w:val="000000"/>
                <w:spacing w:val="1"/>
                <w:shd w:val="solid" w:color="000000" w:fill="000000"/>
                <w:fitText w:val="277" w:id="-1300508924"/>
                <w14:textFill>
                  <w14:solidFill>
                    <w14:srgbClr w14:val="000000">
                      <w14:alpha w14:val="100000"/>
                    </w14:srgbClr>
                  </w14:solidFill>
                </w14:textFill>
              </w:rPr>
              <w:t>|</w:t>
            </w:r>
          </w:p>
        </w:tc>
        <w:tc>
          <w:tcPr>
            <w:tcW w:w="905" w:type="pct"/>
            <w:vAlign w:val="center"/>
          </w:tcPr>
          <w:p w14:paraId="4C66014E" w14:textId="77777777" w:rsidR="00955D67" w:rsidRPr="0074058E" w:rsidRDefault="00955D67" w:rsidP="00345E18">
            <w:pPr>
              <w:pStyle w:val="TableText"/>
              <w:keepNext w:val="0"/>
              <w:widowControl w:val="0"/>
              <w:rPr>
                <w:iCs/>
              </w:rPr>
            </w:pPr>
            <w:r w:rsidRPr="0074058E">
              <w:rPr>
                <w:iCs/>
              </w:rPr>
              <w:t xml:space="preserve">Not addressed. </w:t>
            </w:r>
          </w:p>
          <w:p w14:paraId="004CECB9" w14:textId="38630F95" w:rsidR="00955D67" w:rsidRPr="0074058E" w:rsidRDefault="00955D67" w:rsidP="00345E18">
            <w:pPr>
              <w:pStyle w:val="TableText"/>
              <w:keepNext w:val="0"/>
              <w:widowControl w:val="0"/>
            </w:pPr>
            <w:r w:rsidRPr="0074058E">
              <w:t xml:space="preserve">The ICER remained &gt;$50,000/QALY </w:t>
            </w:r>
            <w:r w:rsidR="00C64FCF" w:rsidRPr="0074058E">
              <w:t xml:space="preserve">in </w:t>
            </w:r>
            <w:r w:rsidRPr="0074058E">
              <w:t>the base case with the proposed price</w:t>
            </w:r>
          </w:p>
        </w:tc>
      </w:tr>
      <w:tr w:rsidR="001E1039" w:rsidRPr="0074058E" w14:paraId="61500D36" w14:textId="77777777" w:rsidTr="00957E75">
        <w:trPr>
          <w:cantSplit/>
        </w:trPr>
        <w:tc>
          <w:tcPr>
            <w:tcW w:w="2220" w:type="pct"/>
            <w:shd w:val="clear" w:color="auto" w:fill="auto"/>
            <w:vAlign w:val="center"/>
          </w:tcPr>
          <w:p w14:paraId="3C363C18" w14:textId="77777777" w:rsidR="001E1039" w:rsidRPr="0074058E" w:rsidRDefault="001E1039" w:rsidP="00345E18">
            <w:pPr>
              <w:pStyle w:val="TableText"/>
              <w:keepNext w:val="0"/>
              <w:widowControl w:val="0"/>
              <w:rPr>
                <w:u w:val="single"/>
              </w:rPr>
            </w:pPr>
            <w:r w:rsidRPr="0074058E">
              <w:rPr>
                <w:u w:val="single"/>
              </w:rPr>
              <w:t>Other costs</w:t>
            </w:r>
          </w:p>
          <w:p w14:paraId="6E6B80F5" w14:textId="6692D762" w:rsidR="001E1039" w:rsidRPr="0074058E" w:rsidRDefault="001E1039" w:rsidP="00345E18">
            <w:pPr>
              <w:pStyle w:val="TableText"/>
              <w:keepNext w:val="0"/>
              <w:widowControl w:val="0"/>
            </w:pPr>
            <w:r w:rsidRPr="0074058E">
              <w:t>The PBAC did not recommend changes to other costs in the model.</w:t>
            </w:r>
          </w:p>
        </w:tc>
        <w:tc>
          <w:tcPr>
            <w:tcW w:w="1875" w:type="pct"/>
            <w:shd w:val="clear" w:color="auto" w:fill="auto"/>
            <w:vAlign w:val="center"/>
          </w:tcPr>
          <w:p w14:paraId="7A13C88D" w14:textId="6401B9C3" w:rsidR="009E3B72" w:rsidRPr="0074058E" w:rsidRDefault="009E3B72" w:rsidP="00345E18">
            <w:pPr>
              <w:pStyle w:val="TableText"/>
              <w:keepNext w:val="0"/>
              <w:widowControl w:val="0"/>
              <w:rPr>
                <w:iCs/>
                <w:snapToGrid w:val="0"/>
              </w:rPr>
            </w:pPr>
            <w:r w:rsidRPr="0074058E">
              <w:rPr>
                <w:iCs/>
                <w:snapToGrid w:val="0"/>
              </w:rPr>
              <w:t xml:space="preserve">The resubmission stated that unit costs </w:t>
            </w:r>
            <w:proofErr w:type="gramStart"/>
            <w:r w:rsidRPr="0074058E">
              <w:rPr>
                <w:iCs/>
                <w:snapToGrid w:val="0"/>
              </w:rPr>
              <w:t>were updated</w:t>
            </w:r>
            <w:proofErr w:type="gramEnd"/>
            <w:r w:rsidRPr="0074058E">
              <w:rPr>
                <w:iCs/>
                <w:snapToGrid w:val="0"/>
              </w:rPr>
              <w:t xml:space="preserve"> to reflect August 2022 MBS and AR-DRG costs.</w:t>
            </w:r>
          </w:p>
          <w:p w14:paraId="2D3F3689" w14:textId="153A1029" w:rsidR="009E3B72" w:rsidRPr="0074058E" w:rsidRDefault="001E1039" w:rsidP="00345E18">
            <w:pPr>
              <w:pStyle w:val="TableText"/>
              <w:keepNext w:val="0"/>
              <w:widowControl w:val="0"/>
              <w:rPr>
                <w:iCs/>
                <w:snapToGrid w:val="0"/>
              </w:rPr>
            </w:pPr>
            <w:r w:rsidRPr="0074058E">
              <w:rPr>
                <w:iCs/>
                <w:snapToGrid w:val="0"/>
              </w:rPr>
              <w:t xml:space="preserve">The cost of palliative care </w:t>
            </w:r>
            <w:proofErr w:type="gramStart"/>
            <w:r w:rsidRPr="0074058E">
              <w:rPr>
                <w:iCs/>
                <w:snapToGrid w:val="0"/>
              </w:rPr>
              <w:t>was increased</w:t>
            </w:r>
            <w:proofErr w:type="gramEnd"/>
            <w:r w:rsidRPr="0074058E">
              <w:rPr>
                <w:iCs/>
                <w:snapToGrid w:val="0"/>
              </w:rPr>
              <w:t xml:space="preserve"> from $16,301 to $17,051</w:t>
            </w:r>
            <w:r w:rsidR="009E3B72" w:rsidRPr="0074058E">
              <w:rPr>
                <w:iCs/>
                <w:snapToGrid w:val="0"/>
              </w:rPr>
              <w:t>.</w:t>
            </w:r>
          </w:p>
        </w:tc>
        <w:tc>
          <w:tcPr>
            <w:tcW w:w="905" w:type="pct"/>
            <w:shd w:val="clear" w:color="auto" w:fill="auto"/>
            <w:vAlign w:val="center"/>
          </w:tcPr>
          <w:p w14:paraId="6D1BDF3D" w14:textId="4813A440" w:rsidR="001E1039" w:rsidRPr="0074058E" w:rsidRDefault="001E1039" w:rsidP="00345E18">
            <w:pPr>
              <w:pStyle w:val="TableText"/>
              <w:keepNext w:val="0"/>
              <w:widowControl w:val="0"/>
              <w:rPr>
                <w:iCs/>
              </w:rPr>
            </w:pPr>
            <w:r w:rsidRPr="0074058E">
              <w:rPr>
                <w:iCs/>
              </w:rPr>
              <w:t>N</w:t>
            </w:r>
            <w:r w:rsidR="009B4FF0" w:rsidRPr="0074058E">
              <w:rPr>
                <w:iCs/>
              </w:rPr>
              <w:t>/</w:t>
            </w:r>
            <w:r w:rsidRPr="0074058E">
              <w:rPr>
                <w:iCs/>
              </w:rPr>
              <w:t>A</w:t>
            </w:r>
          </w:p>
        </w:tc>
      </w:tr>
      <w:tr w:rsidR="00955D67" w:rsidRPr="0074058E" w14:paraId="32F18519" w14:textId="77777777" w:rsidTr="00957E75">
        <w:trPr>
          <w:cantSplit/>
        </w:trPr>
        <w:tc>
          <w:tcPr>
            <w:tcW w:w="5000" w:type="pct"/>
            <w:gridSpan w:val="3"/>
            <w:shd w:val="clear" w:color="auto" w:fill="auto"/>
            <w:vAlign w:val="center"/>
          </w:tcPr>
          <w:p w14:paraId="540A8733" w14:textId="77777777" w:rsidR="00955D67" w:rsidRPr="0074058E" w:rsidRDefault="00955D67" w:rsidP="00345E18">
            <w:pPr>
              <w:pStyle w:val="TableText"/>
              <w:keepNext w:val="0"/>
              <w:widowControl w:val="0"/>
              <w:rPr>
                <w:i/>
                <w:iCs/>
              </w:rPr>
            </w:pPr>
            <w:r w:rsidRPr="0074058E">
              <w:rPr>
                <w:b/>
              </w:rPr>
              <w:t>Financial estimates</w:t>
            </w:r>
          </w:p>
        </w:tc>
      </w:tr>
      <w:tr w:rsidR="00955D67" w:rsidRPr="0074058E" w14:paraId="16BA527C" w14:textId="77777777" w:rsidTr="00957E75">
        <w:trPr>
          <w:cantSplit/>
        </w:trPr>
        <w:tc>
          <w:tcPr>
            <w:tcW w:w="2220" w:type="pct"/>
            <w:shd w:val="clear" w:color="auto" w:fill="auto"/>
            <w:vAlign w:val="center"/>
          </w:tcPr>
          <w:p w14:paraId="768BD430" w14:textId="2BCA4EA9" w:rsidR="00955D67" w:rsidRPr="0074058E" w:rsidRDefault="00955D67" w:rsidP="00345E18">
            <w:pPr>
              <w:pStyle w:val="TableText"/>
              <w:keepNext w:val="0"/>
              <w:widowControl w:val="0"/>
            </w:pPr>
            <w:r w:rsidRPr="0074058E">
              <w:t xml:space="preserve">The mean treatment duration should </w:t>
            </w:r>
            <w:proofErr w:type="gramStart"/>
            <w:r w:rsidRPr="0074058E">
              <w:t>be used</w:t>
            </w:r>
            <w:proofErr w:type="gramEnd"/>
            <w:r w:rsidRPr="0074058E">
              <w:t xml:space="preserve"> and estimates recalculated to apply the mean (rather than median) treatment durations (paragraphs 7.17 and 7.18, olaparib P</w:t>
            </w:r>
            <w:r w:rsidR="006E635E" w:rsidRPr="0074058E">
              <w:t>SD</w:t>
            </w:r>
            <w:r w:rsidRPr="0074058E">
              <w:t>, July 2022 PBAC meeting).</w:t>
            </w:r>
          </w:p>
        </w:tc>
        <w:tc>
          <w:tcPr>
            <w:tcW w:w="1875" w:type="pct"/>
            <w:shd w:val="clear" w:color="auto" w:fill="auto"/>
            <w:vAlign w:val="center"/>
          </w:tcPr>
          <w:p w14:paraId="6D5839E9" w14:textId="77777777" w:rsidR="00955D67" w:rsidRPr="0074058E" w:rsidRDefault="00955D67" w:rsidP="00345E18">
            <w:pPr>
              <w:pStyle w:val="TableText"/>
              <w:keepNext w:val="0"/>
              <w:widowControl w:val="0"/>
            </w:pPr>
            <w:r w:rsidRPr="0074058E">
              <w:t>Mean treatment duration of 17.1 months applied (revised from a median of 22 months). Patient numbers, numbers of packs, cost to PBS/RPBS, $30 patient co-payment and revised olaparib price used (Section 4)</w:t>
            </w:r>
          </w:p>
        </w:tc>
        <w:tc>
          <w:tcPr>
            <w:tcW w:w="905" w:type="pct"/>
            <w:shd w:val="clear" w:color="auto" w:fill="auto"/>
            <w:vAlign w:val="center"/>
          </w:tcPr>
          <w:p w14:paraId="6CB27EE0" w14:textId="77777777" w:rsidR="00955D67" w:rsidRPr="0074058E" w:rsidRDefault="00955D67" w:rsidP="00345E18">
            <w:pPr>
              <w:pStyle w:val="TableText"/>
              <w:keepNext w:val="0"/>
              <w:widowControl w:val="0"/>
              <w:rPr>
                <w:iCs/>
              </w:rPr>
            </w:pPr>
            <w:r w:rsidRPr="0074058E">
              <w:rPr>
                <w:iCs/>
              </w:rPr>
              <w:t>Partially addressed. Bevacizumab duration still based on median.</w:t>
            </w:r>
          </w:p>
        </w:tc>
      </w:tr>
      <w:tr w:rsidR="00955D67" w:rsidRPr="0074058E" w14:paraId="04C575A4" w14:textId="77777777" w:rsidTr="00957E75">
        <w:trPr>
          <w:cantSplit/>
        </w:trPr>
        <w:tc>
          <w:tcPr>
            <w:tcW w:w="2220" w:type="pct"/>
            <w:shd w:val="clear" w:color="auto" w:fill="auto"/>
            <w:vAlign w:val="center"/>
          </w:tcPr>
          <w:p w14:paraId="04FB234F" w14:textId="0BB270C8" w:rsidR="00955D67" w:rsidRPr="0074058E" w:rsidRDefault="00955D67" w:rsidP="00345E18">
            <w:pPr>
              <w:pStyle w:val="TableText"/>
              <w:keepNext w:val="0"/>
              <w:widowControl w:val="0"/>
            </w:pPr>
            <w:r w:rsidRPr="0074058E">
              <w:t>Co-payment reduced from $42.50 to $30 based on Australian Labor Party Election promise.</w:t>
            </w:r>
            <w:r w:rsidR="001E1039" w:rsidRPr="0074058E">
              <w:t xml:space="preserve"> This change </w:t>
            </w:r>
            <w:proofErr w:type="gramStart"/>
            <w:r w:rsidR="001E1039" w:rsidRPr="0074058E">
              <w:t>was not requested</w:t>
            </w:r>
            <w:proofErr w:type="gramEnd"/>
            <w:r w:rsidR="001E1039" w:rsidRPr="0074058E">
              <w:t xml:space="preserve"> by the PBAC.</w:t>
            </w:r>
          </w:p>
        </w:tc>
        <w:tc>
          <w:tcPr>
            <w:tcW w:w="1875" w:type="pct"/>
            <w:shd w:val="clear" w:color="auto" w:fill="auto"/>
            <w:vAlign w:val="center"/>
          </w:tcPr>
          <w:p w14:paraId="31865362" w14:textId="77777777" w:rsidR="00955D67" w:rsidRPr="0074058E" w:rsidRDefault="00955D67" w:rsidP="00345E18">
            <w:pPr>
              <w:pStyle w:val="TableText"/>
              <w:keepNext w:val="0"/>
              <w:widowControl w:val="0"/>
              <w:rPr>
                <w:i/>
                <w:iCs/>
              </w:rPr>
            </w:pPr>
            <w:r w:rsidRPr="0074058E">
              <w:t xml:space="preserve">Revised net cost to PBS/RPBS in financial estimates. </w:t>
            </w:r>
          </w:p>
        </w:tc>
        <w:tc>
          <w:tcPr>
            <w:tcW w:w="905" w:type="pct"/>
            <w:shd w:val="clear" w:color="auto" w:fill="auto"/>
            <w:vAlign w:val="center"/>
          </w:tcPr>
          <w:p w14:paraId="0939AD99" w14:textId="70D21F9C" w:rsidR="00955D67" w:rsidRPr="0074058E" w:rsidRDefault="00955D67" w:rsidP="00345E18">
            <w:pPr>
              <w:pStyle w:val="TableText"/>
              <w:keepNext w:val="0"/>
              <w:widowControl w:val="0"/>
            </w:pPr>
            <w:r w:rsidRPr="0074058E">
              <w:t>N</w:t>
            </w:r>
            <w:r w:rsidR="009B4FF0" w:rsidRPr="0074058E">
              <w:t>/</w:t>
            </w:r>
            <w:r w:rsidRPr="0074058E">
              <w:t>A</w:t>
            </w:r>
          </w:p>
        </w:tc>
      </w:tr>
    </w:tbl>
    <w:p w14:paraId="014A5FA2" w14:textId="77777777" w:rsidR="001E1039" w:rsidRPr="0074058E" w:rsidRDefault="001E1039" w:rsidP="001E1039">
      <w:pPr>
        <w:pStyle w:val="TableFigureFooter"/>
        <w:widowControl w:val="0"/>
      </w:pPr>
      <w:r w:rsidRPr="0074058E">
        <w:t>Source: Table 1, pp 3-4 of the resubmission.</w:t>
      </w:r>
    </w:p>
    <w:p w14:paraId="4B7C1F10" w14:textId="42EE977A" w:rsidR="00B921DD" w:rsidRPr="0074058E" w:rsidRDefault="00955D67" w:rsidP="00955D67">
      <w:pPr>
        <w:pStyle w:val="TableFigureFooter"/>
        <w:widowControl w:val="0"/>
      </w:pPr>
      <w:r w:rsidRPr="0074058E">
        <w:t>PBAC = Pharmaceuticals Benefits Advisory Committee; PFS = Progression Free Survival; NA = not applicable; OS = Overall Survival; DCO2 = data cut off 2; DCO3 = data cut off 3; QALY = Quality Adjusted Life Years</w:t>
      </w:r>
    </w:p>
    <w:p w14:paraId="3A27C070" w14:textId="563603E7" w:rsidR="00B921DD" w:rsidRPr="0074058E" w:rsidRDefault="00B921DD" w:rsidP="00017E19">
      <w:pPr>
        <w:ind w:firstLine="709"/>
      </w:pPr>
      <w:bookmarkStart w:id="7" w:name="_Hlk76375324"/>
      <w:r w:rsidRPr="0074058E">
        <w:rPr>
          <w:rFonts w:asciiTheme="minorHAnsi" w:hAnsiTheme="minorHAnsi"/>
          <w:i/>
        </w:rPr>
        <w:t>For more detail on PBAC’s view, see section 5 PBAC outcome.</w:t>
      </w:r>
      <w:bookmarkEnd w:id="7"/>
    </w:p>
    <w:p w14:paraId="587432E9" w14:textId="1CC680AC" w:rsidR="00C068A6" w:rsidRPr="0074058E" w:rsidRDefault="00955D67" w:rsidP="006C5B33">
      <w:pPr>
        <w:pStyle w:val="2-SectionHeading"/>
      </w:pPr>
      <w:r w:rsidRPr="0074058E">
        <w:t>Requested listing</w:t>
      </w:r>
    </w:p>
    <w:p w14:paraId="480E7155" w14:textId="3470943D" w:rsidR="008F0DF9" w:rsidRPr="0074058E" w:rsidRDefault="005F6B09" w:rsidP="006C5B33">
      <w:pPr>
        <w:pStyle w:val="3-BodyText"/>
      </w:pPr>
      <w:r w:rsidRPr="0074058E">
        <w:t xml:space="preserve">The proposed restriction </w:t>
      </w:r>
      <w:proofErr w:type="gramStart"/>
      <w:r w:rsidRPr="0074058E">
        <w:t>is shown</w:t>
      </w:r>
      <w:proofErr w:type="gramEnd"/>
      <w:r w:rsidRPr="0074058E">
        <w:t xml:space="preserve"> </w:t>
      </w:r>
      <w:r w:rsidR="006878D0" w:rsidRPr="0074058E">
        <w:t>below.</w:t>
      </w:r>
    </w:p>
    <w:tbl>
      <w:tblPr>
        <w:tblStyle w:val="AZTabl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1126"/>
        <w:gridCol w:w="1030"/>
        <w:gridCol w:w="1030"/>
        <w:gridCol w:w="857"/>
        <w:gridCol w:w="992"/>
        <w:gridCol w:w="993"/>
        <w:gridCol w:w="1592"/>
      </w:tblGrid>
      <w:tr w:rsidR="008F0DF9" w:rsidRPr="0074058E" w14:paraId="760D9342" w14:textId="77777777" w:rsidTr="00B515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auto"/>
              <w:left w:val="nil"/>
              <w:bottom w:val="single" w:sz="4" w:space="0" w:color="auto"/>
              <w:right w:val="nil"/>
            </w:tcBorders>
            <w:hideMark/>
          </w:tcPr>
          <w:p w14:paraId="6D1EABE2" w14:textId="77777777" w:rsidR="008F0DF9" w:rsidRPr="0074058E" w:rsidRDefault="008F0DF9" w:rsidP="008A0201">
            <w:pPr>
              <w:pStyle w:val="TableText"/>
            </w:pPr>
            <w:r w:rsidRPr="0074058E">
              <w:t>Proposed PBS listing</w:t>
            </w:r>
          </w:p>
        </w:tc>
        <w:tc>
          <w:tcPr>
            <w:tcW w:w="638" w:type="pct"/>
            <w:tcBorders>
              <w:top w:val="single" w:sz="4" w:space="0" w:color="auto"/>
              <w:left w:val="nil"/>
              <w:bottom w:val="single" w:sz="4" w:space="0" w:color="auto"/>
              <w:right w:val="nil"/>
            </w:tcBorders>
            <w:hideMark/>
          </w:tcPr>
          <w:p w14:paraId="4CB4ED6B" w14:textId="77777777" w:rsidR="008F0DF9" w:rsidRPr="0074058E" w:rsidRDefault="008F0DF9" w:rsidP="008A0201">
            <w:pPr>
              <w:pStyle w:val="TableText"/>
              <w:cnfStyle w:val="100000000000" w:firstRow="1" w:lastRow="0" w:firstColumn="0" w:lastColumn="0" w:oddVBand="0" w:evenVBand="0" w:oddHBand="0" w:evenHBand="0" w:firstRowFirstColumn="0" w:firstRowLastColumn="0" w:lastRowFirstColumn="0" w:lastRowLastColumn="0"/>
            </w:pPr>
            <w:r w:rsidRPr="0074058E">
              <w:t>Form &amp; strength</w:t>
            </w:r>
          </w:p>
        </w:tc>
        <w:tc>
          <w:tcPr>
            <w:tcW w:w="545" w:type="pct"/>
            <w:tcBorders>
              <w:top w:val="single" w:sz="4" w:space="0" w:color="auto"/>
              <w:left w:val="nil"/>
              <w:bottom w:val="single" w:sz="4" w:space="0" w:color="auto"/>
              <w:right w:val="nil"/>
            </w:tcBorders>
            <w:hideMark/>
          </w:tcPr>
          <w:p w14:paraId="54050680" w14:textId="77777777" w:rsidR="008F0DF9" w:rsidRPr="0074058E" w:rsidRDefault="008F0DF9" w:rsidP="008A0201">
            <w:pPr>
              <w:pStyle w:val="TableText"/>
              <w:cnfStyle w:val="100000000000" w:firstRow="1" w:lastRow="0" w:firstColumn="0" w:lastColumn="0" w:oddVBand="0" w:evenVBand="0" w:oddHBand="0" w:evenHBand="0" w:firstRowFirstColumn="0" w:firstRowLastColumn="0" w:lastRowFirstColumn="0" w:lastRowLastColumn="0"/>
            </w:pPr>
            <w:r w:rsidRPr="0074058E">
              <w:t>Maximum quantity (packs)</w:t>
            </w:r>
          </w:p>
        </w:tc>
        <w:tc>
          <w:tcPr>
            <w:tcW w:w="545" w:type="pct"/>
            <w:tcBorders>
              <w:top w:val="single" w:sz="4" w:space="0" w:color="auto"/>
              <w:left w:val="nil"/>
              <w:bottom w:val="single" w:sz="4" w:space="0" w:color="auto"/>
              <w:right w:val="nil"/>
            </w:tcBorders>
            <w:hideMark/>
          </w:tcPr>
          <w:p w14:paraId="5FD7342A" w14:textId="77777777" w:rsidR="008F0DF9" w:rsidRPr="0074058E" w:rsidRDefault="008F0DF9" w:rsidP="008A0201">
            <w:pPr>
              <w:pStyle w:val="TableText"/>
              <w:cnfStyle w:val="100000000000" w:firstRow="1" w:lastRow="0" w:firstColumn="0" w:lastColumn="0" w:oddVBand="0" w:evenVBand="0" w:oddHBand="0" w:evenHBand="0" w:firstRowFirstColumn="0" w:firstRowLastColumn="0" w:lastRowFirstColumn="0" w:lastRowLastColumn="0"/>
            </w:pPr>
            <w:r w:rsidRPr="0074058E">
              <w:t>Maximum quantity (units)</w:t>
            </w:r>
          </w:p>
        </w:tc>
        <w:tc>
          <w:tcPr>
            <w:tcW w:w="455" w:type="pct"/>
            <w:tcBorders>
              <w:top w:val="single" w:sz="4" w:space="0" w:color="auto"/>
              <w:left w:val="nil"/>
              <w:bottom w:val="single" w:sz="4" w:space="0" w:color="auto"/>
              <w:right w:val="nil"/>
            </w:tcBorders>
            <w:hideMark/>
          </w:tcPr>
          <w:p w14:paraId="5DF91D07" w14:textId="77777777" w:rsidR="008F0DF9" w:rsidRPr="0074058E" w:rsidRDefault="008F0DF9" w:rsidP="008A0201">
            <w:pPr>
              <w:pStyle w:val="TableText"/>
              <w:cnfStyle w:val="100000000000" w:firstRow="1" w:lastRow="0" w:firstColumn="0" w:lastColumn="0" w:oddVBand="0" w:evenVBand="0" w:oddHBand="0" w:evenHBand="0" w:firstRowFirstColumn="0" w:firstRowLastColumn="0" w:lastRowFirstColumn="0" w:lastRowLastColumn="0"/>
            </w:pPr>
            <w:r w:rsidRPr="0074058E">
              <w:t>No. of repeats</w:t>
            </w:r>
          </w:p>
        </w:tc>
        <w:tc>
          <w:tcPr>
            <w:tcW w:w="564" w:type="pct"/>
            <w:tcBorders>
              <w:top w:val="single" w:sz="4" w:space="0" w:color="auto"/>
              <w:left w:val="nil"/>
              <w:bottom w:val="single" w:sz="4" w:space="0" w:color="auto"/>
              <w:right w:val="nil"/>
            </w:tcBorders>
            <w:hideMark/>
          </w:tcPr>
          <w:p w14:paraId="38DB735B" w14:textId="77777777" w:rsidR="008F0DF9" w:rsidRPr="0074058E" w:rsidRDefault="008F0DF9" w:rsidP="008A0201">
            <w:pPr>
              <w:pStyle w:val="TableText"/>
              <w:cnfStyle w:val="100000000000" w:firstRow="1" w:lastRow="0" w:firstColumn="0" w:lastColumn="0" w:oddVBand="0" w:evenVBand="0" w:oddHBand="0" w:evenHBand="0" w:firstRowFirstColumn="0" w:firstRowLastColumn="0" w:lastRowFirstColumn="0" w:lastRowLastColumn="0"/>
            </w:pPr>
            <w:r w:rsidRPr="0074058E">
              <w:t>DPMQ- Public</w:t>
            </w:r>
          </w:p>
        </w:tc>
        <w:tc>
          <w:tcPr>
            <w:tcW w:w="564" w:type="pct"/>
            <w:tcBorders>
              <w:top w:val="single" w:sz="4" w:space="0" w:color="auto"/>
              <w:left w:val="nil"/>
              <w:bottom w:val="single" w:sz="4" w:space="0" w:color="auto"/>
              <w:right w:val="nil"/>
            </w:tcBorders>
            <w:hideMark/>
          </w:tcPr>
          <w:p w14:paraId="55E52D6B" w14:textId="77777777" w:rsidR="008F0DF9" w:rsidRPr="0074058E" w:rsidRDefault="008F0DF9" w:rsidP="008A0201">
            <w:pPr>
              <w:pStyle w:val="TableText"/>
              <w:cnfStyle w:val="100000000000" w:firstRow="1" w:lastRow="0" w:firstColumn="0" w:lastColumn="0" w:oddVBand="0" w:evenVBand="0" w:oddHBand="0" w:evenHBand="0" w:firstRowFirstColumn="0" w:firstRowLastColumn="0" w:lastRowFirstColumn="0" w:lastRowLastColumn="0"/>
            </w:pPr>
            <w:r w:rsidRPr="0074058E">
              <w:t>DPMQ - Effective</w:t>
            </w:r>
          </w:p>
        </w:tc>
        <w:tc>
          <w:tcPr>
            <w:tcW w:w="896" w:type="pct"/>
            <w:tcBorders>
              <w:top w:val="single" w:sz="4" w:space="0" w:color="auto"/>
              <w:left w:val="nil"/>
              <w:bottom w:val="single" w:sz="4" w:space="0" w:color="auto"/>
              <w:right w:val="nil"/>
            </w:tcBorders>
            <w:hideMark/>
          </w:tcPr>
          <w:p w14:paraId="540C4706" w14:textId="77777777" w:rsidR="008F0DF9" w:rsidRPr="0074058E" w:rsidRDefault="008F0DF9" w:rsidP="008A0201">
            <w:pPr>
              <w:pStyle w:val="TableText"/>
              <w:cnfStyle w:val="100000000000" w:firstRow="1" w:lastRow="0" w:firstColumn="0" w:lastColumn="0" w:oddVBand="0" w:evenVBand="0" w:oddHBand="0" w:evenHBand="0" w:firstRowFirstColumn="0" w:firstRowLastColumn="0" w:lastRowFirstColumn="0" w:lastRowLastColumn="0"/>
            </w:pPr>
            <w:r w:rsidRPr="0074058E">
              <w:t>Proprietary name and manufacturer</w:t>
            </w:r>
          </w:p>
        </w:tc>
      </w:tr>
      <w:tr w:rsidR="008F0DF9" w:rsidRPr="0074058E" w14:paraId="5C707461" w14:textId="77777777" w:rsidTr="00B515E3">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auto"/>
              <w:left w:val="nil"/>
              <w:bottom w:val="nil"/>
              <w:right w:val="nil"/>
            </w:tcBorders>
            <w:vAlign w:val="center"/>
            <w:hideMark/>
          </w:tcPr>
          <w:p w14:paraId="01D74244" w14:textId="77777777" w:rsidR="008F0DF9" w:rsidRPr="0074058E" w:rsidRDefault="008F0DF9" w:rsidP="008A0201">
            <w:pPr>
              <w:pStyle w:val="TableText"/>
            </w:pPr>
            <w:r w:rsidRPr="0074058E">
              <w:t>Olaparib</w:t>
            </w:r>
          </w:p>
          <w:p w14:paraId="3A15E4C6" w14:textId="77777777" w:rsidR="008F0DF9" w:rsidRPr="0074058E" w:rsidRDefault="008F0DF9" w:rsidP="008A0201">
            <w:pPr>
              <w:pStyle w:val="TableText"/>
            </w:pPr>
            <w:r w:rsidRPr="0074058E">
              <w:t>Initial treatment</w:t>
            </w:r>
          </w:p>
        </w:tc>
        <w:tc>
          <w:tcPr>
            <w:tcW w:w="638" w:type="pct"/>
            <w:tcBorders>
              <w:top w:val="single" w:sz="4" w:space="0" w:color="auto"/>
              <w:left w:val="nil"/>
              <w:bottom w:val="nil"/>
              <w:right w:val="nil"/>
            </w:tcBorders>
            <w:vAlign w:val="center"/>
            <w:hideMark/>
          </w:tcPr>
          <w:p w14:paraId="74F65100"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Tablets,</w:t>
            </w:r>
          </w:p>
          <w:p w14:paraId="288E7260"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150 mg,</w:t>
            </w:r>
          </w:p>
          <w:p w14:paraId="7BC68CA3"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100 mg</w:t>
            </w:r>
          </w:p>
        </w:tc>
        <w:tc>
          <w:tcPr>
            <w:tcW w:w="545" w:type="pct"/>
            <w:tcBorders>
              <w:top w:val="single" w:sz="4" w:space="0" w:color="auto"/>
              <w:left w:val="nil"/>
              <w:bottom w:val="nil"/>
              <w:right w:val="nil"/>
            </w:tcBorders>
            <w:vAlign w:val="center"/>
            <w:hideMark/>
          </w:tcPr>
          <w:p w14:paraId="0B0E3929"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2</w:t>
            </w:r>
          </w:p>
        </w:tc>
        <w:tc>
          <w:tcPr>
            <w:tcW w:w="545" w:type="pct"/>
            <w:tcBorders>
              <w:top w:val="single" w:sz="4" w:space="0" w:color="auto"/>
              <w:left w:val="nil"/>
              <w:bottom w:val="nil"/>
              <w:right w:val="nil"/>
            </w:tcBorders>
            <w:vAlign w:val="center"/>
            <w:hideMark/>
          </w:tcPr>
          <w:p w14:paraId="3BB39BC2"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112</w:t>
            </w:r>
          </w:p>
        </w:tc>
        <w:tc>
          <w:tcPr>
            <w:tcW w:w="455" w:type="pct"/>
            <w:tcBorders>
              <w:top w:val="single" w:sz="4" w:space="0" w:color="auto"/>
              <w:left w:val="nil"/>
              <w:bottom w:val="nil"/>
              <w:right w:val="nil"/>
            </w:tcBorders>
            <w:vAlign w:val="center"/>
            <w:hideMark/>
          </w:tcPr>
          <w:p w14:paraId="746B2E5A"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2</w:t>
            </w:r>
          </w:p>
        </w:tc>
        <w:tc>
          <w:tcPr>
            <w:tcW w:w="564" w:type="pct"/>
            <w:tcBorders>
              <w:top w:val="single" w:sz="4" w:space="0" w:color="auto"/>
              <w:left w:val="nil"/>
              <w:bottom w:val="nil"/>
              <w:right w:val="nil"/>
            </w:tcBorders>
            <w:vAlign w:val="center"/>
            <w:hideMark/>
          </w:tcPr>
          <w:p w14:paraId="4EDE1A78"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$6,630.72</w:t>
            </w:r>
          </w:p>
        </w:tc>
        <w:tc>
          <w:tcPr>
            <w:tcW w:w="564" w:type="pct"/>
            <w:tcBorders>
              <w:top w:val="single" w:sz="4" w:space="0" w:color="auto"/>
              <w:left w:val="nil"/>
              <w:bottom w:val="nil"/>
              <w:right w:val="nil"/>
            </w:tcBorders>
            <w:vAlign w:val="center"/>
            <w:hideMark/>
          </w:tcPr>
          <w:p w14:paraId="39AA5D76" w14:textId="16F1B5CD"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w:t>
            </w:r>
            <w:r w:rsidR="00ED35F2" w:rsidRPr="00ED35F2">
              <w:rPr>
                <w:color w:val="000000"/>
                <w:spacing w:val="205"/>
                <w:szCs w:val="20"/>
                <w:shd w:val="solid" w:color="000000" w:fill="000000"/>
                <w:fitText w:val="299" w:id="-1300508923"/>
                <w14:textFill>
                  <w14:solidFill>
                    <w14:srgbClr w14:val="000000">
                      <w14:alpha w14:val="100000"/>
                    </w14:srgbClr>
                  </w14:solidFill>
                </w14:textFill>
              </w:rPr>
              <w:t>|</w:t>
            </w:r>
            <w:r w:rsidR="00ED35F2" w:rsidRPr="00ED35F2">
              <w:rPr>
                <w:color w:val="000000"/>
                <w:spacing w:val="1"/>
                <w:szCs w:val="20"/>
                <w:shd w:val="solid" w:color="000000" w:fill="000000"/>
                <w:fitText w:val="299" w:id="-1300508923"/>
                <w14:textFill>
                  <w14:solidFill>
                    <w14:srgbClr w14:val="000000">
                      <w14:alpha w14:val="100000"/>
                    </w14:srgbClr>
                  </w14:solidFill>
                </w14:textFill>
              </w:rPr>
              <w:t>|</w:t>
            </w:r>
          </w:p>
        </w:tc>
        <w:tc>
          <w:tcPr>
            <w:tcW w:w="896" w:type="pct"/>
            <w:tcBorders>
              <w:top w:val="single" w:sz="4" w:space="0" w:color="auto"/>
              <w:left w:val="nil"/>
              <w:bottom w:val="nil"/>
              <w:right w:val="nil"/>
            </w:tcBorders>
            <w:vAlign w:val="center"/>
            <w:hideMark/>
          </w:tcPr>
          <w:p w14:paraId="57D058F9"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LYNPARZA®</w:t>
            </w:r>
          </w:p>
          <w:p w14:paraId="6EF231E1"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AstraZeneca Pty Ltd</w:t>
            </w:r>
          </w:p>
        </w:tc>
      </w:tr>
      <w:tr w:rsidR="008F0DF9" w:rsidRPr="0074058E" w14:paraId="6D663F21" w14:textId="77777777" w:rsidTr="00B515E3">
        <w:tc>
          <w:tcPr>
            <w:cnfStyle w:val="001000000000" w:firstRow="0" w:lastRow="0" w:firstColumn="1" w:lastColumn="0" w:oddVBand="0" w:evenVBand="0" w:oddHBand="0" w:evenHBand="0" w:firstRowFirstColumn="0" w:firstRowLastColumn="0" w:lastRowFirstColumn="0" w:lastRowLastColumn="0"/>
            <w:tcW w:w="793" w:type="pct"/>
            <w:tcBorders>
              <w:top w:val="nil"/>
              <w:left w:val="nil"/>
              <w:bottom w:val="single" w:sz="4" w:space="0" w:color="auto"/>
              <w:right w:val="nil"/>
            </w:tcBorders>
            <w:vAlign w:val="center"/>
            <w:hideMark/>
          </w:tcPr>
          <w:p w14:paraId="612D9FF4" w14:textId="77777777" w:rsidR="008F0DF9" w:rsidRPr="0074058E" w:rsidRDefault="008F0DF9" w:rsidP="008A0201">
            <w:pPr>
              <w:pStyle w:val="TableText"/>
            </w:pPr>
            <w:r w:rsidRPr="0074058E">
              <w:t>Olaparib</w:t>
            </w:r>
          </w:p>
          <w:p w14:paraId="2E5E3101" w14:textId="77777777" w:rsidR="008F0DF9" w:rsidRPr="0074058E" w:rsidRDefault="008F0DF9" w:rsidP="008A0201">
            <w:pPr>
              <w:pStyle w:val="TableText"/>
            </w:pPr>
            <w:r w:rsidRPr="0074058E">
              <w:t>Continuing treatment</w:t>
            </w:r>
          </w:p>
        </w:tc>
        <w:tc>
          <w:tcPr>
            <w:tcW w:w="638" w:type="pct"/>
            <w:tcBorders>
              <w:top w:val="nil"/>
              <w:left w:val="nil"/>
              <w:bottom w:val="single" w:sz="4" w:space="0" w:color="auto"/>
              <w:right w:val="nil"/>
            </w:tcBorders>
            <w:vAlign w:val="center"/>
            <w:hideMark/>
          </w:tcPr>
          <w:p w14:paraId="6E8AB346"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Tablets,</w:t>
            </w:r>
          </w:p>
          <w:p w14:paraId="5A0C824F"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150 mg,</w:t>
            </w:r>
          </w:p>
          <w:p w14:paraId="2CEFF089"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100 mg</w:t>
            </w:r>
          </w:p>
        </w:tc>
        <w:tc>
          <w:tcPr>
            <w:tcW w:w="545" w:type="pct"/>
            <w:tcBorders>
              <w:top w:val="nil"/>
              <w:left w:val="nil"/>
              <w:bottom w:val="single" w:sz="4" w:space="0" w:color="auto"/>
              <w:right w:val="nil"/>
            </w:tcBorders>
            <w:vAlign w:val="center"/>
            <w:hideMark/>
          </w:tcPr>
          <w:p w14:paraId="0BEB7776"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2</w:t>
            </w:r>
          </w:p>
        </w:tc>
        <w:tc>
          <w:tcPr>
            <w:tcW w:w="545" w:type="pct"/>
            <w:tcBorders>
              <w:top w:val="nil"/>
              <w:left w:val="nil"/>
              <w:bottom w:val="single" w:sz="4" w:space="0" w:color="auto"/>
              <w:right w:val="nil"/>
            </w:tcBorders>
            <w:vAlign w:val="center"/>
            <w:hideMark/>
          </w:tcPr>
          <w:p w14:paraId="6352AC7A"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112</w:t>
            </w:r>
          </w:p>
        </w:tc>
        <w:tc>
          <w:tcPr>
            <w:tcW w:w="455" w:type="pct"/>
            <w:tcBorders>
              <w:top w:val="nil"/>
              <w:left w:val="nil"/>
              <w:bottom w:val="single" w:sz="4" w:space="0" w:color="auto"/>
              <w:right w:val="nil"/>
            </w:tcBorders>
            <w:vAlign w:val="center"/>
            <w:hideMark/>
          </w:tcPr>
          <w:p w14:paraId="75AFB084"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trike/>
                <w:sz w:val="20"/>
                <w:szCs w:val="20"/>
              </w:rPr>
            </w:pPr>
            <w:r w:rsidRPr="0074058E">
              <w:rPr>
                <w:sz w:val="20"/>
                <w:szCs w:val="20"/>
              </w:rPr>
              <w:t>5</w:t>
            </w:r>
          </w:p>
        </w:tc>
        <w:tc>
          <w:tcPr>
            <w:tcW w:w="564" w:type="pct"/>
            <w:tcBorders>
              <w:top w:val="nil"/>
              <w:left w:val="nil"/>
              <w:bottom w:val="single" w:sz="4" w:space="0" w:color="auto"/>
              <w:right w:val="nil"/>
            </w:tcBorders>
            <w:vAlign w:val="center"/>
            <w:hideMark/>
          </w:tcPr>
          <w:p w14:paraId="70139CE1"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$6,630.72</w:t>
            </w:r>
          </w:p>
        </w:tc>
        <w:tc>
          <w:tcPr>
            <w:tcW w:w="564" w:type="pct"/>
            <w:tcBorders>
              <w:top w:val="nil"/>
              <w:left w:val="nil"/>
              <w:bottom w:val="single" w:sz="4" w:space="0" w:color="auto"/>
              <w:right w:val="nil"/>
            </w:tcBorders>
            <w:vAlign w:val="center"/>
            <w:hideMark/>
          </w:tcPr>
          <w:p w14:paraId="3B76575A" w14:textId="67933008"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w:t>
            </w:r>
            <w:r w:rsidR="00ED35F2" w:rsidRPr="00ED35F2">
              <w:rPr>
                <w:color w:val="000000"/>
                <w:spacing w:val="205"/>
                <w:szCs w:val="20"/>
                <w:shd w:val="solid" w:color="000000" w:fill="000000"/>
                <w:fitText w:val="299" w:id="-1300508922"/>
                <w14:textFill>
                  <w14:solidFill>
                    <w14:srgbClr w14:val="000000">
                      <w14:alpha w14:val="100000"/>
                    </w14:srgbClr>
                  </w14:solidFill>
                </w14:textFill>
              </w:rPr>
              <w:t>|</w:t>
            </w:r>
            <w:r w:rsidR="00ED35F2" w:rsidRPr="00ED35F2">
              <w:rPr>
                <w:color w:val="000000"/>
                <w:spacing w:val="1"/>
                <w:szCs w:val="20"/>
                <w:shd w:val="solid" w:color="000000" w:fill="000000"/>
                <w:fitText w:val="299" w:id="-1300508922"/>
                <w14:textFill>
                  <w14:solidFill>
                    <w14:srgbClr w14:val="000000">
                      <w14:alpha w14:val="100000"/>
                    </w14:srgbClr>
                  </w14:solidFill>
                </w14:textFill>
              </w:rPr>
              <w:t>|</w:t>
            </w:r>
          </w:p>
        </w:tc>
        <w:tc>
          <w:tcPr>
            <w:tcW w:w="896" w:type="pct"/>
            <w:tcBorders>
              <w:top w:val="nil"/>
              <w:left w:val="nil"/>
              <w:bottom w:val="single" w:sz="4" w:space="0" w:color="auto"/>
              <w:right w:val="nil"/>
            </w:tcBorders>
            <w:vAlign w:val="center"/>
            <w:hideMark/>
          </w:tcPr>
          <w:p w14:paraId="4601FC06"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LYNPARZA®</w:t>
            </w:r>
          </w:p>
          <w:p w14:paraId="552E5456" w14:textId="77777777" w:rsidR="008F0DF9" w:rsidRPr="0074058E" w:rsidRDefault="008F0DF9" w:rsidP="008A0201">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74058E">
              <w:rPr>
                <w:sz w:val="20"/>
                <w:szCs w:val="20"/>
              </w:rPr>
              <w:t>AstraZeneca Pty Ltd</w:t>
            </w:r>
          </w:p>
        </w:tc>
      </w:tr>
    </w:tbl>
    <w:tbl>
      <w:tblPr>
        <w:tblW w:w="5000" w:type="pct"/>
        <w:tblInd w:w="23" w:type="dxa"/>
        <w:tblCellMar>
          <w:left w:w="28" w:type="dxa"/>
          <w:right w:w="28" w:type="dxa"/>
        </w:tblCellMar>
        <w:tblLook w:val="04A0" w:firstRow="1" w:lastRow="0" w:firstColumn="1" w:lastColumn="0" w:noHBand="0" w:noVBand="1"/>
      </w:tblPr>
      <w:tblGrid>
        <w:gridCol w:w="1504"/>
        <w:gridCol w:w="7512"/>
      </w:tblGrid>
      <w:tr w:rsidR="008F0DF9" w:rsidRPr="0074058E" w14:paraId="2693C3BE" w14:textId="77777777" w:rsidTr="00B515E3">
        <w:trPr>
          <w:trHeight w:val="20"/>
        </w:trPr>
        <w:tc>
          <w:tcPr>
            <w:tcW w:w="834" w:type="pct"/>
            <w:tcBorders>
              <w:left w:val="single" w:sz="4" w:space="0" w:color="auto"/>
              <w:bottom w:val="single" w:sz="4" w:space="0" w:color="auto"/>
              <w:right w:val="single" w:sz="4" w:space="0" w:color="auto"/>
            </w:tcBorders>
          </w:tcPr>
          <w:p w14:paraId="0690D7AB" w14:textId="77777777" w:rsidR="008F0DF9" w:rsidRPr="0074058E" w:rsidRDefault="008F0DF9" w:rsidP="00B515E3">
            <w:pPr>
              <w:pStyle w:val="TableText"/>
              <w:keepNext w:val="0"/>
              <w:widowControl w:val="0"/>
              <w:spacing w:line="256" w:lineRule="auto"/>
              <w:rPr>
                <w:rFonts w:eastAsia="Times New Roman" w:cs="Times New Roman"/>
                <w:snapToGrid w:val="0"/>
              </w:rPr>
            </w:pPr>
            <w:r w:rsidRPr="0074058E">
              <w:rPr>
                <w:rFonts w:eastAsia="Times New Roman" w:cs="Times New Roman"/>
                <w:snapToGrid w:val="0"/>
              </w:rPr>
              <w:t>Category / Program</w:t>
            </w:r>
          </w:p>
        </w:tc>
        <w:tc>
          <w:tcPr>
            <w:tcW w:w="4166" w:type="pct"/>
            <w:tcBorders>
              <w:left w:val="single" w:sz="4" w:space="0" w:color="auto"/>
              <w:bottom w:val="single" w:sz="4" w:space="0" w:color="auto"/>
              <w:right w:val="single" w:sz="4" w:space="0" w:color="auto"/>
            </w:tcBorders>
          </w:tcPr>
          <w:p w14:paraId="7DAE6634"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Section 85 – General Schedule</w:t>
            </w:r>
          </w:p>
        </w:tc>
      </w:tr>
      <w:tr w:rsidR="008F0DF9" w:rsidRPr="0074058E" w14:paraId="580AC310"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0DC90467" w14:textId="77777777" w:rsidR="008F0DF9" w:rsidRPr="0074058E" w:rsidRDefault="008F0DF9" w:rsidP="00B515E3">
            <w:pPr>
              <w:pStyle w:val="TableText"/>
              <w:keepNext w:val="0"/>
              <w:widowControl w:val="0"/>
              <w:spacing w:line="256" w:lineRule="auto"/>
              <w:rPr>
                <w:rFonts w:eastAsia="Times New Roman" w:cs="Times New Roman"/>
                <w:snapToGrid w:val="0"/>
              </w:rPr>
            </w:pPr>
            <w:r w:rsidRPr="0074058E">
              <w:rPr>
                <w:rFonts w:eastAsia="Times New Roman" w:cs="Times New Roman"/>
                <w:snapToGrid w:val="0"/>
              </w:rPr>
              <w:t>Prescriber type</w:t>
            </w:r>
          </w:p>
        </w:tc>
        <w:tc>
          <w:tcPr>
            <w:tcW w:w="4166" w:type="pct"/>
            <w:tcBorders>
              <w:top w:val="single" w:sz="4" w:space="0" w:color="auto"/>
              <w:left w:val="single" w:sz="4" w:space="0" w:color="auto"/>
              <w:bottom w:val="single" w:sz="4" w:space="0" w:color="auto"/>
              <w:right w:val="single" w:sz="4" w:space="0" w:color="auto"/>
            </w:tcBorders>
          </w:tcPr>
          <w:p w14:paraId="73BA959E"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fldChar w:fldCharType="begin" w:fldLock="1">
                <w:ffData>
                  <w:name w:val="Check1"/>
                  <w:enabled/>
                  <w:calcOnExit w:val="0"/>
                  <w:checkBox>
                    <w:sizeAuto/>
                    <w:default w:val="1"/>
                  </w:checkBox>
                </w:ffData>
              </w:fldChar>
            </w:r>
            <w:r w:rsidRPr="0074058E">
              <w:rPr>
                <w:rFonts w:eastAsia="Times New Roman" w:cs="Times New Roman"/>
                <w:snapToGrid w:val="0"/>
                <w:color w:val="000000"/>
              </w:rPr>
              <w:instrText xml:space="preserve"> FORMCHECKBOX </w:instrText>
            </w:r>
            <w:r w:rsidR="00663A0C">
              <w:fldChar w:fldCharType="separate"/>
            </w:r>
            <w:r w:rsidRPr="0074058E">
              <w:fldChar w:fldCharType="end"/>
            </w:r>
            <w:r w:rsidRPr="0074058E">
              <w:rPr>
                <w:rFonts w:eastAsia="Times New Roman" w:cs="Times New Roman"/>
                <w:snapToGrid w:val="0"/>
                <w:color w:val="000000"/>
              </w:rPr>
              <w:t xml:space="preserve"> Medical Practitioners </w:t>
            </w:r>
          </w:p>
        </w:tc>
      </w:tr>
      <w:tr w:rsidR="008F0DF9" w:rsidRPr="0074058E" w14:paraId="7317BF45"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2FEA0F9C" w14:textId="77777777" w:rsidR="008F0DF9" w:rsidRPr="0074058E" w:rsidRDefault="008F0DF9" w:rsidP="00B515E3">
            <w:pPr>
              <w:pStyle w:val="TableText"/>
              <w:keepNext w:val="0"/>
              <w:widowControl w:val="0"/>
              <w:spacing w:line="256" w:lineRule="auto"/>
              <w:rPr>
                <w:rFonts w:eastAsia="Times New Roman" w:cs="Times New Roman"/>
                <w:snapToGrid w:val="0"/>
              </w:rPr>
            </w:pPr>
            <w:r w:rsidRPr="0074058E">
              <w:rPr>
                <w:rFonts w:eastAsia="Times New Roman" w:cs="Times New Roman"/>
                <w:snapToGrid w:val="0"/>
              </w:rPr>
              <w:t>Condition</w:t>
            </w:r>
          </w:p>
        </w:tc>
        <w:tc>
          <w:tcPr>
            <w:tcW w:w="4166" w:type="pct"/>
            <w:tcBorders>
              <w:top w:val="single" w:sz="4" w:space="0" w:color="auto"/>
              <w:left w:val="single" w:sz="4" w:space="0" w:color="auto"/>
              <w:bottom w:val="single" w:sz="4" w:space="0" w:color="auto"/>
              <w:right w:val="single" w:sz="4" w:space="0" w:color="auto"/>
            </w:tcBorders>
          </w:tcPr>
          <w:p w14:paraId="4165A27F"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High grade stage III/IV epithelial ovarian, fallopian tube or primary peritoneal cancer</w:t>
            </w:r>
          </w:p>
        </w:tc>
      </w:tr>
      <w:tr w:rsidR="008F0DF9" w:rsidRPr="0074058E" w14:paraId="58B0C038"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7111B1CD" w14:textId="77777777" w:rsidR="008F0DF9" w:rsidRPr="0074058E" w:rsidRDefault="008F0DF9" w:rsidP="00B515E3">
            <w:pPr>
              <w:pStyle w:val="TableText"/>
              <w:keepNext w:val="0"/>
              <w:widowControl w:val="0"/>
              <w:spacing w:line="256" w:lineRule="auto"/>
              <w:rPr>
                <w:rFonts w:eastAsia="Times New Roman" w:cs="Times New Roman"/>
                <w:snapToGrid w:val="0"/>
              </w:rPr>
            </w:pPr>
            <w:r w:rsidRPr="0074058E">
              <w:rPr>
                <w:rFonts w:eastAsia="Times New Roman" w:cs="Times New Roman"/>
                <w:snapToGrid w:val="0"/>
              </w:rPr>
              <w:lastRenderedPageBreak/>
              <w:t>PBS Indication</w:t>
            </w:r>
          </w:p>
        </w:tc>
        <w:tc>
          <w:tcPr>
            <w:tcW w:w="4166" w:type="pct"/>
            <w:tcBorders>
              <w:top w:val="single" w:sz="4" w:space="0" w:color="auto"/>
              <w:left w:val="single" w:sz="4" w:space="0" w:color="auto"/>
              <w:bottom w:val="single" w:sz="4" w:space="0" w:color="auto"/>
              <w:right w:val="single" w:sz="4" w:space="0" w:color="auto"/>
            </w:tcBorders>
          </w:tcPr>
          <w:p w14:paraId="4EDEE980"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High grade stage III/IV epithelial ovarian, fallopian tube or primary peritoneal cancer</w:t>
            </w:r>
          </w:p>
        </w:tc>
      </w:tr>
      <w:tr w:rsidR="006878D0" w:rsidRPr="0074058E" w14:paraId="0B218003"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2FF5C7E4" w14:textId="77777777" w:rsidR="006878D0" w:rsidRPr="0074058E" w:rsidRDefault="006878D0" w:rsidP="00B515E3">
            <w:pPr>
              <w:pStyle w:val="TableText"/>
              <w:keepNext w:val="0"/>
              <w:widowControl w:val="0"/>
              <w:spacing w:line="256" w:lineRule="auto"/>
            </w:pPr>
            <w:r w:rsidRPr="0074058E">
              <w:t>Administrative Advice</w:t>
            </w:r>
          </w:p>
        </w:tc>
        <w:tc>
          <w:tcPr>
            <w:tcW w:w="4166" w:type="pct"/>
            <w:tcBorders>
              <w:top w:val="single" w:sz="4" w:space="0" w:color="auto"/>
              <w:left w:val="single" w:sz="4" w:space="0" w:color="auto"/>
              <w:bottom w:val="single" w:sz="4" w:space="0" w:color="auto"/>
              <w:right w:val="single" w:sz="4" w:space="0" w:color="auto"/>
            </w:tcBorders>
            <w:vAlign w:val="center"/>
          </w:tcPr>
          <w:p w14:paraId="03025272" w14:textId="77777777" w:rsidR="006878D0" w:rsidRPr="0074058E" w:rsidRDefault="006878D0" w:rsidP="00B515E3">
            <w:pPr>
              <w:widowControl w:val="0"/>
              <w:jc w:val="left"/>
              <w:rPr>
                <w:rFonts w:ascii="Arial Narrow" w:hAnsi="Arial Narrow"/>
                <w:sz w:val="20"/>
              </w:rPr>
            </w:pPr>
            <w:r w:rsidRPr="0074058E">
              <w:rPr>
                <w:rFonts w:ascii="Arial Narrow" w:hAnsi="Arial Narrow"/>
                <w:sz w:val="20"/>
              </w:rPr>
              <w:t>Special Pricing Arrangements apply</w:t>
            </w:r>
          </w:p>
        </w:tc>
      </w:tr>
      <w:tr w:rsidR="006878D0" w:rsidRPr="0074058E" w14:paraId="43E7B387"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114FDA7A" w14:textId="77777777" w:rsidR="006878D0" w:rsidRPr="0074058E" w:rsidRDefault="006878D0" w:rsidP="00B515E3">
            <w:pPr>
              <w:pStyle w:val="TableText"/>
              <w:keepNext w:val="0"/>
              <w:widowControl w:val="0"/>
              <w:spacing w:line="256" w:lineRule="auto"/>
              <w:rPr>
                <w:rFonts w:eastAsia="Times New Roman" w:cs="Times New Roman"/>
                <w:snapToGrid w:val="0"/>
              </w:rPr>
            </w:pPr>
            <w:r w:rsidRPr="0074058E">
              <w:t>Administrative Advice</w:t>
            </w:r>
          </w:p>
        </w:tc>
        <w:tc>
          <w:tcPr>
            <w:tcW w:w="4166" w:type="pct"/>
            <w:tcBorders>
              <w:top w:val="single" w:sz="4" w:space="0" w:color="auto"/>
              <w:left w:val="single" w:sz="4" w:space="0" w:color="auto"/>
              <w:bottom w:val="single" w:sz="4" w:space="0" w:color="auto"/>
              <w:right w:val="single" w:sz="4" w:space="0" w:color="auto"/>
            </w:tcBorders>
          </w:tcPr>
          <w:p w14:paraId="3F7D45B3" w14:textId="77777777" w:rsidR="006878D0" w:rsidRPr="0074058E" w:rsidRDefault="006878D0" w:rsidP="00B515E3">
            <w:pPr>
              <w:pStyle w:val="TableText"/>
              <w:keepNext w:val="0"/>
              <w:widowControl w:val="0"/>
              <w:spacing w:line="256" w:lineRule="auto"/>
              <w:rPr>
                <w:rFonts w:eastAsia="Times New Roman" w:cs="Times New Roman"/>
                <w:snapToGrid w:val="0"/>
                <w:color w:val="000000"/>
              </w:rPr>
            </w:pPr>
            <w:r w:rsidRPr="0074058E">
              <w:t xml:space="preserve">Applications for authorisation under this restriction may </w:t>
            </w:r>
            <w:proofErr w:type="gramStart"/>
            <w:r w:rsidRPr="0074058E">
              <w:t>be made</w:t>
            </w:r>
            <w:proofErr w:type="gramEnd"/>
            <w:r w:rsidRPr="0074058E">
              <w:t xml:space="preserve"> in real time using the Online PBS Authorities system (see www.servicesaustralia.gov.au/HPOS) or by telephone by contacting Services Australia on 1800 888 333.</w:t>
            </w:r>
          </w:p>
        </w:tc>
      </w:tr>
      <w:tr w:rsidR="006878D0" w:rsidRPr="0074058E" w14:paraId="47851327" w14:textId="77777777" w:rsidTr="00E50846">
        <w:trPr>
          <w:trHeight w:val="20"/>
        </w:trPr>
        <w:tc>
          <w:tcPr>
            <w:tcW w:w="834" w:type="pct"/>
            <w:tcBorders>
              <w:top w:val="single" w:sz="4" w:space="0" w:color="auto"/>
              <w:left w:val="single" w:sz="4" w:space="0" w:color="auto"/>
              <w:bottom w:val="single" w:sz="4" w:space="0" w:color="auto"/>
              <w:right w:val="single" w:sz="4" w:space="0" w:color="auto"/>
            </w:tcBorders>
          </w:tcPr>
          <w:p w14:paraId="3CFB5107" w14:textId="77777777" w:rsidR="006878D0" w:rsidRPr="0074058E" w:rsidRDefault="006878D0" w:rsidP="00E50846">
            <w:pPr>
              <w:pStyle w:val="TableText"/>
              <w:keepNext w:val="0"/>
              <w:widowControl w:val="0"/>
              <w:spacing w:line="256" w:lineRule="auto"/>
              <w:rPr>
                <w:rFonts w:eastAsia="Times New Roman" w:cs="Times New Roman"/>
                <w:snapToGrid w:val="0"/>
              </w:rPr>
            </w:pPr>
            <w:r w:rsidRPr="0074058E">
              <w:rPr>
                <w:rFonts w:eastAsia="Times New Roman" w:cs="Times New Roman"/>
                <w:snapToGrid w:val="0"/>
              </w:rPr>
              <w:t>Restriction</w:t>
            </w:r>
          </w:p>
        </w:tc>
        <w:tc>
          <w:tcPr>
            <w:tcW w:w="4166" w:type="pct"/>
            <w:tcBorders>
              <w:top w:val="single" w:sz="4" w:space="0" w:color="auto"/>
              <w:left w:val="single" w:sz="4" w:space="0" w:color="auto"/>
              <w:bottom w:val="single" w:sz="4" w:space="0" w:color="auto"/>
              <w:right w:val="single" w:sz="4" w:space="0" w:color="auto"/>
            </w:tcBorders>
          </w:tcPr>
          <w:p w14:paraId="10605CC0" w14:textId="77777777" w:rsidR="006878D0" w:rsidRPr="0074058E" w:rsidRDefault="006878D0" w:rsidP="00E50846">
            <w:pPr>
              <w:pStyle w:val="TableText"/>
              <w:keepNext w:val="0"/>
              <w:widowControl w:val="0"/>
              <w:spacing w:line="256" w:lineRule="auto"/>
              <w:rPr>
                <w:rFonts w:eastAsia="Times New Roman" w:cs="Times New Roman"/>
                <w:snapToGrid w:val="0"/>
                <w:color w:val="000000"/>
              </w:rPr>
            </w:pPr>
            <w:r w:rsidRPr="0074058E">
              <w:fldChar w:fldCharType="begin" w:fldLock="1">
                <w:ffData>
                  <w:name w:val="Check1"/>
                  <w:enabled/>
                  <w:calcOnExit w:val="0"/>
                  <w:checkBox>
                    <w:sizeAuto/>
                    <w:default w:val="1"/>
                  </w:checkBox>
                </w:ffData>
              </w:fldChar>
            </w:r>
            <w:r w:rsidRPr="0074058E">
              <w:rPr>
                <w:rFonts w:eastAsia="Times New Roman" w:cs="Times New Roman"/>
                <w:snapToGrid w:val="0"/>
                <w:color w:val="000000"/>
              </w:rPr>
              <w:instrText xml:space="preserve"> FORMCHECKBOX </w:instrText>
            </w:r>
            <w:r w:rsidR="00663A0C">
              <w:fldChar w:fldCharType="separate"/>
            </w:r>
            <w:r w:rsidRPr="0074058E">
              <w:fldChar w:fldCharType="end"/>
            </w:r>
            <w:r w:rsidRPr="0074058E">
              <w:rPr>
                <w:rFonts w:eastAsia="Times New Roman" w:cs="Times New Roman"/>
                <w:snapToGrid w:val="0"/>
                <w:color w:val="000000"/>
              </w:rPr>
              <w:t xml:space="preserve"> Authority Required – Telephone </w:t>
            </w:r>
          </w:p>
          <w:p w14:paraId="5BD2F81B" w14:textId="77777777" w:rsidR="006878D0" w:rsidRPr="0074058E" w:rsidRDefault="006878D0" w:rsidP="00E50846">
            <w:pPr>
              <w:pStyle w:val="TableText"/>
              <w:keepNext w:val="0"/>
              <w:widowControl w:val="0"/>
              <w:spacing w:line="256" w:lineRule="auto"/>
              <w:rPr>
                <w:rFonts w:eastAsia="Times New Roman" w:cs="Times New Roman"/>
                <w:snapToGrid w:val="0"/>
                <w:color w:val="000000"/>
              </w:rPr>
            </w:pPr>
            <w:r w:rsidRPr="0074058E">
              <w:fldChar w:fldCharType="begin" w:fldLock="1">
                <w:ffData>
                  <w:name w:val=""/>
                  <w:enabled/>
                  <w:calcOnExit w:val="0"/>
                  <w:checkBox>
                    <w:sizeAuto/>
                    <w:default w:val="1"/>
                  </w:checkBox>
                </w:ffData>
              </w:fldChar>
            </w:r>
            <w:r w:rsidRPr="0074058E">
              <w:rPr>
                <w:rFonts w:eastAsia="Times New Roman" w:cs="Times New Roman"/>
                <w:snapToGrid w:val="0"/>
                <w:color w:val="000000"/>
              </w:rPr>
              <w:instrText xml:space="preserve"> FORMCHECKBOX </w:instrText>
            </w:r>
            <w:r w:rsidR="00663A0C">
              <w:fldChar w:fldCharType="separate"/>
            </w:r>
            <w:r w:rsidRPr="0074058E">
              <w:fldChar w:fldCharType="end"/>
            </w:r>
            <w:r w:rsidRPr="0074058E">
              <w:rPr>
                <w:rFonts w:eastAsia="Times New Roman" w:cs="Times New Roman"/>
                <w:snapToGrid w:val="0"/>
                <w:color w:val="000000"/>
              </w:rPr>
              <w:t xml:space="preserve"> Authority Required – Electronic</w:t>
            </w:r>
          </w:p>
        </w:tc>
      </w:tr>
      <w:tr w:rsidR="006878D0" w:rsidRPr="0074058E" w14:paraId="7B80872E"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4ED66347" w14:textId="77777777" w:rsidR="006878D0" w:rsidRPr="0074058E" w:rsidRDefault="006878D0" w:rsidP="00B515E3">
            <w:pPr>
              <w:pStyle w:val="TableText"/>
              <w:keepNext w:val="0"/>
              <w:widowControl w:val="0"/>
              <w:spacing w:line="256" w:lineRule="auto"/>
            </w:pPr>
          </w:p>
        </w:tc>
        <w:tc>
          <w:tcPr>
            <w:tcW w:w="4166" w:type="pct"/>
            <w:tcBorders>
              <w:top w:val="single" w:sz="4" w:space="0" w:color="auto"/>
              <w:left w:val="single" w:sz="4" w:space="0" w:color="auto"/>
              <w:bottom w:val="single" w:sz="4" w:space="0" w:color="auto"/>
              <w:right w:val="single" w:sz="4" w:space="0" w:color="auto"/>
            </w:tcBorders>
            <w:vAlign w:val="center"/>
          </w:tcPr>
          <w:p w14:paraId="11AB8100" w14:textId="77777777" w:rsidR="006878D0" w:rsidRPr="0074058E" w:rsidRDefault="006878D0" w:rsidP="00B515E3">
            <w:pPr>
              <w:widowControl w:val="0"/>
              <w:jc w:val="left"/>
              <w:rPr>
                <w:rFonts w:ascii="Arial Narrow" w:hAnsi="Arial Narrow"/>
                <w:sz w:val="20"/>
              </w:rPr>
            </w:pPr>
          </w:p>
        </w:tc>
      </w:tr>
      <w:tr w:rsidR="008F0DF9" w:rsidRPr="0074058E" w14:paraId="4AE08965"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0FCB13B1" w14:textId="77777777" w:rsidR="008F0DF9" w:rsidRPr="0074058E" w:rsidRDefault="008F0DF9" w:rsidP="00B515E3">
            <w:pPr>
              <w:pStyle w:val="TableText"/>
              <w:keepNext w:val="0"/>
              <w:widowControl w:val="0"/>
              <w:spacing w:line="256" w:lineRule="auto"/>
              <w:rPr>
                <w:rFonts w:eastAsia="Times New Roman" w:cs="Times New Roman"/>
                <w:snapToGrid w:val="0"/>
              </w:rPr>
            </w:pPr>
            <w:r w:rsidRPr="0074058E">
              <w:rPr>
                <w:rFonts w:eastAsia="Times New Roman" w:cs="Times New Roman"/>
                <w:snapToGrid w:val="0"/>
              </w:rPr>
              <w:t>Treatment phase</w:t>
            </w:r>
          </w:p>
        </w:tc>
        <w:tc>
          <w:tcPr>
            <w:tcW w:w="4166" w:type="pct"/>
            <w:tcBorders>
              <w:top w:val="single" w:sz="4" w:space="0" w:color="auto"/>
              <w:left w:val="single" w:sz="4" w:space="0" w:color="auto"/>
              <w:bottom w:val="single" w:sz="4" w:space="0" w:color="auto"/>
              <w:right w:val="single" w:sz="4" w:space="0" w:color="auto"/>
            </w:tcBorders>
          </w:tcPr>
          <w:p w14:paraId="7CBF1DA0"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Initial treatment – first line treatment</w:t>
            </w:r>
          </w:p>
        </w:tc>
      </w:tr>
      <w:tr w:rsidR="008F0DF9" w:rsidRPr="0074058E" w14:paraId="108F3D17"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0F1A6532" w14:textId="77777777" w:rsidR="008F0DF9" w:rsidRPr="0074058E" w:rsidRDefault="008F0DF9" w:rsidP="00B515E3">
            <w:pPr>
              <w:pStyle w:val="TableText"/>
              <w:keepNext w:val="0"/>
              <w:widowControl w:val="0"/>
              <w:spacing w:line="256" w:lineRule="auto"/>
              <w:rPr>
                <w:rFonts w:eastAsia="Times New Roman" w:cs="Times New Roman"/>
                <w:snapToGrid w:val="0"/>
              </w:rPr>
            </w:pPr>
            <w:r w:rsidRPr="0074058E">
              <w:rPr>
                <w:rFonts w:eastAsia="Times New Roman" w:cs="Times New Roman"/>
                <w:snapToGrid w:val="0"/>
              </w:rPr>
              <w:t>Clinical criteria</w:t>
            </w:r>
          </w:p>
        </w:tc>
        <w:tc>
          <w:tcPr>
            <w:tcW w:w="4166" w:type="pct"/>
            <w:tcBorders>
              <w:top w:val="single" w:sz="4" w:space="0" w:color="auto"/>
              <w:left w:val="single" w:sz="4" w:space="0" w:color="auto"/>
              <w:bottom w:val="single" w:sz="4" w:space="0" w:color="auto"/>
              <w:right w:val="single" w:sz="4" w:space="0" w:color="auto"/>
            </w:tcBorders>
          </w:tcPr>
          <w:p w14:paraId="02A8E7F7"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 xml:space="preserve">The condition must be associated with homologous recombination deficiency (HRD) positive status defined by genomic instability </w:t>
            </w:r>
          </w:p>
          <w:p w14:paraId="24D79612"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AND</w:t>
            </w:r>
          </w:p>
          <w:p w14:paraId="7DA4F1E0"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 xml:space="preserve">The condition must not be associated with a class 4 or 5 </w:t>
            </w:r>
            <w:r w:rsidRPr="0074058E">
              <w:rPr>
                <w:rFonts w:eastAsia="Times New Roman" w:cs="Times New Roman"/>
                <w:i/>
                <w:iCs/>
                <w:snapToGrid w:val="0"/>
                <w:color w:val="000000"/>
              </w:rPr>
              <w:t>BRCA1</w:t>
            </w:r>
            <w:r w:rsidRPr="0074058E">
              <w:rPr>
                <w:rFonts w:eastAsia="Times New Roman" w:cs="Times New Roman"/>
                <w:snapToGrid w:val="0"/>
                <w:color w:val="000000"/>
              </w:rPr>
              <w:t xml:space="preserve"> or </w:t>
            </w:r>
            <w:r w:rsidRPr="0074058E">
              <w:rPr>
                <w:rFonts w:eastAsia="Times New Roman" w:cs="Times New Roman"/>
                <w:i/>
                <w:iCs/>
                <w:snapToGrid w:val="0"/>
                <w:color w:val="000000"/>
              </w:rPr>
              <w:t>BRCA2</w:t>
            </w:r>
            <w:r w:rsidRPr="0074058E">
              <w:rPr>
                <w:rFonts w:eastAsia="Times New Roman" w:cs="Times New Roman"/>
                <w:snapToGrid w:val="0"/>
                <w:color w:val="000000"/>
              </w:rPr>
              <w:t xml:space="preserve"> pathogenic variant</w:t>
            </w:r>
          </w:p>
          <w:p w14:paraId="3BE01E34"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AND</w:t>
            </w:r>
          </w:p>
          <w:p w14:paraId="1FF3863C"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Patient must be in partial or complete response to the immediately preceding platinum-based chemotherapy regimen prior to commencing treatment with this drug for this condition,</w:t>
            </w:r>
          </w:p>
          <w:p w14:paraId="5C71815D"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AND</w:t>
            </w:r>
          </w:p>
          <w:p w14:paraId="097CB743"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Patient must not have previously received PBS-subsidised treatment with this drug for this condition</w:t>
            </w:r>
          </w:p>
        </w:tc>
      </w:tr>
      <w:tr w:rsidR="008F0DF9" w:rsidRPr="0074058E" w14:paraId="598DBC5C"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62275439" w14:textId="77777777" w:rsidR="008F0DF9" w:rsidRPr="0074058E" w:rsidRDefault="008F0DF9" w:rsidP="00B515E3">
            <w:pPr>
              <w:pStyle w:val="TableText"/>
              <w:keepNext w:val="0"/>
              <w:widowControl w:val="0"/>
              <w:spacing w:line="256" w:lineRule="auto"/>
              <w:rPr>
                <w:rFonts w:eastAsia="Times New Roman" w:cs="Times New Roman"/>
                <w:snapToGrid w:val="0"/>
              </w:rPr>
            </w:pPr>
            <w:r w:rsidRPr="0074058E">
              <w:rPr>
                <w:rFonts w:eastAsia="Times New Roman" w:cs="Times New Roman"/>
                <w:snapToGrid w:val="0"/>
              </w:rPr>
              <w:t>Prescriber Instructions</w:t>
            </w:r>
          </w:p>
        </w:tc>
        <w:tc>
          <w:tcPr>
            <w:tcW w:w="4166" w:type="pct"/>
            <w:tcBorders>
              <w:top w:val="single" w:sz="4" w:space="0" w:color="auto"/>
              <w:left w:val="single" w:sz="4" w:space="0" w:color="auto"/>
              <w:bottom w:val="single" w:sz="4" w:space="0" w:color="auto"/>
              <w:right w:val="single" w:sz="4" w:space="0" w:color="auto"/>
            </w:tcBorders>
          </w:tcPr>
          <w:p w14:paraId="19D709BE" w14:textId="77777777" w:rsidR="008F0DF9" w:rsidRPr="0074058E" w:rsidRDefault="008F0DF9" w:rsidP="00B515E3">
            <w:pPr>
              <w:widowControl w:val="0"/>
              <w:ind w:left="1"/>
              <w:jc w:val="left"/>
              <w:textAlignment w:val="baseline"/>
              <w:rPr>
                <w:rFonts w:ascii="Arial Narrow" w:hAnsi="Arial Narrow"/>
                <w:sz w:val="20"/>
                <w:lang w:bidi="en-US"/>
              </w:rPr>
            </w:pPr>
            <w:r w:rsidRPr="0074058E">
              <w:rPr>
                <w:rFonts w:ascii="Arial Narrow" w:hAnsi="Arial Narrow"/>
                <w:sz w:val="20"/>
              </w:rPr>
              <w:t xml:space="preserve">Evidence of no germline or somatic class 4 or 5 pathogenic </w:t>
            </w:r>
            <w:r w:rsidRPr="0074058E">
              <w:rPr>
                <w:rFonts w:ascii="Arial Narrow" w:hAnsi="Arial Narrow"/>
                <w:i/>
                <w:iCs/>
                <w:sz w:val="20"/>
              </w:rPr>
              <w:t>BRCA</w:t>
            </w:r>
            <w:r w:rsidRPr="0074058E">
              <w:rPr>
                <w:rFonts w:ascii="Arial Narrow" w:hAnsi="Arial Narrow"/>
                <w:sz w:val="20"/>
              </w:rPr>
              <w:t xml:space="preserve">1 or </w:t>
            </w:r>
            <w:r w:rsidRPr="0074058E">
              <w:rPr>
                <w:rFonts w:ascii="Arial Narrow" w:hAnsi="Arial Narrow"/>
                <w:i/>
                <w:iCs/>
                <w:sz w:val="20"/>
              </w:rPr>
              <w:t>BRCA</w:t>
            </w:r>
            <w:r w:rsidRPr="0074058E">
              <w:rPr>
                <w:rFonts w:ascii="Arial Narrow" w:hAnsi="Arial Narrow"/>
                <w:sz w:val="20"/>
              </w:rPr>
              <w:t xml:space="preserve">2 gene mutation must </w:t>
            </w:r>
            <w:proofErr w:type="gramStart"/>
            <w:r w:rsidRPr="0074058E">
              <w:rPr>
                <w:rFonts w:ascii="Arial Narrow" w:hAnsi="Arial Narrow"/>
                <w:sz w:val="20"/>
              </w:rPr>
              <w:t>be derived</w:t>
            </w:r>
            <w:proofErr w:type="gramEnd"/>
            <w:r w:rsidRPr="0074058E">
              <w:rPr>
                <w:rFonts w:ascii="Arial Narrow" w:hAnsi="Arial Narrow"/>
                <w:sz w:val="20"/>
              </w:rPr>
              <w:t xml:space="preserve"> through [TBC,</w:t>
            </w:r>
            <w:r w:rsidRPr="0074058E">
              <w:rPr>
                <w:rFonts w:ascii="Arial Narrow" w:hAnsi="Arial Narrow"/>
                <w:sz w:val="20"/>
                <w:lang w:bidi="en-US"/>
              </w:rPr>
              <w:t xml:space="preserve"> further detail required]</w:t>
            </w:r>
            <w:r w:rsidRPr="0074058E">
              <w:rPr>
                <w:rFonts w:ascii="Arial Narrow" w:hAnsi="Arial Narrow"/>
                <w:sz w:val="20"/>
              </w:rPr>
              <w:t xml:space="preserve">, </w:t>
            </w:r>
          </w:p>
          <w:p w14:paraId="699D7B3D" w14:textId="77777777" w:rsidR="008F0DF9" w:rsidRPr="0074058E" w:rsidRDefault="008F0DF9" w:rsidP="00B515E3">
            <w:pPr>
              <w:widowControl w:val="0"/>
              <w:jc w:val="left"/>
              <w:rPr>
                <w:i/>
                <w:iCs/>
                <w:sz w:val="20"/>
              </w:rPr>
            </w:pPr>
            <w:r w:rsidRPr="0074058E">
              <w:rPr>
                <w:rFonts w:ascii="Arial Narrow" w:hAnsi="Arial Narrow"/>
                <w:sz w:val="20"/>
                <w:lang w:bidi="en-US"/>
              </w:rPr>
              <w:t>Evidence of genomic instability must be derived through a validated HRD assay</w:t>
            </w:r>
            <w:r w:rsidRPr="0074058E">
              <w:rPr>
                <w:sz w:val="20"/>
              </w:rPr>
              <w:t xml:space="preserve"> </w:t>
            </w:r>
            <w:r w:rsidRPr="0074058E">
              <w:rPr>
                <w:rFonts w:ascii="Arial Narrow" w:hAnsi="Arial Narrow"/>
                <w:sz w:val="20"/>
                <w:lang w:bidi="en-US"/>
              </w:rPr>
              <w:t xml:space="preserve">where HRD positive status is defined as a Genomic Instability Score (GIS) exceeding </w:t>
            </w:r>
            <w:proofErr w:type="gramStart"/>
            <w:r w:rsidRPr="0074058E">
              <w:rPr>
                <w:rFonts w:ascii="Arial Narrow" w:hAnsi="Arial Narrow"/>
                <w:sz w:val="20"/>
                <w:lang w:bidi="en-US"/>
              </w:rPr>
              <w:t>42</w:t>
            </w:r>
            <w:proofErr w:type="gramEnd"/>
            <w:r w:rsidRPr="0074058E">
              <w:rPr>
                <w:rFonts w:ascii="Arial Narrow" w:hAnsi="Arial Narrow"/>
                <w:sz w:val="20"/>
                <w:lang w:bidi="en-US"/>
              </w:rPr>
              <w:t xml:space="preserve"> using the Myriad myChoice HRD Plus assay or an assay and score threshold that has been validated against this standard.</w:t>
            </w:r>
          </w:p>
        </w:tc>
      </w:tr>
      <w:tr w:rsidR="006878D0" w:rsidRPr="0074058E" w14:paraId="4E19B270"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54E024F4" w14:textId="77777777" w:rsidR="006878D0" w:rsidRPr="0074058E" w:rsidRDefault="006878D0" w:rsidP="00B515E3">
            <w:pPr>
              <w:pStyle w:val="TableText"/>
              <w:keepNext w:val="0"/>
              <w:widowControl w:val="0"/>
              <w:spacing w:line="256" w:lineRule="auto"/>
              <w:rPr>
                <w:rFonts w:eastAsia="Times New Roman" w:cs="Times New Roman"/>
                <w:snapToGrid w:val="0"/>
              </w:rPr>
            </w:pPr>
          </w:p>
        </w:tc>
        <w:tc>
          <w:tcPr>
            <w:tcW w:w="4166" w:type="pct"/>
            <w:tcBorders>
              <w:top w:val="single" w:sz="4" w:space="0" w:color="auto"/>
              <w:left w:val="single" w:sz="4" w:space="0" w:color="auto"/>
              <w:bottom w:val="single" w:sz="4" w:space="0" w:color="auto"/>
              <w:right w:val="single" w:sz="4" w:space="0" w:color="auto"/>
            </w:tcBorders>
          </w:tcPr>
          <w:p w14:paraId="35F68A05" w14:textId="77777777" w:rsidR="006878D0" w:rsidRPr="0074058E" w:rsidRDefault="006878D0" w:rsidP="00B515E3">
            <w:pPr>
              <w:widowControl w:val="0"/>
              <w:ind w:left="1"/>
              <w:jc w:val="left"/>
              <w:textAlignment w:val="baseline"/>
              <w:rPr>
                <w:rFonts w:ascii="Arial Narrow" w:hAnsi="Arial Narrow"/>
                <w:sz w:val="20"/>
              </w:rPr>
            </w:pPr>
          </w:p>
        </w:tc>
      </w:tr>
      <w:tr w:rsidR="008F0DF9" w:rsidRPr="0074058E" w14:paraId="664591EF"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08A7BED1" w14:textId="77777777" w:rsidR="008F0DF9" w:rsidRPr="0074058E" w:rsidRDefault="008F0DF9" w:rsidP="00B515E3">
            <w:pPr>
              <w:pStyle w:val="TableText"/>
              <w:keepNext w:val="0"/>
              <w:widowControl w:val="0"/>
              <w:spacing w:line="256" w:lineRule="auto"/>
              <w:rPr>
                <w:rFonts w:eastAsia="Times New Roman" w:cs="Times New Roman"/>
                <w:snapToGrid w:val="0"/>
              </w:rPr>
            </w:pPr>
            <w:r w:rsidRPr="0074058E">
              <w:rPr>
                <w:rFonts w:eastAsia="Times New Roman" w:cs="Times New Roman"/>
                <w:snapToGrid w:val="0"/>
              </w:rPr>
              <w:t>Treatment phase</w:t>
            </w:r>
          </w:p>
        </w:tc>
        <w:tc>
          <w:tcPr>
            <w:tcW w:w="4166" w:type="pct"/>
            <w:tcBorders>
              <w:top w:val="single" w:sz="4" w:space="0" w:color="auto"/>
              <w:left w:val="single" w:sz="4" w:space="0" w:color="auto"/>
              <w:bottom w:val="single" w:sz="4" w:space="0" w:color="auto"/>
              <w:right w:val="single" w:sz="4" w:space="0" w:color="auto"/>
            </w:tcBorders>
          </w:tcPr>
          <w:p w14:paraId="26500110"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Continuing treatment – first line treatment</w:t>
            </w:r>
          </w:p>
        </w:tc>
      </w:tr>
      <w:tr w:rsidR="008F0DF9" w:rsidRPr="0074058E" w14:paraId="5DBED7F8"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15FC76D6" w14:textId="77777777" w:rsidR="008F0DF9" w:rsidRPr="0074058E" w:rsidRDefault="008F0DF9" w:rsidP="00B515E3">
            <w:pPr>
              <w:pStyle w:val="TableText"/>
              <w:keepNext w:val="0"/>
              <w:widowControl w:val="0"/>
              <w:spacing w:line="256" w:lineRule="auto"/>
              <w:rPr>
                <w:rFonts w:eastAsia="Times New Roman" w:cs="Times New Roman"/>
                <w:snapToGrid w:val="0"/>
              </w:rPr>
            </w:pPr>
            <w:r w:rsidRPr="0074058E">
              <w:rPr>
                <w:rFonts w:eastAsia="Times New Roman" w:cs="Times New Roman"/>
                <w:snapToGrid w:val="0"/>
              </w:rPr>
              <w:t>Clinical criteria</w:t>
            </w:r>
          </w:p>
        </w:tc>
        <w:tc>
          <w:tcPr>
            <w:tcW w:w="4166" w:type="pct"/>
            <w:tcBorders>
              <w:top w:val="single" w:sz="4" w:space="0" w:color="auto"/>
              <w:left w:val="single" w:sz="4" w:space="0" w:color="auto"/>
              <w:bottom w:val="single" w:sz="4" w:space="0" w:color="auto"/>
              <w:right w:val="single" w:sz="4" w:space="0" w:color="auto"/>
            </w:tcBorders>
          </w:tcPr>
          <w:p w14:paraId="1167B0A2"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Patient must have received previous PBS-subsidised treatment with this drug as first line maintenance therapy for this condition</w:t>
            </w:r>
          </w:p>
          <w:p w14:paraId="51EFF5DE"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AND</w:t>
            </w:r>
          </w:p>
          <w:p w14:paraId="7DB81645"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Patient must not have developed disease progression while receiving treatment with this drug for this condition</w:t>
            </w:r>
          </w:p>
          <w:p w14:paraId="1A3B3FFE"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AND</w:t>
            </w:r>
          </w:p>
          <w:p w14:paraId="6E12AE8A" w14:textId="77777777" w:rsidR="008F0DF9" w:rsidRPr="0074058E" w:rsidRDefault="008F0DF9" w:rsidP="00B515E3">
            <w:pPr>
              <w:pStyle w:val="TableText"/>
              <w:keepNext w:val="0"/>
              <w:widowControl w:val="0"/>
              <w:spacing w:line="256" w:lineRule="auto"/>
              <w:rPr>
                <w:rFonts w:eastAsia="Times New Roman" w:cs="Times New Roman"/>
                <w:snapToGrid w:val="0"/>
                <w:color w:val="000000"/>
              </w:rPr>
            </w:pPr>
            <w:r w:rsidRPr="0074058E">
              <w:rPr>
                <w:rFonts w:eastAsia="Times New Roman" w:cs="Times New Roman"/>
                <w:snapToGrid w:val="0"/>
                <w:color w:val="000000"/>
              </w:rPr>
              <w:t>Treatment with olaparib must not exceed a total of 24 months of combined non-PBS subsidised and PBS-subsidised treatment for patients who are in complete response.</w:t>
            </w:r>
          </w:p>
        </w:tc>
      </w:tr>
      <w:tr w:rsidR="008F0DF9" w:rsidRPr="0074058E" w14:paraId="58B08173" w14:textId="77777777" w:rsidTr="00B515E3">
        <w:trPr>
          <w:trHeight w:val="20"/>
        </w:trPr>
        <w:tc>
          <w:tcPr>
            <w:tcW w:w="834" w:type="pct"/>
            <w:tcBorders>
              <w:top w:val="single" w:sz="4" w:space="0" w:color="auto"/>
              <w:left w:val="single" w:sz="4" w:space="0" w:color="auto"/>
              <w:bottom w:val="single" w:sz="4" w:space="0" w:color="auto"/>
              <w:right w:val="single" w:sz="4" w:space="0" w:color="auto"/>
            </w:tcBorders>
          </w:tcPr>
          <w:p w14:paraId="7DBEE32B" w14:textId="4A4DF8D4" w:rsidR="008F0DF9" w:rsidRPr="0074058E" w:rsidRDefault="008F0DF9" w:rsidP="00B515E3">
            <w:pPr>
              <w:pStyle w:val="TableText"/>
              <w:keepNext w:val="0"/>
              <w:widowControl w:val="0"/>
              <w:spacing w:line="256" w:lineRule="auto"/>
              <w:rPr>
                <w:rFonts w:eastAsia="Times New Roman" w:cs="Times New Roman"/>
                <w:snapToGrid w:val="0"/>
              </w:rPr>
            </w:pPr>
          </w:p>
        </w:tc>
        <w:tc>
          <w:tcPr>
            <w:tcW w:w="4166" w:type="pct"/>
            <w:tcBorders>
              <w:top w:val="single" w:sz="4" w:space="0" w:color="auto"/>
              <w:left w:val="single" w:sz="4" w:space="0" w:color="auto"/>
              <w:bottom w:val="single" w:sz="4" w:space="0" w:color="auto"/>
              <w:right w:val="single" w:sz="4" w:space="0" w:color="auto"/>
            </w:tcBorders>
            <w:vAlign w:val="center"/>
          </w:tcPr>
          <w:p w14:paraId="1F1DE395" w14:textId="573C95DC" w:rsidR="008F0DF9" w:rsidRPr="0074058E" w:rsidRDefault="008F0DF9" w:rsidP="00B515E3">
            <w:pPr>
              <w:pStyle w:val="TableText"/>
              <w:keepNext w:val="0"/>
              <w:widowControl w:val="0"/>
              <w:spacing w:line="256" w:lineRule="auto"/>
              <w:rPr>
                <w:rFonts w:eastAsia="Times New Roman" w:cs="Times New Roman"/>
                <w:snapToGrid w:val="0"/>
                <w:color w:val="000000"/>
              </w:rPr>
            </w:pPr>
          </w:p>
        </w:tc>
      </w:tr>
      <w:tr w:rsidR="006878D0" w:rsidRPr="0074058E" w14:paraId="436B0A84" w14:textId="77777777" w:rsidTr="00D93F3F">
        <w:trPr>
          <w:trHeight w:val="20"/>
        </w:trPr>
        <w:tc>
          <w:tcPr>
            <w:tcW w:w="834" w:type="pct"/>
            <w:tcBorders>
              <w:top w:val="single" w:sz="4" w:space="0" w:color="auto"/>
              <w:left w:val="single" w:sz="4" w:space="0" w:color="auto"/>
              <w:bottom w:val="single" w:sz="4" w:space="0" w:color="auto"/>
              <w:right w:val="single" w:sz="4" w:space="0" w:color="auto"/>
            </w:tcBorders>
            <w:vAlign w:val="center"/>
          </w:tcPr>
          <w:p w14:paraId="3A004909" w14:textId="051A83C1" w:rsidR="006878D0" w:rsidRPr="0074058E" w:rsidRDefault="006878D0" w:rsidP="006878D0">
            <w:pPr>
              <w:pStyle w:val="TableText"/>
              <w:keepNext w:val="0"/>
              <w:widowControl w:val="0"/>
              <w:spacing w:line="256" w:lineRule="auto"/>
              <w:rPr>
                <w:rFonts w:eastAsia="Times New Roman" w:cs="Times New Roman"/>
                <w:snapToGrid w:val="0"/>
              </w:rPr>
            </w:pPr>
            <w:r w:rsidRPr="0074058E">
              <w:t>Treatment phase</w:t>
            </w:r>
          </w:p>
        </w:tc>
        <w:tc>
          <w:tcPr>
            <w:tcW w:w="4166" w:type="pct"/>
            <w:tcBorders>
              <w:top w:val="single" w:sz="4" w:space="0" w:color="auto"/>
              <w:left w:val="single" w:sz="4" w:space="0" w:color="auto"/>
              <w:bottom w:val="single" w:sz="4" w:space="0" w:color="auto"/>
              <w:right w:val="single" w:sz="4" w:space="0" w:color="auto"/>
            </w:tcBorders>
          </w:tcPr>
          <w:p w14:paraId="37FEC226" w14:textId="653D2D5F" w:rsidR="006878D0" w:rsidRPr="0074058E" w:rsidRDefault="006878D0" w:rsidP="006878D0">
            <w:pPr>
              <w:pStyle w:val="TableText"/>
              <w:keepNext w:val="0"/>
              <w:widowControl w:val="0"/>
              <w:spacing w:line="256" w:lineRule="auto"/>
              <w:rPr>
                <w:rFonts w:eastAsia="Times New Roman" w:cs="Times New Roman"/>
                <w:snapToGrid w:val="0"/>
                <w:color w:val="000000"/>
              </w:rPr>
            </w:pPr>
            <w:r w:rsidRPr="0074058E">
              <w:t>Grandfather – treatment</w:t>
            </w:r>
          </w:p>
        </w:tc>
      </w:tr>
      <w:tr w:rsidR="006878D0" w:rsidRPr="0074058E" w14:paraId="11C2A9FB" w14:textId="77777777" w:rsidTr="00D93F3F">
        <w:trPr>
          <w:trHeight w:val="20"/>
        </w:trPr>
        <w:tc>
          <w:tcPr>
            <w:tcW w:w="834" w:type="pct"/>
            <w:tcBorders>
              <w:top w:val="single" w:sz="4" w:space="0" w:color="auto"/>
              <w:left w:val="single" w:sz="4" w:space="0" w:color="auto"/>
              <w:bottom w:val="single" w:sz="4" w:space="0" w:color="auto"/>
              <w:right w:val="single" w:sz="4" w:space="0" w:color="auto"/>
            </w:tcBorders>
            <w:vAlign w:val="center"/>
          </w:tcPr>
          <w:p w14:paraId="1FA01E24" w14:textId="7702806E" w:rsidR="006878D0" w:rsidRPr="0074058E" w:rsidRDefault="006878D0" w:rsidP="006878D0">
            <w:pPr>
              <w:pStyle w:val="TableText"/>
              <w:keepNext w:val="0"/>
              <w:widowControl w:val="0"/>
              <w:spacing w:line="256" w:lineRule="auto"/>
              <w:rPr>
                <w:rFonts w:eastAsia="Times New Roman" w:cs="Times New Roman"/>
                <w:snapToGrid w:val="0"/>
              </w:rPr>
            </w:pPr>
            <w:r w:rsidRPr="0074058E">
              <w:t>Clinical criteria</w:t>
            </w:r>
          </w:p>
        </w:tc>
        <w:tc>
          <w:tcPr>
            <w:tcW w:w="4166" w:type="pct"/>
            <w:tcBorders>
              <w:top w:val="single" w:sz="4" w:space="0" w:color="auto"/>
              <w:left w:val="single" w:sz="4" w:space="0" w:color="auto"/>
              <w:bottom w:val="single" w:sz="4" w:space="0" w:color="auto"/>
              <w:right w:val="single" w:sz="4" w:space="0" w:color="auto"/>
            </w:tcBorders>
          </w:tcPr>
          <w:p w14:paraId="360603E2" w14:textId="77777777" w:rsidR="006878D0" w:rsidRPr="0074058E" w:rsidRDefault="006878D0" w:rsidP="006878D0">
            <w:pPr>
              <w:pStyle w:val="TableText"/>
            </w:pPr>
            <w:r w:rsidRPr="0074058E">
              <w:t>Patient must have received non- PBS-subsidised treatment with this drug as first line maintenance therapy for this condition prior to [Date of PBS listing]</w:t>
            </w:r>
          </w:p>
          <w:p w14:paraId="1FCFBBC3" w14:textId="77777777" w:rsidR="006878D0" w:rsidRPr="0074058E" w:rsidRDefault="006878D0" w:rsidP="006878D0">
            <w:pPr>
              <w:pStyle w:val="TableText"/>
            </w:pPr>
            <w:r w:rsidRPr="0074058E">
              <w:t>AND</w:t>
            </w:r>
          </w:p>
          <w:p w14:paraId="7F62E654" w14:textId="77777777" w:rsidR="006878D0" w:rsidRPr="0074058E" w:rsidRDefault="006878D0" w:rsidP="006878D0">
            <w:pPr>
              <w:pStyle w:val="TableText"/>
            </w:pPr>
            <w:r w:rsidRPr="0074058E">
              <w:t>Patient must not have developed disease progression while receiving treatment with this drug for this condition</w:t>
            </w:r>
          </w:p>
          <w:p w14:paraId="102B1117" w14:textId="77777777" w:rsidR="006878D0" w:rsidRPr="0074058E" w:rsidRDefault="006878D0" w:rsidP="006878D0">
            <w:pPr>
              <w:pStyle w:val="TableText"/>
            </w:pPr>
            <w:r w:rsidRPr="0074058E">
              <w:t>AND</w:t>
            </w:r>
          </w:p>
          <w:p w14:paraId="5CB11D6C" w14:textId="5F3B5A79" w:rsidR="006878D0" w:rsidRPr="0074058E" w:rsidRDefault="006878D0" w:rsidP="006878D0">
            <w:pPr>
              <w:pStyle w:val="TableText"/>
              <w:keepNext w:val="0"/>
              <w:widowControl w:val="0"/>
              <w:spacing w:line="256" w:lineRule="auto"/>
              <w:rPr>
                <w:rFonts w:eastAsia="Times New Roman" w:cs="Times New Roman"/>
                <w:snapToGrid w:val="0"/>
                <w:color w:val="000000"/>
              </w:rPr>
            </w:pPr>
            <w:r w:rsidRPr="0074058E">
              <w:t>Treatment with olaparib must not exceed a total of 24 months of combined non-PBS subsidised and PBS-subsidised treatment for patients who are in complete response.</w:t>
            </w:r>
          </w:p>
        </w:tc>
      </w:tr>
    </w:tbl>
    <w:p w14:paraId="43DD8754" w14:textId="134286D8" w:rsidR="006878D0" w:rsidRPr="0074058E" w:rsidRDefault="006878D0" w:rsidP="006878D0">
      <w:pPr>
        <w:pStyle w:val="3-BodyText"/>
        <w:spacing w:before="120"/>
      </w:pPr>
      <w:r w:rsidRPr="0074058E">
        <w:t>The proposed effective dispensed price (DPMQ) in the resubmission ($</w:t>
      </w:r>
      <w:r w:rsidR="00ED35F2" w:rsidRPr="00B80215">
        <w:rPr>
          <w:color w:val="000000"/>
          <w:w w:val="60"/>
          <w:shd w:val="solid" w:color="000000" w:fill="000000"/>
          <w:fitText w:val="335" w:id="-1300508921"/>
          <w14:textFill>
            <w14:solidFill>
              <w14:srgbClr w14:val="000000">
                <w14:alpha w14:val="100000"/>
              </w14:srgbClr>
            </w14:solidFill>
          </w14:textFill>
        </w:rPr>
        <w:t>||  |</w:t>
      </w:r>
      <w:r w:rsidR="00ED35F2" w:rsidRPr="00B80215">
        <w:rPr>
          <w:color w:val="000000"/>
          <w:spacing w:val="4"/>
          <w:w w:val="60"/>
          <w:shd w:val="solid" w:color="000000" w:fill="000000"/>
          <w:fitText w:val="335" w:id="-1300508921"/>
          <w14:textFill>
            <w14:solidFill>
              <w14:srgbClr w14:val="000000">
                <w14:alpha w14:val="100000"/>
              </w14:srgbClr>
            </w14:solidFill>
          </w14:textFill>
        </w:rPr>
        <w:t>|</w:t>
      </w:r>
      <w:r w:rsidRPr="0074058E">
        <w:t>) was lower than the previous submission ($</w:t>
      </w:r>
      <w:r w:rsidR="00ED35F2" w:rsidRPr="00663A0C">
        <w:rPr>
          <w:color w:val="000000"/>
          <w:w w:val="15"/>
          <w:shd w:val="solid" w:color="000000" w:fill="000000"/>
          <w:fitText w:val="-20" w:id="-1300508920"/>
          <w14:textFill>
            <w14:solidFill>
              <w14:srgbClr w14:val="000000">
                <w14:alpha w14:val="100000"/>
              </w14:srgbClr>
            </w14:solidFill>
          </w14:textFill>
        </w:rPr>
        <w:t xml:space="preserve">|  </w:t>
      </w:r>
      <w:r w:rsidR="00ED35F2" w:rsidRPr="00663A0C">
        <w:rPr>
          <w:color w:val="000000"/>
          <w:spacing w:val="-69"/>
          <w:w w:val="15"/>
          <w:shd w:val="solid" w:color="000000" w:fill="000000"/>
          <w:fitText w:val="-20" w:id="-1300508920"/>
          <w14:textFill>
            <w14:solidFill>
              <w14:srgbClr w14:val="000000">
                <w14:alpha w14:val="100000"/>
              </w14:srgbClr>
            </w14:solidFill>
          </w14:textFill>
        </w:rPr>
        <w:t>|</w:t>
      </w:r>
      <w:r w:rsidRPr="0074058E">
        <w:t xml:space="preserve">). </w:t>
      </w:r>
    </w:p>
    <w:p w14:paraId="4E15FA9F" w14:textId="1589004F" w:rsidR="00575368" w:rsidRPr="0074058E" w:rsidRDefault="004B2E01" w:rsidP="006C5B33">
      <w:pPr>
        <w:pStyle w:val="3-BodyText"/>
      </w:pPr>
      <w:r w:rsidRPr="0074058E">
        <w:t xml:space="preserve">The </w:t>
      </w:r>
      <w:r w:rsidR="004F6160" w:rsidRPr="0074058E">
        <w:t>re</w:t>
      </w:r>
      <w:r w:rsidRPr="0074058E">
        <w:t xml:space="preserve">submission </w:t>
      </w:r>
      <w:r w:rsidR="004F6160" w:rsidRPr="0074058E">
        <w:t xml:space="preserve">accepted </w:t>
      </w:r>
      <w:r w:rsidR="007642CE" w:rsidRPr="0074058E">
        <w:t xml:space="preserve">the following </w:t>
      </w:r>
      <w:r w:rsidR="007E768B" w:rsidRPr="0074058E">
        <w:t>changes</w:t>
      </w:r>
      <w:r w:rsidR="007642CE" w:rsidRPr="0074058E">
        <w:t xml:space="preserve"> </w:t>
      </w:r>
      <w:r w:rsidR="004F6160" w:rsidRPr="0074058E">
        <w:t>to the previously considered PBS restriction:</w:t>
      </w:r>
    </w:p>
    <w:p w14:paraId="61A1C4A5" w14:textId="1D8A4637" w:rsidR="000E3B2D" w:rsidRPr="0074058E" w:rsidRDefault="000E3B2D" w:rsidP="00F659ED">
      <w:pPr>
        <w:pStyle w:val="3-BodyText"/>
        <w:numPr>
          <w:ilvl w:val="1"/>
          <w:numId w:val="8"/>
        </w:numPr>
        <w:ind w:left="993" w:hanging="284"/>
      </w:pPr>
      <w:r w:rsidRPr="0074058E">
        <w:lastRenderedPageBreak/>
        <w:t>The removal of the requirement that olaparib treatment must commence in combination with bevacizumab;</w:t>
      </w:r>
      <w:r w:rsidR="00434CEB" w:rsidRPr="0074058E">
        <w:t xml:space="preserve"> and</w:t>
      </w:r>
    </w:p>
    <w:p w14:paraId="5BB05A47" w14:textId="0EA0EC39" w:rsidR="00AF1A81" w:rsidRPr="0074058E" w:rsidRDefault="00135AA3" w:rsidP="00F659ED">
      <w:pPr>
        <w:pStyle w:val="3-BodyText"/>
        <w:numPr>
          <w:ilvl w:val="1"/>
          <w:numId w:val="8"/>
        </w:numPr>
        <w:ind w:left="993" w:hanging="284"/>
      </w:pPr>
      <w:r w:rsidRPr="0074058E">
        <w:t>For the prescriber instructions, the r</w:t>
      </w:r>
      <w:r w:rsidR="000E3B2D" w:rsidRPr="0074058E">
        <w:t xml:space="preserve">emoval of the proposed </w:t>
      </w:r>
      <w:r w:rsidRPr="0074058E">
        <w:t>wording</w:t>
      </w:r>
      <w:r w:rsidR="000E3B2D" w:rsidRPr="0074058E">
        <w:t xml:space="preserve"> and inclusion of “Evidence of genomic instability must be derived through a validated HRD assay where HRD positive status is defined as a Genomic Instability Score (GIS) exceeding 42 using the Myriad myChoice HRD Plus assay or an assay and score threshold that has been validated against this standard</w:t>
      </w:r>
      <w:r w:rsidR="00434CEB" w:rsidRPr="0074058E">
        <w:t>.</w:t>
      </w:r>
      <w:r w:rsidR="000E3B2D" w:rsidRPr="0074058E">
        <w:t>”</w:t>
      </w:r>
    </w:p>
    <w:p w14:paraId="0787A53C" w14:textId="7F7D7A09" w:rsidR="009214B9" w:rsidRPr="0074058E" w:rsidRDefault="00BA5F83" w:rsidP="006878D0">
      <w:pPr>
        <w:pStyle w:val="3-BodyText"/>
      </w:pPr>
      <w:r w:rsidRPr="0074058E">
        <w:t xml:space="preserve">In the previous submission, no separate PBS criteria </w:t>
      </w:r>
      <w:proofErr w:type="gramStart"/>
      <w:r w:rsidRPr="0074058E">
        <w:t>was proposed</w:t>
      </w:r>
      <w:proofErr w:type="gramEnd"/>
      <w:r w:rsidRPr="0074058E">
        <w:t xml:space="preserve"> for grandfathered patients</w:t>
      </w:r>
      <w:r w:rsidR="00AF1A81" w:rsidRPr="0074058E">
        <w:t xml:space="preserve"> and it was unclear how the HRD status of these grandfathered patients would be determined (paragraph 3.12, olaparib</w:t>
      </w:r>
      <w:r w:rsidR="006E635E" w:rsidRPr="0074058E">
        <w:t xml:space="preserve"> PSD</w:t>
      </w:r>
      <w:r w:rsidR="00AF1A81" w:rsidRPr="0074058E">
        <w:t>, July 2022 PBAC meeting).</w:t>
      </w:r>
      <w:r w:rsidR="00135AA3" w:rsidRPr="0074058E">
        <w:t xml:space="preserve"> The resubmission proposed </w:t>
      </w:r>
      <w:r w:rsidR="007E4411" w:rsidRPr="0074058E">
        <w:t>a</w:t>
      </w:r>
      <w:r w:rsidR="00135AA3" w:rsidRPr="0074058E">
        <w:t xml:space="preserve"> restriction for grandfathered patients</w:t>
      </w:r>
      <w:r w:rsidR="007E4411" w:rsidRPr="0074058E">
        <w:t xml:space="preserve">, however the proposed restriction did not specify HRD or </w:t>
      </w:r>
      <w:r w:rsidR="007E4411" w:rsidRPr="0074058E">
        <w:rPr>
          <w:i/>
          <w:iCs/>
        </w:rPr>
        <w:t>BRCA</w:t>
      </w:r>
      <w:r w:rsidR="007E4411" w:rsidRPr="0074058E">
        <w:t xml:space="preserve"> status nor response to previous platinum-based chemotherapy</w:t>
      </w:r>
      <w:r w:rsidR="006878D0" w:rsidRPr="0074058E">
        <w:t>.</w:t>
      </w:r>
    </w:p>
    <w:p w14:paraId="3BADE0D8" w14:textId="79365DAF" w:rsidR="009214B9" w:rsidRPr="0074058E" w:rsidRDefault="009214B9" w:rsidP="009214B9">
      <w:pPr>
        <w:pStyle w:val="3-BodyText"/>
      </w:pPr>
      <w:r w:rsidRPr="0074058E">
        <w:t xml:space="preserve">At its July 2022 meeting the PBAC considered, given the population included in the pivotal evidence (PAOLA-1), it was not appropriate to have different requirements regarding concomitant bevacizumab for the </w:t>
      </w:r>
      <w:r w:rsidRPr="0074058E">
        <w:rPr>
          <w:i/>
          <w:iCs/>
        </w:rPr>
        <w:t>BRCA</w:t>
      </w:r>
      <w:r w:rsidRPr="0074058E">
        <w:t xml:space="preserve">m and HRD+ populations. The PBAC advised that it would be appropriate for the PBS listings for first line PARPi in the </w:t>
      </w:r>
      <w:r w:rsidRPr="0074058E">
        <w:rPr>
          <w:i/>
          <w:iCs/>
        </w:rPr>
        <w:t>BRCA</w:t>
      </w:r>
      <w:r w:rsidRPr="0074058E">
        <w:t xml:space="preserve">m population </w:t>
      </w:r>
      <w:r w:rsidR="00C81BC3" w:rsidRPr="0074058E">
        <w:t>(currently nirap</w:t>
      </w:r>
      <w:r w:rsidR="00B04A25" w:rsidRPr="0074058E">
        <w:t>a</w:t>
      </w:r>
      <w:r w:rsidR="00C81BC3" w:rsidRPr="0074058E">
        <w:t xml:space="preserve">rib – PBS item codes: 13092C, 13079J, 13089X, 13112D; olaparib – PBS item codes: 12170M, 12157W, 12169L, 12161C) </w:t>
      </w:r>
      <w:r w:rsidRPr="0074058E">
        <w:t>to allow combination use with bevacizumab</w:t>
      </w:r>
      <w:r w:rsidR="00C81BC3" w:rsidRPr="0074058E">
        <w:t xml:space="preserve"> by removing the existing Clinical criterion of: ‘The treatment must be the sole PBS-subsidised therapy for this condition’</w:t>
      </w:r>
      <w:r w:rsidRPr="0074058E">
        <w:t xml:space="preserve">. </w:t>
      </w:r>
      <w:r w:rsidR="00B04A25" w:rsidRPr="0074058E">
        <w:t xml:space="preserve">At the time of </w:t>
      </w:r>
      <w:r w:rsidR="00C81BC3" w:rsidRPr="0074058E">
        <w:t xml:space="preserve">November 2022 PBAC meeting, this recommendation </w:t>
      </w:r>
      <w:r w:rsidR="00B04A25" w:rsidRPr="0074058E">
        <w:t>was</w:t>
      </w:r>
      <w:r w:rsidR="00C81BC3" w:rsidRPr="0074058E">
        <w:t xml:space="preserve"> yet to </w:t>
      </w:r>
      <w:proofErr w:type="gramStart"/>
      <w:r w:rsidR="00C81BC3" w:rsidRPr="0074058E">
        <w:t>be implemented</w:t>
      </w:r>
      <w:proofErr w:type="gramEnd"/>
      <w:r w:rsidR="00C81BC3" w:rsidRPr="0074058E">
        <w:t xml:space="preserve">. </w:t>
      </w:r>
      <w:r w:rsidRPr="0074058E">
        <w:t xml:space="preserve">The PBAC foreshadowed that a similar flexibility regarding concomitant use of bevacizumab with PARPi should apply if it recommends PBS listing for the HRD+ </w:t>
      </w:r>
      <w:r w:rsidRPr="0074058E">
        <w:rPr>
          <w:i/>
          <w:iCs/>
        </w:rPr>
        <w:t>BRCA</w:t>
      </w:r>
      <w:r w:rsidRPr="0074058E">
        <w:t>m subgroup in the future.</w:t>
      </w:r>
    </w:p>
    <w:p w14:paraId="75315F53" w14:textId="30595F95" w:rsidR="00B921DD" w:rsidRPr="0074058E" w:rsidRDefault="00B921DD" w:rsidP="00017E19">
      <w:pPr>
        <w:ind w:firstLine="709"/>
      </w:pPr>
      <w:r w:rsidRPr="0074058E">
        <w:rPr>
          <w:rFonts w:asciiTheme="minorHAnsi" w:hAnsiTheme="minorHAnsi"/>
          <w:i/>
        </w:rPr>
        <w:t xml:space="preserve">For more detail on PBAC’s view, see section </w:t>
      </w:r>
      <w:r w:rsidR="00614CF3">
        <w:rPr>
          <w:rFonts w:asciiTheme="minorHAnsi" w:hAnsiTheme="minorHAnsi"/>
          <w:i/>
        </w:rPr>
        <w:t>5</w:t>
      </w:r>
      <w:r w:rsidRPr="0074058E">
        <w:rPr>
          <w:rFonts w:asciiTheme="minorHAnsi" w:hAnsiTheme="minorHAnsi"/>
          <w:i/>
        </w:rPr>
        <w:t xml:space="preserve"> PBAC outcome.</w:t>
      </w:r>
    </w:p>
    <w:p w14:paraId="0F83D7EE" w14:textId="56D0693C" w:rsidR="006923F1" w:rsidRPr="0074058E" w:rsidRDefault="00102556" w:rsidP="006923F1">
      <w:pPr>
        <w:pStyle w:val="2-SectionHeading"/>
      </w:pPr>
      <w:r w:rsidRPr="0074058E">
        <w:t>Consideration of the evidence</w:t>
      </w:r>
    </w:p>
    <w:p w14:paraId="1A6A578F" w14:textId="77777777" w:rsidR="00647584" w:rsidRPr="0074058E" w:rsidRDefault="00647584" w:rsidP="00647584">
      <w:pPr>
        <w:pStyle w:val="4-SubsectionHeading"/>
        <w:keepNext/>
      </w:pPr>
      <w:bookmarkStart w:id="8" w:name="_Hlk76375935"/>
      <w:r w:rsidRPr="0074058E">
        <w:t>Sponsor hearing</w:t>
      </w:r>
    </w:p>
    <w:p w14:paraId="326FB8C2" w14:textId="2009AD54" w:rsidR="00647584" w:rsidRPr="0074058E" w:rsidRDefault="00647584" w:rsidP="00EB0F03">
      <w:pPr>
        <w:pStyle w:val="3-BodyText"/>
      </w:pPr>
      <w:r w:rsidRPr="0074058E">
        <w:t>There was no hearing for this item</w:t>
      </w:r>
      <w:r w:rsidR="00EB0F03" w:rsidRPr="0074058E">
        <w:t>.</w:t>
      </w:r>
    </w:p>
    <w:p w14:paraId="0EBD2B2C" w14:textId="77777777" w:rsidR="00647584" w:rsidRPr="0074058E" w:rsidRDefault="00647584" w:rsidP="00647584">
      <w:pPr>
        <w:pStyle w:val="4-SubsectionHeading"/>
        <w:keepNext/>
      </w:pPr>
      <w:r w:rsidRPr="0074058E">
        <w:t>Consumer comments</w:t>
      </w:r>
    </w:p>
    <w:p w14:paraId="0A2DDF3A" w14:textId="6FB4AF18" w:rsidR="00647584" w:rsidRPr="0074058E" w:rsidRDefault="00462EC6" w:rsidP="005A41F4">
      <w:pPr>
        <w:pStyle w:val="3-BodyText"/>
        <w:rPr>
          <w:snapToGrid w:val="0"/>
        </w:rPr>
      </w:pPr>
      <w:bookmarkStart w:id="9" w:name="_Hlk76382618"/>
      <w:r w:rsidRPr="0074058E">
        <w:t xml:space="preserve">The PBAC noted and welcomed input from Ovarian Cancer Australia in support of the olaparib </w:t>
      </w:r>
      <w:r w:rsidR="00566EA7" w:rsidRPr="0074058E">
        <w:t>re</w:t>
      </w:r>
      <w:r w:rsidRPr="0074058E">
        <w:t xml:space="preserve">submission. The PBAC recalled input from Ovarian Cancer Australia at the July 2022 PBAC meeting </w:t>
      </w:r>
      <w:r w:rsidR="008826D4" w:rsidRPr="0074058E">
        <w:t>noted</w:t>
      </w:r>
      <w:r w:rsidRPr="0074058E">
        <w:t xml:space="preserve"> that ovarian cancer is the sixth most common cause of death from cancer in females, and the deadliest gynaecological cancer. </w:t>
      </w:r>
      <w:proofErr w:type="gramStart"/>
      <w:r w:rsidRPr="0074058E">
        <w:t>Many</w:t>
      </w:r>
      <w:proofErr w:type="gramEnd"/>
      <w:r w:rsidRPr="0074058E">
        <w:t xml:space="preserve"> patients experience anxiety and depression related to the fear of recurrence. The comments </w:t>
      </w:r>
      <w:r w:rsidR="008826D4" w:rsidRPr="0074058E">
        <w:t xml:space="preserve">also </w:t>
      </w:r>
      <w:r w:rsidRPr="0074058E">
        <w:t xml:space="preserve">noted that a number of patients were self-funding olaparib, with a high financial burden or were unable to access treatment due to the </w:t>
      </w:r>
      <w:proofErr w:type="gramStart"/>
      <w:r w:rsidRPr="0074058E">
        <w:t>high cost</w:t>
      </w:r>
      <w:proofErr w:type="gramEnd"/>
      <w:r w:rsidR="00C977A8" w:rsidRPr="0074058E">
        <w:t xml:space="preserve"> (para 6.6, olaparib</w:t>
      </w:r>
      <w:r w:rsidR="006E635E" w:rsidRPr="0074058E">
        <w:t xml:space="preserve"> PSD</w:t>
      </w:r>
      <w:r w:rsidR="00C977A8" w:rsidRPr="0074058E">
        <w:t>, July 2022 PBAC meeting)</w:t>
      </w:r>
      <w:r w:rsidRPr="0074058E">
        <w:t xml:space="preserve">. Ovarian Cancer Australian provided additional </w:t>
      </w:r>
      <w:r w:rsidRPr="0074058E">
        <w:lastRenderedPageBreak/>
        <w:t xml:space="preserve">comments </w:t>
      </w:r>
      <w:r w:rsidR="00C977A8" w:rsidRPr="0074058E">
        <w:t>emphasizing</w:t>
      </w:r>
      <w:r w:rsidRPr="0074058E">
        <w:t xml:space="preserve"> the importance of minimising delay to listing for patients who require first line maintenance</w:t>
      </w:r>
      <w:r w:rsidR="00C977A8" w:rsidRPr="0074058E">
        <w:t xml:space="preserve"> treatment</w:t>
      </w:r>
      <w:r w:rsidRPr="0074058E">
        <w:t xml:space="preserve">. </w:t>
      </w:r>
      <w:r w:rsidR="008826D4" w:rsidRPr="0074058E">
        <w:t>S</w:t>
      </w:r>
      <w:r w:rsidR="00C977A8" w:rsidRPr="0074058E">
        <w:t xml:space="preserve">tatements from patients with ovarian cancer </w:t>
      </w:r>
      <w:r w:rsidR="008826D4" w:rsidRPr="0074058E">
        <w:t>reported that they</w:t>
      </w:r>
      <w:r w:rsidR="00C977A8" w:rsidRPr="0074058E">
        <w:t xml:space="preserve"> </w:t>
      </w:r>
      <w:r w:rsidRPr="0074058E">
        <w:t xml:space="preserve">are fearful </w:t>
      </w:r>
      <w:r w:rsidR="00C977A8" w:rsidRPr="0074058E">
        <w:t xml:space="preserve">and frustrated </w:t>
      </w:r>
      <w:r w:rsidRPr="0074058E">
        <w:t xml:space="preserve">that </w:t>
      </w:r>
      <w:r w:rsidR="00C977A8" w:rsidRPr="0074058E">
        <w:t xml:space="preserve">a </w:t>
      </w:r>
      <w:r w:rsidRPr="0074058E">
        <w:t xml:space="preserve">treatment </w:t>
      </w:r>
      <w:r w:rsidR="00C977A8" w:rsidRPr="0074058E">
        <w:t xml:space="preserve">shown to be effective </w:t>
      </w:r>
      <w:r w:rsidRPr="0074058E">
        <w:t xml:space="preserve">may not be available </w:t>
      </w:r>
      <w:r w:rsidR="00C977A8" w:rsidRPr="0074058E">
        <w:t xml:space="preserve">or accessible </w:t>
      </w:r>
      <w:r w:rsidRPr="0074058E">
        <w:t>to them in time to prevent or delay recurrence</w:t>
      </w:r>
      <w:r w:rsidR="00C977A8" w:rsidRPr="0074058E">
        <w:t>.</w:t>
      </w:r>
    </w:p>
    <w:p w14:paraId="1CD96CF2" w14:textId="619B3026" w:rsidR="00647584" w:rsidRPr="0074058E" w:rsidRDefault="00C977A8" w:rsidP="005A41F4">
      <w:pPr>
        <w:pStyle w:val="3-BodyText"/>
      </w:pPr>
      <w:r w:rsidRPr="0074058E">
        <w:t xml:space="preserve">The PBAC also noted input from Pink Hope in support of the </w:t>
      </w:r>
      <w:r w:rsidR="00566EA7" w:rsidRPr="0074058E">
        <w:t xml:space="preserve">olaparib resubmission. The PBAC noted the high clinical need for patients without </w:t>
      </w:r>
      <w:r w:rsidR="00566EA7" w:rsidRPr="0074058E">
        <w:rPr>
          <w:i/>
          <w:iCs/>
        </w:rPr>
        <w:t>BRCA</w:t>
      </w:r>
      <w:r w:rsidR="00566EA7" w:rsidRPr="0074058E">
        <w:t xml:space="preserve">m with </w:t>
      </w:r>
      <w:proofErr w:type="gramStart"/>
      <w:r w:rsidR="00566EA7" w:rsidRPr="0074058E">
        <w:t>many</w:t>
      </w:r>
      <w:proofErr w:type="gramEnd"/>
      <w:r w:rsidR="00566EA7" w:rsidRPr="0074058E">
        <w:t xml:space="preserve"> young women and their families </w:t>
      </w:r>
      <w:r w:rsidR="008826D4" w:rsidRPr="0074058E">
        <w:t>impacted</w:t>
      </w:r>
      <w:r w:rsidR="00566EA7" w:rsidRPr="0074058E">
        <w:t xml:space="preserve"> by ovarian cancer </w:t>
      </w:r>
      <w:r w:rsidR="008826D4" w:rsidRPr="0074058E">
        <w:t xml:space="preserve">and affected by </w:t>
      </w:r>
      <w:r w:rsidR="00566EA7" w:rsidRPr="0074058E">
        <w:t xml:space="preserve">the side-effects from treatments and the fear of recurrence. Comments noted that patients </w:t>
      </w:r>
      <w:r w:rsidR="00465433" w:rsidRPr="0074058E">
        <w:t xml:space="preserve">consider that olaparib will improve survival rates and give patients important additional time with their families. The comments also noted that there is currently an additional barrier to </w:t>
      </w:r>
      <w:r w:rsidR="002E1256" w:rsidRPr="0074058E">
        <w:t xml:space="preserve">patient </w:t>
      </w:r>
      <w:r w:rsidR="00465433" w:rsidRPr="0074058E">
        <w:t xml:space="preserve">access as HRD testing </w:t>
      </w:r>
      <w:proofErr w:type="gramStart"/>
      <w:r w:rsidR="00465433" w:rsidRPr="0074058E">
        <w:t>is not currently funded</w:t>
      </w:r>
      <w:proofErr w:type="gramEnd"/>
      <w:r w:rsidR="00465433" w:rsidRPr="0074058E">
        <w:t xml:space="preserve"> in Australia. </w:t>
      </w:r>
    </w:p>
    <w:bookmarkEnd w:id="8"/>
    <w:bookmarkEnd w:id="9"/>
    <w:p w14:paraId="4192E5EF" w14:textId="5BE49869" w:rsidR="00647584" w:rsidRPr="0074058E" w:rsidRDefault="00647584" w:rsidP="00C36DD3">
      <w:pPr>
        <w:pStyle w:val="3-BodyText"/>
      </w:pPr>
      <w:r w:rsidRPr="0074058E">
        <w:rPr>
          <w:snapToGrid w:val="0"/>
        </w:rPr>
        <w:t xml:space="preserve">The Medical Oncology Group of Australia (MOGA) also expressed its </w:t>
      </w:r>
      <w:proofErr w:type="gramStart"/>
      <w:r w:rsidRPr="0074058E">
        <w:rPr>
          <w:snapToGrid w:val="0"/>
        </w:rPr>
        <w:t>strong support</w:t>
      </w:r>
      <w:proofErr w:type="gramEnd"/>
      <w:r w:rsidRPr="0074058E">
        <w:rPr>
          <w:snapToGrid w:val="0"/>
        </w:rPr>
        <w:t xml:space="preserve"> for the </w:t>
      </w:r>
      <w:r w:rsidR="00C36DD3" w:rsidRPr="0074058E">
        <w:rPr>
          <w:snapToGrid w:val="0"/>
        </w:rPr>
        <w:t>olaparib</w:t>
      </w:r>
      <w:r w:rsidRPr="0074058E">
        <w:rPr>
          <w:snapToGrid w:val="0"/>
        </w:rPr>
        <w:t xml:space="preserve"> submission, categorising it as one of the therapies of “high priority for PBS listing” on the basis of the </w:t>
      </w:r>
      <w:r w:rsidR="00C36DD3" w:rsidRPr="0074058E">
        <w:rPr>
          <w:snapToGrid w:val="0"/>
        </w:rPr>
        <w:t>PAOLA-1</w:t>
      </w:r>
      <w:r w:rsidRPr="0074058E">
        <w:rPr>
          <w:snapToGrid w:val="0"/>
        </w:rPr>
        <w:t xml:space="preserve"> trial. The PBAC noted that the MOGA presented a European Society for Medical Oncology Magnitude of Clinical Benefit Scale (ESMO-MCBS) for </w:t>
      </w:r>
      <w:r w:rsidR="00C36DD3" w:rsidRPr="0074058E">
        <w:rPr>
          <w:snapToGrid w:val="0"/>
        </w:rPr>
        <w:t>olaparib</w:t>
      </w:r>
      <w:r w:rsidRPr="0074058E">
        <w:rPr>
          <w:snapToGrid w:val="0"/>
        </w:rPr>
        <w:t xml:space="preserve">, which was limited to </w:t>
      </w:r>
      <w:r w:rsidR="00C36DD3" w:rsidRPr="0074058E">
        <w:rPr>
          <w:snapToGrid w:val="0"/>
        </w:rPr>
        <w:t>3</w:t>
      </w:r>
      <w:r w:rsidRPr="0074058E">
        <w:rPr>
          <w:snapToGrid w:val="0"/>
        </w:rPr>
        <w:t xml:space="preserve"> (out of a maximum of </w:t>
      </w:r>
      <w:proofErr w:type="gramStart"/>
      <w:r w:rsidRPr="0074058E">
        <w:rPr>
          <w:snapToGrid w:val="0"/>
        </w:rPr>
        <w:t>5</w:t>
      </w:r>
      <w:proofErr w:type="gramEnd"/>
      <w:r w:rsidRPr="0074058E">
        <w:rPr>
          <w:snapToGrid w:val="0"/>
        </w:rPr>
        <w:t>, where 5 and 4 represent the grades with substantial improvement)</w:t>
      </w:r>
      <w:r w:rsidR="00C36DD3" w:rsidRPr="0074058E">
        <w:rPr>
          <w:rStyle w:val="FootnoteReference"/>
          <w:snapToGrid w:val="0"/>
        </w:rPr>
        <w:footnoteReference w:id="2"/>
      </w:r>
      <w:r w:rsidRPr="0074058E">
        <w:rPr>
          <w:snapToGrid w:val="0"/>
        </w:rPr>
        <w:t xml:space="preserve">, based on a comparison with </w:t>
      </w:r>
      <w:r w:rsidR="00C36DD3" w:rsidRPr="0074058E">
        <w:rPr>
          <w:snapToGrid w:val="0"/>
        </w:rPr>
        <w:t>placebo</w:t>
      </w:r>
      <w:r w:rsidRPr="0074058E">
        <w:rPr>
          <w:snapToGrid w:val="0"/>
        </w:rPr>
        <w:t xml:space="preserve">. </w:t>
      </w:r>
    </w:p>
    <w:p w14:paraId="6BB7EAB7" w14:textId="3944696C" w:rsidR="00C36DD3" w:rsidRPr="0074058E" w:rsidRDefault="00C36DD3" w:rsidP="00A502BB">
      <w:pPr>
        <w:pStyle w:val="3-BodyText"/>
      </w:pPr>
      <w:r w:rsidRPr="0074058E">
        <w:rPr>
          <w:snapToGrid w:val="0"/>
        </w:rPr>
        <w:t xml:space="preserve">The PBAC noted that </w:t>
      </w:r>
      <w:r w:rsidR="00A502BB" w:rsidRPr="0074058E">
        <w:rPr>
          <w:snapToGrid w:val="0"/>
        </w:rPr>
        <w:t xml:space="preserve">there were </w:t>
      </w:r>
      <w:r w:rsidRPr="0074058E">
        <w:rPr>
          <w:snapToGrid w:val="0"/>
        </w:rPr>
        <w:t xml:space="preserve">no additional Consumer Comments from individuals or healthcare providers </w:t>
      </w:r>
      <w:r w:rsidR="00EC533C" w:rsidRPr="0074058E">
        <w:rPr>
          <w:snapToGrid w:val="0"/>
        </w:rPr>
        <w:t xml:space="preserve">in relation to the resubmission </w:t>
      </w:r>
      <w:r w:rsidRPr="0074058E">
        <w:rPr>
          <w:snapToGrid w:val="0"/>
        </w:rPr>
        <w:t xml:space="preserve">but </w:t>
      </w:r>
      <w:r w:rsidR="00A502BB" w:rsidRPr="0074058E">
        <w:rPr>
          <w:snapToGrid w:val="0"/>
        </w:rPr>
        <w:t>recalled</w:t>
      </w:r>
      <w:r w:rsidRPr="0074058E">
        <w:rPr>
          <w:snapToGrid w:val="0"/>
        </w:rPr>
        <w:t xml:space="preserve"> </w:t>
      </w:r>
      <w:r w:rsidR="00EC533C" w:rsidRPr="0074058E">
        <w:rPr>
          <w:snapToGrid w:val="0"/>
        </w:rPr>
        <w:t xml:space="preserve">that </w:t>
      </w:r>
      <w:r w:rsidR="00A502BB" w:rsidRPr="0074058E">
        <w:rPr>
          <w:snapToGrid w:val="0"/>
        </w:rPr>
        <w:t xml:space="preserve">input from </w:t>
      </w:r>
      <w:proofErr w:type="gramStart"/>
      <w:r w:rsidR="00A502BB" w:rsidRPr="0074058E">
        <w:rPr>
          <w:snapToGrid w:val="0"/>
        </w:rPr>
        <w:t>3</w:t>
      </w:r>
      <w:proofErr w:type="gramEnd"/>
      <w:r w:rsidR="00A502BB" w:rsidRPr="0074058E">
        <w:rPr>
          <w:snapToGrid w:val="0"/>
        </w:rPr>
        <w:t xml:space="preserve"> individuals was received in relation to the July 2022 submission. </w:t>
      </w:r>
      <w:r w:rsidR="00A502BB" w:rsidRPr="0074058E">
        <w:t xml:space="preserve">These comments supported the proposed listing of olaparib and stated that treatment in the first line setting may delay or prevent recurrence and has potential to prolong life (paragraph 6.7, olaparib </w:t>
      </w:r>
      <w:r w:rsidR="006E635E" w:rsidRPr="0074058E">
        <w:t>PSD</w:t>
      </w:r>
      <w:r w:rsidR="00A502BB" w:rsidRPr="0074058E">
        <w:t xml:space="preserve">, July 2022 PBAC meeting). </w:t>
      </w:r>
    </w:p>
    <w:p w14:paraId="4FDD88A2" w14:textId="77777777" w:rsidR="00647584" w:rsidRPr="0074058E" w:rsidRDefault="00647584" w:rsidP="00BD2165">
      <w:pPr>
        <w:pStyle w:val="TableFooter"/>
        <w:keepNext/>
        <w:outlineLvl w:val="1"/>
        <w:rPr>
          <w:rFonts w:asciiTheme="minorHAnsi" w:eastAsiaTheme="majorEastAsia" w:hAnsiTheme="minorHAnsi" w:cstheme="majorBidi"/>
          <w:b/>
          <w:i/>
          <w:snapToGrid/>
          <w:spacing w:val="5"/>
          <w:kern w:val="28"/>
          <w:sz w:val="28"/>
          <w:szCs w:val="36"/>
        </w:rPr>
      </w:pPr>
      <w:bookmarkStart w:id="10" w:name="_Toc100693623"/>
      <w:bookmarkStart w:id="11" w:name="_Toc103581575"/>
      <w:bookmarkStart w:id="12" w:name="_Toc103775862"/>
      <w:r w:rsidRPr="0074058E">
        <w:rPr>
          <w:rFonts w:asciiTheme="minorHAnsi" w:eastAsiaTheme="majorEastAsia" w:hAnsiTheme="minorHAnsi" w:cstheme="majorBidi"/>
          <w:b/>
          <w:i/>
          <w:snapToGrid/>
          <w:spacing w:val="5"/>
          <w:kern w:val="28"/>
          <w:sz w:val="28"/>
          <w:szCs w:val="36"/>
        </w:rPr>
        <w:t>Clinical trials</w:t>
      </w:r>
      <w:bookmarkEnd w:id="10"/>
      <w:bookmarkEnd w:id="11"/>
      <w:bookmarkEnd w:id="12"/>
    </w:p>
    <w:p w14:paraId="00CF8D0A" w14:textId="3E458A54" w:rsidR="00647584" w:rsidRPr="0074058E" w:rsidRDefault="00647584" w:rsidP="005A41F4">
      <w:pPr>
        <w:pStyle w:val="3-BodyText"/>
      </w:pPr>
      <w:r w:rsidRPr="0074058E">
        <w:t xml:space="preserve">The </w:t>
      </w:r>
      <w:r w:rsidR="005A41F4" w:rsidRPr="0074058E">
        <w:t>re</w:t>
      </w:r>
      <w:r w:rsidRPr="0074058E">
        <w:t>submission was based on one head-to-head trial comparing olaparib plus bevacizumab to placebo plus bevacizumab (n=806), PAOLA-1.</w:t>
      </w:r>
      <w:r w:rsidR="00602DFC" w:rsidRPr="0074058E">
        <w:t xml:space="preserve"> </w:t>
      </w:r>
    </w:p>
    <w:p w14:paraId="35627879" w14:textId="61AA27B5" w:rsidR="00647584" w:rsidRPr="0074058E" w:rsidRDefault="00647584" w:rsidP="005A41F4">
      <w:pPr>
        <w:pStyle w:val="3-BodyText"/>
      </w:pPr>
      <w:r w:rsidRPr="0074058E">
        <w:t xml:space="preserve">PAOLA-1 is a phase 3 randomised controlled trial (RCT) that </w:t>
      </w:r>
      <w:proofErr w:type="gramStart"/>
      <w:r w:rsidRPr="0074058E">
        <w:t>was conducted</w:t>
      </w:r>
      <w:proofErr w:type="gramEnd"/>
      <w:r w:rsidRPr="0074058E">
        <w:t xml:space="preserve"> to evaluate maintenance treatment of olaparib plus bevacizumab compared to placebo plus bevacizumab, in patients with newly diagnosed HGEOC who responded to treatment with chemotherapy plus bevacizumab, regardless of tumour </w:t>
      </w:r>
      <w:r w:rsidRPr="0074058E">
        <w:rPr>
          <w:i/>
          <w:iCs/>
        </w:rPr>
        <w:t>BRCA</w:t>
      </w:r>
      <w:r w:rsidRPr="0074058E">
        <w:t xml:space="preserve">m status. </w:t>
      </w:r>
      <w:r w:rsidR="00602DFC" w:rsidRPr="0074058E">
        <w:t>The resubmission provided</w:t>
      </w:r>
      <w:r w:rsidR="00EC533C" w:rsidRPr="0074058E">
        <w:t xml:space="preserve"> outcomes for</w:t>
      </w:r>
      <w:r w:rsidR="00602DFC" w:rsidRPr="0074058E">
        <w:t xml:space="preserve"> an updated data cut (DCO3) for HRD positive </w:t>
      </w:r>
      <w:r w:rsidR="00602DFC" w:rsidRPr="0074058E">
        <w:rPr>
          <w:i/>
          <w:iCs/>
        </w:rPr>
        <w:t>BRCA</w:t>
      </w:r>
      <w:r w:rsidR="00602DFC" w:rsidRPr="0074058E">
        <w:t>wt patients in PAOLA-1 for OS</w:t>
      </w:r>
      <w:r w:rsidR="003504D8" w:rsidRPr="0074058E">
        <w:t xml:space="preserve"> and PFS</w:t>
      </w:r>
      <w:r w:rsidR="00602DFC" w:rsidRPr="0074058E">
        <w:t>.</w:t>
      </w:r>
    </w:p>
    <w:p w14:paraId="1DB48A82" w14:textId="29D67DD2" w:rsidR="00647584" w:rsidRPr="0074058E" w:rsidRDefault="00647584" w:rsidP="005A41F4">
      <w:pPr>
        <w:pStyle w:val="3-BodyText"/>
      </w:pPr>
      <w:r w:rsidRPr="0074058E">
        <w:lastRenderedPageBreak/>
        <w:t xml:space="preserve">Details of the trials, including key publications presented in the </w:t>
      </w:r>
      <w:r w:rsidR="00FE6AD8" w:rsidRPr="0074058E">
        <w:t>re</w:t>
      </w:r>
      <w:r w:rsidRPr="0074058E">
        <w:t xml:space="preserve">submission </w:t>
      </w:r>
      <w:proofErr w:type="gramStart"/>
      <w:r w:rsidRPr="0074058E">
        <w:t>are provided</w:t>
      </w:r>
      <w:proofErr w:type="gramEnd"/>
      <w:r w:rsidRPr="0074058E">
        <w:t xml:space="preserve"> in the table below.</w:t>
      </w:r>
    </w:p>
    <w:p w14:paraId="32326648" w14:textId="107F8464" w:rsidR="00647584" w:rsidRPr="0074058E" w:rsidRDefault="00647584" w:rsidP="00EC533C">
      <w:pPr>
        <w:pStyle w:val="Caption"/>
        <w:spacing w:after="0"/>
        <w:rPr>
          <w:rFonts w:ascii="Arial Narrow" w:hAnsi="Arial Narrow"/>
          <w:b/>
          <w:bCs/>
          <w:i w:val="0"/>
          <w:iCs w:val="0"/>
          <w:sz w:val="20"/>
          <w:szCs w:val="20"/>
        </w:rPr>
      </w:pPr>
      <w:r w:rsidRPr="0074058E">
        <w:rPr>
          <w:rFonts w:ascii="Arial Narrow" w:hAnsi="Arial Narrow"/>
          <w:b/>
          <w:bCs/>
          <w:i w:val="0"/>
          <w:iCs w:val="0"/>
          <w:sz w:val="20"/>
          <w:szCs w:val="20"/>
        </w:rPr>
        <w:t xml:space="preserve">Table </w:t>
      </w:r>
      <w:r w:rsidRPr="0074058E">
        <w:rPr>
          <w:rFonts w:ascii="Arial Narrow" w:hAnsi="Arial Narrow"/>
          <w:bCs/>
          <w:i w:val="0"/>
          <w:iCs w:val="0"/>
          <w:sz w:val="20"/>
          <w:szCs w:val="20"/>
        </w:rPr>
        <w:fldChar w:fldCharType="begin" w:fldLock="1"/>
      </w:r>
      <w:r w:rsidRPr="0074058E">
        <w:rPr>
          <w:rFonts w:ascii="Arial Narrow" w:hAnsi="Arial Narrow"/>
          <w:b/>
          <w:bCs/>
          <w:i w:val="0"/>
          <w:iCs w:val="0"/>
          <w:sz w:val="20"/>
          <w:szCs w:val="20"/>
        </w:rPr>
        <w:instrText xml:space="preserve"> SEQ Table \* ARABIC </w:instrText>
      </w:r>
      <w:r w:rsidRPr="0074058E">
        <w:rPr>
          <w:rFonts w:ascii="Arial Narrow" w:hAnsi="Arial Narrow"/>
          <w:bCs/>
          <w:i w:val="0"/>
          <w:iCs w:val="0"/>
          <w:sz w:val="20"/>
          <w:szCs w:val="20"/>
        </w:rPr>
        <w:fldChar w:fldCharType="separate"/>
      </w:r>
      <w:r w:rsidR="00ED2FAA">
        <w:rPr>
          <w:rFonts w:ascii="Arial Narrow" w:hAnsi="Arial Narrow"/>
          <w:b/>
          <w:bCs/>
          <w:i w:val="0"/>
          <w:iCs w:val="0"/>
          <w:noProof/>
          <w:sz w:val="20"/>
          <w:szCs w:val="20"/>
        </w:rPr>
        <w:t>3</w:t>
      </w:r>
      <w:r w:rsidRPr="0074058E">
        <w:rPr>
          <w:rFonts w:ascii="Arial Narrow" w:hAnsi="Arial Narrow"/>
          <w:bCs/>
          <w:i w:val="0"/>
          <w:iCs w:val="0"/>
          <w:sz w:val="20"/>
          <w:szCs w:val="20"/>
        </w:rPr>
        <w:fldChar w:fldCharType="end"/>
      </w:r>
      <w:r w:rsidRPr="0074058E">
        <w:rPr>
          <w:rFonts w:ascii="Arial Narrow" w:hAnsi="Arial Narrow"/>
          <w:b/>
          <w:bCs/>
          <w:i w:val="0"/>
          <w:iCs w:val="0"/>
          <w:sz w:val="20"/>
          <w:szCs w:val="20"/>
        </w:rPr>
        <w:tab/>
        <w:t xml:space="preserve">Trials and associated reports presented in the </w:t>
      </w:r>
      <w:r w:rsidR="00FE6AD8" w:rsidRPr="0074058E">
        <w:rPr>
          <w:rFonts w:ascii="Arial Narrow" w:hAnsi="Arial Narrow"/>
          <w:b/>
          <w:bCs/>
          <w:i w:val="0"/>
          <w:iCs w:val="0"/>
          <w:sz w:val="20"/>
          <w:szCs w:val="20"/>
        </w:rPr>
        <w:t>re</w:t>
      </w:r>
      <w:r w:rsidRPr="0074058E">
        <w:rPr>
          <w:rFonts w:ascii="Arial Narrow" w:hAnsi="Arial Narrow"/>
          <w:b/>
          <w:bCs/>
          <w:i w:val="0"/>
          <w:iCs w:val="0"/>
          <w:sz w:val="20"/>
          <w:szCs w:val="20"/>
        </w:rPr>
        <w:t>submission</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1E0" w:firstRow="1" w:lastRow="1" w:firstColumn="1" w:lastColumn="1" w:noHBand="0" w:noVBand="0"/>
      </w:tblPr>
      <w:tblGrid>
        <w:gridCol w:w="1123"/>
        <w:gridCol w:w="6102"/>
        <w:gridCol w:w="1791"/>
      </w:tblGrid>
      <w:tr w:rsidR="00647584" w:rsidRPr="0074058E" w14:paraId="1F52E7ED" w14:textId="77777777" w:rsidTr="00877AEB">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528AB5D1" w14:textId="77777777" w:rsidR="00647584" w:rsidRPr="0074058E" w:rsidRDefault="00647584" w:rsidP="00877AEB">
            <w:pPr>
              <w:pStyle w:val="TableRowHeader"/>
              <w:keepNext/>
              <w:keepLines/>
              <w:spacing w:line="256" w:lineRule="auto"/>
              <w:jc w:val="left"/>
            </w:pPr>
            <w:r w:rsidRPr="0074058E">
              <w:t>Trial ID</w:t>
            </w:r>
          </w:p>
        </w:tc>
        <w:tc>
          <w:tcPr>
            <w:tcW w:w="6102" w:type="dxa"/>
            <w:tcBorders>
              <w:top w:val="single" w:sz="4" w:space="0" w:color="auto"/>
              <w:left w:val="single" w:sz="4" w:space="0" w:color="auto"/>
              <w:bottom w:val="single" w:sz="4" w:space="0" w:color="auto"/>
              <w:right w:val="single" w:sz="4" w:space="0" w:color="auto"/>
            </w:tcBorders>
            <w:vAlign w:val="bottom"/>
            <w:hideMark/>
          </w:tcPr>
          <w:p w14:paraId="2E6DEEB7" w14:textId="77777777" w:rsidR="00647584" w:rsidRPr="0074058E" w:rsidRDefault="00647584" w:rsidP="00877AEB">
            <w:pPr>
              <w:pStyle w:val="TableRowHeader"/>
              <w:keepNext/>
              <w:keepLines/>
              <w:spacing w:line="256" w:lineRule="auto"/>
            </w:pPr>
            <w:r w:rsidRPr="0074058E">
              <w:t>Protocol title/ Publication title</w:t>
            </w:r>
          </w:p>
        </w:tc>
        <w:tc>
          <w:tcPr>
            <w:tcW w:w="1791" w:type="dxa"/>
            <w:tcBorders>
              <w:top w:val="single" w:sz="4" w:space="0" w:color="auto"/>
              <w:left w:val="single" w:sz="4" w:space="0" w:color="auto"/>
              <w:bottom w:val="single" w:sz="4" w:space="0" w:color="auto"/>
              <w:right w:val="single" w:sz="4" w:space="0" w:color="auto"/>
            </w:tcBorders>
            <w:vAlign w:val="bottom"/>
            <w:hideMark/>
          </w:tcPr>
          <w:p w14:paraId="4A6BA983" w14:textId="77777777" w:rsidR="00647584" w:rsidRPr="0074058E" w:rsidRDefault="00647584" w:rsidP="00877AEB">
            <w:pPr>
              <w:pStyle w:val="TableRowHeader"/>
              <w:keepNext/>
              <w:keepLines/>
              <w:spacing w:line="256" w:lineRule="auto"/>
            </w:pPr>
            <w:r w:rsidRPr="0074058E">
              <w:t>Publication citation</w:t>
            </w:r>
          </w:p>
        </w:tc>
      </w:tr>
      <w:tr w:rsidR="00647584" w:rsidRPr="0074058E" w14:paraId="492B564F" w14:textId="77777777" w:rsidTr="00877AEB">
        <w:tc>
          <w:tcPr>
            <w:tcW w:w="0" w:type="auto"/>
            <w:gridSpan w:val="3"/>
            <w:tcBorders>
              <w:top w:val="single" w:sz="4" w:space="0" w:color="auto"/>
              <w:left w:val="single" w:sz="4" w:space="0" w:color="auto"/>
              <w:bottom w:val="single" w:sz="4" w:space="0" w:color="auto"/>
              <w:right w:val="single" w:sz="4" w:space="0" w:color="auto"/>
            </w:tcBorders>
            <w:hideMark/>
          </w:tcPr>
          <w:p w14:paraId="4A9820B3" w14:textId="77777777" w:rsidR="00647584" w:rsidRPr="0074058E" w:rsidRDefault="00647584" w:rsidP="00877AEB">
            <w:pPr>
              <w:pStyle w:val="TableText"/>
              <w:keepLines/>
              <w:spacing w:line="256" w:lineRule="auto"/>
            </w:pPr>
            <w:r w:rsidRPr="0074058E">
              <w:t>Direct randomised trial</w:t>
            </w:r>
          </w:p>
        </w:tc>
      </w:tr>
      <w:tr w:rsidR="00647584" w:rsidRPr="0074058E" w14:paraId="6685626E" w14:textId="77777777" w:rsidTr="00877AEB">
        <w:tc>
          <w:tcPr>
            <w:tcW w:w="0" w:type="auto"/>
            <w:tcBorders>
              <w:top w:val="nil"/>
              <w:left w:val="single" w:sz="4" w:space="0" w:color="auto"/>
              <w:bottom w:val="nil"/>
              <w:right w:val="single" w:sz="4" w:space="0" w:color="auto"/>
            </w:tcBorders>
            <w:vAlign w:val="center"/>
          </w:tcPr>
          <w:p w14:paraId="1E9AE207" w14:textId="77777777" w:rsidR="00647584" w:rsidRPr="0074058E" w:rsidRDefault="00647584" w:rsidP="00877AEB">
            <w:pPr>
              <w:pStyle w:val="TableText"/>
              <w:keepLines/>
              <w:spacing w:line="256" w:lineRule="auto"/>
            </w:pPr>
          </w:p>
        </w:tc>
        <w:tc>
          <w:tcPr>
            <w:tcW w:w="6102" w:type="dxa"/>
            <w:tcBorders>
              <w:top w:val="nil"/>
              <w:left w:val="single" w:sz="4" w:space="0" w:color="auto"/>
              <w:bottom w:val="single" w:sz="4" w:space="0" w:color="auto"/>
              <w:right w:val="single" w:sz="4" w:space="0" w:color="auto"/>
            </w:tcBorders>
            <w:vAlign w:val="center"/>
            <w:hideMark/>
          </w:tcPr>
          <w:p w14:paraId="36DDEB67" w14:textId="77777777" w:rsidR="00647584" w:rsidRPr="0074058E" w:rsidRDefault="00647584" w:rsidP="00877AEB">
            <w:pPr>
              <w:pStyle w:val="TableText"/>
              <w:keepLines/>
              <w:spacing w:line="256" w:lineRule="auto"/>
              <w:jc w:val="both"/>
            </w:pPr>
            <w:r w:rsidRPr="0074058E">
              <w:rPr>
                <w:lang w:eastAsia="zh-CN"/>
              </w:rPr>
              <w:t>Harter P, Mouret-Reynier MA, Pignata S, Cropet C, Gonzalez-Martin A, Bogner G, et al. Efficacy of maintenance olaparib plus bevacizumab according to clinical risk in patients with newly diagnosed, advanced ovarian cancer in the phase III PAOLA-1/ENGOT-ov25 trial.</w:t>
            </w:r>
          </w:p>
        </w:tc>
        <w:tc>
          <w:tcPr>
            <w:tcW w:w="1791" w:type="dxa"/>
            <w:tcBorders>
              <w:top w:val="nil"/>
              <w:left w:val="single" w:sz="4" w:space="0" w:color="auto"/>
              <w:bottom w:val="single" w:sz="4" w:space="0" w:color="auto"/>
              <w:right w:val="single" w:sz="4" w:space="0" w:color="auto"/>
            </w:tcBorders>
            <w:vAlign w:val="center"/>
            <w:hideMark/>
          </w:tcPr>
          <w:p w14:paraId="7A9CA57B" w14:textId="77777777" w:rsidR="00647584" w:rsidRPr="0074058E" w:rsidRDefault="00647584" w:rsidP="00877AEB">
            <w:pPr>
              <w:pStyle w:val="TableText"/>
              <w:keepLines/>
              <w:spacing w:line="256" w:lineRule="auto"/>
              <w:jc w:val="center"/>
            </w:pPr>
            <w:r w:rsidRPr="0074058E">
              <w:rPr>
                <w:lang w:eastAsia="zh-CN"/>
              </w:rPr>
              <w:t>Gynecologic Oncology. 2022;164(2):254-64.</w:t>
            </w:r>
          </w:p>
        </w:tc>
      </w:tr>
      <w:tr w:rsidR="00647584" w:rsidRPr="0074058E" w14:paraId="1754D6D9" w14:textId="77777777" w:rsidTr="00877AEB">
        <w:tc>
          <w:tcPr>
            <w:tcW w:w="0" w:type="auto"/>
            <w:tcBorders>
              <w:top w:val="nil"/>
              <w:left w:val="single" w:sz="4" w:space="0" w:color="auto"/>
              <w:bottom w:val="nil"/>
              <w:right w:val="single" w:sz="4" w:space="0" w:color="auto"/>
            </w:tcBorders>
          </w:tcPr>
          <w:p w14:paraId="261E14D1" w14:textId="77777777" w:rsidR="00647584" w:rsidRPr="0074058E" w:rsidRDefault="00647584" w:rsidP="00877AEB">
            <w:pPr>
              <w:pStyle w:val="TableText"/>
              <w:keepLines/>
              <w:spacing w:line="256" w:lineRule="auto"/>
            </w:pPr>
          </w:p>
        </w:tc>
        <w:tc>
          <w:tcPr>
            <w:tcW w:w="6102" w:type="dxa"/>
            <w:tcBorders>
              <w:top w:val="single" w:sz="4" w:space="0" w:color="auto"/>
              <w:left w:val="single" w:sz="4" w:space="0" w:color="auto"/>
              <w:bottom w:val="single" w:sz="4" w:space="0" w:color="auto"/>
              <w:right w:val="single" w:sz="4" w:space="0" w:color="auto"/>
            </w:tcBorders>
            <w:vAlign w:val="center"/>
            <w:hideMark/>
          </w:tcPr>
          <w:p w14:paraId="6B115D41" w14:textId="77777777" w:rsidR="00647584" w:rsidRPr="0074058E" w:rsidRDefault="00647584" w:rsidP="00877AEB">
            <w:pPr>
              <w:pStyle w:val="TableText"/>
              <w:keepLines/>
              <w:spacing w:line="256" w:lineRule="auto"/>
              <w:jc w:val="both"/>
            </w:pPr>
            <w:r w:rsidRPr="0074058E">
              <w:rPr>
                <w:lang w:eastAsia="zh-CN"/>
              </w:rPr>
              <w:t>Ray-Coquard I, Pautier P, Pignata S, Perol D, Gonzalez-Martin A, Berger R, et al. Olaparib plus Bevacizumab as First-Line Maintenance in Ovarian Cancer.</w:t>
            </w:r>
          </w:p>
        </w:tc>
        <w:tc>
          <w:tcPr>
            <w:tcW w:w="1791" w:type="dxa"/>
            <w:tcBorders>
              <w:top w:val="single" w:sz="4" w:space="0" w:color="auto"/>
              <w:left w:val="single" w:sz="4" w:space="0" w:color="auto"/>
              <w:bottom w:val="single" w:sz="4" w:space="0" w:color="auto"/>
              <w:right w:val="single" w:sz="4" w:space="0" w:color="auto"/>
            </w:tcBorders>
            <w:vAlign w:val="center"/>
            <w:hideMark/>
          </w:tcPr>
          <w:p w14:paraId="143383D2" w14:textId="77777777" w:rsidR="00647584" w:rsidRPr="0074058E" w:rsidRDefault="00647584" w:rsidP="00877AEB">
            <w:pPr>
              <w:pStyle w:val="TableText"/>
              <w:keepLines/>
              <w:spacing w:line="256" w:lineRule="auto"/>
              <w:jc w:val="center"/>
            </w:pPr>
            <w:r w:rsidRPr="0074058E">
              <w:rPr>
                <w:lang w:eastAsia="zh-CN"/>
              </w:rPr>
              <w:t>New England Journal of Medicine. 019;381(25):2416-28.</w:t>
            </w:r>
          </w:p>
        </w:tc>
      </w:tr>
      <w:tr w:rsidR="00647584" w:rsidRPr="0074058E" w14:paraId="0AE676C9" w14:textId="77777777" w:rsidTr="00877AEB">
        <w:tc>
          <w:tcPr>
            <w:tcW w:w="0" w:type="auto"/>
            <w:tcBorders>
              <w:top w:val="nil"/>
              <w:left w:val="single" w:sz="4" w:space="0" w:color="auto"/>
              <w:bottom w:val="nil"/>
              <w:right w:val="single" w:sz="4" w:space="0" w:color="auto"/>
            </w:tcBorders>
          </w:tcPr>
          <w:p w14:paraId="2CC30838" w14:textId="77777777" w:rsidR="00647584" w:rsidRPr="0074058E" w:rsidRDefault="00647584" w:rsidP="00877AEB">
            <w:pPr>
              <w:pStyle w:val="TableText"/>
              <w:keepLines/>
              <w:spacing w:line="256" w:lineRule="auto"/>
              <w:rPr>
                <w:lang w:eastAsia="zh-CN"/>
              </w:rPr>
            </w:pPr>
            <w:r w:rsidRPr="0074058E">
              <w:rPr>
                <w:lang w:eastAsia="zh-CN"/>
              </w:rPr>
              <w:t>PAOLA-1</w:t>
            </w:r>
          </w:p>
          <w:p w14:paraId="511F0776" w14:textId="77777777" w:rsidR="00647584" w:rsidRPr="0074058E" w:rsidRDefault="00647584" w:rsidP="00877AEB">
            <w:pPr>
              <w:pStyle w:val="TableText"/>
              <w:keepLines/>
              <w:spacing w:line="256" w:lineRule="auto"/>
            </w:pPr>
            <w:r w:rsidRPr="0074058E">
              <w:rPr>
                <w:lang w:eastAsia="zh-CN"/>
              </w:rPr>
              <w:t>NCT02477644</w:t>
            </w:r>
          </w:p>
        </w:tc>
        <w:tc>
          <w:tcPr>
            <w:tcW w:w="6102" w:type="dxa"/>
            <w:tcBorders>
              <w:top w:val="single" w:sz="4" w:space="0" w:color="auto"/>
              <w:left w:val="single" w:sz="4" w:space="0" w:color="auto"/>
              <w:bottom w:val="single" w:sz="4" w:space="0" w:color="auto"/>
              <w:right w:val="single" w:sz="4" w:space="0" w:color="auto"/>
            </w:tcBorders>
            <w:vAlign w:val="center"/>
          </w:tcPr>
          <w:p w14:paraId="2E6E1FC5" w14:textId="77777777" w:rsidR="00647584" w:rsidRPr="0074058E" w:rsidRDefault="00647584" w:rsidP="00877AEB">
            <w:pPr>
              <w:pStyle w:val="TableText"/>
              <w:keepLines/>
              <w:jc w:val="both"/>
              <w:rPr>
                <w:lang w:eastAsia="zh-CN"/>
              </w:rPr>
            </w:pPr>
            <w:r w:rsidRPr="0074058E">
              <w:rPr>
                <w:lang w:eastAsia="zh-CN"/>
              </w:rPr>
              <w:t>Randomized, Double-Blind, Phase III Trial of Olaparib vs. Placebo in Patients with Advanced FIGO Stage IIIB – IV High Grade Serous or Endometrioid Ovarian, Fallopian Tube, or Peritoneal Cancer treated with standard First Line Treatment,</w:t>
            </w:r>
          </w:p>
          <w:p w14:paraId="51C5A39B" w14:textId="77777777" w:rsidR="00647584" w:rsidRPr="0074058E" w:rsidRDefault="00647584" w:rsidP="00877AEB">
            <w:pPr>
              <w:pStyle w:val="TableText"/>
              <w:keepLines/>
              <w:spacing w:line="256" w:lineRule="auto"/>
              <w:jc w:val="both"/>
            </w:pPr>
            <w:r w:rsidRPr="0074058E">
              <w:rPr>
                <w:lang w:eastAsia="zh-CN"/>
              </w:rPr>
              <w:t>Combining Platinum-Taxane Chemotherapy and Bevacizumab Concurrent with Chemotherapy and in Maintenance (PAOLA-1)</w:t>
            </w:r>
          </w:p>
        </w:tc>
        <w:tc>
          <w:tcPr>
            <w:tcW w:w="1791" w:type="dxa"/>
            <w:tcBorders>
              <w:top w:val="single" w:sz="4" w:space="0" w:color="auto"/>
              <w:left w:val="single" w:sz="4" w:space="0" w:color="auto"/>
              <w:bottom w:val="single" w:sz="4" w:space="0" w:color="auto"/>
              <w:right w:val="single" w:sz="4" w:space="0" w:color="auto"/>
            </w:tcBorders>
            <w:vAlign w:val="center"/>
          </w:tcPr>
          <w:p w14:paraId="26223F63" w14:textId="77777777" w:rsidR="00647584" w:rsidRPr="0074058E" w:rsidRDefault="00647584" w:rsidP="00877AEB">
            <w:pPr>
              <w:pStyle w:val="TableText"/>
              <w:keepLines/>
              <w:spacing w:line="256" w:lineRule="auto"/>
              <w:jc w:val="center"/>
              <w:rPr>
                <w:lang w:eastAsia="zh-CN"/>
              </w:rPr>
            </w:pPr>
            <w:r w:rsidRPr="0074058E">
              <w:rPr>
                <w:lang w:eastAsia="zh-CN"/>
              </w:rPr>
              <w:t>Clinical Study Report 30 October 2019</w:t>
            </w:r>
          </w:p>
        </w:tc>
      </w:tr>
      <w:tr w:rsidR="00647584" w:rsidRPr="0074058E" w14:paraId="193F66B6" w14:textId="77777777" w:rsidTr="00877AEB">
        <w:tc>
          <w:tcPr>
            <w:tcW w:w="0" w:type="auto"/>
            <w:tcBorders>
              <w:top w:val="nil"/>
              <w:left w:val="single" w:sz="4" w:space="0" w:color="auto"/>
              <w:bottom w:val="single" w:sz="4" w:space="0" w:color="auto"/>
              <w:right w:val="single" w:sz="4" w:space="0" w:color="auto"/>
            </w:tcBorders>
          </w:tcPr>
          <w:p w14:paraId="4667AAE0" w14:textId="77777777" w:rsidR="00647584" w:rsidRPr="0074058E" w:rsidRDefault="00647584" w:rsidP="00877AEB">
            <w:pPr>
              <w:pStyle w:val="TableText"/>
              <w:keepLines/>
              <w:spacing w:line="256" w:lineRule="auto"/>
            </w:pPr>
          </w:p>
        </w:tc>
        <w:tc>
          <w:tcPr>
            <w:tcW w:w="6102" w:type="dxa"/>
            <w:tcBorders>
              <w:top w:val="single" w:sz="4" w:space="0" w:color="auto"/>
              <w:left w:val="single" w:sz="4" w:space="0" w:color="auto"/>
              <w:bottom w:val="single" w:sz="4" w:space="0" w:color="auto"/>
              <w:right w:val="single" w:sz="4" w:space="0" w:color="auto"/>
            </w:tcBorders>
            <w:vAlign w:val="center"/>
          </w:tcPr>
          <w:p w14:paraId="12133383" w14:textId="77777777" w:rsidR="00647584" w:rsidRPr="0074058E" w:rsidRDefault="00647584" w:rsidP="00877AEB">
            <w:pPr>
              <w:pStyle w:val="TableText"/>
              <w:keepLines/>
              <w:jc w:val="both"/>
              <w:rPr>
                <w:lang w:eastAsia="zh-CN"/>
              </w:rPr>
            </w:pPr>
            <w:r w:rsidRPr="0074058E">
              <w:rPr>
                <w:lang w:eastAsia="zh-CN"/>
              </w:rPr>
              <w:t>Randomized, Double-Blind, Phase III Trial of Olaparib vs. Placebo in Patients with Advanced FIGO Stage IIIB – IV High Grade Serous or Endometrioid Ovarian, Fallopian Tube, or Peritoneal Cancer Treated with Standard First Line Treatment,</w:t>
            </w:r>
          </w:p>
          <w:p w14:paraId="05ABDDCB" w14:textId="77777777" w:rsidR="00647584" w:rsidRPr="0074058E" w:rsidRDefault="00647584" w:rsidP="00877AEB">
            <w:pPr>
              <w:pStyle w:val="TableText"/>
              <w:keepLines/>
              <w:jc w:val="both"/>
            </w:pPr>
            <w:r w:rsidRPr="0074058E">
              <w:rPr>
                <w:lang w:eastAsia="zh-CN"/>
              </w:rPr>
              <w:t>Combining Platinum-Taxane Chemotherapy and Bevacizumab Concurrent with Chemotherapy and in Maintenance (PAOLA-1) Final PFS2 Analysis and Safety Update</w:t>
            </w:r>
          </w:p>
        </w:tc>
        <w:tc>
          <w:tcPr>
            <w:tcW w:w="1791" w:type="dxa"/>
            <w:tcBorders>
              <w:top w:val="single" w:sz="4" w:space="0" w:color="auto"/>
              <w:left w:val="single" w:sz="4" w:space="0" w:color="auto"/>
              <w:bottom w:val="single" w:sz="4" w:space="0" w:color="auto"/>
              <w:right w:val="single" w:sz="4" w:space="0" w:color="auto"/>
            </w:tcBorders>
            <w:vAlign w:val="center"/>
          </w:tcPr>
          <w:p w14:paraId="2D6866E0" w14:textId="77777777" w:rsidR="00647584" w:rsidRPr="0074058E" w:rsidRDefault="00647584" w:rsidP="00877AEB">
            <w:pPr>
              <w:pStyle w:val="TableText"/>
              <w:keepLines/>
              <w:spacing w:line="256" w:lineRule="auto"/>
              <w:jc w:val="center"/>
            </w:pPr>
            <w:r w:rsidRPr="0074058E">
              <w:rPr>
                <w:lang w:eastAsia="zh-CN"/>
              </w:rPr>
              <w:t>Clinical Study Report 27 November 2020</w:t>
            </w:r>
          </w:p>
        </w:tc>
      </w:tr>
    </w:tbl>
    <w:p w14:paraId="30540499" w14:textId="48D8D914" w:rsidR="00647584" w:rsidRPr="0074058E" w:rsidRDefault="00647584" w:rsidP="00647584">
      <w:pPr>
        <w:pStyle w:val="TableFooter"/>
      </w:pPr>
      <w:r w:rsidRPr="0074058E">
        <w:t>Source: Table 2.58, p137 of the submission</w:t>
      </w:r>
    </w:p>
    <w:p w14:paraId="420CADF4" w14:textId="77777777" w:rsidR="00FE6AD8" w:rsidRPr="0074058E" w:rsidRDefault="00FE6AD8" w:rsidP="00647584">
      <w:pPr>
        <w:pStyle w:val="TableFooter"/>
      </w:pPr>
    </w:p>
    <w:p w14:paraId="1D745075" w14:textId="77777777" w:rsidR="00647584" w:rsidRPr="0074058E" w:rsidRDefault="00647584" w:rsidP="00497E90">
      <w:pPr>
        <w:pStyle w:val="TableFooter"/>
        <w:keepNext/>
        <w:outlineLvl w:val="1"/>
        <w:rPr>
          <w:rFonts w:asciiTheme="minorHAnsi" w:eastAsiaTheme="majorEastAsia" w:hAnsiTheme="minorHAnsi" w:cstheme="majorBidi"/>
          <w:b/>
          <w:i/>
          <w:snapToGrid/>
          <w:spacing w:val="5"/>
          <w:kern w:val="28"/>
          <w:sz w:val="28"/>
          <w:szCs w:val="36"/>
        </w:rPr>
      </w:pPr>
      <w:bookmarkStart w:id="13" w:name="_Toc22897641"/>
      <w:bookmarkStart w:id="14" w:name="_Toc72315303"/>
      <w:r w:rsidRPr="0074058E">
        <w:rPr>
          <w:rFonts w:asciiTheme="minorHAnsi" w:eastAsiaTheme="majorEastAsia" w:hAnsiTheme="minorHAnsi" w:cstheme="majorBidi"/>
          <w:b/>
          <w:i/>
          <w:snapToGrid/>
          <w:spacing w:val="5"/>
          <w:kern w:val="28"/>
          <w:sz w:val="28"/>
          <w:szCs w:val="36"/>
        </w:rPr>
        <w:t>Comparative effectiveness</w:t>
      </w:r>
      <w:bookmarkEnd w:id="13"/>
      <w:bookmarkEnd w:id="14"/>
    </w:p>
    <w:p w14:paraId="2A11F234" w14:textId="0C124E3D" w:rsidR="008F0DF9" w:rsidRPr="0074058E" w:rsidRDefault="00064E64" w:rsidP="00017E19">
      <w:pPr>
        <w:pStyle w:val="3-BodyText"/>
        <w:rPr>
          <w:szCs w:val="20"/>
        </w:rPr>
      </w:pPr>
      <w:r w:rsidRPr="0074058E">
        <w:t>A comparison of OS in the previous submiss</w:t>
      </w:r>
      <w:r w:rsidR="009E1B8E" w:rsidRPr="0074058E">
        <w:t>i</w:t>
      </w:r>
      <w:r w:rsidRPr="0074058E">
        <w:t>on (</w:t>
      </w:r>
      <w:r w:rsidR="002D73F5" w:rsidRPr="0074058E">
        <w:t xml:space="preserve">DCO1 and </w:t>
      </w:r>
      <w:r w:rsidRPr="0074058E">
        <w:t>DC</w:t>
      </w:r>
      <w:r w:rsidR="002D73F5" w:rsidRPr="0074058E">
        <w:t>O</w:t>
      </w:r>
      <w:r w:rsidR="000D310F" w:rsidRPr="0074058E">
        <w:t xml:space="preserve">2) and </w:t>
      </w:r>
      <w:r w:rsidR="009E1B8E" w:rsidRPr="0074058E">
        <w:t>the resubmission (DC</w:t>
      </w:r>
      <w:r w:rsidR="002D73F5" w:rsidRPr="0074058E">
        <w:t>O</w:t>
      </w:r>
      <w:r w:rsidR="009E1B8E" w:rsidRPr="0074058E">
        <w:t>3) is presented in</w:t>
      </w:r>
      <w:r w:rsidR="00EC533C" w:rsidRPr="0074058E">
        <w:t xml:space="preserve"> </w:t>
      </w:r>
      <w:r w:rsidR="00EC533C" w:rsidRPr="0074058E">
        <w:fldChar w:fldCharType="begin" w:fldLock="1"/>
      </w:r>
      <w:r w:rsidR="00EC533C" w:rsidRPr="0074058E">
        <w:instrText xml:space="preserve"> REF _Ref119418498 \h  \* MERGEFORMAT </w:instrText>
      </w:r>
      <w:r w:rsidR="00EC533C" w:rsidRPr="0074058E">
        <w:fldChar w:fldCharType="separate"/>
      </w:r>
      <w:r w:rsidR="00ED2FAA" w:rsidRPr="00ED2FAA">
        <w:t>Table 4</w:t>
      </w:r>
      <w:r w:rsidR="00EC533C" w:rsidRPr="0074058E">
        <w:fldChar w:fldCharType="end"/>
      </w:r>
      <w:r w:rsidR="00AD5AD2" w:rsidRPr="0074058E">
        <w:t xml:space="preserve"> </w:t>
      </w:r>
      <w:r w:rsidR="00186F8C" w:rsidRPr="0074058E">
        <w:t xml:space="preserve">and the corresponding Kaplan-Meier curves </w:t>
      </w:r>
      <w:r w:rsidR="009E1B8E" w:rsidRPr="0074058E">
        <w:t xml:space="preserve">in </w:t>
      </w:r>
      <w:r w:rsidR="00AD5AD2" w:rsidRPr="0074058E">
        <w:fldChar w:fldCharType="begin" w:fldLock="1"/>
      </w:r>
      <w:r w:rsidR="00AD5AD2" w:rsidRPr="0074058E">
        <w:instrText xml:space="preserve"> REF _Ref115427397 \h  \* MERGEFORMAT </w:instrText>
      </w:r>
      <w:r w:rsidR="00AD5AD2" w:rsidRPr="0074058E">
        <w:fldChar w:fldCharType="separate"/>
      </w:r>
      <w:r w:rsidR="00ED2FAA" w:rsidRPr="00ED2FAA">
        <w:t>Figure 1</w:t>
      </w:r>
      <w:r w:rsidR="00AD5AD2" w:rsidRPr="0074058E">
        <w:fldChar w:fldCharType="end"/>
      </w:r>
      <w:r w:rsidR="00186F8C" w:rsidRPr="0074058E">
        <w:t>.</w:t>
      </w:r>
      <w:r w:rsidR="00644F6F" w:rsidRPr="0074058E">
        <w:t xml:space="preserve"> </w:t>
      </w:r>
      <w:r w:rsidR="003212F7" w:rsidRPr="0074058E">
        <w:rPr>
          <w:iCs/>
        </w:rPr>
        <w:t>Neither t</w:t>
      </w:r>
      <w:r w:rsidR="007030A8" w:rsidRPr="0074058E">
        <w:rPr>
          <w:iCs/>
        </w:rPr>
        <w:t xml:space="preserve">he mean </w:t>
      </w:r>
      <w:r w:rsidR="003212F7" w:rsidRPr="0074058E">
        <w:rPr>
          <w:iCs/>
        </w:rPr>
        <w:t xml:space="preserve">nor </w:t>
      </w:r>
      <w:r w:rsidR="007030A8" w:rsidRPr="0074058E">
        <w:rPr>
          <w:iCs/>
        </w:rPr>
        <w:t xml:space="preserve">median duration of follow-up in DCO3 </w:t>
      </w:r>
      <w:proofErr w:type="gramStart"/>
      <w:r w:rsidR="007030A8" w:rsidRPr="0074058E">
        <w:rPr>
          <w:iCs/>
        </w:rPr>
        <w:t>was reported</w:t>
      </w:r>
      <w:proofErr w:type="gramEnd"/>
      <w:r w:rsidR="007030A8" w:rsidRPr="0074058E">
        <w:rPr>
          <w:iCs/>
        </w:rPr>
        <w:t xml:space="preserve"> by the resubmission.</w:t>
      </w:r>
      <w:r w:rsidR="007030A8" w:rsidRPr="0074058E">
        <w:t xml:space="preserve"> </w:t>
      </w:r>
      <w:bookmarkStart w:id="15" w:name="_Ref115427348"/>
      <w:bookmarkStart w:id="16" w:name="_Toc112158721"/>
      <w:bookmarkStart w:id="17" w:name="_Toc112420617"/>
    </w:p>
    <w:p w14:paraId="08B9302F" w14:textId="67B0072D" w:rsidR="0059200E" w:rsidRPr="0074058E" w:rsidRDefault="00AD5AD2" w:rsidP="00EC533C">
      <w:pPr>
        <w:pStyle w:val="3-BodyText"/>
        <w:keepNext/>
        <w:keepLines/>
        <w:numPr>
          <w:ilvl w:val="0"/>
          <w:numId w:val="0"/>
        </w:numPr>
        <w:spacing w:after="0"/>
        <w:rPr>
          <w:szCs w:val="20"/>
        </w:rPr>
      </w:pPr>
      <w:bookmarkStart w:id="18" w:name="_Ref119418498"/>
      <w:r w:rsidRPr="0074058E">
        <w:rPr>
          <w:rFonts w:ascii="Arial Narrow" w:hAnsi="Arial Narrow"/>
          <w:b/>
          <w:bCs/>
          <w:sz w:val="20"/>
          <w:szCs w:val="20"/>
        </w:rPr>
        <w:t xml:space="preserve">Table </w:t>
      </w:r>
      <w:r w:rsidRPr="0074058E">
        <w:rPr>
          <w:rFonts w:ascii="Arial Narrow" w:hAnsi="Arial Narrow"/>
          <w:b/>
          <w:bCs/>
          <w:sz w:val="20"/>
          <w:szCs w:val="20"/>
        </w:rPr>
        <w:fldChar w:fldCharType="begin" w:fldLock="1"/>
      </w:r>
      <w:r w:rsidRPr="0074058E">
        <w:rPr>
          <w:rFonts w:ascii="Arial Narrow" w:hAnsi="Arial Narrow"/>
          <w:b/>
          <w:bCs/>
          <w:sz w:val="20"/>
          <w:szCs w:val="20"/>
        </w:rPr>
        <w:instrText xml:space="preserve"> SEQ Table \* ARABIC </w:instrText>
      </w:r>
      <w:r w:rsidRPr="0074058E">
        <w:rPr>
          <w:rFonts w:ascii="Arial Narrow" w:hAnsi="Arial Narrow"/>
          <w:b/>
          <w:bCs/>
          <w:sz w:val="20"/>
          <w:szCs w:val="20"/>
        </w:rPr>
        <w:fldChar w:fldCharType="separate"/>
      </w:r>
      <w:r w:rsidR="00ED2FAA">
        <w:rPr>
          <w:rFonts w:ascii="Arial Narrow" w:hAnsi="Arial Narrow"/>
          <w:b/>
          <w:bCs/>
          <w:noProof/>
          <w:sz w:val="20"/>
          <w:szCs w:val="20"/>
        </w:rPr>
        <w:t>4</w:t>
      </w:r>
      <w:r w:rsidRPr="0074058E">
        <w:rPr>
          <w:rFonts w:ascii="Arial Narrow" w:hAnsi="Arial Narrow"/>
          <w:b/>
          <w:bCs/>
          <w:sz w:val="20"/>
          <w:szCs w:val="20"/>
        </w:rPr>
        <w:fldChar w:fldCharType="end"/>
      </w:r>
      <w:bookmarkEnd w:id="15"/>
      <w:bookmarkEnd w:id="18"/>
      <w:r w:rsidR="0059200E" w:rsidRPr="0074058E">
        <w:rPr>
          <w:rFonts w:ascii="Arial Narrow" w:hAnsi="Arial Narrow"/>
          <w:b/>
          <w:bCs/>
          <w:sz w:val="20"/>
          <w:szCs w:val="20"/>
        </w:rPr>
        <w:t>: Comparison of OS in DCO2 and DCO3</w:t>
      </w:r>
      <w:bookmarkEnd w:id="16"/>
      <w:bookmarkEnd w:id="17"/>
      <w:r w:rsidR="00ED31CC" w:rsidRPr="0074058E">
        <w:rPr>
          <w:rFonts w:ascii="Arial Narrow" w:hAnsi="Arial Narrow"/>
          <w:b/>
          <w:bCs/>
          <w:sz w:val="20"/>
          <w:szCs w:val="20"/>
        </w:rPr>
        <w:t xml:space="preserve"> in PAOLA-1</w:t>
      </w:r>
    </w:p>
    <w:tbl>
      <w:tblPr>
        <w:tblStyle w:val="TableGrid"/>
        <w:tblW w:w="9067" w:type="dxa"/>
        <w:tblLook w:val="04A0" w:firstRow="1" w:lastRow="0" w:firstColumn="1" w:lastColumn="0" w:noHBand="0" w:noVBand="1"/>
      </w:tblPr>
      <w:tblGrid>
        <w:gridCol w:w="1413"/>
        <w:gridCol w:w="1276"/>
        <w:gridCol w:w="1275"/>
        <w:gridCol w:w="1276"/>
        <w:gridCol w:w="1418"/>
        <w:gridCol w:w="1134"/>
        <w:gridCol w:w="1275"/>
      </w:tblGrid>
      <w:tr w:rsidR="00186F8C" w:rsidRPr="0074058E" w14:paraId="18D164A7" w14:textId="77777777" w:rsidTr="00592B3E">
        <w:tc>
          <w:tcPr>
            <w:tcW w:w="1413" w:type="dxa"/>
            <w:tcBorders>
              <w:bottom w:val="single" w:sz="4" w:space="0" w:color="auto"/>
            </w:tcBorders>
          </w:tcPr>
          <w:p w14:paraId="437A2BB4" w14:textId="77777777" w:rsidR="0059200E" w:rsidRPr="0074058E" w:rsidRDefault="0059200E" w:rsidP="00EC533C">
            <w:pPr>
              <w:pStyle w:val="TableText"/>
              <w:keepLines/>
            </w:pPr>
          </w:p>
        </w:tc>
        <w:tc>
          <w:tcPr>
            <w:tcW w:w="3827" w:type="dxa"/>
            <w:gridSpan w:val="3"/>
            <w:tcBorders>
              <w:bottom w:val="single" w:sz="4" w:space="0" w:color="auto"/>
            </w:tcBorders>
          </w:tcPr>
          <w:p w14:paraId="40EB6DCF" w14:textId="77777777" w:rsidR="0059200E" w:rsidRPr="0074058E" w:rsidRDefault="0059200E" w:rsidP="00EC533C">
            <w:pPr>
              <w:pStyle w:val="TableText"/>
              <w:keepLines/>
              <w:jc w:val="center"/>
              <w:rPr>
                <w:b/>
              </w:rPr>
            </w:pPr>
            <w:r w:rsidRPr="0074058E">
              <w:rPr>
                <w:b/>
              </w:rPr>
              <w:t>DCO2</w:t>
            </w:r>
          </w:p>
        </w:tc>
        <w:tc>
          <w:tcPr>
            <w:tcW w:w="3827" w:type="dxa"/>
            <w:gridSpan w:val="3"/>
            <w:tcBorders>
              <w:bottom w:val="single" w:sz="4" w:space="0" w:color="auto"/>
            </w:tcBorders>
          </w:tcPr>
          <w:p w14:paraId="22E07ABD" w14:textId="77777777" w:rsidR="0059200E" w:rsidRPr="0074058E" w:rsidRDefault="0059200E" w:rsidP="00EC533C">
            <w:pPr>
              <w:pStyle w:val="TableText"/>
              <w:keepLines/>
              <w:jc w:val="center"/>
              <w:rPr>
                <w:b/>
              </w:rPr>
            </w:pPr>
            <w:r w:rsidRPr="0074058E">
              <w:rPr>
                <w:b/>
              </w:rPr>
              <w:t>DCO3</w:t>
            </w:r>
          </w:p>
        </w:tc>
      </w:tr>
      <w:tr w:rsidR="00186F8C" w:rsidRPr="0074058E" w14:paraId="71D5A2AC" w14:textId="77777777" w:rsidTr="00592B3E">
        <w:tc>
          <w:tcPr>
            <w:tcW w:w="1413" w:type="dxa"/>
            <w:tcBorders>
              <w:bottom w:val="single" w:sz="4" w:space="0" w:color="auto"/>
            </w:tcBorders>
          </w:tcPr>
          <w:p w14:paraId="340F12CA" w14:textId="77777777" w:rsidR="0059200E" w:rsidRPr="0074058E" w:rsidRDefault="0059200E" w:rsidP="00EC533C">
            <w:pPr>
              <w:pStyle w:val="TableText"/>
              <w:keepLines/>
            </w:pPr>
          </w:p>
        </w:tc>
        <w:tc>
          <w:tcPr>
            <w:tcW w:w="1276" w:type="dxa"/>
            <w:tcBorders>
              <w:bottom w:val="single" w:sz="4" w:space="0" w:color="auto"/>
            </w:tcBorders>
          </w:tcPr>
          <w:p w14:paraId="4150AB18" w14:textId="64BABAD2" w:rsidR="0059200E" w:rsidRPr="0074058E" w:rsidRDefault="00176AF1" w:rsidP="00EC533C">
            <w:pPr>
              <w:pStyle w:val="TableText"/>
              <w:keepLines/>
              <w:jc w:val="center"/>
              <w:rPr>
                <w:b/>
              </w:rPr>
            </w:pPr>
            <w:r w:rsidRPr="0074058E">
              <w:rPr>
                <w:b/>
              </w:rPr>
              <w:t>o</w:t>
            </w:r>
            <w:r w:rsidR="0059200E" w:rsidRPr="0074058E">
              <w:rPr>
                <w:b/>
              </w:rPr>
              <w:t>la + beva</w:t>
            </w:r>
          </w:p>
        </w:tc>
        <w:tc>
          <w:tcPr>
            <w:tcW w:w="1275" w:type="dxa"/>
            <w:tcBorders>
              <w:bottom w:val="single" w:sz="4" w:space="0" w:color="auto"/>
            </w:tcBorders>
          </w:tcPr>
          <w:p w14:paraId="4EC09E25" w14:textId="49C66F4F" w:rsidR="0059200E" w:rsidRPr="0074058E" w:rsidRDefault="00176AF1" w:rsidP="00EC533C">
            <w:pPr>
              <w:pStyle w:val="TableText"/>
              <w:keepLines/>
              <w:jc w:val="center"/>
              <w:rPr>
                <w:b/>
              </w:rPr>
            </w:pPr>
            <w:r w:rsidRPr="0074058E">
              <w:rPr>
                <w:b/>
              </w:rPr>
              <w:t>p</w:t>
            </w:r>
            <w:r w:rsidR="0059200E" w:rsidRPr="0074058E">
              <w:rPr>
                <w:b/>
              </w:rPr>
              <w:t>bo + beva</w:t>
            </w:r>
          </w:p>
        </w:tc>
        <w:tc>
          <w:tcPr>
            <w:tcW w:w="1276" w:type="dxa"/>
            <w:tcBorders>
              <w:bottom w:val="single" w:sz="4" w:space="0" w:color="auto"/>
            </w:tcBorders>
          </w:tcPr>
          <w:p w14:paraId="4E7FD6E5" w14:textId="77777777" w:rsidR="0059200E" w:rsidRPr="0074058E" w:rsidRDefault="0059200E" w:rsidP="00EC533C">
            <w:pPr>
              <w:pStyle w:val="TableText"/>
              <w:keepLines/>
              <w:jc w:val="center"/>
              <w:rPr>
                <w:b/>
              </w:rPr>
            </w:pPr>
            <w:r w:rsidRPr="0074058E">
              <w:rPr>
                <w:b/>
              </w:rPr>
              <w:t>HR (95% CI)</w:t>
            </w:r>
          </w:p>
        </w:tc>
        <w:tc>
          <w:tcPr>
            <w:tcW w:w="1418" w:type="dxa"/>
            <w:tcBorders>
              <w:bottom w:val="single" w:sz="4" w:space="0" w:color="auto"/>
            </w:tcBorders>
          </w:tcPr>
          <w:p w14:paraId="1963E6C9" w14:textId="5DB13782" w:rsidR="0059200E" w:rsidRPr="0074058E" w:rsidRDefault="00176AF1" w:rsidP="00EC533C">
            <w:pPr>
              <w:pStyle w:val="TableText"/>
              <w:keepLines/>
              <w:jc w:val="center"/>
              <w:rPr>
                <w:b/>
              </w:rPr>
            </w:pPr>
            <w:r w:rsidRPr="0074058E">
              <w:rPr>
                <w:b/>
              </w:rPr>
              <w:t>o</w:t>
            </w:r>
            <w:r w:rsidR="0059200E" w:rsidRPr="0074058E">
              <w:rPr>
                <w:b/>
              </w:rPr>
              <w:t>la + beva</w:t>
            </w:r>
          </w:p>
        </w:tc>
        <w:tc>
          <w:tcPr>
            <w:tcW w:w="1134" w:type="dxa"/>
            <w:tcBorders>
              <w:bottom w:val="single" w:sz="4" w:space="0" w:color="auto"/>
            </w:tcBorders>
          </w:tcPr>
          <w:p w14:paraId="28996D76" w14:textId="311FEE5E" w:rsidR="0059200E" w:rsidRPr="0074058E" w:rsidRDefault="00176AF1" w:rsidP="00EC533C">
            <w:pPr>
              <w:pStyle w:val="TableText"/>
              <w:keepLines/>
              <w:jc w:val="center"/>
              <w:rPr>
                <w:b/>
              </w:rPr>
            </w:pPr>
            <w:r w:rsidRPr="0074058E">
              <w:rPr>
                <w:b/>
              </w:rPr>
              <w:t>p</w:t>
            </w:r>
            <w:r w:rsidR="0059200E" w:rsidRPr="0074058E">
              <w:rPr>
                <w:b/>
              </w:rPr>
              <w:t>bo + beva</w:t>
            </w:r>
          </w:p>
        </w:tc>
        <w:tc>
          <w:tcPr>
            <w:tcW w:w="1275" w:type="dxa"/>
            <w:tcBorders>
              <w:bottom w:val="single" w:sz="4" w:space="0" w:color="auto"/>
            </w:tcBorders>
          </w:tcPr>
          <w:p w14:paraId="21090370" w14:textId="77777777" w:rsidR="0059200E" w:rsidRPr="0074058E" w:rsidRDefault="0059200E" w:rsidP="00EC533C">
            <w:pPr>
              <w:pStyle w:val="TableText"/>
              <w:keepLines/>
              <w:jc w:val="center"/>
              <w:rPr>
                <w:b/>
              </w:rPr>
            </w:pPr>
            <w:r w:rsidRPr="0074058E">
              <w:rPr>
                <w:b/>
              </w:rPr>
              <w:t>HR (95% CI)</w:t>
            </w:r>
          </w:p>
        </w:tc>
      </w:tr>
      <w:tr w:rsidR="0059200E" w:rsidRPr="0074058E" w14:paraId="2D70BA4B" w14:textId="77777777" w:rsidTr="00B32766">
        <w:tc>
          <w:tcPr>
            <w:tcW w:w="9067" w:type="dxa"/>
            <w:gridSpan w:val="7"/>
          </w:tcPr>
          <w:p w14:paraId="2BCE8929" w14:textId="77777777" w:rsidR="0059200E" w:rsidRPr="0074058E" w:rsidRDefault="0059200E" w:rsidP="00EC533C">
            <w:pPr>
              <w:pStyle w:val="TableText"/>
              <w:keepLines/>
              <w:rPr>
                <w:b/>
              </w:rPr>
            </w:pPr>
            <w:r w:rsidRPr="0074058E">
              <w:rPr>
                <w:b/>
              </w:rPr>
              <w:t xml:space="preserve">HRD positive </w:t>
            </w:r>
            <w:r w:rsidRPr="0074058E">
              <w:rPr>
                <w:b/>
                <w:i/>
                <w:iCs/>
              </w:rPr>
              <w:t>BRCAwt</w:t>
            </w:r>
          </w:p>
        </w:tc>
      </w:tr>
      <w:tr w:rsidR="00B75218" w:rsidRPr="0074058E" w14:paraId="368FB70F" w14:textId="77777777" w:rsidTr="00592B3E">
        <w:tc>
          <w:tcPr>
            <w:tcW w:w="1413" w:type="dxa"/>
          </w:tcPr>
          <w:p w14:paraId="58A7A543" w14:textId="77777777" w:rsidR="00085DFC" w:rsidRPr="0074058E" w:rsidRDefault="00085DFC" w:rsidP="00EC533C">
            <w:pPr>
              <w:pStyle w:val="TableText"/>
              <w:keepLines/>
            </w:pPr>
            <w:r w:rsidRPr="0074058E">
              <w:t>Median OS</w:t>
            </w:r>
          </w:p>
        </w:tc>
        <w:tc>
          <w:tcPr>
            <w:tcW w:w="1276" w:type="dxa"/>
          </w:tcPr>
          <w:p w14:paraId="327BE943" w14:textId="77777777" w:rsidR="00085DFC" w:rsidRPr="0074058E" w:rsidRDefault="00085DFC" w:rsidP="00EC533C">
            <w:pPr>
              <w:pStyle w:val="TableText"/>
              <w:keepLines/>
              <w:jc w:val="center"/>
            </w:pPr>
            <w:r w:rsidRPr="0074058E">
              <w:t>NR</w:t>
            </w:r>
          </w:p>
        </w:tc>
        <w:tc>
          <w:tcPr>
            <w:tcW w:w="1275" w:type="dxa"/>
          </w:tcPr>
          <w:p w14:paraId="56B074B9" w14:textId="77777777" w:rsidR="00085DFC" w:rsidRPr="0074058E" w:rsidRDefault="00085DFC" w:rsidP="00EC533C">
            <w:pPr>
              <w:pStyle w:val="TableText"/>
              <w:keepLines/>
              <w:jc w:val="center"/>
            </w:pPr>
            <w:r w:rsidRPr="0074058E">
              <w:t>45.8</w:t>
            </w:r>
          </w:p>
        </w:tc>
        <w:tc>
          <w:tcPr>
            <w:tcW w:w="1276" w:type="dxa"/>
            <w:vMerge w:val="restart"/>
          </w:tcPr>
          <w:p w14:paraId="4A4401D2" w14:textId="5F0307F4" w:rsidR="00186F8C" w:rsidRPr="0074058E" w:rsidRDefault="00085DFC" w:rsidP="00EC533C">
            <w:pPr>
              <w:pStyle w:val="TableText"/>
              <w:keepLines/>
              <w:jc w:val="center"/>
            </w:pPr>
            <w:r w:rsidRPr="0074058E">
              <w:t>0.84</w:t>
            </w:r>
          </w:p>
          <w:p w14:paraId="4A7ABEB0" w14:textId="08DE1122" w:rsidR="00085DFC" w:rsidRPr="0074058E" w:rsidRDefault="00085DFC" w:rsidP="00EC533C">
            <w:pPr>
              <w:pStyle w:val="TableText"/>
              <w:keepLines/>
              <w:jc w:val="center"/>
            </w:pPr>
            <w:r w:rsidRPr="0074058E">
              <w:t>(0.46,1.52)</w:t>
            </w:r>
          </w:p>
        </w:tc>
        <w:tc>
          <w:tcPr>
            <w:tcW w:w="1418" w:type="dxa"/>
            <w:tcBorders>
              <w:bottom w:val="single" w:sz="4" w:space="0" w:color="auto"/>
            </w:tcBorders>
          </w:tcPr>
          <w:p w14:paraId="61F24BD7" w14:textId="77777777" w:rsidR="00085DFC" w:rsidRPr="00017E19" w:rsidRDefault="00085DFC" w:rsidP="00EC533C">
            <w:pPr>
              <w:pStyle w:val="TableText"/>
              <w:keepLines/>
              <w:jc w:val="center"/>
            </w:pPr>
            <w:r w:rsidRPr="00017E19">
              <w:t>NR</w:t>
            </w:r>
          </w:p>
        </w:tc>
        <w:tc>
          <w:tcPr>
            <w:tcW w:w="1134" w:type="dxa"/>
            <w:tcBorders>
              <w:bottom w:val="single" w:sz="4" w:space="0" w:color="auto"/>
            </w:tcBorders>
          </w:tcPr>
          <w:p w14:paraId="27545225" w14:textId="77777777" w:rsidR="00085DFC" w:rsidRPr="00017E19" w:rsidRDefault="00085DFC" w:rsidP="00EC533C">
            <w:pPr>
              <w:pStyle w:val="TableText"/>
              <w:keepLines/>
              <w:jc w:val="center"/>
            </w:pPr>
            <w:r w:rsidRPr="00017E19">
              <w:t>52.0</w:t>
            </w:r>
          </w:p>
        </w:tc>
        <w:tc>
          <w:tcPr>
            <w:tcW w:w="1275" w:type="dxa"/>
            <w:vMerge w:val="restart"/>
          </w:tcPr>
          <w:p w14:paraId="20CF1FE8" w14:textId="202A54E5" w:rsidR="00186F8C" w:rsidRPr="00017E19" w:rsidRDefault="00085DFC" w:rsidP="00EC533C">
            <w:pPr>
              <w:pStyle w:val="TableText"/>
              <w:keepLines/>
              <w:jc w:val="center"/>
            </w:pPr>
            <w:r w:rsidRPr="00017E19">
              <w:t>0.71</w:t>
            </w:r>
          </w:p>
          <w:p w14:paraId="68E02384" w14:textId="5D04EB98" w:rsidR="00085DFC" w:rsidRPr="00017E19" w:rsidRDefault="00085DFC" w:rsidP="00EC533C">
            <w:pPr>
              <w:pStyle w:val="TableText"/>
              <w:keepLines/>
              <w:jc w:val="center"/>
            </w:pPr>
            <w:r w:rsidRPr="00017E19">
              <w:t>(0.45,1.13)</w:t>
            </w:r>
          </w:p>
        </w:tc>
      </w:tr>
      <w:tr w:rsidR="00B75218" w:rsidRPr="0074058E" w14:paraId="7BE1828C" w14:textId="77777777" w:rsidTr="00592B3E">
        <w:tc>
          <w:tcPr>
            <w:tcW w:w="1413" w:type="dxa"/>
          </w:tcPr>
          <w:p w14:paraId="3E4AE392" w14:textId="77777777" w:rsidR="00085DFC" w:rsidRPr="0074058E" w:rsidRDefault="00085DFC" w:rsidP="00EC533C">
            <w:pPr>
              <w:pStyle w:val="TableText"/>
              <w:keepLines/>
            </w:pPr>
            <w:r w:rsidRPr="0074058E">
              <w:t>Events, n/N (%)</w:t>
            </w:r>
          </w:p>
        </w:tc>
        <w:tc>
          <w:tcPr>
            <w:tcW w:w="1276" w:type="dxa"/>
          </w:tcPr>
          <w:p w14:paraId="5A09382C" w14:textId="77777777" w:rsidR="00085DFC" w:rsidRPr="0074058E" w:rsidRDefault="00085DFC" w:rsidP="00EC533C">
            <w:pPr>
              <w:pStyle w:val="TableText"/>
              <w:keepLines/>
              <w:jc w:val="center"/>
            </w:pPr>
            <w:r w:rsidRPr="0074058E">
              <w:t>30/97 (30.9)</w:t>
            </w:r>
          </w:p>
        </w:tc>
        <w:tc>
          <w:tcPr>
            <w:tcW w:w="1275" w:type="dxa"/>
          </w:tcPr>
          <w:p w14:paraId="2EBCCB8C" w14:textId="77777777" w:rsidR="00085DFC" w:rsidRPr="0074058E" w:rsidRDefault="00085DFC" w:rsidP="00EC533C">
            <w:pPr>
              <w:pStyle w:val="TableText"/>
              <w:keepLines/>
              <w:jc w:val="center"/>
            </w:pPr>
            <w:r w:rsidRPr="0074058E">
              <w:t>19/55 (34.5)</w:t>
            </w:r>
          </w:p>
        </w:tc>
        <w:tc>
          <w:tcPr>
            <w:tcW w:w="1276" w:type="dxa"/>
            <w:vMerge/>
          </w:tcPr>
          <w:p w14:paraId="1BD9925A" w14:textId="77777777" w:rsidR="00085DFC" w:rsidRPr="0074058E" w:rsidRDefault="00085DFC" w:rsidP="00EC533C">
            <w:pPr>
              <w:pStyle w:val="TableText"/>
              <w:keepLines/>
              <w:jc w:val="center"/>
            </w:pPr>
          </w:p>
        </w:tc>
        <w:tc>
          <w:tcPr>
            <w:tcW w:w="1418" w:type="dxa"/>
            <w:tcBorders>
              <w:top w:val="single" w:sz="4" w:space="0" w:color="auto"/>
            </w:tcBorders>
          </w:tcPr>
          <w:p w14:paraId="04D04E08" w14:textId="77777777" w:rsidR="00085DFC" w:rsidRPr="00017E19" w:rsidRDefault="00085DFC" w:rsidP="00EC533C">
            <w:pPr>
              <w:pStyle w:val="TableText"/>
              <w:keepLines/>
              <w:jc w:val="center"/>
            </w:pPr>
            <w:r w:rsidRPr="00017E19">
              <w:t>44 (45.4%)</w:t>
            </w:r>
          </w:p>
        </w:tc>
        <w:tc>
          <w:tcPr>
            <w:tcW w:w="1134" w:type="dxa"/>
            <w:tcBorders>
              <w:top w:val="single" w:sz="4" w:space="0" w:color="auto"/>
            </w:tcBorders>
          </w:tcPr>
          <w:p w14:paraId="464E3963" w14:textId="77777777" w:rsidR="00085DFC" w:rsidRPr="00017E19" w:rsidRDefault="00085DFC" w:rsidP="00EC533C">
            <w:pPr>
              <w:pStyle w:val="TableText"/>
              <w:keepLines/>
              <w:jc w:val="center"/>
            </w:pPr>
            <w:r w:rsidRPr="00017E19">
              <w:t>32 (58.2%)</w:t>
            </w:r>
          </w:p>
        </w:tc>
        <w:tc>
          <w:tcPr>
            <w:tcW w:w="1275" w:type="dxa"/>
            <w:vMerge/>
          </w:tcPr>
          <w:p w14:paraId="41FC5272" w14:textId="77777777" w:rsidR="00085DFC" w:rsidRPr="00017E19" w:rsidRDefault="00085DFC" w:rsidP="00EC533C">
            <w:pPr>
              <w:pStyle w:val="TableText"/>
              <w:keepLines/>
              <w:jc w:val="center"/>
            </w:pPr>
          </w:p>
        </w:tc>
      </w:tr>
      <w:tr w:rsidR="0059200E" w:rsidRPr="0074058E" w14:paraId="649D61F2" w14:textId="77777777" w:rsidTr="00B32766">
        <w:tc>
          <w:tcPr>
            <w:tcW w:w="9067" w:type="dxa"/>
            <w:gridSpan w:val="7"/>
          </w:tcPr>
          <w:p w14:paraId="2DBA7168" w14:textId="77777777" w:rsidR="0059200E" w:rsidRPr="0074058E" w:rsidRDefault="0059200E" w:rsidP="00EC533C">
            <w:pPr>
              <w:pStyle w:val="TableText"/>
              <w:keepLines/>
              <w:rPr>
                <w:b/>
              </w:rPr>
            </w:pPr>
            <w:r w:rsidRPr="0074058E">
              <w:rPr>
                <w:b/>
              </w:rPr>
              <w:t>HRD positive</w:t>
            </w:r>
          </w:p>
        </w:tc>
      </w:tr>
      <w:tr w:rsidR="00B75218" w:rsidRPr="0074058E" w14:paraId="6E3C0826" w14:textId="77777777" w:rsidTr="00592B3E">
        <w:tc>
          <w:tcPr>
            <w:tcW w:w="1413" w:type="dxa"/>
          </w:tcPr>
          <w:p w14:paraId="04C35F7A" w14:textId="77777777" w:rsidR="00085DFC" w:rsidRPr="0074058E" w:rsidRDefault="00085DFC" w:rsidP="00EC533C">
            <w:pPr>
              <w:pStyle w:val="TableText"/>
              <w:keepLines/>
            </w:pPr>
            <w:r w:rsidRPr="0074058E">
              <w:t>Median OS</w:t>
            </w:r>
          </w:p>
        </w:tc>
        <w:tc>
          <w:tcPr>
            <w:tcW w:w="1276" w:type="dxa"/>
          </w:tcPr>
          <w:p w14:paraId="563287A3" w14:textId="77777777" w:rsidR="00085DFC" w:rsidRPr="0074058E" w:rsidRDefault="00085DFC" w:rsidP="00EC533C">
            <w:pPr>
              <w:pStyle w:val="TableText"/>
              <w:keepLines/>
              <w:jc w:val="center"/>
            </w:pPr>
            <w:r w:rsidRPr="0074058E">
              <w:t>NR</w:t>
            </w:r>
          </w:p>
        </w:tc>
        <w:tc>
          <w:tcPr>
            <w:tcW w:w="1275" w:type="dxa"/>
          </w:tcPr>
          <w:p w14:paraId="6B8A5A85" w14:textId="77777777" w:rsidR="00085DFC" w:rsidRPr="0074058E" w:rsidRDefault="00085DFC" w:rsidP="00EC533C">
            <w:pPr>
              <w:pStyle w:val="TableText"/>
              <w:keepLines/>
              <w:jc w:val="center"/>
            </w:pPr>
            <w:r w:rsidRPr="0074058E">
              <w:t>NR</w:t>
            </w:r>
          </w:p>
        </w:tc>
        <w:tc>
          <w:tcPr>
            <w:tcW w:w="1276" w:type="dxa"/>
            <w:vMerge w:val="restart"/>
          </w:tcPr>
          <w:p w14:paraId="7162D0D7" w14:textId="659F28C8" w:rsidR="00186F8C" w:rsidRPr="0074058E" w:rsidRDefault="00085DFC" w:rsidP="00EC533C">
            <w:pPr>
              <w:pStyle w:val="TableText"/>
              <w:keepLines/>
              <w:jc w:val="center"/>
            </w:pPr>
            <w:r w:rsidRPr="0074058E">
              <w:t>0.70</w:t>
            </w:r>
          </w:p>
          <w:p w14:paraId="35BF8625" w14:textId="18B4F68A" w:rsidR="00085DFC" w:rsidRPr="0074058E" w:rsidRDefault="00085DFC" w:rsidP="00EC533C">
            <w:pPr>
              <w:pStyle w:val="TableText"/>
              <w:keepLines/>
              <w:jc w:val="center"/>
            </w:pPr>
            <w:r w:rsidRPr="0074058E">
              <w:t>(0.47,1.04)</w:t>
            </w:r>
          </w:p>
        </w:tc>
        <w:tc>
          <w:tcPr>
            <w:tcW w:w="1418" w:type="dxa"/>
            <w:tcBorders>
              <w:bottom w:val="single" w:sz="4" w:space="0" w:color="auto"/>
            </w:tcBorders>
          </w:tcPr>
          <w:p w14:paraId="0F8A0D97" w14:textId="77777777" w:rsidR="00085DFC" w:rsidRPr="00017E19" w:rsidRDefault="00085DFC" w:rsidP="00EC533C">
            <w:pPr>
              <w:pStyle w:val="TableText"/>
              <w:keepLines/>
              <w:jc w:val="center"/>
            </w:pPr>
            <w:r w:rsidRPr="00017E19">
              <w:t>75.2</w:t>
            </w:r>
          </w:p>
        </w:tc>
        <w:tc>
          <w:tcPr>
            <w:tcW w:w="1134" w:type="dxa"/>
            <w:tcBorders>
              <w:bottom w:val="single" w:sz="4" w:space="0" w:color="auto"/>
            </w:tcBorders>
          </w:tcPr>
          <w:p w14:paraId="3E380CA8" w14:textId="77777777" w:rsidR="00085DFC" w:rsidRPr="00017E19" w:rsidRDefault="00085DFC" w:rsidP="00EC533C">
            <w:pPr>
              <w:pStyle w:val="TableText"/>
              <w:keepLines/>
              <w:jc w:val="center"/>
            </w:pPr>
            <w:r w:rsidRPr="00017E19">
              <w:t>57.3</w:t>
            </w:r>
          </w:p>
        </w:tc>
        <w:tc>
          <w:tcPr>
            <w:tcW w:w="1275" w:type="dxa"/>
            <w:vMerge w:val="restart"/>
          </w:tcPr>
          <w:p w14:paraId="47B86AC2" w14:textId="6DF2FED6" w:rsidR="00186F8C" w:rsidRPr="00017E19" w:rsidRDefault="00085DFC" w:rsidP="00EC533C">
            <w:pPr>
              <w:pStyle w:val="TableText"/>
              <w:keepLines/>
              <w:jc w:val="center"/>
            </w:pPr>
            <w:r w:rsidRPr="00017E19">
              <w:t>0.62</w:t>
            </w:r>
          </w:p>
          <w:p w14:paraId="074A68B8" w14:textId="3242CCD2" w:rsidR="00085DFC" w:rsidRPr="00017E19" w:rsidRDefault="00085DFC" w:rsidP="00EC533C">
            <w:pPr>
              <w:pStyle w:val="TableText"/>
              <w:keepLines/>
              <w:jc w:val="center"/>
            </w:pPr>
            <w:r w:rsidRPr="00017E19">
              <w:t>(0.45,0.85)</w:t>
            </w:r>
          </w:p>
        </w:tc>
      </w:tr>
      <w:tr w:rsidR="00B75218" w:rsidRPr="0074058E" w14:paraId="33D8341E" w14:textId="77777777" w:rsidTr="00592B3E">
        <w:tc>
          <w:tcPr>
            <w:tcW w:w="1413" w:type="dxa"/>
          </w:tcPr>
          <w:p w14:paraId="33101470" w14:textId="77777777" w:rsidR="00085DFC" w:rsidRPr="0074058E" w:rsidRDefault="00085DFC" w:rsidP="00EC533C">
            <w:pPr>
              <w:pStyle w:val="TableText"/>
              <w:keepLines/>
            </w:pPr>
            <w:r w:rsidRPr="0074058E">
              <w:t>Events, n/N (%)</w:t>
            </w:r>
          </w:p>
        </w:tc>
        <w:tc>
          <w:tcPr>
            <w:tcW w:w="1276" w:type="dxa"/>
          </w:tcPr>
          <w:p w14:paraId="0AECD1C6" w14:textId="77777777" w:rsidR="00085DFC" w:rsidRPr="00195C38" w:rsidRDefault="00085DFC" w:rsidP="00EC533C">
            <w:pPr>
              <w:pStyle w:val="TableText"/>
              <w:keepLines/>
              <w:jc w:val="center"/>
            </w:pPr>
            <w:r w:rsidRPr="00195C38">
              <w:t>61/255 (23.9)</w:t>
            </w:r>
          </w:p>
        </w:tc>
        <w:tc>
          <w:tcPr>
            <w:tcW w:w="1275" w:type="dxa"/>
          </w:tcPr>
          <w:p w14:paraId="3A385E8A" w14:textId="77777777" w:rsidR="00085DFC" w:rsidRPr="00017E19" w:rsidRDefault="00085DFC" w:rsidP="00EC533C">
            <w:pPr>
              <w:pStyle w:val="TableText"/>
              <w:keepLines/>
              <w:jc w:val="center"/>
            </w:pPr>
            <w:r w:rsidRPr="00017E19">
              <w:t>42/132 (31.8)</w:t>
            </w:r>
          </w:p>
        </w:tc>
        <w:tc>
          <w:tcPr>
            <w:tcW w:w="1276" w:type="dxa"/>
            <w:vMerge/>
          </w:tcPr>
          <w:p w14:paraId="1F8FA429" w14:textId="77777777" w:rsidR="00085DFC" w:rsidRPr="0074058E" w:rsidRDefault="00085DFC" w:rsidP="00EC533C">
            <w:pPr>
              <w:pStyle w:val="TableText"/>
              <w:keepLines/>
              <w:jc w:val="center"/>
            </w:pPr>
          </w:p>
        </w:tc>
        <w:tc>
          <w:tcPr>
            <w:tcW w:w="1418" w:type="dxa"/>
            <w:tcBorders>
              <w:top w:val="single" w:sz="4" w:space="0" w:color="auto"/>
            </w:tcBorders>
          </w:tcPr>
          <w:p w14:paraId="64996C12" w14:textId="77777777" w:rsidR="00085DFC" w:rsidRPr="00017E19" w:rsidRDefault="00085DFC" w:rsidP="00EC533C">
            <w:pPr>
              <w:pStyle w:val="TableText"/>
              <w:keepLines/>
              <w:jc w:val="center"/>
            </w:pPr>
            <w:r w:rsidRPr="00017E19">
              <w:t>93 (36.5%)</w:t>
            </w:r>
          </w:p>
        </w:tc>
        <w:tc>
          <w:tcPr>
            <w:tcW w:w="1134" w:type="dxa"/>
            <w:tcBorders>
              <w:top w:val="single" w:sz="4" w:space="0" w:color="auto"/>
            </w:tcBorders>
          </w:tcPr>
          <w:p w14:paraId="6CD3CAB3" w14:textId="77777777" w:rsidR="00085DFC" w:rsidRPr="00017E19" w:rsidRDefault="00085DFC" w:rsidP="00EC533C">
            <w:pPr>
              <w:pStyle w:val="TableText"/>
              <w:keepLines/>
              <w:jc w:val="center"/>
            </w:pPr>
            <w:r w:rsidRPr="00017E19">
              <w:t>69 (52.3%)</w:t>
            </w:r>
          </w:p>
        </w:tc>
        <w:tc>
          <w:tcPr>
            <w:tcW w:w="1275" w:type="dxa"/>
            <w:vMerge/>
          </w:tcPr>
          <w:p w14:paraId="14141EE7" w14:textId="77777777" w:rsidR="00085DFC" w:rsidRPr="00887990" w:rsidRDefault="00085DFC" w:rsidP="00EC533C">
            <w:pPr>
              <w:pStyle w:val="TableText"/>
              <w:keepLines/>
              <w:jc w:val="center"/>
              <w:rPr>
                <w:highlight w:val="yellow"/>
              </w:rPr>
            </w:pPr>
          </w:p>
        </w:tc>
      </w:tr>
    </w:tbl>
    <w:p w14:paraId="1A454AD6" w14:textId="77777777" w:rsidR="009B4FF0" w:rsidRPr="0074058E" w:rsidRDefault="0059200E" w:rsidP="0059200E">
      <w:pPr>
        <w:pStyle w:val="TableFooter"/>
      </w:pPr>
      <w:r w:rsidRPr="0074058E">
        <w:t xml:space="preserve">Source: Table </w:t>
      </w:r>
      <w:r w:rsidR="00B75218" w:rsidRPr="0074058E">
        <w:t>5</w:t>
      </w:r>
      <w:r w:rsidRPr="0074058E">
        <w:t>, p</w:t>
      </w:r>
      <w:r w:rsidR="00B75218" w:rsidRPr="0074058E">
        <w:t xml:space="preserve"> 14</w:t>
      </w:r>
      <w:r w:rsidRPr="0074058E">
        <w:t xml:space="preserve"> of </w:t>
      </w:r>
      <w:r w:rsidR="00B75218" w:rsidRPr="0074058E">
        <w:t>the re</w:t>
      </w:r>
      <w:r w:rsidRPr="0074058E">
        <w:t>submission</w:t>
      </w:r>
      <w:r w:rsidR="00B75218" w:rsidRPr="0074058E">
        <w:t>.</w:t>
      </w:r>
      <w:r w:rsidR="009B4FF0" w:rsidRPr="0074058E">
        <w:t xml:space="preserve"> </w:t>
      </w:r>
    </w:p>
    <w:p w14:paraId="1DD95E6E" w14:textId="26EA92DD" w:rsidR="009B4FF0" w:rsidRPr="0074058E" w:rsidRDefault="00176AF1" w:rsidP="00301C8B">
      <w:pPr>
        <w:pStyle w:val="TableFooter"/>
        <w:spacing w:after="120"/>
        <w:contextualSpacing w:val="0"/>
      </w:pPr>
      <w:r w:rsidRPr="0074058E">
        <w:t>b</w:t>
      </w:r>
      <w:r w:rsidR="009B4FF0" w:rsidRPr="0074058E">
        <w:t>eva = bevacizumab, HR = hazard ratio ola = olaparib, OS = overall survival, pbo = placebo</w:t>
      </w:r>
    </w:p>
    <w:p w14:paraId="188B6078" w14:textId="5EADD63D" w:rsidR="00186F8C" w:rsidRPr="00301C8B" w:rsidRDefault="000A0E60" w:rsidP="0059200E">
      <w:pPr>
        <w:pStyle w:val="TableFooter"/>
        <w:rPr>
          <w:i/>
          <w:iCs/>
        </w:rPr>
      </w:pPr>
      <w:r w:rsidRPr="00301C8B">
        <w:rPr>
          <w:i/>
          <w:iCs/>
        </w:rPr>
        <w:t xml:space="preserve">Note that the results presented in Table 4 </w:t>
      </w:r>
      <w:proofErr w:type="gramStart"/>
      <w:r w:rsidRPr="00301C8B">
        <w:rPr>
          <w:i/>
          <w:iCs/>
        </w:rPr>
        <w:t>are derived</w:t>
      </w:r>
      <w:proofErr w:type="gramEnd"/>
      <w:r w:rsidRPr="00301C8B">
        <w:rPr>
          <w:i/>
          <w:iCs/>
        </w:rPr>
        <w:t xml:space="preserve"> from post-hoc analyses of a subgroup of the PAOLA-1 population across endpoints conducted specifically for the purposes of informing the PBAC consideration. These analyses were not part of the pre-specified statistical plan for </w:t>
      </w:r>
      <w:r w:rsidR="00A54245" w:rsidRPr="00301C8B">
        <w:rPr>
          <w:i/>
          <w:iCs/>
        </w:rPr>
        <w:t>PAOLA-1</w:t>
      </w:r>
      <w:r w:rsidRPr="00301C8B">
        <w:rPr>
          <w:i/>
          <w:iCs/>
        </w:rPr>
        <w:t xml:space="preserve">. Interpretation of the results and their application should therefore </w:t>
      </w:r>
      <w:proofErr w:type="gramStart"/>
      <w:r w:rsidRPr="00301C8B">
        <w:rPr>
          <w:i/>
          <w:iCs/>
        </w:rPr>
        <w:t>be limited</w:t>
      </w:r>
      <w:proofErr w:type="gramEnd"/>
      <w:r w:rsidRPr="00301C8B">
        <w:rPr>
          <w:i/>
          <w:iCs/>
        </w:rPr>
        <w:t xml:space="preserve"> to seeking to understand the basis for the PBAC outcome and should not be used for any other purpose.</w:t>
      </w:r>
    </w:p>
    <w:p w14:paraId="5AC40148" w14:textId="38C0C413" w:rsidR="009766C9" w:rsidRPr="0074058E" w:rsidRDefault="002326FB" w:rsidP="003F324E">
      <w:pPr>
        <w:pStyle w:val="Caption"/>
        <w:spacing w:after="0"/>
        <w:rPr>
          <w:i w:val="0"/>
          <w:szCs w:val="20"/>
        </w:rPr>
      </w:pPr>
      <w:bookmarkStart w:id="19" w:name="_Ref115427397"/>
      <w:r w:rsidRPr="0074058E">
        <w:rPr>
          <w:rFonts w:ascii="Arial Narrow" w:hAnsi="Arial Narrow"/>
          <w:b/>
          <w:bCs/>
          <w:i w:val="0"/>
          <w:iCs w:val="0"/>
          <w:noProof/>
          <w:sz w:val="20"/>
          <w:szCs w:val="20"/>
        </w:rPr>
        <w:lastRenderedPageBreak/>
        <w:drawing>
          <wp:anchor distT="0" distB="0" distL="114300" distR="114300" simplePos="0" relativeHeight="251655680" behindDoc="1" locked="0" layoutInCell="1" allowOverlap="1" wp14:anchorId="13FA1358" wp14:editId="3AFD568D">
            <wp:simplePos x="0" y="0"/>
            <wp:positionH relativeFrom="column">
              <wp:posOffset>2781300</wp:posOffset>
            </wp:positionH>
            <wp:positionV relativeFrom="paragraph">
              <wp:posOffset>237490</wp:posOffset>
            </wp:positionV>
            <wp:extent cx="2941955" cy="1850616"/>
            <wp:effectExtent l="0" t="0" r="0" b="0"/>
            <wp:wrapNone/>
            <wp:docPr id="18" name="/tmp/RtmpLQL4kW/file21b53ac83449/plot00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mp/RtmpLQL4kW/file21b53ac83449/plot001.png">
                      <a:extLst>
                        <a:ext uri="{C183D7F6-B498-43B3-948B-1728B52AA6E4}">
                          <adec:decorative xmlns:adec="http://schemas.microsoft.com/office/drawing/2017/decorative" val="1"/>
                        </a:ext>
                      </a:extLst>
                    </pic:cNvPr>
                    <pic:cNvPicPr/>
                  </pic:nvPicPr>
                  <pic:blipFill rotWithShape="1">
                    <a:blip r:embed="rId8" cstate="hqprint">
                      <a:extLst>
                        <a:ext uri="{28A0092B-C50C-407E-A947-70E740481C1C}">
                          <a14:useLocalDpi xmlns:a14="http://schemas.microsoft.com/office/drawing/2010/main"/>
                        </a:ext>
                      </a:extLst>
                    </a:blip>
                    <a:srcRect t="10243" b="21535"/>
                    <a:stretch/>
                  </pic:blipFill>
                  <pic:spPr bwMode="auto">
                    <a:xfrm>
                      <a:off x="0" y="0"/>
                      <a:ext cx="2941955" cy="18506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5AD2" w:rsidRPr="0074058E">
        <w:rPr>
          <w:rFonts w:ascii="Arial Narrow" w:hAnsi="Arial Narrow"/>
          <w:b/>
          <w:bCs/>
          <w:i w:val="0"/>
          <w:iCs w:val="0"/>
          <w:sz w:val="20"/>
          <w:szCs w:val="20"/>
        </w:rPr>
        <w:t xml:space="preserve">Figure </w:t>
      </w:r>
      <w:r w:rsidR="00AD5AD2" w:rsidRPr="0074058E">
        <w:rPr>
          <w:rFonts w:ascii="Arial Narrow" w:hAnsi="Arial Narrow"/>
          <w:b/>
          <w:bCs/>
          <w:i w:val="0"/>
          <w:iCs w:val="0"/>
          <w:sz w:val="20"/>
          <w:szCs w:val="20"/>
        </w:rPr>
        <w:fldChar w:fldCharType="begin" w:fldLock="1"/>
      </w:r>
      <w:r w:rsidR="00AD5AD2" w:rsidRPr="0074058E">
        <w:rPr>
          <w:rFonts w:ascii="Arial Narrow" w:hAnsi="Arial Narrow"/>
          <w:b/>
          <w:bCs/>
          <w:i w:val="0"/>
          <w:iCs w:val="0"/>
          <w:sz w:val="20"/>
          <w:szCs w:val="20"/>
        </w:rPr>
        <w:instrText xml:space="preserve"> SEQ Figure \* ARABIC </w:instrText>
      </w:r>
      <w:r w:rsidR="00AD5AD2" w:rsidRPr="0074058E">
        <w:rPr>
          <w:rFonts w:ascii="Arial Narrow" w:hAnsi="Arial Narrow"/>
          <w:b/>
          <w:bCs/>
          <w:i w:val="0"/>
          <w:iCs w:val="0"/>
          <w:sz w:val="20"/>
          <w:szCs w:val="20"/>
        </w:rPr>
        <w:fldChar w:fldCharType="separate"/>
      </w:r>
      <w:r w:rsidR="00ED2FAA">
        <w:rPr>
          <w:rFonts w:ascii="Arial Narrow" w:hAnsi="Arial Narrow"/>
          <w:b/>
          <w:bCs/>
          <w:i w:val="0"/>
          <w:iCs w:val="0"/>
          <w:noProof/>
          <w:sz w:val="20"/>
          <w:szCs w:val="20"/>
        </w:rPr>
        <w:t>1</w:t>
      </w:r>
      <w:r w:rsidR="00AD5AD2" w:rsidRPr="0074058E">
        <w:rPr>
          <w:rFonts w:ascii="Arial Narrow" w:hAnsi="Arial Narrow"/>
          <w:b/>
          <w:bCs/>
          <w:i w:val="0"/>
          <w:iCs w:val="0"/>
          <w:sz w:val="20"/>
          <w:szCs w:val="20"/>
        </w:rPr>
        <w:fldChar w:fldCharType="end"/>
      </w:r>
      <w:bookmarkEnd w:id="19"/>
      <w:r w:rsidR="00B75218" w:rsidRPr="0074058E">
        <w:rPr>
          <w:rFonts w:ascii="Arial Narrow" w:hAnsi="Arial Narrow"/>
          <w:b/>
          <w:bCs/>
          <w:i w:val="0"/>
          <w:iCs w:val="0"/>
          <w:sz w:val="20"/>
          <w:szCs w:val="20"/>
        </w:rPr>
        <w:t>: Comparison of OS</w:t>
      </w:r>
      <w:r w:rsidR="009766C9" w:rsidRPr="0074058E">
        <w:rPr>
          <w:rFonts w:ascii="Arial Narrow" w:hAnsi="Arial Narrow"/>
          <w:b/>
          <w:bCs/>
          <w:i w:val="0"/>
          <w:iCs w:val="0"/>
          <w:sz w:val="20"/>
          <w:szCs w:val="20"/>
        </w:rPr>
        <w:t xml:space="preserve"> Kaplan-Meier curves from </w:t>
      </w:r>
      <w:r w:rsidR="00DC7218" w:rsidRPr="0074058E">
        <w:rPr>
          <w:rFonts w:ascii="Arial Narrow" w:hAnsi="Arial Narrow"/>
          <w:b/>
          <w:bCs/>
          <w:i w:val="0"/>
          <w:iCs w:val="0"/>
          <w:sz w:val="20"/>
          <w:szCs w:val="20"/>
        </w:rPr>
        <w:t xml:space="preserve">HRD positive </w:t>
      </w:r>
      <w:r w:rsidR="00DC7218" w:rsidRPr="0074058E">
        <w:rPr>
          <w:rFonts w:ascii="Arial Narrow" w:hAnsi="Arial Narrow"/>
          <w:b/>
          <w:bCs/>
          <w:sz w:val="20"/>
          <w:szCs w:val="20"/>
        </w:rPr>
        <w:t>BRCA</w:t>
      </w:r>
      <w:r w:rsidR="00DC7218" w:rsidRPr="0074058E">
        <w:rPr>
          <w:rFonts w:ascii="Arial Narrow" w:hAnsi="Arial Narrow"/>
          <w:b/>
          <w:bCs/>
          <w:i w:val="0"/>
          <w:iCs w:val="0"/>
          <w:sz w:val="20"/>
          <w:szCs w:val="20"/>
        </w:rPr>
        <w:t xml:space="preserve">wt patients in </w:t>
      </w:r>
      <w:r w:rsidR="009766C9" w:rsidRPr="0074058E">
        <w:rPr>
          <w:rFonts w:ascii="Arial Narrow" w:hAnsi="Arial Narrow"/>
          <w:b/>
          <w:bCs/>
          <w:i w:val="0"/>
          <w:iCs w:val="0"/>
          <w:sz w:val="20"/>
          <w:szCs w:val="20"/>
        </w:rPr>
        <w:t>PAOLA-1</w:t>
      </w:r>
      <w:r w:rsidR="00B75218" w:rsidRPr="0074058E">
        <w:rPr>
          <w:rFonts w:ascii="Arial Narrow" w:hAnsi="Arial Narrow"/>
          <w:b/>
          <w:bCs/>
          <w:i w:val="0"/>
          <w:iCs w:val="0"/>
          <w:sz w:val="20"/>
          <w:szCs w:val="20"/>
        </w:rPr>
        <w:t xml:space="preserve"> DCO</w:t>
      </w:r>
      <w:r w:rsidR="009453B8" w:rsidRPr="0074058E">
        <w:rPr>
          <w:rFonts w:ascii="Arial Narrow" w:hAnsi="Arial Narrow"/>
          <w:b/>
          <w:bCs/>
          <w:i w:val="0"/>
          <w:iCs w:val="0"/>
          <w:sz w:val="20"/>
          <w:szCs w:val="20"/>
        </w:rPr>
        <w:t>3 (left)</w:t>
      </w:r>
      <w:r w:rsidR="00B75218" w:rsidRPr="0074058E">
        <w:rPr>
          <w:rFonts w:ascii="Arial Narrow" w:hAnsi="Arial Narrow"/>
          <w:b/>
          <w:bCs/>
          <w:i w:val="0"/>
          <w:iCs w:val="0"/>
          <w:sz w:val="20"/>
          <w:szCs w:val="20"/>
        </w:rPr>
        <w:t xml:space="preserve"> and DCO</w:t>
      </w:r>
      <w:r w:rsidR="009453B8" w:rsidRPr="0074058E">
        <w:rPr>
          <w:rFonts w:ascii="Arial Narrow" w:hAnsi="Arial Narrow"/>
          <w:b/>
          <w:bCs/>
          <w:i w:val="0"/>
          <w:iCs w:val="0"/>
          <w:sz w:val="20"/>
          <w:szCs w:val="20"/>
        </w:rPr>
        <w:t>2 (right)</w:t>
      </w:r>
    </w:p>
    <w:p w14:paraId="57902D16" w14:textId="6334FFCA" w:rsidR="00B75218" w:rsidRPr="0074058E" w:rsidRDefault="009766C9" w:rsidP="0059200E">
      <w:pPr>
        <w:pStyle w:val="TableFooter"/>
      </w:pPr>
      <w:r w:rsidRPr="0074058E">
        <w:rPr>
          <w:noProof/>
        </w:rPr>
        <w:drawing>
          <wp:inline distT="0" distB="0" distL="0" distR="0" wp14:anchorId="1950A4D8" wp14:editId="40D4B3AA">
            <wp:extent cx="2876550" cy="2365919"/>
            <wp:effectExtent l="0" t="0" r="0" b="0"/>
            <wp:docPr id="28" name="Picture 27" descr="Figure 1: Comparison of OS Kaplan-Meier curves from HRD positive BRCAwt patients in PAOLA-1 DCO3 (left) and DCO2 (right)">
              <a:extLst xmlns:a="http://schemas.openxmlformats.org/drawingml/2006/main">
                <a:ext uri="{FF2B5EF4-FFF2-40B4-BE49-F238E27FC236}">
                  <a16:creationId xmlns:a16="http://schemas.microsoft.com/office/drawing/2014/main" id="{6938CB23-2A4D-48F1-AF87-708E844F08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Figure 1: Comparison of OS Kaplan-Meier curves from HRD positive BRCAwt patients in PAOLA-1 DCO3 (left) and DCO2 (right)">
                      <a:extLst>
                        <a:ext uri="{FF2B5EF4-FFF2-40B4-BE49-F238E27FC236}">
                          <a16:creationId xmlns:a16="http://schemas.microsoft.com/office/drawing/2014/main" id="{6938CB23-2A4D-48F1-AF87-708E844F08E1}"/>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2876550" cy="2365919"/>
                    </a:xfrm>
                    <a:prstGeom prst="rect">
                      <a:avLst/>
                    </a:prstGeom>
                  </pic:spPr>
                </pic:pic>
              </a:graphicData>
            </a:graphic>
          </wp:inline>
        </w:drawing>
      </w:r>
    </w:p>
    <w:p w14:paraId="6F1F2E3E" w14:textId="071EC902" w:rsidR="009453B8" w:rsidRPr="0074058E" w:rsidRDefault="009453B8" w:rsidP="0059200E">
      <w:pPr>
        <w:pStyle w:val="TableFooter"/>
      </w:pPr>
      <w:r w:rsidRPr="0074058E">
        <w:t>Source: Figures 1 and 2, p13 of the resubmission</w:t>
      </w:r>
    </w:p>
    <w:p w14:paraId="0E56127B" w14:textId="2C83675E" w:rsidR="00B75218" w:rsidRPr="0074058E" w:rsidRDefault="00B75218" w:rsidP="00B32766">
      <w:pPr>
        <w:pStyle w:val="TableFooter"/>
      </w:pPr>
    </w:p>
    <w:p w14:paraId="4692B5D9" w14:textId="74A7FD9B" w:rsidR="00DB3A1D" w:rsidRPr="0074058E" w:rsidRDefault="00DF7F22" w:rsidP="006A5FEA">
      <w:pPr>
        <w:pStyle w:val="3-BodyText"/>
      </w:pPr>
      <w:r w:rsidRPr="0074058E">
        <w:t xml:space="preserve">The resubmission noted that OS data from DCO3 included over 40% of patients randomised to the bevacizumab arm who subsequently received treatment with a second line PARPi, which would </w:t>
      </w:r>
      <w:proofErr w:type="gramStart"/>
      <w:r w:rsidRPr="0074058E">
        <w:t>be expected</w:t>
      </w:r>
      <w:proofErr w:type="gramEnd"/>
      <w:r w:rsidRPr="0074058E">
        <w:t xml:space="preserve"> to bias OS results against olaparib. </w:t>
      </w:r>
      <w:r w:rsidR="00DB3A1D" w:rsidRPr="0074058E">
        <w:t xml:space="preserve">The resubmission claimed that </w:t>
      </w:r>
      <w:r w:rsidR="00545904" w:rsidRPr="0074058E">
        <w:t xml:space="preserve">if a formal treatment switching analysis </w:t>
      </w:r>
      <w:proofErr w:type="gramStart"/>
      <w:r w:rsidR="00545904" w:rsidRPr="0074058E">
        <w:t>were undertaken</w:t>
      </w:r>
      <w:proofErr w:type="gramEnd"/>
      <w:r w:rsidR="00545904" w:rsidRPr="0074058E">
        <w:t xml:space="preserve">, it is likely to demonstrate statistical significance on that basis. </w:t>
      </w:r>
      <w:r w:rsidR="00545904" w:rsidRPr="0074058E">
        <w:rPr>
          <w:iCs/>
        </w:rPr>
        <w:t>However</w:t>
      </w:r>
      <w:r w:rsidR="009A36D3" w:rsidRPr="0074058E">
        <w:rPr>
          <w:iCs/>
        </w:rPr>
        <w:t>,</w:t>
      </w:r>
      <w:r w:rsidR="00545904" w:rsidRPr="0074058E">
        <w:rPr>
          <w:iCs/>
        </w:rPr>
        <w:t xml:space="preserve"> no such analysis </w:t>
      </w:r>
      <w:proofErr w:type="gramStart"/>
      <w:r w:rsidR="00545904" w:rsidRPr="0074058E">
        <w:rPr>
          <w:iCs/>
        </w:rPr>
        <w:t>was presented</w:t>
      </w:r>
      <w:proofErr w:type="gramEnd"/>
      <w:r w:rsidR="00545904" w:rsidRPr="0074058E">
        <w:rPr>
          <w:iCs/>
        </w:rPr>
        <w:t xml:space="preserve"> to support this assertion.</w:t>
      </w:r>
    </w:p>
    <w:p w14:paraId="1B56125C" w14:textId="3FB55BA3" w:rsidR="00186F8C" w:rsidRPr="0074058E" w:rsidRDefault="00186F8C" w:rsidP="00B32766">
      <w:pPr>
        <w:pStyle w:val="3-BodyText"/>
      </w:pPr>
      <w:r w:rsidRPr="0074058E">
        <w:t xml:space="preserve">The resubmission </w:t>
      </w:r>
      <w:r w:rsidR="00545904" w:rsidRPr="0074058E">
        <w:t xml:space="preserve">also </w:t>
      </w:r>
      <w:r w:rsidRPr="0074058E">
        <w:t xml:space="preserve">provided </w:t>
      </w:r>
      <w:r w:rsidR="004661A9" w:rsidRPr="0074058E">
        <w:t xml:space="preserve">an </w:t>
      </w:r>
      <w:r w:rsidRPr="0074058E">
        <w:t>updated data</w:t>
      </w:r>
      <w:r w:rsidR="004661A9" w:rsidRPr="0074058E">
        <w:t xml:space="preserve"> cut</w:t>
      </w:r>
      <w:r w:rsidRPr="0074058E">
        <w:t xml:space="preserve"> (DC03) for </w:t>
      </w:r>
      <w:r w:rsidR="009443E9" w:rsidRPr="0074058E">
        <w:t xml:space="preserve">HRD positive </w:t>
      </w:r>
      <w:r w:rsidR="009443E9" w:rsidRPr="0074058E">
        <w:rPr>
          <w:i/>
          <w:iCs/>
        </w:rPr>
        <w:t>BRCA</w:t>
      </w:r>
      <w:r w:rsidR="009443E9" w:rsidRPr="0074058E">
        <w:t xml:space="preserve">wt patients in </w:t>
      </w:r>
      <w:r w:rsidRPr="0074058E">
        <w:t>PAOLA-1 for PFS (</w:t>
      </w:r>
      <w:r w:rsidR="00BB6CBF" w:rsidRPr="0074058E">
        <w:fldChar w:fldCharType="begin" w:fldLock="1"/>
      </w:r>
      <w:r w:rsidR="00BB6CBF" w:rsidRPr="0074058E">
        <w:instrText xml:space="preserve"> REF _Ref115427554 \h  \* MERGEFORMAT </w:instrText>
      </w:r>
      <w:r w:rsidR="00BB6CBF" w:rsidRPr="0074058E">
        <w:fldChar w:fldCharType="separate"/>
      </w:r>
      <w:r w:rsidR="00ED2FAA" w:rsidRPr="00ED2FAA">
        <w:t>Table 5</w:t>
      </w:r>
      <w:r w:rsidR="00BB6CBF" w:rsidRPr="0074058E">
        <w:fldChar w:fldCharType="end"/>
      </w:r>
      <w:r w:rsidRPr="0074058E">
        <w:t>)</w:t>
      </w:r>
      <w:r w:rsidR="004661A9" w:rsidRPr="0074058E">
        <w:t xml:space="preserve"> and the Kaplan-Meier curves</w:t>
      </w:r>
      <w:r w:rsidR="00923D44" w:rsidRPr="0074058E">
        <w:t xml:space="preserve"> for DC03</w:t>
      </w:r>
      <w:r w:rsidR="004661A9" w:rsidRPr="0074058E">
        <w:t xml:space="preserve"> (</w:t>
      </w:r>
      <w:r w:rsidR="00BB6CBF" w:rsidRPr="0074058E">
        <w:fldChar w:fldCharType="begin" w:fldLock="1"/>
      </w:r>
      <w:r w:rsidR="00BB6CBF" w:rsidRPr="0074058E">
        <w:instrText xml:space="preserve"> REF _Ref115427607 \h  \* MERGEFORMAT </w:instrText>
      </w:r>
      <w:r w:rsidR="00BB6CBF" w:rsidRPr="0074058E">
        <w:fldChar w:fldCharType="separate"/>
      </w:r>
      <w:r w:rsidR="00ED2FAA" w:rsidRPr="00ED2FAA">
        <w:t>Figure 2</w:t>
      </w:r>
      <w:r w:rsidR="00BB6CBF" w:rsidRPr="0074058E">
        <w:fldChar w:fldCharType="end"/>
      </w:r>
      <w:r w:rsidR="004661A9" w:rsidRPr="0074058E">
        <w:t>).</w:t>
      </w:r>
      <w:r w:rsidR="00B0072A" w:rsidRPr="0074058E">
        <w:t xml:space="preserve"> </w:t>
      </w:r>
      <w:r w:rsidR="00B0072A" w:rsidRPr="0074058E">
        <w:rPr>
          <w:iCs/>
        </w:rPr>
        <w:t xml:space="preserve">PFS </w:t>
      </w:r>
      <w:proofErr w:type="gramStart"/>
      <w:r w:rsidR="00B0072A" w:rsidRPr="0074058E">
        <w:rPr>
          <w:iCs/>
        </w:rPr>
        <w:t>was not assessed</w:t>
      </w:r>
      <w:proofErr w:type="gramEnd"/>
      <w:r w:rsidR="00B0072A" w:rsidRPr="0074058E">
        <w:rPr>
          <w:iCs/>
        </w:rPr>
        <w:t xml:space="preserve"> at DCO2 therefore no Kaplan-Meier curves were presented for DCO2</w:t>
      </w:r>
      <w:r w:rsidR="0099049E" w:rsidRPr="0074058E">
        <w:rPr>
          <w:iCs/>
        </w:rPr>
        <w:t>.</w:t>
      </w:r>
    </w:p>
    <w:p w14:paraId="33D985E0" w14:textId="10593CA3" w:rsidR="0059200E" w:rsidRPr="0074058E" w:rsidRDefault="00BB6CBF" w:rsidP="0071255C">
      <w:pPr>
        <w:pStyle w:val="Caption"/>
        <w:spacing w:after="0"/>
        <w:rPr>
          <w:i w:val="0"/>
          <w:szCs w:val="20"/>
        </w:rPr>
      </w:pPr>
      <w:bookmarkStart w:id="20" w:name="_Ref115427554"/>
      <w:r w:rsidRPr="0074058E">
        <w:rPr>
          <w:rFonts w:ascii="Arial Narrow" w:hAnsi="Arial Narrow"/>
          <w:b/>
          <w:bCs/>
          <w:i w:val="0"/>
          <w:iCs w:val="0"/>
          <w:sz w:val="20"/>
          <w:szCs w:val="20"/>
        </w:rPr>
        <w:t xml:space="preserve">Table </w:t>
      </w:r>
      <w:r w:rsidRPr="0074058E">
        <w:rPr>
          <w:rFonts w:ascii="Arial Narrow" w:hAnsi="Arial Narrow"/>
          <w:b/>
          <w:bCs/>
          <w:i w:val="0"/>
          <w:iCs w:val="0"/>
          <w:sz w:val="20"/>
          <w:szCs w:val="20"/>
        </w:rPr>
        <w:fldChar w:fldCharType="begin" w:fldLock="1"/>
      </w:r>
      <w:r w:rsidRPr="0074058E">
        <w:rPr>
          <w:rFonts w:ascii="Arial Narrow" w:hAnsi="Arial Narrow"/>
          <w:b/>
          <w:bCs/>
          <w:i w:val="0"/>
          <w:iCs w:val="0"/>
          <w:sz w:val="20"/>
          <w:szCs w:val="20"/>
        </w:rPr>
        <w:instrText xml:space="preserve"> SEQ Table \* ARABIC </w:instrText>
      </w:r>
      <w:r w:rsidRPr="0074058E">
        <w:rPr>
          <w:rFonts w:ascii="Arial Narrow" w:hAnsi="Arial Narrow"/>
          <w:b/>
          <w:bCs/>
          <w:i w:val="0"/>
          <w:iCs w:val="0"/>
          <w:sz w:val="20"/>
          <w:szCs w:val="20"/>
        </w:rPr>
        <w:fldChar w:fldCharType="separate"/>
      </w:r>
      <w:r w:rsidR="00ED2FAA">
        <w:rPr>
          <w:rFonts w:ascii="Arial Narrow" w:hAnsi="Arial Narrow"/>
          <w:b/>
          <w:bCs/>
          <w:i w:val="0"/>
          <w:iCs w:val="0"/>
          <w:noProof/>
          <w:sz w:val="20"/>
          <w:szCs w:val="20"/>
        </w:rPr>
        <w:t>5</w:t>
      </w:r>
      <w:r w:rsidRPr="0074058E">
        <w:rPr>
          <w:rFonts w:ascii="Arial Narrow" w:hAnsi="Arial Narrow"/>
          <w:b/>
          <w:bCs/>
          <w:i w:val="0"/>
          <w:iCs w:val="0"/>
          <w:sz w:val="20"/>
          <w:szCs w:val="20"/>
        </w:rPr>
        <w:fldChar w:fldCharType="end"/>
      </w:r>
      <w:bookmarkEnd w:id="20"/>
      <w:r w:rsidR="0059200E" w:rsidRPr="0074058E">
        <w:rPr>
          <w:rFonts w:ascii="Arial Narrow" w:hAnsi="Arial Narrow"/>
          <w:b/>
          <w:bCs/>
          <w:i w:val="0"/>
          <w:iCs w:val="0"/>
          <w:sz w:val="20"/>
          <w:szCs w:val="20"/>
        </w:rPr>
        <w:t xml:space="preserve">: Comparison of PFS in </w:t>
      </w:r>
      <w:r w:rsidR="00CD688F" w:rsidRPr="0074058E">
        <w:rPr>
          <w:rFonts w:ascii="Arial Narrow" w:hAnsi="Arial Narrow"/>
          <w:b/>
          <w:bCs/>
          <w:i w:val="0"/>
          <w:iCs w:val="0"/>
          <w:sz w:val="20"/>
          <w:szCs w:val="20"/>
        </w:rPr>
        <w:t xml:space="preserve">DCO1, </w:t>
      </w:r>
      <w:r w:rsidR="0059200E" w:rsidRPr="0074058E">
        <w:rPr>
          <w:rFonts w:ascii="Arial Narrow" w:hAnsi="Arial Narrow"/>
          <w:b/>
          <w:bCs/>
          <w:i w:val="0"/>
          <w:iCs w:val="0"/>
          <w:sz w:val="20"/>
          <w:szCs w:val="20"/>
        </w:rPr>
        <w:t>DCO2 and DCO3</w:t>
      </w:r>
      <w:r w:rsidR="00ED31CC" w:rsidRPr="0074058E">
        <w:rPr>
          <w:rFonts w:ascii="Arial Narrow" w:hAnsi="Arial Narrow"/>
          <w:b/>
          <w:bCs/>
          <w:i w:val="0"/>
          <w:iCs w:val="0"/>
          <w:sz w:val="20"/>
          <w:szCs w:val="20"/>
        </w:rPr>
        <w:t xml:space="preserve"> in PAOLA-1</w:t>
      </w:r>
    </w:p>
    <w:tbl>
      <w:tblPr>
        <w:tblStyle w:val="TableGrid"/>
        <w:tblW w:w="5000" w:type="pct"/>
        <w:tblLayout w:type="fixed"/>
        <w:tblLook w:val="04A0" w:firstRow="1" w:lastRow="0" w:firstColumn="1" w:lastColumn="0" w:noHBand="0" w:noVBand="1"/>
      </w:tblPr>
      <w:tblGrid>
        <w:gridCol w:w="1289"/>
        <w:gridCol w:w="787"/>
        <w:gridCol w:w="788"/>
        <w:gridCol w:w="1043"/>
        <w:gridCol w:w="787"/>
        <w:gridCol w:w="788"/>
        <w:gridCol w:w="1043"/>
        <w:gridCol w:w="787"/>
        <w:gridCol w:w="661"/>
        <w:gridCol w:w="1043"/>
      </w:tblGrid>
      <w:tr w:rsidR="00C32BDE" w:rsidRPr="00017E19" w14:paraId="458EAFB4" w14:textId="77777777" w:rsidTr="00820F19">
        <w:tc>
          <w:tcPr>
            <w:tcW w:w="1408" w:type="dxa"/>
          </w:tcPr>
          <w:p w14:paraId="0034664A" w14:textId="77777777" w:rsidR="00C32BDE" w:rsidRPr="0074058E" w:rsidRDefault="00C32BDE" w:rsidP="00756212">
            <w:pPr>
              <w:pStyle w:val="TableText"/>
              <w:rPr>
                <w:rFonts w:eastAsia="Arial"/>
              </w:rPr>
            </w:pPr>
          </w:p>
        </w:tc>
        <w:tc>
          <w:tcPr>
            <w:tcW w:w="2835" w:type="dxa"/>
            <w:gridSpan w:val="3"/>
          </w:tcPr>
          <w:p w14:paraId="7544DF66" w14:textId="77777777" w:rsidR="00C32BDE" w:rsidRPr="00195C38" w:rsidRDefault="00C32BDE" w:rsidP="00756212">
            <w:pPr>
              <w:pStyle w:val="TableText"/>
              <w:jc w:val="center"/>
              <w:rPr>
                <w:rFonts w:eastAsia="Arial"/>
                <w:b/>
              </w:rPr>
            </w:pPr>
            <w:r w:rsidRPr="00195C38">
              <w:rPr>
                <w:rFonts w:eastAsia="Arial"/>
                <w:b/>
              </w:rPr>
              <w:t>DCO1</w:t>
            </w:r>
          </w:p>
        </w:tc>
        <w:tc>
          <w:tcPr>
            <w:tcW w:w="2835" w:type="dxa"/>
            <w:gridSpan w:val="3"/>
          </w:tcPr>
          <w:p w14:paraId="6E3B46F0" w14:textId="77777777" w:rsidR="00C32BDE" w:rsidRPr="00017E19" w:rsidRDefault="00C32BDE" w:rsidP="00756212">
            <w:pPr>
              <w:pStyle w:val="TableText"/>
              <w:jc w:val="center"/>
              <w:rPr>
                <w:rFonts w:eastAsia="Arial"/>
                <w:b/>
              </w:rPr>
            </w:pPr>
            <w:r w:rsidRPr="00017E19">
              <w:rPr>
                <w:rFonts w:eastAsia="Arial"/>
                <w:b/>
              </w:rPr>
              <w:t>DCO2</w:t>
            </w:r>
          </w:p>
        </w:tc>
        <w:tc>
          <w:tcPr>
            <w:tcW w:w="2693" w:type="dxa"/>
            <w:gridSpan w:val="3"/>
          </w:tcPr>
          <w:p w14:paraId="731D4937" w14:textId="7878C16D" w:rsidR="00C32BDE" w:rsidRPr="00017E19" w:rsidRDefault="0071255C" w:rsidP="00756212">
            <w:pPr>
              <w:pStyle w:val="TableText"/>
              <w:jc w:val="center"/>
              <w:rPr>
                <w:rFonts w:eastAsia="Arial"/>
                <w:b/>
              </w:rPr>
            </w:pPr>
            <w:r w:rsidRPr="00017E19">
              <w:rPr>
                <w:rFonts w:eastAsia="Arial"/>
                <w:b/>
              </w:rPr>
              <w:t>DC03</w:t>
            </w:r>
          </w:p>
        </w:tc>
      </w:tr>
      <w:tr w:rsidR="00C32BDE" w:rsidRPr="00017E19" w14:paraId="60BF4772" w14:textId="77777777" w:rsidTr="00820F19">
        <w:tc>
          <w:tcPr>
            <w:tcW w:w="1408" w:type="dxa"/>
          </w:tcPr>
          <w:p w14:paraId="0DF75573" w14:textId="77777777" w:rsidR="00C32BDE" w:rsidRPr="00017E19" w:rsidRDefault="00C32BDE" w:rsidP="00756212">
            <w:pPr>
              <w:pStyle w:val="TableText"/>
              <w:rPr>
                <w:rFonts w:eastAsia="Arial"/>
              </w:rPr>
            </w:pPr>
          </w:p>
        </w:tc>
        <w:tc>
          <w:tcPr>
            <w:tcW w:w="850" w:type="dxa"/>
          </w:tcPr>
          <w:p w14:paraId="6495D413" w14:textId="1EC016D0" w:rsidR="00C32BDE" w:rsidRPr="00017E19" w:rsidRDefault="005E45C0" w:rsidP="00756212">
            <w:pPr>
              <w:pStyle w:val="TableText"/>
              <w:jc w:val="center"/>
              <w:rPr>
                <w:rFonts w:eastAsia="Arial"/>
                <w:b/>
              </w:rPr>
            </w:pPr>
            <w:r w:rsidRPr="00017E19">
              <w:rPr>
                <w:rFonts w:eastAsia="Arial"/>
                <w:b/>
              </w:rPr>
              <w:t>o</w:t>
            </w:r>
            <w:r w:rsidR="00C32BDE" w:rsidRPr="00017E19">
              <w:rPr>
                <w:rFonts w:eastAsia="Arial"/>
                <w:b/>
              </w:rPr>
              <w:t>la + beva</w:t>
            </w:r>
          </w:p>
        </w:tc>
        <w:tc>
          <w:tcPr>
            <w:tcW w:w="851" w:type="dxa"/>
          </w:tcPr>
          <w:p w14:paraId="62F5B8B0" w14:textId="60E1C3DB" w:rsidR="00C32BDE" w:rsidRPr="00017E19" w:rsidRDefault="005E45C0" w:rsidP="00756212">
            <w:pPr>
              <w:pStyle w:val="TableText"/>
              <w:jc w:val="center"/>
              <w:rPr>
                <w:rFonts w:eastAsia="Arial"/>
                <w:b/>
              </w:rPr>
            </w:pPr>
            <w:r w:rsidRPr="00017E19">
              <w:rPr>
                <w:rFonts w:eastAsia="Arial"/>
                <w:b/>
              </w:rPr>
              <w:t>p</w:t>
            </w:r>
            <w:r w:rsidR="00C32BDE" w:rsidRPr="00017E19">
              <w:rPr>
                <w:rFonts w:eastAsia="Arial"/>
                <w:b/>
              </w:rPr>
              <w:t>bo + beva</w:t>
            </w:r>
          </w:p>
        </w:tc>
        <w:tc>
          <w:tcPr>
            <w:tcW w:w="1134" w:type="dxa"/>
          </w:tcPr>
          <w:p w14:paraId="07BB2556" w14:textId="77777777" w:rsidR="00C32BDE" w:rsidRPr="00017E19" w:rsidRDefault="00C32BDE" w:rsidP="00756212">
            <w:pPr>
              <w:pStyle w:val="TableText"/>
              <w:jc w:val="center"/>
              <w:rPr>
                <w:rFonts w:eastAsia="Arial"/>
                <w:b/>
              </w:rPr>
            </w:pPr>
            <w:r w:rsidRPr="00017E19">
              <w:rPr>
                <w:rFonts w:eastAsia="Arial"/>
                <w:b/>
              </w:rPr>
              <w:t xml:space="preserve">HR </w:t>
            </w:r>
          </w:p>
          <w:p w14:paraId="31940F36" w14:textId="77777777" w:rsidR="00C32BDE" w:rsidRPr="00017E19" w:rsidRDefault="00C32BDE" w:rsidP="00756212">
            <w:pPr>
              <w:pStyle w:val="TableText"/>
              <w:jc w:val="center"/>
              <w:rPr>
                <w:rFonts w:eastAsia="Arial"/>
                <w:b/>
              </w:rPr>
            </w:pPr>
            <w:r w:rsidRPr="00017E19">
              <w:rPr>
                <w:rFonts w:eastAsia="Arial"/>
                <w:b/>
              </w:rPr>
              <w:t>(</w:t>
            </w:r>
            <w:proofErr w:type="gramStart"/>
            <w:r w:rsidRPr="00017E19">
              <w:rPr>
                <w:rFonts w:eastAsia="Arial"/>
                <w:b/>
              </w:rPr>
              <w:t>95%</w:t>
            </w:r>
            <w:proofErr w:type="gramEnd"/>
            <w:r w:rsidRPr="00017E19">
              <w:rPr>
                <w:rFonts w:eastAsia="Arial"/>
                <w:b/>
              </w:rPr>
              <w:t xml:space="preserve"> CI)</w:t>
            </w:r>
          </w:p>
        </w:tc>
        <w:tc>
          <w:tcPr>
            <w:tcW w:w="850" w:type="dxa"/>
          </w:tcPr>
          <w:p w14:paraId="18186296" w14:textId="01B2422A" w:rsidR="00C32BDE" w:rsidRPr="00017E19" w:rsidRDefault="005E45C0" w:rsidP="00756212">
            <w:pPr>
              <w:pStyle w:val="TableText"/>
              <w:jc w:val="center"/>
              <w:rPr>
                <w:rFonts w:eastAsia="Arial"/>
                <w:b/>
              </w:rPr>
            </w:pPr>
            <w:r w:rsidRPr="00017E19">
              <w:rPr>
                <w:rFonts w:eastAsia="Arial"/>
                <w:b/>
              </w:rPr>
              <w:t>o</w:t>
            </w:r>
            <w:r w:rsidR="00C32BDE" w:rsidRPr="00017E19">
              <w:rPr>
                <w:rFonts w:eastAsia="Arial"/>
                <w:b/>
              </w:rPr>
              <w:t>la + beva</w:t>
            </w:r>
          </w:p>
        </w:tc>
        <w:tc>
          <w:tcPr>
            <w:tcW w:w="851" w:type="dxa"/>
          </w:tcPr>
          <w:p w14:paraId="7A8AD168" w14:textId="705EF6E0" w:rsidR="00C32BDE" w:rsidRPr="00017E19" w:rsidRDefault="005E45C0" w:rsidP="00756212">
            <w:pPr>
              <w:pStyle w:val="TableText"/>
              <w:jc w:val="center"/>
              <w:rPr>
                <w:rFonts w:eastAsia="Arial"/>
                <w:b/>
              </w:rPr>
            </w:pPr>
            <w:r w:rsidRPr="00017E19">
              <w:rPr>
                <w:rFonts w:eastAsia="Arial"/>
                <w:b/>
              </w:rPr>
              <w:t>p</w:t>
            </w:r>
            <w:r w:rsidR="00C32BDE" w:rsidRPr="00017E19">
              <w:rPr>
                <w:rFonts w:eastAsia="Arial"/>
                <w:b/>
              </w:rPr>
              <w:t>bo + beva</w:t>
            </w:r>
          </w:p>
        </w:tc>
        <w:tc>
          <w:tcPr>
            <w:tcW w:w="1134" w:type="dxa"/>
          </w:tcPr>
          <w:p w14:paraId="3A907679" w14:textId="77777777" w:rsidR="00C32BDE" w:rsidRPr="00017E19" w:rsidRDefault="00C32BDE" w:rsidP="00756212">
            <w:pPr>
              <w:pStyle w:val="TableText"/>
              <w:jc w:val="center"/>
              <w:rPr>
                <w:rFonts w:eastAsia="Arial"/>
                <w:b/>
              </w:rPr>
            </w:pPr>
            <w:r w:rsidRPr="00017E19">
              <w:rPr>
                <w:rFonts w:eastAsia="Arial"/>
                <w:b/>
              </w:rPr>
              <w:t xml:space="preserve">HR </w:t>
            </w:r>
          </w:p>
          <w:p w14:paraId="531DC4D1" w14:textId="77777777" w:rsidR="00C32BDE" w:rsidRPr="00017E19" w:rsidRDefault="00C32BDE" w:rsidP="00756212">
            <w:pPr>
              <w:pStyle w:val="TableText"/>
              <w:jc w:val="center"/>
              <w:rPr>
                <w:rFonts w:eastAsia="Arial"/>
                <w:b/>
              </w:rPr>
            </w:pPr>
            <w:r w:rsidRPr="00017E19">
              <w:rPr>
                <w:rFonts w:eastAsia="Arial"/>
                <w:b/>
              </w:rPr>
              <w:t>(</w:t>
            </w:r>
            <w:proofErr w:type="gramStart"/>
            <w:r w:rsidRPr="00017E19">
              <w:rPr>
                <w:rFonts w:eastAsia="Arial"/>
                <w:b/>
              </w:rPr>
              <w:t>95%</w:t>
            </w:r>
            <w:proofErr w:type="gramEnd"/>
            <w:r w:rsidRPr="00017E19">
              <w:rPr>
                <w:rFonts w:eastAsia="Arial"/>
                <w:b/>
              </w:rPr>
              <w:t xml:space="preserve"> CI)</w:t>
            </w:r>
          </w:p>
        </w:tc>
        <w:tc>
          <w:tcPr>
            <w:tcW w:w="850" w:type="dxa"/>
          </w:tcPr>
          <w:p w14:paraId="38145CFE" w14:textId="40F53E3A" w:rsidR="00C32BDE" w:rsidRPr="00017E19" w:rsidRDefault="005E45C0" w:rsidP="00756212">
            <w:pPr>
              <w:pStyle w:val="TableText"/>
              <w:jc w:val="center"/>
              <w:rPr>
                <w:rFonts w:eastAsia="Arial"/>
                <w:b/>
              </w:rPr>
            </w:pPr>
            <w:r w:rsidRPr="00017E19">
              <w:rPr>
                <w:rFonts w:eastAsia="Arial"/>
                <w:b/>
              </w:rPr>
              <w:t>o</w:t>
            </w:r>
            <w:r w:rsidR="00C32BDE" w:rsidRPr="00017E19">
              <w:rPr>
                <w:rFonts w:eastAsia="Arial"/>
                <w:b/>
              </w:rPr>
              <w:t>la + beva</w:t>
            </w:r>
          </w:p>
        </w:tc>
        <w:tc>
          <w:tcPr>
            <w:tcW w:w="709" w:type="dxa"/>
          </w:tcPr>
          <w:p w14:paraId="004058AA" w14:textId="72D30ED8" w:rsidR="00C32BDE" w:rsidRPr="00017E19" w:rsidRDefault="005E45C0" w:rsidP="00756212">
            <w:pPr>
              <w:pStyle w:val="TableText"/>
              <w:jc w:val="center"/>
              <w:rPr>
                <w:rFonts w:eastAsia="Arial"/>
                <w:b/>
              </w:rPr>
            </w:pPr>
            <w:r w:rsidRPr="00017E19">
              <w:rPr>
                <w:rFonts w:eastAsia="Arial"/>
                <w:b/>
              </w:rPr>
              <w:t>p</w:t>
            </w:r>
            <w:r w:rsidR="00C32BDE" w:rsidRPr="00017E19">
              <w:rPr>
                <w:rFonts w:eastAsia="Arial"/>
                <w:b/>
              </w:rPr>
              <w:t>bo + beva</w:t>
            </w:r>
          </w:p>
        </w:tc>
        <w:tc>
          <w:tcPr>
            <w:tcW w:w="1134" w:type="dxa"/>
          </w:tcPr>
          <w:p w14:paraId="3F9623CF" w14:textId="77777777" w:rsidR="00C32BDE" w:rsidRPr="00017E19" w:rsidRDefault="00C32BDE" w:rsidP="00756212">
            <w:pPr>
              <w:pStyle w:val="TableText"/>
              <w:jc w:val="center"/>
              <w:rPr>
                <w:rFonts w:eastAsia="Arial"/>
                <w:b/>
              </w:rPr>
            </w:pPr>
            <w:r w:rsidRPr="00017E19">
              <w:rPr>
                <w:rFonts w:eastAsia="Arial"/>
                <w:b/>
              </w:rPr>
              <w:t xml:space="preserve">HR </w:t>
            </w:r>
          </w:p>
          <w:p w14:paraId="7DE8A2ED" w14:textId="77777777" w:rsidR="00C32BDE" w:rsidRPr="00017E19" w:rsidRDefault="00C32BDE" w:rsidP="00756212">
            <w:pPr>
              <w:pStyle w:val="TableText"/>
              <w:jc w:val="center"/>
              <w:rPr>
                <w:rFonts w:eastAsia="Arial"/>
                <w:b/>
              </w:rPr>
            </w:pPr>
            <w:r w:rsidRPr="00017E19">
              <w:rPr>
                <w:rFonts w:eastAsia="Arial"/>
                <w:b/>
              </w:rPr>
              <w:t>(</w:t>
            </w:r>
            <w:proofErr w:type="gramStart"/>
            <w:r w:rsidRPr="00017E19">
              <w:rPr>
                <w:rFonts w:eastAsia="Arial"/>
                <w:b/>
              </w:rPr>
              <w:t>95%</w:t>
            </w:r>
            <w:proofErr w:type="gramEnd"/>
            <w:r w:rsidRPr="00017E19">
              <w:rPr>
                <w:rFonts w:eastAsia="Arial"/>
                <w:b/>
              </w:rPr>
              <w:t xml:space="preserve"> CI)</w:t>
            </w:r>
          </w:p>
        </w:tc>
      </w:tr>
      <w:tr w:rsidR="00C32BDE" w:rsidRPr="00017E19" w14:paraId="0F49076C" w14:textId="77777777" w:rsidTr="00820F19">
        <w:tc>
          <w:tcPr>
            <w:tcW w:w="9771" w:type="dxa"/>
            <w:gridSpan w:val="10"/>
          </w:tcPr>
          <w:p w14:paraId="2524C93E" w14:textId="77777777" w:rsidR="00C32BDE" w:rsidRPr="00017E19" w:rsidRDefault="00C32BDE" w:rsidP="00756212">
            <w:pPr>
              <w:pStyle w:val="TableText"/>
              <w:rPr>
                <w:rFonts w:eastAsia="Arial"/>
                <w:b/>
                <w:i/>
                <w:iCs/>
              </w:rPr>
            </w:pPr>
            <w:r w:rsidRPr="00017E19">
              <w:rPr>
                <w:rFonts w:eastAsia="Arial"/>
                <w:b/>
              </w:rPr>
              <w:t xml:space="preserve">HRD positive </w:t>
            </w:r>
            <w:r w:rsidRPr="00017E19">
              <w:rPr>
                <w:rFonts w:eastAsia="Arial"/>
                <w:b/>
                <w:i/>
                <w:iCs/>
              </w:rPr>
              <w:t>BRCA</w:t>
            </w:r>
            <w:r w:rsidRPr="00017E19">
              <w:rPr>
                <w:rFonts w:eastAsia="Arial"/>
                <w:b/>
              </w:rPr>
              <w:t>wt</w:t>
            </w:r>
          </w:p>
        </w:tc>
      </w:tr>
      <w:tr w:rsidR="00C32BDE" w:rsidRPr="00017E19" w14:paraId="6092D221" w14:textId="77777777" w:rsidTr="00820F19">
        <w:tc>
          <w:tcPr>
            <w:tcW w:w="1408" w:type="dxa"/>
            <w:vAlign w:val="center"/>
          </w:tcPr>
          <w:p w14:paraId="7FAE810A" w14:textId="77777777" w:rsidR="00C32BDE" w:rsidRPr="00017E19" w:rsidRDefault="00C32BDE" w:rsidP="00756212">
            <w:pPr>
              <w:pStyle w:val="TableText"/>
              <w:rPr>
                <w:rFonts w:eastAsia="Arial"/>
              </w:rPr>
            </w:pPr>
            <w:r w:rsidRPr="00017E19">
              <w:rPr>
                <w:rFonts w:eastAsia="Arial"/>
              </w:rPr>
              <w:t>Median PFS</w:t>
            </w:r>
          </w:p>
        </w:tc>
        <w:tc>
          <w:tcPr>
            <w:tcW w:w="850" w:type="dxa"/>
            <w:vAlign w:val="center"/>
          </w:tcPr>
          <w:p w14:paraId="64994F6C" w14:textId="77777777" w:rsidR="00C32BDE" w:rsidRPr="00017E19" w:rsidRDefault="00C32BDE" w:rsidP="00756212">
            <w:pPr>
              <w:pStyle w:val="TableText"/>
              <w:jc w:val="center"/>
              <w:rPr>
                <w:rFonts w:eastAsia="Arial"/>
              </w:rPr>
            </w:pPr>
            <w:r w:rsidRPr="00017E19">
              <w:rPr>
                <w:rFonts w:eastAsia="Arial"/>
              </w:rPr>
              <w:t>28.1</w:t>
            </w:r>
          </w:p>
        </w:tc>
        <w:tc>
          <w:tcPr>
            <w:tcW w:w="851" w:type="dxa"/>
            <w:vAlign w:val="center"/>
          </w:tcPr>
          <w:p w14:paraId="6888C690" w14:textId="77777777" w:rsidR="00C32BDE" w:rsidRPr="00017E19" w:rsidRDefault="00C32BDE" w:rsidP="00756212">
            <w:pPr>
              <w:pStyle w:val="TableText"/>
              <w:jc w:val="center"/>
              <w:rPr>
                <w:rFonts w:eastAsia="Arial"/>
              </w:rPr>
            </w:pPr>
            <w:r w:rsidRPr="00017E19">
              <w:rPr>
                <w:rFonts w:eastAsia="Arial"/>
              </w:rPr>
              <w:t>16.6</w:t>
            </w:r>
          </w:p>
        </w:tc>
        <w:tc>
          <w:tcPr>
            <w:tcW w:w="1134" w:type="dxa"/>
            <w:vMerge w:val="restart"/>
            <w:vAlign w:val="center"/>
          </w:tcPr>
          <w:p w14:paraId="62366478" w14:textId="77777777" w:rsidR="00C32BDE" w:rsidRPr="00017E19" w:rsidRDefault="00C32BDE" w:rsidP="00756212">
            <w:pPr>
              <w:pStyle w:val="TableText"/>
              <w:jc w:val="center"/>
              <w:rPr>
                <w:rFonts w:eastAsia="Arial"/>
              </w:rPr>
            </w:pPr>
            <w:r w:rsidRPr="00017E19">
              <w:rPr>
                <w:rFonts w:eastAsia="Arial"/>
              </w:rPr>
              <w:t>0.43</w:t>
            </w:r>
          </w:p>
          <w:p w14:paraId="5BB9277C" w14:textId="77777777" w:rsidR="00C32BDE" w:rsidRPr="00017E19" w:rsidRDefault="00C32BDE" w:rsidP="00756212">
            <w:pPr>
              <w:pStyle w:val="TableText"/>
              <w:jc w:val="center"/>
              <w:rPr>
                <w:rFonts w:eastAsia="Arial"/>
              </w:rPr>
            </w:pPr>
            <w:r w:rsidRPr="00017E19">
              <w:rPr>
                <w:rFonts w:eastAsia="Arial"/>
              </w:rPr>
              <w:t>(0.28,0.66)</w:t>
            </w:r>
          </w:p>
        </w:tc>
        <w:tc>
          <w:tcPr>
            <w:tcW w:w="850" w:type="dxa"/>
            <w:vAlign w:val="center"/>
          </w:tcPr>
          <w:p w14:paraId="692C9C5B" w14:textId="77777777" w:rsidR="00C32BDE" w:rsidRPr="00017E19" w:rsidRDefault="00C32BDE" w:rsidP="00756212">
            <w:pPr>
              <w:pStyle w:val="TableText"/>
              <w:jc w:val="center"/>
              <w:rPr>
                <w:rFonts w:eastAsia="Arial"/>
              </w:rPr>
            </w:pPr>
            <w:r w:rsidRPr="00017E19">
              <w:rPr>
                <w:rFonts w:eastAsia="Arial"/>
              </w:rPr>
              <w:t>30.0</w:t>
            </w:r>
          </w:p>
        </w:tc>
        <w:tc>
          <w:tcPr>
            <w:tcW w:w="851" w:type="dxa"/>
            <w:vAlign w:val="center"/>
          </w:tcPr>
          <w:p w14:paraId="6F7746DE" w14:textId="77777777" w:rsidR="00C32BDE" w:rsidRPr="00017E19" w:rsidRDefault="00C32BDE" w:rsidP="00756212">
            <w:pPr>
              <w:pStyle w:val="TableText"/>
              <w:jc w:val="center"/>
              <w:rPr>
                <w:rFonts w:eastAsia="Arial"/>
              </w:rPr>
            </w:pPr>
            <w:r w:rsidRPr="00017E19">
              <w:rPr>
                <w:rFonts w:eastAsia="Arial"/>
              </w:rPr>
              <w:t>16.6</w:t>
            </w:r>
          </w:p>
        </w:tc>
        <w:tc>
          <w:tcPr>
            <w:tcW w:w="1134" w:type="dxa"/>
            <w:vMerge w:val="restart"/>
            <w:vAlign w:val="center"/>
          </w:tcPr>
          <w:p w14:paraId="4DE69D7F" w14:textId="77777777" w:rsidR="00C32BDE" w:rsidRPr="00017E19" w:rsidRDefault="00C32BDE" w:rsidP="00756212">
            <w:pPr>
              <w:pStyle w:val="TableText"/>
              <w:jc w:val="center"/>
              <w:rPr>
                <w:rFonts w:eastAsia="Arial"/>
              </w:rPr>
            </w:pPr>
            <w:r w:rsidRPr="00017E19">
              <w:rPr>
                <w:rFonts w:eastAsia="Arial"/>
              </w:rPr>
              <w:t>0.44*</w:t>
            </w:r>
          </w:p>
          <w:p w14:paraId="2334EBE1" w14:textId="77777777" w:rsidR="00C32BDE" w:rsidRPr="00017E19" w:rsidRDefault="00C32BDE" w:rsidP="00756212">
            <w:pPr>
              <w:pStyle w:val="TableText"/>
              <w:jc w:val="center"/>
              <w:rPr>
                <w:rFonts w:eastAsia="Arial"/>
              </w:rPr>
            </w:pPr>
            <w:r w:rsidRPr="00017E19">
              <w:rPr>
                <w:rFonts w:eastAsia="Arial"/>
              </w:rPr>
              <w:t>(0.29, 0.66)</w:t>
            </w:r>
          </w:p>
        </w:tc>
        <w:tc>
          <w:tcPr>
            <w:tcW w:w="850" w:type="dxa"/>
            <w:vAlign w:val="center"/>
          </w:tcPr>
          <w:p w14:paraId="4049C8F1" w14:textId="77777777" w:rsidR="00C32BDE" w:rsidRPr="00017E19" w:rsidRDefault="00C32BDE" w:rsidP="00756212">
            <w:pPr>
              <w:pStyle w:val="TableText"/>
              <w:jc w:val="center"/>
              <w:rPr>
                <w:rFonts w:eastAsia="Arial"/>
              </w:rPr>
            </w:pPr>
            <w:r w:rsidRPr="00017E19">
              <w:rPr>
                <w:rFonts w:eastAsia="Arial"/>
              </w:rPr>
              <w:t>30.0</w:t>
            </w:r>
          </w:p>
        </w:tc>
        <w:tc>
          <w:tcPr>
            <w:tcW w:w="709" w:type="dxa"/>
            <w:vAlign w:val="center"/>
          </w:tcPr>
          <w:p w14:paraId="69AE93D9" w14:textId="77777777" w:rsidR="00C32BDE" w:rsidRPr="00017E19" w:rsidRDefault="00C32BDE" w:rsidP="00756212">
            <w:pPr>
              <w:pStyle w:val="TableText"/>
              <w:jc w:val="center"/>
              <w:rPr>
                <w:rFonts w:eastAsia="Arial"/>
              </w:rPr>
            </w:pPr>
            <w:r w:rsidRPr="00017E19">
              <w:rPr>
                <w:rFonts w:eastAsia="Arial"/>
              </w:rPr>
              <w:t>16.6</w:t>
            </w:r>
          </w:p>
        </w:tc>
        <w:tc>
          <w:tcPr>
            <w:tcW w:w="1134" w:type="dxa"/>
            <w:vMerge w:val="restart"/>
            <w:vAlign w:val="center"/>
          </w:tcPr>
          <w:p w14:paraId="696AE4EA" w14:textId="77777777" w:rsidR="00C32BDE" w:rsidRPr="00017E19" w:rsidRDefault="00C32BDE" w:rsidP="00756212">
            <w:pPr>
              <w:pStyle w:val="TableText"/>
              <w:jc w:val="center"/>
              <w:rPr>
                <w:rFonts w:eastAsia="Arial"/>
              </w:rPr>
            </w:pPr>
            <w:r w:rsidRPr="00017E19">
              <w:rPr>
                <w:rFonts w:eastAsia="Arial"/>
              </w:rPr>
              <w:t>0.45*</w:t>
            </w:r>
          </w:p>
          <w:p w14:paraId="44DCD33A" w14:textId="77777777" w:rsidR="00C32BDE" w:rsidRPr="00017E19" w:rsidRDefault="00C32BDE" w:rsidP="00756212">
            <w:pPr>
              <w:pStyle w:val="TableText"/>
              <w:jc w:val="center"/>
              <w:rPr>
                <w:rFonts w:eastAsia="Arial"/>
              </w:rPr>
            </w:pPr>
            <w:r w:rsidRPr="00017E19">
              <w:rPr>
                <w:rFonts w:eastAsia="Arial"/>
              </w:rPr>
              <w:t>(0.31,0.67)</w:t>
            </w:r>
          </w:p>
        </w:tc>
      </w:tr>
      <w:tr w:rsidR="00C32BDE" w:rsidRPr="0074058E" w14:paraId="604C3F67" w14:textId="77777777" w:rsidTr="00820F19">
        <w:tc>
          <w:tcPr>
            <w:tcW w:w="1408" w:type="dxa"/>
            <w:vAlign w:val="center"/>
          </w:tcPr>
          <w:p w14:paraId="2BC41C84" w14:textId="77777777" w:rsidR="00C32BDE" w:rsidRPr="00017E19" w:rsidRDefault="00C32BDE" w:rsidP="00756212">
            <w:pPr>
              <w:pStyle w:val="TableText"/>
              <w:rPr>
                <w:rFonts w:eastAsia="Arial"/>
              </w:rPr>
            </w:pPr>
            <w:r w:rsidRPr="00017E19">
              <w:rPr>
                <w:rFonts w:eastAsia="Arial"/>
              </w:rPr>
              <w:t>Events, n/N (%)</w:t>
            </w:r>
          </w:p>
        </w:tc>
        <w:tc>
          <w:tcPr>
            <w:tcW w:w="850" w:type="dxa"/>
            <w:vAlign w:val="center"/>
          </w:tcPr>
          <w:p w14:paraId="1D86B4FE" w14:textId="77777777" w:rsidR="00C32BDE" w:rsidRPr="00017E19" w:rsidRDefault="00C32BDE" w:rsidP="00756212">
            <w:pPr>
              <w:pStyle w:val="TableText"/>
              <w:jc w:val="center"/>
              <w:rPr>
                <w:rFonts w:eastAsia="Arial"/>
              </w:rPr>
            </w:pPr>
            <w:r w:rsidRPr="00017E19">
              <w:rPr>
                <w:rFonts w:eastAsia="Arial"/>
              </w:rPr>
              <w:t>43/97 (44.3)</w:t>
            </w:r>
          </w:p>
        </w:tc>
        <w:tc>
          <w:tcPr>
            <w:tcW w:w="851" w:type="dxa"/>
            <w:vAlign w:val="center"/>
          </w:tcPr>
          <w:p w14:paraId="53DA4139" w14:textId="77777777" w:rsidR="00C32BDE" w:rsidRPr="00017E19" w:rsidRDefault="00C32BDE" w:rsidP="00756212">
            <w:pPr>
              <w:pStyle w:val="TableText"/>
              <w:jc w:val="center"/>
              <w:rPr>
                <w:rFonts w:eastAsia="Arial"/>
              </w:rPr>
            </w:pPr>
            <w:r w:rsidRPr="00017E19">
              <w:rPr>
                <w:rFonts w:eastAsia="Arial"/>
              </w:rPr>
              <w:t>40/55 (72.7)</w:t>
            </w:r>
          </w:p>
        </w:tc>
        <w:tc>
          <w:tcPr>
            <w:tcW w:w="1134" w:type="dxa"/>
            <w:vMerge/>
            <w:vAlign w:val="center"/>
          </w:tcPr>
          <w:p w14:paraId="77051673" w14:textId="77777777" w:rsidR="00C32BDE" w:rsidRPr="00017E19" w:rsidRDefault="00C32BDE" w:rsidP="00756212">
            <w:pPr>
              <w:pStyle w:val="TableText"/>
              <w:jc w:val="center"/>
              <w:rPr>
                <w:rFonts w:eastAsia="Arial"/>
              </w:rPr>
            </w:pPr>
          </w:p>
        </w:tc>
        <w:tc>
          <w:tcPr>
            <w:tcW w:w="850" w:type="dxa"/>
            <w:vAlign w:val="center"/>
          </w:tcPr>
          <w:p w14:paraId="193B2574" w14:textId="77777777" w:rsidR="00C32BDE" w:rsidRPr="00017E19" w:rsidRDefault="00C32BDE" w:rsidP="00756212">
            <w:pPr>
              <w:pStyle w:val="TableText"/>
              <w:jc w:val="center"/>
              <w:rPr>
                <w:rFonts w:eastAsia="Arial"/>
              </w:rPr>
            </w:pPr>
            <w:r w:rsidRPr="00017E19">
              <w:rPr>
                <w:rFonts w:eastAsia="Arial"/>
              </w:rPr>
              <w:t>51/97 (52.6)</w:t>
            </w:r>
          </w:p>
        </w:tc>
        <w:tc>
          <w:tcPr>
            <w:tcW w:w="851" w:type="dxa"/>
            <w:vAlign w:val="center"/>
          </w:tcPr>
          <w:p w14:paraId="0D18875E" w14:textId="77777777" w:rsidR="00C32BDE" w:rsidRPr="00017E19" w:rsidRDefault="00C32BDE" w:rsidP="00756212">
            <w:pPr>
              <w:pStyle w:val="TableText"/>
              <w:jc w:val="center"/>
              <w:rPr>
                <w:rFonts w:eastAsia="Arial"/>
              </w:rPr>
            </w:pPr>
            <w:r w:rsidRPr="00017E19">
              <w:rPr>
                <w:rFonts w:eastAsia="Arial"/>
              </w:rPr>
              <w:t>45/55 (81.8)</w:t>
            </w:r>
          </w:p>
        </w:tc>
        <w:tc>
          <w:tcPr>
            <w:tcW w:w="1134" w:type="dxa"/>
            <w:vMerge/>
            <w:vAlign w:val="center"/>
          </w:tcPr>
          <w:p w14:paraId="010DEBC8" w14:textId="77777777" w:rsidR="00C32BDE" w:rsidRPr="00017E19" w:rsidRDefault="00C32BDE" w:rsidP="00756212">
            <w:pPr>
              <w:pStyle w:val="TableText"/>
              <w:jc w:val="center"/>
              <w:rPr>
                <w:rFonts w:eastAsia="Arial"/>
              </w:rPr>
            </w:pPr>
          </w:p>
        </w:tc>
        <w:tc>
          <w:tcPr>
            <w:tcW w:w="850" w:type="dxa"/>
            <w:vAlign w:val="center"/>
          </w:tcPr>
          <w:p w14:paraId="0E1B07D7" w14:textId="77777777" w:rsidR="00C32BDE" w:rsidRPr="00017E19" w:rsidRDefault="00C32BDE" w:rsidP="00756212">
            <w:pPr>
              <w:pStyle w:val="TableText"/>
              <w:jc w:val="center"/>
              <w:rPr>
                <w:rFonts w:eastAsia="Arial"/>
              </w:rPr>
            </w:pPr>
            <w:r w:rsidRPr="00017E19">
              <w:rPr>
                <w:rFonts w:eastAsia="Arial"/>
              </w:rPr>
              <w:t>58/97 (59.8)</w:t>
            </w:r>
          </w:p>
        </w:tc>
        <w:tc>
          <w:tcPr>
            <w:tcW w:w="709" w:type="dxa"/>
            <w:vAlign w:val="center"/>
          </w:tcPr>
          <w:p w14:paraId="3E086EB7" w14:textId="77777777" w:rsidR="00C32BDE" w:rsidRPr="00195C38" w:rsidRDefault="00C32BDE" w:rsidP="00756212">
            <w:pPr>
              <w:pStyle w:val="TableText"/>
              <w:jc w:val="center"/>
              <w:rPr>
                <w:rFonts w:eastAsia="Arial"/>
              </w:rPr>
            </w:pPr>
            <w:r w:rsidRPr="00017E19">
              <w:rPr>
                <w:rFonts w:eastAsia="Arial"/>
              </w:rPr>
              <w:t>46/55 (83.6)</w:t>
            </w:r>
          </w:p>
        </w:tc>
        <w:tc>
          <w:tcPr>
            <w:tcW w:w="1134" w:type="dxa"/>
            <w:vMerge/>
            <w:vAlign w:val="center"/>
          </w:tcPr>
          <w:p w14:paraId="648C3CE1" w14:textId="77777777" w:rsidR="00C32BDE" w:rsidRPr="00017E19" w:rsidRDefault="00C32BDE" w:rsidP="00756212">
            <w:pPr>
              <w:pStyle w:val="TableText"/>
              <w:jc w:val="center"/>
              <w:rPr>
                <w:rFonts w:eastAsia="Arial"/>
              </w:rPr>
            </w:pPr>
          </w:p>
        </w:tc>
      </w:tr>
    </w:tbl>
    <w:p w14:paraId="04B80801" w14:textId="14251351" w:rsidR="00B75218" w:rsidRPr="0074058E" w:rsidRDefault="00B75218" w:rsidP="00B75218">
      <w:pPr>
        <w:pStyle w:val="TableFooter"/>
      </w:pPr>
      <w:r w:rsidRPr="0074058E">
        <w:t>Source: Table 6, p 14 of the resubmission</w:t>
      </w:r>
      <w:r w:rsidR="0099049E" w:rsidRPr="0074058E">
        <w:t xml:space="preserve"> and Table 6, 6.07 olaparib </w:t>
      </w:r>
      <w:r w:rsidR="006E635E" w:rsidRPr="0074058E">
        <w:t>PSD</w:t>
      </w:r>
      <w:r w:rsidR="0099049E" w:rsidRPr="0074058E">
        <w:t xml:space="preserve"> July 2022</w:t>
      </w:r>
      <w:r w:rsidRPr="0074058E">
        <w:t>.</w:t>
      </w:r>
    </w:p>
    <w:p w14:paraId="24B814AC" w14:textId="1FBBF22A" w:rsidR="00BA0B49" w:rsidRPr="0074058E" w:rsidRDefault="005E45C0" w:rsidP="004B4861">
      <w:pPr>
        <w:pStyle w:val="TableFooter"/>
      </w:pPr>
      <w:r w:rsidRPr="0074058E">
        <w:t>b</w:t>
      </w:r>
      <w:r w:rsidR="00BA0B49" w:rsidRPr="0074058E">
        <w:t>eva = bevacizumab, HR = hazard ratio ola = olaparib, pbo = placebo, PFS = progression free survival</w:t>
      </w:r>
    </w:p>
    <w:p w14:paraId="2998ED61" w14:textId="21CF31D9" w:rsidR="0059200E" w:rsidRPr="0074058E" w:rsidRDefault="0059200E" w:rsidP="00301C8B">
      <w:pPr>
        <w:pStyle w:val="TableFooter"/>
        <w:spacing w:after="120"/>
        <w:contextualSpacing w:val="0"/>
      </w:pPr>
      <w:r w:rsidRPr="0074058E">
        <w:t xml:space="preserve">* The hazard ratio </w:t>
      </w:r>
      <w:proofErr w:type="gramStart"/>
      <w:r w:rsidR="004B4861" w:rsidRPr="0074058E">
        <w:t>was not formally estimated</w:t>
      </w:r>
      <w:proofErr w:type="gramEnd"/>
      <w:r w:rsidR="004B4861" w:rsidRPr="0074058E">
        <w:t xml:space="preserve"> at DCO2 or DCO3, but point estimate </w:t>
      </w:r>
      <w:r w:rsidRPr="0074058E">
        <w:t>and 95% profile likelihood C</w:t>
      </w:r>
      <w:r w:rsidR="00B75218" w:rsidRPr="0074058E">
        <w:t>I</w:t>
      </w:r>
      <w:r w:rsidRPr="0074058E">
        <w:t xml:space="preserve">s were estimated from Cox proportional hazards models with treatment, subgroup and treatment-by-subgroup interaction terms fitted as covariates. The Efron method </w:t>
      </w:r>
      <w:proofErr w:type="gramStart"/>
      <w:r w:rsidRPr="0074058E">
        <w:t>was used</w:t>
      </w:r>
      <w:proofErr w:type="gramEnd"/>
      <w:r w:rsidRPr="0074058E">
        <w:t xml:space="preserve"> for handling ties.</w:t>
      </w:r>
    </w:p>
    <w:p w14:paraId="7BCA1E3E" w14:textId="084CE245" w:rsidR="00A54245" w:rsidRPr="0095246F" w:rsidRDefault="00A54245" w:rsidP="00A54245">
      <w:pPr>
        <w:pStyle w:val="TableFooter"/>
        <w:rPr>
          <w:i/>
          <w:iCs/>
        </w:rPr>
      </w:pPr>
      <w:r w:rsidRPr="0095246F">
        <w:rPr>
          <w:i/>
          <w:iCs/>
        </w:rPr>
        <w:t xml:space="preserve">Note that the results presented in Table </w:t>
      </w:r>
      <w:r>
        <w:rPr>
          <w:i/>
          <w:iCs/>
        </w:rPr>
        <w:t>5</w:t>
      </w:r>
      <w:r w:rsidRPr="0095246F">
        <w:rPr>
          <w:i/>
          <w:iCs/>
        </w:rPr>
        <w:t xml:space="preserve"> </w:t>
      </w:r>
      <w:proofErr w:type="gramStart"/>
      <w:r w:rsidRPr="0095246F">
        <w:rPr>
          <w:i/>
          <w:iCs/>
        </w:rPr>
        <w:t>are derived</w:t>
      </w:r>
      <w:proofErr w:type="gramEnd"/>
      <w:r w:rsidRPr="0095246F">
        <w:rPr>
          <w:i/>
          <w:iCs/>
        </w:rPr>
        <w:t xml:space="preserve"> from post-hoc analyses of a subgroup of the PAOLA-1 population across endpoints conducted specifically for the purposes of informing the PBAC consideration. These analyses were not part of the pre-specified statistical plan for PAOLA-1. Interpretation of the results and their application should therefore </w:t>
      </w:r>
      <w:proofErr w:type="gramStart"/>
      <w:r w:rsidRPr="0095246F">
        <w:rPr>
          <w:i/>
          <w:iCs/>
        </w:rPr>
        <w:t>be limited</w:t>
      </w:r>
      <w:proofErr w:type="gramEnd"/>
      <w:r w:rsidRPr="0095246F">
        <w:rPr>
          <w:i/>
          <w:iCs/>
        </w:rPr>
        <w:t xml:space="preserve"> to seeking to understand the basis for the PBAC outcome and should not be used for any other purpose.</w:t>
      </w:r>
    </w:p>
    <w:p w14:paraId="6DD1B662" w14:textId="77777777" w:rsidR="00EA43D5" w:rsidRPr="00614CF3" w:rsidRDefault="00EA43D5" w:rsidP="00614CF3">
      <w:pPr>
        <w:rPr>
          <w:rFonts w:eastAsia="Arial"/>
        </w:rPr>
      </w:pPr>
    </w:p>
    <w:p w14:paraId="71680966" w14:textId="0AA3A384" w:rsidR="004661A9" w:rsidRPr="0074058E" w:rsidRDefault="00303A23" w:rsidP="0071255C">
      <w:pPr>
        <w:pStyle w:val="TableText"/>
        <w:rPr>
          <w:rFonts w:eastAsia="Arial"/>
        </w:rPr>
      </w:pPr>
      <w:r w:rsidRPr="0074058E">
        <w:rPr>
          <w:noProof/>
        </w:rPr>
        <w:lastRenderedPageBreak/>
        <w:drawing>
          <wp:anchor distT="0" distB="0" distL="114300" distR="114300" simplePos="0" relativeHeight="251657728" behindDoc="0" locked="0" layoutInCell="1" allowOverlap="1" wp14:anchorId="14784160" wp14:editId="23EE383D">
            <wp:simplePos x="0" y="0"/>
            <wp:positionH relativeFrom="column">
              <wp:posOffset>2903220</wp:posOffset>
            </wp:positionH>
            <wp:positionV relativeFrom="paragraph">
              <wp:posOffset>222250</wp:posOffset>
            </wp:positionV>
            <wp:extent cx="3147060" cy="2590800"/>
            <wp:effectExtent l="0" t="0" r="0" b="0"/>
            <wp:wrapSquare wrapText="bothSides"/>
            <wp:docPr id="74" name="Pictur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14706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58E">
        <w:rPr>
          <w:noProof/>
        </w:rPr>
        <w:drawing>
          <wp:anchor distT="0" distB="0" distL="114300" distR="114300" simplePos="0" relativeHeight="251656704" behindDoc="0" locked="0" layoutInCell="1" allowOverlap="1" wp14:anchorId="08048EED" wp14:editId="22DEB214">
            <wp:simplePos x="0" y="0"/>
            <wp:positionH relativeFrom="column">
              <wp:posOffset>0</wp:posOffset>
            </wp:positionH>
            <wp:positionV relativeFrom="paragraph">
              <wp:posOffset>146050</wp:posOffset>
            </wp:positionV>
            <wp:extent cx="2849880" cy="2753360"/>
            <wp:effectExtent l="0" t="0" r="7620" b="8890"/>
            <wp:wrapSquare wrapText="bothSides"/>
            <wp:docPr id="19" name="Picture 18">
              <a:extLst xmlns:a="http://schemas.openxmlformats.org/drawingml/2006/main">
                <a:ext uri="{FF2B5EF4-FFF2-40B4-BE49-F238E27FC236}">
                  <a16:creationId xmlns:a16="http://schemas.microsoft.com/office/drawing/2014/main" id="{F7C974E2-51A5-4189-83BB-8E368B987B6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F7C974E2-51A5-4189-83BB-8E368B987B6A}"/>
                        </a:ext>
                        <a:ext uri="{C183D7F6-B498-43B3-948B-1728B52AA6E4}">
                          <adec:decorative xmlns:adec="http://schemas.microsoft.com/office/drawing/2017/decorative" val="1"/>
                        </a:ext>
                      </a:extLst>
                    </pic:cNvPr>
                    <pic:cNvPicPr>
                      <a:picLocks noChangeAspect="1"/>
                    </pic:cNvPicPr>
                  </pic:nvPicPr>
                  <pic:blipFill>
                    <a:blip r:embed="rId11"/>
                    <a:stretch>
                      <a:fillRect/>
                    </a:stretch>
                  </pic:blipFill>
                  <pic:spPr>
                    <a:xfrm>
                      <a:off x="0" y="0"/>
                      <a:ext cx="2849880" cy="2753360"/>
                    </a:xfrm>
                    <a:prstGeom prst="rect">
                      <a:avLst/>
                    </a:prstGeom>
                  </pic:spPr>
                </pic:pic>
              </a:graphicData>
            </a:graphic>
            <wp14:sizeRelH relativeFrom="page">
              <wp14:pctWidth>0</wp14:pctWidth>
            </wp14:sizeRelH>
            <wp14:sizeRelV relativeFrom="page">
              <wp14:pctHeight>0</wp14:pctHeight>
            </wp14:sizeRelV>
          </wp:anchor>
        </w:drawing>
      </w:r>
      <w:bookmarkStart w:id="21" w:name="_Ref115427607"/>
      <w:r w:rsidR="00BB6CBF" w:rsidRPr="0074058E">
        <w:rPr>
          <w:rFonts w:eastAsia="Arial"/>
          <w:b/>
        </w:rPr>
        <w:t xml:space="preserve">Figure </w:t>
      </w:r>
      <w:r w:rsidR="00BB6CBF" w:rsidRPr="0074058E">
        <w:rPr>
          <w:rFonts w:eastAsia="Arial"/>
          <w:b/>
        </w:rPr>
        <w:fldChar w:fldCharType="begin" w:fldLock="1"/>
      </w:r>
      <w:r w:rsidR="00BB6CBF" w:rsidRPr="0074058E">
        <w:rPr>
          <w:rFonts w:eastAsia="Arial"/>
          <w:b/>
        </w:rPr>
        <w:instrText xml:space="preserve"> SEQ Figure \* ARABIC </w:instrText>
      </w:r>
      <w:r w:rsidR="00BB6CBF" w:rsidRPr="0074058E">
        <w:rPr>
          <w:rFonts w:eastAsia="Arial"/>
          <w:b/>
        </w:rPr>
        <w:fldChar w:fldCharType="separate"/>
      </w:r>
      <w:r w:rsidR="00ED2FAA">
        <w:rPr>
          <w:rFonts w:eastAsia="Arial"/>
          <w:b/>
          <w:noProof/>
        </w:rPr>
        <w:t>2</w:t>
      </w:r>
      <w:r w:rsidR="00BB6CBF" w:rsidRPr="0074058E">
        <w:rPr>
          <w:rFonts w:eastAsia="Arial"/>
          <w:b/>
        </w:rPr>
        <w:fldChar w:fldCharType="end"/>
      </w:r>
      <w:bookmarkEnd w:id="21"/>
      <w:r w:rsidR="004661A9" w:rsidRPr="0074058E">
        <w:rPr>
          <w:rFonts w:eastAsia="Arial"/>
          <w:b/>
        </w:rPr>
        <w:t>: PFS Kaplan-Meier curves from PAOLA-1 DCO3</w:t>
      </w:r>
      <w:r w:rsidR="009A36D3" w:rsidRPr="0074058E">
        <w:rPr>
          <w:rFonts w:eastAsia="Arial"/>
          <w:b/>
        </w:rPr>
        <w:t xml:space="preserve"> </w:t>
      </w:r>
      <w:r w:rsidR="00802DEB" w:rsidRPr="0074058E">
        <w:rPr>
          <w:rFonts w:eastAsia="Arial"/>
          <w:b/>
        </w:rPr>
        <w:t>(left</w:t>
      </w:r>
      <w:r w:rsidR="00923D44" w:rsidRPr="0074058E">
        <w:rPr>
          <w:rFonts w:eastAsia="Arial"/>
          <w:b/>
        </w:rPr>
        <w:t>)</w:t>
      </w:r>
      <w:r w:rsidR="00802DEB" w:rsidRPr="0074058E">
        <w:rPr>
          <w:rFonts w:eastAsia="Arial"/>
          <w:b/>
        </w:rPr>
        <w:t xml:space="preserve"> and DCO1 (right)</w:t>
      </w:r>
    </w:p>
    <w:p w14:paraId="19756E6D" w14:textId="22EE5118" w:rsidR="007C5BD7" w:rsidRPr="0074058E" w:rsidRDefault="007C5BD7" w:rsidP="00B32766">
      <w:pPr>
        <w:keepNext/>
        <w:jc w:val="left"/>
      </w:pPr>
    </w:p>
    <w:p w14:paraId="3F76364A" w14:textId="526C9E17" w:rsidR="009453B8" w:rsidRPr="0074058E" w:rsidRDefault="009453B8" w:rsidP="009453B8">
      <w:pPr>
        <w:pStyle w:val="TableFooter"/>
      </w:pPr>
      <w:r w:rsidRPr="0074058E">
        <w:t>Source: Figure</w:t>
      </w:r>
      <w:r w:rsidR="00DE2B8E" w:rsidRPr="0074058E">
        <w:t xml:space="preserve"> 3</w:t>
      </w:r>
      <w:r w:rsidRPr="0074058E">
        <w:t>, p1</w:t>
      </w:r>
      <w:r w:rsidR="00DE2B8E" w:rsidRPr="0074058E">
        <w:t>5</w:t>
      </w:r>
      <w:r w:rsidRPr="0074058E">
        <w:t xml:space="preserve"> of the resubmission</w:t>
      </w:r>
      <w:r w:rsidR="00802DEB" w:rsidRPr="0074058E">
        <w:t xml:space="preserve"> and </w:t>
      </w:r>
      <w:r w:rsidR="00DE2B8E" w:rsidRPr="0074058E">
        <w:t xml:space="preserve">Figure 3, 6.07 olaparib </w:t>
      </w:r>
      <w:r w:rsidR="006E635E" w:rsidRPr="0074058E">
        <w:t>PSD</w:t>
      </w:r>
      <w:r w:rsidR="00DE2B8E" w:rsidRPr="0074058E">
        <w:t xml:space="preserve"> July 2022</w:t>
      </w:r>
    </w:p>
    <w:p w14:paraId="33CF7733" w14:textId="7351DE75" w:rsidR="00DC7218" w:rsidRPr="0074058E" w:rsidRDefault="00DC7218" w:rsidP="009453B8">
      <w:pPr>
        <w:pStyle w:val="TableFooter"/>
      </w:pPr>
    </w:p>
    <w:p w14:paraId="26D01322" w14:textId="3532F748" w:rsidR="00F51BA6" w:rsidRPr="0074058E" w:rsidRDefault="00F51BA6" w:rsidP="00F51BA6">
      <w:pPr>
        <w:pStyle w:val="3-BodyText"/>
      </w:pPr>
      <w:r w:rsidRPr="0074058E">
        <w:t xml:space="preserve">The submission stated that DCO3 data-cut demonstrates a continuing PFS benefit and a continued divergence of the OS curves despite &gt;40% cross-over to subsequent PARPi in the placebo arm. </w:t>
      </w:r>
    </w:p>
    <w:p w14:paraId="1F03D868" w14:textId="77777777" w:rsidR="00304BA0" w:rsidRPr="0074058E" w:rsidRDefault="00304BA0" w:rsidP="00EA43D5">
      <w:pPr>
        <w:pStyle w:val="TableFooter"/>
        <w:keepNext/>
        <w:outlineLvl w:val="1"/>
        <w:rPr>
          <w:rFonts w:asciiTheme="minorHAnsi" w:eastAsiaTheme="majorEastAsia" w:hAnsiTheme="minorHAnsi" w:cstheme="majorBidi"/>
          <w:b/>
          <w:i/>
          <w:snapToGrid/>
          <w:spacing w:val="5"/>
          <w:kern w:val="28"/>
          <w:sz w:val="28"/>
          <w:szCs w:val="36"/>
        </w:rPr>
      </w:pPr>
      <w:bookmarkStart w:id="22" w:name="_Toc22897642"/>
      <w:bookmarkStart w:id="23" w:name="_Toc72315304"/>
      <w:r w:rsidRPr="0074058E">
        <w:rPr>
          <w:rFonts w:asciiTheme="minorHAnsi" w:eastAsiaTheme="majorEastAsia" w:hAnsiTheme="minorHAnsi" w:cstheme="majorBidi"/>
          <w:b/>
          <w:i/>
          <w:snapToGrid/>
          <w:spacing w:val="5"/>
          <w:kern w:val="28"/>
          <w:sz w:val="28"/>
          <w:szCs w:val="36"/>
        </w:rPr>
        <w:t>Comparative harms</w:t>
      </w:r>
      <w:bookmarkEnd w:id="22"/>
      <w:bookmarkEnd w:id="23"/>
    </w:p>
    <w:p w14:paraId="7191CEBE" w14:textId="11298AE2" w:rsidR="00304BA0" w:rsidRPr="0074058E" w:rsidRDefault="00EA43D5" w:rsidP="00304BA0">
      <w:pPr>
        <w:pStyle w:val="3-BodyText"/>
      </w:pPr>
      <w:r w:rsidRPr="0074058E">
        <w:t xml:space="preserve">The resubmission did not present any additional safety data. </w:t>
      </w:r>
      <w:r w:rsidRPr="0074058E">
        <w:rPr>
          <w:iCs/>
        </w:rPr>
        <w:t>The PBAC previously considered that the combination of olaparib and bevacizumab had inferior safety in comparison with bevacizumab monotherapy (para 7.9 olaparib PSD, July 2022 PBAC meeting).</w:t>
      </w:r>
    </w:p>
    <w:p w14:paraId="4518F135" w14:textId="52461942" w:rsidR="00955D67" w:rsidRPr="0074058E" w:rsidRDefault="00955D67" w:rsidP="005D0EB3">
      <w:pPr>
        <w:pStyle w:val="4-SubsectionHeading"/>
        <w:keepNext/>
      </w:pPr>
      <w:r w:rsidRPr="0074058E">
        <w:t>Revised economic analysis</w:t>
      </w:r>
    </w:p>
    <w:p w14:paraId="535F8188" w14:textId="025A60AE" w:rsidR="00955D67" w:rsidRPr="0074058E" w:rsidRDefault="00955D67" w:rsidP="00955D67">
      <w:pPr>
        <w:pStyle w:val="3-BodyText"/>
      </w:pPr>
      <w:r w:rsidRPr="0074058E">
        <w:t xml:space="preserve">The base case incremental cost-effectiveness ratio in the resubmission was </w:t>
      </w:r>
      <w:r w:rsidR="000B53CB" w:rsidRPr="000B53CB">
        <w:t>$55,000 to &lt; $75,000</w:t>
      </w:r>
      <w:r w:rsidR="000B53CB">
        <w:t xml:space="preserve"> per </w:t>
      </w:r>
      <w:r w:rsidRPr="0074058E">
        <w:t xml:space="preserve">QALY. </w:t>
      </w:r>
    </w:p>
    <w:p w14:paraId="11F92164" w14:textId="0CBF7687" w:rsidR="00955D67" w:rsidRPr="0074058E" w:rsidRDefault="00955D67" w:rsidP="00955D67">
      <w:pPr>
        <w:pStyle w:val="Caption"/>
        <w:spacing w:after="0"/>
        <w:rPr>
          <w:rFonts w:ascii="Arial Narrow" w:hAnsi="Arial Narrow"/>
          <w:b/>
          <w:bCs/>
          <w:i w:val="0"/>
          <w:sz w:val="20"/>
          <w:szCs w:val="20"/>
        </w:rPr>
      </w:pPr>
      <w:bookmarkStart w:id="24" w:name="_Ref116896219"/>
      <w:r w:rsidRPr="0074058E">
        <w:rPr>
          <w:rFonts w:ascii="Arial Narrow" w:hAnsi="Arial Narrow"/>
          <w:b/>
          <w:bCs/>
          <w:i w:val="0"/>
          <w:iCs w:val="0"/>
          <w:sz w:val="20"/>
          <w:szCs w:val="20"/>
        </w:rPr>
        <w:t xml:space="preserve">Table </w:t>
      </w:r>
      <w:r w:rsidRPr="0074058E">
        <w:rPr>
          <w:rFonts w:ascii="Arial Narrow" w:hAnsi="Arial Narrow"/>
          <w:b/>
          <w:bCs/>
          <w:i w:val="0"/>
          <w:iCs w:val="0"/>
          <w:sz w:val="20"/>
          <w:szCs w:val="20"/>
        </w:rPr>
        <w:fldChar w:fldCharType="begin" w:fldLock="1"/>
      </w:r>
      <w:r w:rsidRPr="0074058E">
        <w:rPr>
          <w:rFonts w:ascii="Arial Narrow" w:hAnsi="Arial Narrow"/>
          <w:b/>
          <w:bCs/>
          <w:i w:val="0"/>
          <w:iCs w:val="0"/>
          <w:sz w:val="20"/>
          <w:szCs w:val="20"/>
        </w:rPr>
        <w:instrText xml:space="preserve"> SEQ Table \* ARABIC </w:instrText>
      </w:r>
      <w:r w:rsidRPr="0074058E">
        <w:rPr>
          <w:rFonts w:ascii="Arial Narrow" w:hAnsi="Arial Narrow"/>
          <w:b/>
          <w:bCs/>
          <w:i w:val="0"/>
          <w:iCs w:val="0"/>
          <w:sz w:val="20"/>
          <w:szCs w:val="20"/>
        </w:rPr>
        <w:fldChar w:fldCharType="separate"/>
      </w:r>
      <w:r w:rsidR="00ED2FAA">
        <w:rPr>
          <w:rFonts w:ascii="Arial Narrow" w:hAnsi="Arial Narrow"/>
          <w:b/>
          <w:bCs/>
          <w:i w:val="0"/>
          <w:iCs w:val="0"/>
          <w:noProof/>
          <w:sz w:val="20"/>
          <w:szCs w:val="20"/>
        </w:rPr>
        <w:t>6</w:t>
      </w:r>
      <w:r w:rsidRPr="0074058E">
        <w:rPr>
          <w:rFonts w:ascii="Arial Narrow" w:hAnsi="Arial Narrow"/>
          <w:b/>
          <w:bCs/>
          <w:i w:val="0"/>
          <w:iCs w:val="0"/>
          <w:sz w:val="20"/>
          <w:szCs w:val="20"/>
        </w:rPr>
        <w:fldChar w:fldCharType="end"/>
      </w:r>
      <w:bookmarkEnd w:id="24"/>
      <w:r w:rsidRPr="0074058E">
        <w:rPr>
          <w:rFonts w:ascii="Arial Narrow" w:hAnsi="Arial Narrow"/>
          <w:b/>
          <w:bCs/>
          <w:i w:val="0"/>
          <w:iCs w:val="0"/>
          <w:sz w:val="20"/>
          <w:szCs w:val="20"/>
        </w:rPr>
        <w:t>: Comparison of economic evaluation between resubmission and July 2022</w:t>
      </w:r>
    </w:p>
    <w:tbl>
      <w:tblPr>
        <w:tblStyle w:val="TableGrid"/>
        <w:tblW w:w="0" w:type="auto"/>
        <w:tblLook w:val="04A0" w:firstRow="1" w:lastRow="0" w:firstColumn="1" w:lastColumn="0" w:noHBand="0" w:noVBand="1"/>
      </w:tblPr>
      <w:tblGrid>
        <w:gridCol w:w="3005"/>
        <w:gridCol w:w="3005"/>
        <w:gridCol w:w="3006"/>
      </w:tblGrid>
      <w:tr w:rsidR="00955D67" w:rsidRPr="0074058E" w14:paraId="3D791626" w14:textId="77777777" w:rsidTr="00206731">
        <w:tc>
          <w:tcPr>
            <w:tcW w:w="3005" w:type="dxa"/>
          </w:tcPr>
          <w:p w14:paraId="1D82AAC9" w14:textId="77777777" w:rsidR="00955D67" w:rsidRPr="0074058E" w:rsidRDefault="00955D67" w:rsidP="00206731">
            <w:pPr>
              <w:pStyle w:val="3-BodyText"/>
              <w:keepNext/>
              <w:keepLines/>
              <w:numPr>
                <w:ilvl w:val="0"/>
                <w:numId w:val="0"/>
              </w:numPr>
              <w:spacing w:after="0"/>
              <w:rPr>
                <w:rFonts w:ascii="Arial Narrow" w:hAnsi="Arial Narrow"/>
                <w:b/>
                <w:bCs/>
                <w:sz w:val="20"/>
                <w:szCs w:val="20"/>
              </w:rPr>
            </w:pPr>
            <w:r w:rsidRPr="0074058E">
              <w:rPr>
                <w:rFonts w:ascii="Arial Narrow" w:hAnsi="Arial Narrow"/>
                <w:b/>
                <w:bCs/>
                <w:sz w:val="20"/>
                <w:szCs w:val="20"/>
              </w:rPr>
              <w:t>Increment</w:t>
            </w:r>
          </w:p>
        </w:tc>
        <w:tc>
          <w:tcPr>
            <w:tcW w:w="3005" w:type="dxa"/>
            <w:vAlign w:val="center"/>
          </w:tcPr>
          <w:p w14:paraId="38DE9000" w14:textId="77777777" w:rsidR="00955D67" w:rsidRPr="0074058E" w:rsidRDefault="00955D67" w:rsidP="00206731">
            <w:pPr>
              <w:pStyle w:val="3-BodyText"/>
              <w:keepNext/>
              <w:keepLines/>
              <w:numPr>
                <w:ilvl w:val="0"/>
                <w:numId w:val="0"/>
              </w:numPr>
              <w:spacing w:after="0"/>
              <w:jc w:val="center"/>
              <w:rPr>
                <w:rFonts w:ascii="Arial Narrow" w:hAnsi="Arial Narrow"/>
                <w:b/>
                <w:bCs/>
                <w:sz w:val="20"/>
                <w:szCs w:val="20"/>
              </w:rPr>
            </w:pPr>
            <w:r w:rsidRPr="0074058E">
              <w:rPr>
                <w:rFonts w:ascii="Arial Narrow" w:hAnsi="Arial Narrow"/>
                <w:b/>
                <w:bCs/>
                <w:sz w:val="20"/>
                <w:szCs w:val="20"/>
              </w:rPr>
              <w:t>July 2022 submission</w:t>
            </w:r>
          </w:p>
        </w:tc>
        <w:tc>
          <w:tcPr>
            <w:tcW w:w="3006" w:type="dxa"/>
            <w:vAlign w:val="center"/>
          </w:tcPr>
          <w:p w14:paraId="4D472591" w14:textId="77777777" w:rsidR="00955D67" w:rsidRPr="0074058E" w:rsidRDefault="00955D67" w:rsidP="00206731">
            <w:pPr>
              <w:pStyle w:val="3-BodyText"/>
              <w:keepNext/>
              <w:keepLines/>
              <w:numPr>
                <w:ilvl w:val="0"/>
                <w:numId w:val="0"/>
              </w:numPr>
              <w:spacing w:after="0"/>
              <w:jc w:val="center"/>
              <w:rPr>
                <w:rFonts w:ascii="Arial Narrow" w:hAnsi="Arial Narrow"/>
                <w:b/>
                <w:bCs/>
                <w:sz w:val="20"/>
                <w:szCs w:val="20"/>
              </w:rPr>
            </w:pPr>
            <w:r w:rsidRPr="0074058E">
              <w:rPr>
                <w:rFonts w:ascii="Arial Narrow" w:hAnsi="Arial Narrow"/>
                <w:b/>
                <w:bCs/>
                <w:sz w:val="20"/>
                <w:szCs w:val="20"/>
              </w:rPr>
              <w:t>November 2022 resubmission</w:t>
            </w:r>
          </w:p>
        </w:tc>
      </w:tr>
      <w:tr w:rsidR="00955D67" w:rsidRPr="0074058E" w14:paraId="1354AF62" w14:textId="77777777" w:rsidTr="00206731">
        <w:tc>
          <w:tcPr>
            <w:tcW w:w="3005" w:type="dxa"/>
          </w:tcPr>
          <w:p w14:paraId="69538DEA" w14:textId="77777777" w:rsidR="00955D67" w:rsidRPr="0074058E" w:rsidRDefault="00955D67" w:rsidP="00206731">
            <w:pPr>
              <w:pStyle w:val="3-BodyText"/>
              <w:keepNext/>
              <w:keepLines/>
              <w:numPr>
                <w:ilvl w:val="0"/>
                <w:numId w:val="0"/>
              </w:numPr>
              <w:spacing w:after="0"/>
              <w:rPr>
                <w:rFonts w:ascii="Arial Narrow" w:hAnsi="Arial Narrow"/>
                <w:sz w:val="20"/>
                <w:szCs w:val="20"/>
              </w:rPr>
            </w:pPr>
            <w:r w:rsidRPr="0074058E">
              <w:rPr>
                <w:rFonts w:ascii="Arial Narrow" w:hAnsi="Arial Narrow"/>
                <w:sz w:val="20"/>
                <w:szCs w:val="20"/>
              </w:rPr>
              <w:t>Cost</w:t>
            </w:r>
          </w:p>
        </w:tc>
        <w:tc>
          <w:tcPr>
            <w:tcW w:w="3005" w:type="dxa"/>
            <w:vAlign w:val="center"/>
          </w:tcPr>
          <w:p w14:paraId="4578293E" w14:textId="471B5382" w:rsidR="00955D67" w:rsidRPr="0074058E" w:rsidRDefault="00955D67" w:rsidP="00206731">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w:t>
            </w:r>
            <w:r w:rsidR="00ED35F2" w:rsidRPr="00ED35F2">
              <w:rPr>
                <w:rFonts w:ascii="Arial Narrow" w:hAnsi="Arial Narrow"/>
                <w:color w:val="000000"/>
                <w:sz w:val="20"/>
                <w:szCs w:val="20"/>
                <w:shd w:val="solid" w:color="000000" w:fill="000000"/>
                <w14:textFill>
                  <w14:solidFill>
                    <w14:srgbClr w14:val="000000">
                      <w14:alpha w14:val="100000"/>
                    </w14:srgbClr>
                  </w14:solidFill>
                </w14:textFill>
              </w:rPr>
              <w:t>|</w:t>
            </w:r>
          </w:p>
        </w:tc>
        <w:tc>
          <w:tcPr>
            <w:tcW w:w="3006" w:type="dxa"/>
            <w:vAlign w:val="center"/>
          </w:tcPr>
          <w:p w14:paraId="2DD30432" w14:textId="05E3A6B3" w:rsidR="00955D67" w:rsidRPr="0074058E" w:rsidRDefault="00955D67" w:rsidP="00206731">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w:t>
            </w:r>
            <w:r w:rsidR="00ED35F2" w:rsidRPr="00ED35F2">
              <w:rPr>
                <w:rFonts w:ascii="Arial Narrow" w:hAnsi="Arial Narrow"/>
                <w:color w:val="000000"/>
                <w:sz w:val="20"/>
                <w:szCs w:val="20"/>
                <w:shd w:val="solid" w:color="000000" w:fill="000000"/>
                <w14:textFill>
                  <w14:solidFill>
                    <w14:srgbClr w14:val="000000">
                      <w14:alpha w14:val="100000"/>
                    </w14:srgbClr>
                  </w14:solidFill>
                </w14:textFill>
              </w:rPr>
              <w:t>|</w:t>
            </w:r>
          </w:p>
        </w:tc>
      </w:tr>
      <w:tr w:rsidR="00955D67" w:rsidRPr="0074058E" w14:paraId="3B41E38F" w14:textId="77777777" w:rsidTr="00206731">
        <w:tc>
          <w:tcPr>
            <w:tcW w:w="3005" w:type="dxa"/>
          </w:tcPr>
          <w:p w14:paraId="32D90570" w14:textId="77777777" w:rsidR="00955D67" w:rsidRPr="0074058E" w:rsidRDefault="00955D67" w:rsidP="00206731">
            <w:pPr>
              <w:pStyle w:val="3-BodyText"/>
              <w:keepNext/>
              <w:keepLines/>
              <w:numPr>
                <w:ilvl w:val="0"/>
                <w:numId w:val="0"/>
              </w:numPr>
              <w:spacing w:after="0"/>
              <w:rPr>
                <w:rFonts w:ascii="Arial Narrow" w:hAnsi="Arial Narrow"/>
                <w:sz w:val="20"/>
                <w:szCs w:val="20"/>
              </w:rPr>
            </w:pPr>
            <w:r w:rsidRPr="0074058E">
              <w:rPr>
                <w:rFonts w:ascii="Arial Narrow" w:hAnsi="Arial Narrow"/>
                <w:sz w:val="20"/>
                <w:szCs w:val="20"/>
              </w:rPr>
              <w:t>LY (discounted)</w:t>
            </w:r>
          </w:p>
        </w:tc>
        <w:tc>
          <w:tcPr>
            <w:tcW w:w="3005" w:type="dxa"/>
            <w:vAlign w:val="center"/>
          </w:tcPr>
          <w:p w14:paraId="4AB2746D" w14:textId="77777777" w:rsidR="00955D67" w:rsidRPr="0074058E" w:rsidRDefault="00955D67" w:rsidP="00206731">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0.52</w:t>
            </w:r>
          </w:p>
        </w:tc>
        <w:tc>
          <w:tcPr>
            <w:tcW w:w="3006" w:type="dxa"/>
            <w:vAlign w:val="center"/>
          </w:tcPr>
          <w:p w14:paraId="3B29522A" w14:textId="77777777" w:rsidR="00955D67" w:rsidRPr="0074058E" w:rsidRDefault="00955D67" w:rsidP="00206731">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0.40</w:t>
            </w:r>
          </w:p>
        </w:tc>
      </w:tr>
      <w:tr w:rsidR="00955D67" w:rsidRPr="0074058E" w14:paraId="533A0248" w14:textId="77777777" w:rsidTr="00206731">
        <w:tc>
          <w:tcPr>
            <w:tcW w:w="3005" w:type="dxa"/>
          </w:tcPr>
          <w:p w14:paraId="69C3B7AB" w14:textId="58968C80" w:rsidR="00955D67" w:rsidRPr="00017E19" w:rsidRDefault="00955D67" w:rsidP="00206731">
            <w:pPr>
              <w:pStyle w:val="3-BodyText"/>
              <w:keepNext/>
              <w:keepLines/>
              <w:numPr>
                <w:ilvl w:val="0"/>
                <w:numId w:val="0"/>
              </w:numPr>
              <w:spacing w:after="0"/>
              <w:rPr>
                <w:rFonts w:ascii="Arial Narrow" w:hAnsi="Arial Narrow"/>
                <w:sz w:val="20"/>
                <w:szCs w:val="20"/>
                <w:vertAlign w:val="superscript"/>
              </w:rPr>
            </w:pPr>
            <w:r w:rsidRPr="0074058E">
              <w:rPr>
                <w:rFonts w:ascii="Arial Narrow" w:hAnsi="Arial Narrow"/>
                <w:sz w:val="20"/>
                <w:szCs w:val="20"/>
              </w:rPr>
              <w:t>QALY (discounted)</w:t>
            </w:r>
          </w:p>
        </w:tc>
        <w:tc>
          <w:tcPr>
            <w:tcW w:w="3005" w:type="dxa"/>
            <w:vAlign w:val="center"/>
          </w:tcPr>
          <w:p w14:paraId="146A0958" w14:textId="77777777" w:rsidR="00955D67" w:rsidRPr="0074058E" w:rsidRDefault="00955D67" w:rsidP="00206731">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0.46</w:t>
            </w:r>
          </w:p>
        </w:tc>
        <w:tc>
          <w:tcPr>
            <w:tcW w:w="3006" w:type="dxa"/>
            <w:vAlign w:val="center"/>
          </w:tcPr>
          <w:p w14:paraId="42F52FDD" w14:textId="77777777" w:rsidR="00955D67" w:rsidRPr="0074058E" w:rsidRDefault="00955D67" w:rsidP="00206731">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0.36</w:t>
            </w:r>
          </w:p>
        </w:tc>
      </w:tr>
      <w:tr w:rsidR="00955D67" w:rsidRPr="0074058E" w14:paraId="5310DE27" w14:textId="77777777" w:rsidTr="00206731">
        <w:tc>
          <w:tcPr>
            <w:tcW w:w="3005" w:type="dxa"/>
          </w:tcPr>
          <w:p w14:paraId="73766B8E" w14:textId="77777777" w:rsidR="00955D67" w:rsidRPr="0074058E" w:rsidRDefault="00955D67" w:rsidP="00206731">
            <w:pPr>
              <w:pStyle w:val="3-BodyText"/>
              <w:keepNext/>
              <w:keepLines/>
              <w:numPr>
                <w:ilvl w:val="0"/>
                <w:numId w:val="0"/>
              </w:numPr>
              <w:spacing w:after="0"/>
              <w:rPr>
                <w:rFonts w:ascii="Arial Narrow" w:hAnsi="Arial Narrow"/>
                <w:sz w:val="20"/>
                <w:szCs w:val="20"/>
              </w:rPr>
            </w:pPr>
            <w:r w:rsidRPr="0074058E">
              <w:rPr>
                <w:rFonts w:ascii="Arial Narrow" w:hAnsi="Arial Narrow"/>
                <w:sz w:val="20"/>
                <w:szCs w:val="20"/>
              </w:rPr>
              <w:t>Cost effectiveness ratio ($/QALY)</w:t>
            </w:r>
          </w:p>
        </w:tc>
        <w:tc>
          <w:tcPr>
            <w:tcW w:w="3005" w:type="dxa"/>
            <w:vAlign w:val="center"/>
          </w:tcPr>
          <w:p w14:paraId="210919E7" w14:textId="42FDC9FA" w:rsidR="00955D67" w:rsidRPr="0074058E" w:rsidRDefault="00955D67" w:rsidP="00206731">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w:t>
            </w:r>
            <w:r w:rsidR="00ED35F2" w:rsidRPr="00ED35F2">
              <w:rPr>
                <w:rFonts w:ascii="Arial Narrow" w:hAnsi="Arial Narrow"/>
                <w:color w:val="000000"/>
                <w:sz w:val="20"/>
                <w:szCs w:val="20"/>
                <w:shd w:val="solid" w:color="000000" w:fill="000000"/>
                <w14:textFill>
                  <w14:solidFill>
                    <w14:srgbClr w14:val="000000">
                      <w14:alpha w14:val="100000"/>
                    </w14:srgbClr>
                  </w14:solidFill>
                </w14:textFill>
              </w:rPr>
              <w:t>|</w:t>
            </w:r>
            <w:r w:rsidR="001341AB">
              <w:rPr>
                <w:rFonts w:ascii="Arial Narrow" w:hAnsi="Arial Narrow"/>
                <w:sz w:val="20"/>
                <w:szCs w:val="20"/>
                <w:vertAlign w:val="superscript"/>
              </w:rPr>
              <w:t>1</w:t>
            </w:r>
          </w:p>
        </w:tc>
        <w:tc>
          <w:tcPr>
            <w:tcW w:w="3006" w:type="dxa"/>
            <w:vAlign w:val="center"/>
          </w:tcPr>
          <w:p w14:paraId="75337B5F" w14:textId="41720F77" w:rsidR="00955D67" w:rsidRPr="0074058E" w:rsidRDefault="00955D67" w:rsidP="00206731">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w:t>
            </w:r>
            <w:r w:rsidR="00ED35F2" w:rsidRPr="00ED35F2">
              <w:rPr>
                <w:rFonts w:ascii="Arial Narrow" w:hAnsi="Arial Narrow"/>
                <w:color w:val="000000"/>
                <w:sz w:val="20"/>
                <w:szCs w:val="20"/>
                <w:shd w:val="solid" w:color="000000" w:fill="000000"/>
                <w14:textFill>
                  <w14:solidFill>
                    <w14:srgbClr w14:val="000000">
                      <w14:alpha w14:val="100000"/>
                    </w14:srgbClr>
                  </w14:solidFill>
                </w14:textFill>
              </w:rPr>
              <w:t>|</w:t>
            </w:r>
            <w:r w:rsidR="001341AB">
              <w:rPr>
                <w:rFonts w:ascii="Arial Narrow" w:hAnsi="Arial Narrow"/>
                <w:sz w:val="20"/>
                <w:szCs w:val="20"/>
                <w:vertAlign w:val="superscript"/>
              </w:rPr>
              <w:t>2</w:t>
            </w:r>
          </w:p>
        </w:tc>
      </w:tr>
    </w:tbl>
    <w:p w14:paraId="492754B6" w14:textId="00A83DA5" w:rsidR="00955D67" w:rsidRDefault="00955D67" w:rsidP="00050EA5">
      <w:pPr>
        <w:pStyle w:val="3-BodyText"/>
        <w:numPr>
          <w:ilvl w:val="0"/>
          <w:numId w:val="0"/>
        </w:numPr>
        <w:spacing w:after="0"/>
        <w:rPr>
          <w:rFonts w:ascii="Arial Narrow" w:hAnsi="Arial Narrow"/>
          <w:sz w:val="18"/>
          <w:szCs w:val="18"/>
        </w:rPr>
      </w:pPr>
      <w:r w:rsidRPr="0074058E">
        <w:rPr>
          <w:rFonts w:ascii="Arial Narrow" w:hAnsi="Arial Narrow"/>
          <w:sz w:val="18"/>
          <w:szCs w:val="18"/>
        </w:rPr>
        <w:t xml:space="preserve">Source: Table 9 of the resubmission and Table 17, 6.07 olaparib </w:t>
      </w:r>
      <w:r w:rsidR="006E635E" w:rsidRPr="0074058E">
        <w:rPr>
          <w:rFonts w:ascii="Arial Narrow" w:hAnsi="Arial Narrow"/>
          <w:sz w:val="18"/>
          <w:szCs w:val="18"/>
        </w:rPr>
        <w:t>PSD</w:t>
      </w:r>
      <w:r w:rsidRPr="0074058E">
        <w:rPr>
          <w:rFonts w:ascii="Arial Narrow" w:hAnsi="Arial Narrow"/>
          <w:sz w:val="18"/>
          <w:szCs w:val="18"/>
        </w:rPr>
        <w:t xml:space="preserve"> July 2022</w:t>
      </w:r>
    </w:p>
    <w:p w14:paraId="421E3761" w14:textId="77777777" w:rsidR="000B53CB" w:rsidRPr="009A6D58" w:rsidRDefault="000B53CB" w:rsidP="00050EA5">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C3F6A5E" w14:textId="632972D4" w:rsidR="000B53CB" w:rsidRPr="009A6D58" w:rsidRDefault="000B53CB" w:rsidP="00050EA5">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0B53CB">
        <w:rPr>
          <w:rFonts w:ascii="Arial Narrow" w:hAnsi="Arial Narrow" w:cs="Arial"/>
          <w:i/>
          <w:sz w:val="18"/>
          <w:szCs w:val="18"/>
        </w:rPr>
        <w:t>$45,000 to &lt; $55,000</w:t>
      </w:r>
    </w:p>
    <w:p w14:paraId="51519717" w14:textId="603B9827" w:rsidR="000B53CB" w:rsidRPr="0074058E" w:rsidRDefault="000B53CB" w:rsidP="00017E19">
      <w:pPr>
        <w:spacing w:after="120"/>
        <w:rPr>
          <w:rFonts w:ascii="Arial Narrow" w:hAnsi="Arial Narrow"/>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0B53CB">
        <w:rPr>
          <w:rFonts w:ascii="Arial Narrow" w:hAnsi="Arial Narrow" w:cs="Arial"/>
          <w:i/>
          <w:sz w:val="18"/>
          <w:szCs w:val="18"/>
        </w:rPr>
        <w:t>$55,000 to &lt; $75,000</w:t>
      </w:r>
    </w:p>
    <w:p w14:paraId="04E99C18" w14:textId="2DE6EC7F" w:rsidR="00955D67" w:rsidRPr="0074058E" w:rsidRDefault="00955D67" w:rsidP="00955D67">
      <w:pPr>
        <w:pStyle w:val="3-BodyText"/>
      </w:pPr>
      <w:r w:rsidRPr="0074058E">
        <w:rPr>
          <w:iCs/>
        </w:rPr>
        <w:t xml:space="preserve">The difference in incremental cost was due to the reduced olaparib price, and the difference in life years and QALYs was primarily due to the reduction in the assumed cure fraction for olaparib (changed from 38.6% to 30%). The change in the utility value </w:t>
      </w:r>
      <w:r w:rsidRPr="0074058E">
        <w:rPr>
          <w:iCs/>
        </w:rPr>
        <w:lastRenderedPageBreak/>
        <w:t>applied in the post-progression health state (changed from 0.544 to 0.577)</w:t>
      </w:r>
      <w:r w:rsidR="00E571FA" w:rsidRPr="0074058E">
        <w:rPr>
          <w:iCs/>
        </w:rPr>
        <w:t xml:space="preserve"> and change in the </w:t>
      </w:r>
      <w:r w:rsidR="00E571FA" w:rsidRPr="0074058E">
        <w:rPr>
          <w:i/>
        </w:rPr>
        <w:t>BRCA</w:t>
      </w:r>
      <w:r w:rsidR="00E571FA" w:rsidRPr="0074058E">
        <w:rPr>
          <w:iCs/>
        </w:rPr>
        <w:t xml:space="preserve"> testing cost (from $1200 to $1000) both </w:t>
      </w:r>
      <w:r w:rsidRPr="0074058E">
        <w:rPr>
          <w:iCs/>
        </w:rPr>
        <w:t xml:space="preserve">had a minimal impact on the ICER. </w:t>
      </w:r>
    </w:p>
    <w:p w14:paraId="7A5C0909" w14:textId="6D89C116" w:rsidR="00F51BA6" w:rsidRPr="0074058E" w:rsidRDefault="00F51BA6" w:rsidP="00F51BA6">
      <w:pPr>
        <w:pStyle w:val="3-BodyText"/>
        <w:numPr>
          <w:ilvl w:val="0"/>
          <w:numId w:val="0"/>
        </w:numPr>
        <w:rPr>
          <w:rFonts w:eastAsiaTheme="minorEastAsia"/>
          <w:u w:val="single"/>
        </w:rPr>
      </w:pPr>
      <w:r w:rsidRPr="0074058E">
        <w:rPr>
          <w:rFonts w:eastAsiaTheme="minorEastAsia"/>
          <w:u w:val="single"/>
        </w:rPr>
        <w:t>Cure fractions</w:t>
      </w:r>
    </w:p>
    <w:p w14:paraId="113BBAB8" w14:textId="73F84B79" w:rsidR="00955D67" w:rsidRPr="0074058E" w:rsidRDefault="00955D67" w:rsidP="00955D67">
      <w:pPr>
        <w:pStyle w:val="3-BodyText"/>
        <w:rPr>
          <w:rFonts w:eastAsiaTheme="minorEastAsia"/>
        </w:rPr>
      </w:pPr>
      <w:r w:rsidRPr="0074058E">
        <w:rPr>
          <w:rFonts w:eastAsiaTheme="minorEastAsia"/>
        </w:rPr>
        <w:t xml:space="preserve">While the PBAC requested a cure fraction of no more than 25.45%, the model used a cure fraction of 30% for olaparib plus bevacizumab. The resubmission claimed that the PAOLA-1 trial DCO3 data </w:t>
      </w:r>
      <w:proofErr w:type="gramStart"/>
      <w:r w:rsidRPr="0074058E">
        <w:rPr>
          <w:rFonts w:eastAsiaTheme="minorEastAsia"/>
        </w:rPr>
        <w:t>were more accurately reflected</w:t>
      </w:r>
      <w:proofErr w:type="gramEnd"/>
      <w:r w:rsidRPr="0074058E">
        <w:rPr>
          <w:rFonts w:eastAsiaTheme="minorEastAsia"/>
        </w:rPr>
        <w:t xml:space="preserve"> by a cure fraction of 30%. The resubmission stated that caution should </w:t>
      </w:r>
      <w:proofErr w:type="gramStart"/>
      <w:r w:rsidRPr="0074058E">
        <w:rPr>
          <w:rFonts w:eastAsiaTheme="minorEastAsia"/>
        </w:rPr>
        <w:t>be applied</w:t>
      </w:r>
      <w:proofErr w:type="gramEnd"/>
      <w:r w:rsidRPr="0074058E">
        <w:rPr>
          <w:rFonts w:eastAsiaTheme="minorEastAsia"/>
        </w:rPr>
        <w:t xml:space="preserve"> when comparing the cure fractions between PAOLA-1 and SOLO1, given the trials enrolled slightly different patient populations, administered different treatment regimens and the trials had different durations of data maturity. The resubmission reported that the mixture cure modelling conducted on the DCO2 data cut showed that the average of “clinically plausible” cure fractions for olaparib plus bevacizumab in </w:t>
      </w:r>
      <w:r w:rsidRPr="0074058E">
        <w:rPr>
          <w:rFonts w:eastAsiaTheme="minorEastAsia"/>
          <w:i/>
          <w:iCs/>
        </w:rPr>
        <w:t>BRCA</w:t>
      </w:r>
      <w:r w:rsidRPr="0074058E">
        <w:rPr>
          <w:rFonts w:eastAsiaTheme="minorEastAsia"/>
        </w:rPr>
        <w:t xml:space="preserve">m patients was 31.2% (Attachment 6 of the resubmission). </w:t>
      </w:r>
      <w:r w:rsidRPr="0074058E">
        <w:rPr>
          <w:rFonts w:eastAsiaTheme="minorEastAsia"/>
          <w:iCs/>
        </w:rPr>
        <w:t xml:space="preserve">The derivation of this value could not </w:t>
      </w:r>
      <w:proofErr w:type="gramStart"/>
      <w:r w:rsidRPr="0074058E">
        <w:rPr>
          <w:rFonts w:eastAsiaTheme="minorEastAsia"/>
          <w:iCs/>
        </w:rPr>
        <w:t>be verified</w:t>
      </w:r>
      <w:proofErr w:type="gramEnd"/>
      <w:r w:rsidRPr="0074058E">
        <w:rPr>
          <w:rFonts w:eastAsiaTheme="minorEastAsia"/>
          <w:iCs/>
        </w:rPr>
        <w:t xml:space="preserve">. Cure fractions reported in Attachment 6 ranged from 0% (exponential) to 41.2% (Gompertz), with five of the seven extrapolation functions reporting a cure fraction lower than 21%. </w:t>
      </w:r>
      <w:r w:rsidR="00BA02C3" w:rsidRPr="0074058E">
        <w:rPr>
          <w:rFonts w:eastAsiaTheme="minorEastAsia"/>
          <w:iCs/>
        </w:rPr>
        <w:t xml:space="preserve">Analyses in Attachment 6 also appeared to relate to the </w:t>
      </w:r>
      <w:r w:rsidR="00BA02C3" w:rsidRPr="0074058E">
        <w:rPr>
          <w:rFonts w:eastAsiaTheme="minorEastAsia"/>
          <w:i/>
        </w:rPr>
        <w:t>BRCA</w:t>
      </w:r>
      <w:r w:rsidR="00BA02C3" w:rsidRPr="0074058E">
        <w:rPr>
          <w:rFonts w:eastAsiaTheme="minorEastAsia"/>
          <w:iCs/>
        </w:rPr>
        <w:t xml:space="preserve">m population rather than the population proposed in the submission (HRD+ </w:t>
      </w:r>
      <w:r w:rsidR="00BA02C3" w:rsidRPr="0074058E">
        <w:rPr>
          <w:rFonts w:eastAsiaTheme="minorEastAsia"/>
          <w:i/>
        </w:rPr>
        <w:t>BRCA</w:t>
      </w:r>
      <w:r w:rsidR="00BA02C3" w:rsidRPr="0074058E">
        <w:rPr>
          <w:rFonts w:eastAsiaTheme="minorEastAsia"/>
          <w:iCs/>
        </w:rPr>
        <w:t xml:space="preserve">wt). </w:t>
      </w:r>
      <w:r w:rsidRPr="0074058E">
        <w:rPr>
          <w:rFonts w:eastAsiaTheme="minorEastAsia"/>
          <w:iCs/>
        </w:rPr>
        <w:t xml:space="preserve">The resubmission did not present cure fractions based on the DC03 data cut and instead the value of 30% was chosen based on visual inspection only, and it was unclear if different parametric functions were </w:t>
      </w:r>
      <w:proofErr w:type="gramStart"/>
      <w:r w:rsidRPr="0074058E">
        <w:rPr>
          <w:rFonts w:eastAsiaTheme="minorEastAsia"/>
          <w:iCs/>
        </w:rPr>
        <w:t>tested</w:t>
      </w:r>
      <w:proofErr w:type="gramEnd"/>
      <w:r w:rsidR="00150CBC" w:rsidRPr="0074058E">
        <w:rPr>
          <w:rFonts w:eastAsiaTheme="minorEastAsia"/>
          <w:iCs/>
        </w:rPr>
        <w:t xml:space="preserve"> (see </w:t>
      </w:r>
      <w:r w:rsidR="00150CBC" w:rsidRPr="0074058E">
        <w:rPr>
          <w:rFonts w:eastAsiaTheme="minorEastAsia"/>
          <w:iCs/>
        </w:rPr>
        <w:fldChar w:fldCharType="begin" w:fldLock="1"/>
      </w:r>
      <w:r w:rsidR="00150CBC" w:rsidRPr="0074058E">
        <w:rPr>
          <w:rFonts w:eastAsiaTheme="minorEastAsia"/>
          <w:iCs/>
        </w:rPr>
        <w:instrText xml:space="preserve"> REF _Ref116906344 \h  \* MERGEFORMAT </w:instrText>
      </w:r>
      <w:r w:rsidR="00150CBC" w:rsidRPr="0074058E">
        <w:rPr>
          <w:rFonts w:eastAsiaTheme="minorEastAsia"/>
          <w:iCs/>
        </w:rPr>
      </w:r>
      <w:r w:rsidR="00150CBC" w:rsidRPr="0074058E">
        <w:rPr>
          <w:rFonts w:eastAsiaTheme="minorEastAsia"/>
          <w:iCs/>
        </w:rPr>
        <w:fldChar w:fldCharType="separate"/>
      </w:r>
      <w:r w:rsidR="00ED2FAA" w:rsidRPr="00ED2FAA">
        <w:rPr>
          <w:iCs/>
        </w:rPr>
        <w:t>Figure 4</w:t>
      </w:r>
      <w:r w:rsidR="00150CBC" w:rsidRPr="0074058E">
        <w:rPr>
          <w:rFonts w:eastAsiaTheme="minorEastAsia"/>
          <w:iCs/>
        </w:rPr>
        <w:fldChar w:fldCharType="end"/>
      </w:r>
      <w:r w:rsidR="00150CBC" w:rsidRPr="0074058E">
        <w:rPr>
          <w:rFonts w:eastAsiaTheme="minorEastAsia"/>
          <w:iCs/>
        </w:rPr>
        <w:t>)</w:t>
      </w:r>
      <w:r w:rsidRPr="0074058E">
        <w:rPr>
          <w:rFonts w:eastAsiaTheme="minorEastAsia"/>
          <w:iCs/>
        </w:rPr>
        <w:t xml:space="preserve">. </w:t>
      </w:r>
    </w:p>
    <w:p w14:paraId="519F2649" w14:textId="59C262D3" w:rsidR="00A6398B" w:rsidRPr="0074058E" w:rsidRDefault="00955D67" w:rsidP="00955D67">
      <w:pPr>
        <w:pStyle w:val="3-BodyText"/>
        <w:rPr>
          <w:rFonts w:eastAsiaTheme="minorEastAsia"/>
        </w:rPr>
      </w:pPr>
      <w:bookmarkStart w:id="25" w:name="_Ref116998708"/>
      <w:r w:rsidRPr="0074058E">
        <w:rPr>
          <w:rFonts w:eastAsiaTheme="minorEastAsia"/>
        </w:rPr>
        <w:t xml:space="preserve">Although the PBAC considered it appropriate to use cure fractions consistent with those accepted for the olaparib </w:t>
      </w:r>
      <w:r w:rsidRPr="0074058E">
        <w:rPr>
          <w:rFonts w:eastAsiaTheme="minorEastAsia"/>
          <w:i/>
          <w:iCs/>
        </w:rPr>
        <w:t>BRCA</w:t>
      </w:r>
      <w:r w:rsidRPr="0074058E">
        <w:rPr>
          <w:rFonts w:eastAsiaTheme="minorEastAsia"/>
        </w:rPr>
        <w:t>m model (paragraph 7.18, olaparib</w:t>
      </w:r>
      <w:r w:rsidR="00CB6C04" w:rsidRPr="0074058E">
        <w:rPr>
          <w:rFonts w:eastAsiaTheme="minorEastAsia"/>
        </w:rPr>
        <w:t xml:space="preserve"> </w:t>
      </w:r>
      <w:r w:rsidR="006E635E" w:rsidRPr="0074058E">
        <w:rPr>
          <w:rFonts w:eastAsiaTheme="minorEastAsia"/>
        </w:rPr>
        <w:t>PSD</w:t>
      </w:r>
      <w:r w:rsidRPr="0074058E">
        <w:rPr>
          <w:rFonts w:eastAsiaTheme="minorEastAsia"/>
        </w:rPr>
        <w:t xml:space="preserve">, July 2022 PBAC meeting), there were no changes regarding the cure fraction used for the comparator arm (6.6%). This compared to a value of 18.0% used for the comparator (placebo) in the olaparib </w:t>
      </w:r>
      <w:r w:rsidRPr="0074058E">
        <w:rPr>
          <w:rFonts w:eastAsiaTheme="minorEastAsia"/>
          <w:i/>
          <w:iCs/>
        </w:rPr>
        <w:t>BRCA</w:t>
      </w:r>
      <w:r w:rsidRPr="0074058E">
        <w:rPr>
          <w:rFonts w:eastAsiaTheme="minorEastAsia"/>
        </w:rPr>
        <w:t>m model</w:t>
      </w:r>
      <w:r w:rsidR="00A420F0" w:rsidRPr="00195C38">
        <w:t xml:space="preserve"> </w:t>
      </w:r>
      <w:r w:rsidR="00A420F0" w:rsidRPr="00017E19">
        <w:t>(paragraph 6.60, olaparib PSD, July 2022 PBAC meeting)</w:t>
      </w:r>
      <w:r w:rsidRPr="00017E19">
        <w:rPr>
          <w:rFonts w:eastAsiaTheme="minorEastAsia"/>
        </w:rPr>
        <w:t xml:space="preserve">. </w:t>
      </w:r>
      <w:r w:rsidRPr="0074058E">
        <w:rPr>
          <w:rFonts w:eastAsiaTheme="minorEastAsia"/>
          <w:iCs/>
        </w:rPr>
        <w:t xml:space="preserve">This resulted in an incremental difference in cure fraction of 23.4% (30.0% - 6.6%) in the resubmission, which was a decrease from 32.0% in the previous submission but remains substantively greater than the 7.45% in the olaparib monotherapy </w:t>
      </w:r>
      <w:r w:rsidRPr="0074058E">
        <w:rPr>
          <w:rFonts w:eastAsiaTheme="minorEastAsia"/>
          <w:i/>
          <w:iCs/>
        </w:rPr>
        <w:t>BRCA</w:t>
      </w:r>
      <w:r w:rsidRPr="0074058E">
        <w:rPr>
          <w:rFonts w:eastAsiaTheme="minorEastAsia"/>
          <w:iCs/>
        </w:rPr>
        <w:t xml:space="preserve">m model based on SOLO-1 (Table 15, olaparib </w:t>
      </w:r>
      <w:r w:rsidR="006E635E" w:rsidRPr="0074058E">
        <w:rPr>
          <w:rFonts w:eastAsiaTheme="minorEastAsia"/>
          <w:iCs/>
        </w:rPr>
        <w:t>PSD</w:t>
      </w:r>
      <w:r w:rsidRPr="0074058E">
        <w:rPr>
          <w:rFonts w:eastAsiaTheme="minorEastAsia"/>
          <w:iCs/>
        </w:rPr>
        <w:t xml:space="preserve"> July 2022 PBAC meeting).</w:t>
      </w:r>
      <w:bookmarkEnd w:id="25"/>
      <w:r w:rsidRPr="0074058E">
        <w:rPr>
          <w:rFonts w:eastAsiaTheme="minorEastAsia"/>
          <w:iCs/>
        </w:rPr>
        <w:t xml:space="preserve"> </w:t>
      </w:r>
    </w:p>
    <w:p w14:paraId="12CDD99B" w14:textId="72EEB121" w:rsidR="00A6398B" w:rsidRPr="0074058E" w:rsidRDefault="00A6398B" w:rsidP="00955D67">
      <w:pPr>
        <w:pStyle w:val="3-BodyText"/>
        <w:rPr>
          <w:rFonts w:eastAsiaTheme="minorEastAsia"/>
        </w:rPr>
      </w:pPr>
      <w:r w:rsidRPr="0074058E">
        <w:rPr>
          <w:rFonts w:eastAsiaTheme="minorEastAsia"/>
          <w:iCs/>
        </w:rPr>
        <w:t xml:space="preserve">The pre-PBAC response presented estimated cure fractions from PAOLA-1 DCO2 and DCO3 and cure fractions based on 5 and 7 year follow-up from SOLO-1, as shown in </w:t>
      </w:r>
      <w:r w:rsidRPr="0074058E">
        <w:rPr>
          <w:rFonts w:eastAsiaTheme="minorEastAsia"/>
          <w:iCs/>
        </w:rPr>
        <w:fldChar w:fldCharType="begin" w:fldLock="1"/>
      </w:r>
      <w:r w:rsidRPr="0074058E">
        <w:rPr>
          <w:rFonts w:eastAsiaTheme="minorEastAsia"/>
          <w:iCs/>
        </w:rPr>
        <w:instrText xml:space="preserve"> REF _Ref119419896 \h </w:instrText>
      </w:r>
      <w:r w:rsidRPr="0074058E">
        <w:rPr>
          <w:rFonts w:eastAsiaTheme="minorEastAsia"/>
          <w:iCs/>
        </w:rPr>
      </w:r>
      <w:r w:rsidRPr="0074058E">
        <w:rPr>
          <w:rFonts w:eastAsiaTheme="minorEastAsia"/>
          <w:iCs/>
        </w:rPr>
        <w:fldChar w:fldCharType="separate"/>
      </w:r>
      <w:r w:rsidR="00ED2FAA" w:rsidRPr="0074058E">
        <w:t xml:space="preserve">Table </w:t>
      </w:r>
      <w:r w:rsidR="00ED2FAA">
        <w:rPr>
          <w:noProof/>
        </w:rPr>
        <w:t>7</w:t>
      </w:r>
      <w:r w:rsidRPr="0074058E">
        <w:rPr>
          <w:rFonts w:eastAsiaTheme="minorEastAsia"/>
          <w:iCs/>
        </w:rPr>
        <w:fldChar w:fldCharType="end"/>
      </w:r>
      <w:r w:rsidRPr="0074058E">
        <w:rPr>
          <w:rFonts w:eastAsiaTheme="minorEastAsia"/>
          <w:iCs/>
        </w:rPr>
        <w:t>.</w:t>
      </w:r>
      <w:r w:rsidR="00F3439B" w:rsidRPr="0074058E">
        <w:rPr>
          <w:rFonts w:eastAsiaTheme="minorEastAsia"/>
          <w:iCs/>
        </w:rPr>
        <w:t xml:space="preserve"> The PBAC considered that the estimated cure fraction for the placebo arm from DCO3 (12.3% for HRD+ </w:t>
      </w:r>
      <w:r w:rsidR="00F3439B" w:rsidRPr="0074058E">
        <w:rPr>
          <w:rFonts w:eastAsiaTheme="minorEastAsia"/>
          <w:i/>
        </w:rPr>
        <w:t>BRCA</w:t>
      </w:r>
      <w:r w:rsidR="00F3439B" w:rsidRPr="0074058E">
        <w:rPr>
          <w:rFonts w:eastAsiaTheme="minorEastAsia"/>
          <w:iCs/>
        </w:rPr>
        <w:t xml:space="preserve">wt) may have </w:t>
      </w:r>
      <w:proofErr w:type="gramStart"/>
      <w:r w:rsidR="00F3439B" w:rsidRPr="0074058E">
        <w:rPr>
          <w:rFonts w:eastAsiaTheme="minorEastAsia"/>
          <w:iCs/>
        </w:rPr>
        <w:t>been affected</w:t>
      </w:r>
      <w:proofErr w:type="gramEnd"/>
      <w:r w:rsidR="00F3439B" w:rsidRPr="0074058E">
        <w:rPr>
          <w:rFonts w:eastAsiaTheme="minorEastAsia"/>
          <w:iCs/>
        </w:rPr>
        <w:t xml:space="preserve"> by the substantial cross</w:t>
      </w:r>
      <w:r w:rsidR="00F3439B" w:rsidRPr="0074058E">
        <w:rPr>
          <w:rFonts w:eastAsiaTheme="minorEastAsia"/>
          <w:iCs/>
        </w:rPr>
        <w:noBreakHyphen/>
        <w:t>over to PARPi treatment.</w:t>
      </w:r>
    </w:p>
    <w:p w14:paraId="2C75C07C" w14:textId="630AA6C1" w:rsidR="00A6398B" w:rsidRPr="0074058E" w:rsidRDefault="00A6398B" w:rsidP="00A6398B">
      <w:pPr>
        <w:pStyle w:val="TableHeading"/>
      </w:pPr>
      <w:bookmarkStart w:id="26" w:name="_Ref119419896"/>
      <w:r w:rsidRPr="0074058E">
        <w:lastRenderedPageBreak/>
        <w:t xml:space="preserve">Table </w:t>
      </w:r>
      <w:r w:rsidR="00663A0C">
        <w:fldChar w:fldCharType="begin" w:fldLock="1"/>
      </w:r>
      <w:r w:rsidR="00663A0C">
        <w:instrText xml:space="preserve"> S</w:instrText>
      </w:r>
      <w:r w:rsidR="00663A0C">
        <w:instrText xml:space="preserve">EQ Table \* ARABIC </w:instrText>
      </w:r>
      <w:r w:rsidR="00663A0C">
        <w:fldChar w:fldCharType="separate"/>
      </w:r>
      <w:r w:rsidR="00ED2FAA">
        <w:rPr>
          <w:noProof/>
        </w:rPr>
        <w:t>7</w:t>
      </w:r>
      <w:r w:rsidR="00663A0C">
        <w:rPr>
          <w:noProof/>
        </w:rPr>
        <w:fldChar w:fldCharType="end"/>
      </w:r>
      <w:bookmarkEnd w:id="26"/>
      <w:r w:rsidRPr="0074058E">
        <w:t xml:space="preserve"> Updated cure fraction data for PAOLA and SOLO-1 studies</w:t>
      </w:r>
    </w:p>
    <w:tbl>
      <w:tblPr>
        <w:tblW w:w="5000" w:type="pct"/>
        <w:tblLayout w:type="fixed"/>
        <w:tblCellMar>
          <w:left w:w="28" w:type="dxa"/>
          <w:right w:w="28" w:type="dxa"/>
        </w:tblCellMar>
        <w:tblLook w:val="04A0" w:firstRow="1" w:lastRow="0" w:firstColumn="1" w:lastColumn="0" w:noHBand="0" w:noVBand="1"/>
      </w:tblPr>
      <w:tblGrid>
        <w:gridCol w:w="846"/>
        <w:gridCol w:w="1167"/>
        <w:gridCol w:w="1167"/>
        <w:gridCol w:w="1167"/>
        <w:gridCol w:w="1177"/>
        <w:gridCol w:w="992"/>
        <w:gridCol w:w="1276"/>
        <w:gridCol w:w="1224"/>
      </w:tblGrid>
      <w:tr w:rsidR="00F3439B" w:rsidRPr="0074058E" w14:paraId="0CDC2D01" w14:textId="77777777" w:rsidTr="00F3439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62898" w14:textId="77777777" w:rsidR="00A6398B" w:rsidRPr="0074058E" w:rsidRDefault="00A6398B" w:rsidP="00F3439B">
            <w:pPr>
              <w:pStyle w:val="TableText"/>
              <w:rPr>
                <w:rFonts w:eastAsia="Times New Roman"/>
              </w:rPr>
            </w:pPr>
            <w:r w:rsidRPr="0074058E">
              <w:rPr>
                <w:rFonts w:eastAsia="Times New Roman"/>
              </w:rPr>
              <w:t> </w:t>
            </w:r>
          </w:p>
        </w:tc>
        <w:tc>
          <w:tcPr>
            <w:tcW w:w="467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301700" w14:textId="18005602" w:rsidR="00A6398B" w:rsidRPr="0074058E" w:rsidRDefault="00A6398B" w:rsidP="00F3439B">
            <w:pPr>
              <w:pStyle w:val="TableText"/>
              <w:rPr>
                <w:rFonts w:eastAsia="Times New Roman"/>
                <w:b/>
              </w:rPr>
            </w:pPr>
            <w:r w:rsidRPr="0074058E">
              <w:rPr>
                <w:rFonts w:eastAsia="Times New Roman"/>
                <w:b/>
              </w:rPr>
              <w:t>PAOLA</w:t>
            </w:r>
            <w:r w:rsidRPr="0074058E">
              <w:rPr>
                <w:b/>
              </w:rPr>
              <w:t>-1</w:t>
            </w:r>
          </w:p>
        </w:tc>
        <w:tc>
          <w:tcPr>
            <w:tcW w:w="349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EF3549" w14:textId="5FF058BA" w:rsidR="00A6398B" w:rsidRPr="0074058E" w:rsidRDefault="00A6398B" w:rsidP="00F3439B">
            <w:pPr>
              <w:pStyle w:val="TableText"/>
              <w:rPr>
                <w:rFonts w:eastAsia="Times New Roman"/>
                <w:b/>
              </w:rPr>
            </w:pPr>
            <w:r w:rsidRPr="0074058E">
              <w:rPr>
                <w:rFonts w:eastAsia="Times New Roman"/>
                <w:b/>
              </w:rPr>
              <w:t>SOLO</w:t>
            </w:r>
            <w:r w:rsidRPr="0074058E">
              <w:rPr>
                <w:b/>
              </w:rPr>
              <w:t>-</w:t>
            </w:r>
            <w:r w:rsidRPr="0074058E">
              <w:rPr>
                <w:rFonts w:eastAsia="Times New Roman"/>
                <w:b/>
              </w:rPr>
              <w:t>1</w:t>
            </w:r>
          </w:p>
        </w:tc>
      </w:tr>
      <w:tr w:rsidR="00A6398B" w:rsidRPr="0074058E" w14:paraId="40A04D8A" w14:textId="77777777" w:rsidTr="00F3439B">
        <w:trPr>
          <w:trHeight w:val="8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5B74006" w14:textId="77777777" w:rsidR="00A6398B" w:rsidRPr="0074058E" w:rsidRDefault="00A6398B" w:rsidP="00F3439B">
            <w:pPr>
              <w:pStyle w:val="TableText"/>
              <w:rPr>
                <w:rFonts w:eastAsia="Times New Roman"/>
              </w:rPr>
            </w:pPr>
            <w:r w:rsidRPr="0074058E">
              <w:rPr>
                <w:rFonts w:eastAsia="Times New Roman"/>
              </w:rPr>
              <w:t> </w:t>
            </w:r>
          </w:p>
        </w:tc>
        <w:tc>
          <w:tcPr>
            <w:tcW w:w="1167" w:type="dxa"/>
            <w:tcBorders>
              <w:top w:val="nil"/>
              <w:left w:val="nil"/>
              <w:bottom w:val="single" w:sz="4" w:space="0" w:color="auto"/>
              <w:right w:val="single" w:sz="4" w:space="0" w:color="auto"/>
            </w:tcBorders>
            <w:shd w:val="clear" w:color="auto" w:fill="auto"/>
            <w:vAlign w:val="bottom"/>
            <w:hideMark/>
          </w:tcPr>
          <w:p w14:paraId="12201D05" w14:textId="45EA7390" w:rsidR="00A6398B" w:rsidRPr="0074058E" w:rsidRDefault="00F3439B" w:rsidP="00F3439B">
            <w:pPr>
              <w:pStyle w:val="TableText"/>
              <w:rPr>
                <w:rFonts w:eastAsia="Times New Roman"/>
                <w:b/>
              </w:rPr>
            </w:pPr>
            <w:r w:rsidRPr="0074058E">
              <w:rPr>
                <w:rFonts w:eastAsia="Times New Roman"/>
                <w:b/>
              </w:rPr>
              <w:t>Early</w:t>
            </w:r>
            <w:r w:rsidR="00A6398B" w:rsidRPr="0074058E">
              <w:rPr>
                <w:rFonts w:eastAsia="Times New Roman"/>
                <w:b/>
              </w:rPr>
              <w:t xml:space="preserve"> re-entry</w:t>
            </w:r>
            <w:r w:rsidR="00A6398B" w:rsidRPr="0074058E">
              <w:rPr>
                <w:rFonts w:eastAsia="Times New Roman"/>
                <w:b/>
              </w:rPr>
              <w:br/>
              <w:t>HRD+</w:t>
            </w:r>
            <w:r w:rsidR="00A6398B" w:rsidRPr="0074058E">
              <w:rPr>
                <w:rFonts w:eastAsia="Times New Roman"/>
                <w:b/>
                <w:i/>
                <w:iCs/>
              </w:rPr>
              <w:t>BRCA</w:t>
            </w:r>
            <w:r w:rsidR="00A6398B" w:rsidRPr="0074058E">
              <w:rPr>
                <w:rFonts w:eastAsia="Times New Roman"/>
                <w:b/>
              </w:rPr>
              <w:t>wt</w:t>
            </w:r>
            <w:r w:rsidR="00A6398B" w:rsidRPr="0074058E">
              <w:rPr>
                <w:rFonts w:eastAsia="Times New Roman"/>
                <w:b/>
              </w:rPr>
              <w:br/>
              <w:t>DCO2</w:t>
            </w:r>
          </w:p>
        </w:tc>
        <w:tc>
          <w:tcPr>
            <w:tcW w:w="1167" w:type="dxa"/>
            <w:tcBorders>
              <w:top w:val="nil"/>
              <w:left w:val="nil"/>
              <w:bottom w:val="single" w:sz="4" w:space="0" w:color="auto"/>
              <w:right w:val="single" w:sz="4" w:space="0" w:color="auto"/>
            </w:tcBorders>
            <w:shd w:val="clear" w:color="auto" w:fill="auto"/>
            <w:vAlign w:val="bottom"/>
            <w:hideMark/>
          </w:tcPr>
          <w:p w14:paraId="38F1CC0E" w14:textId="77777777" w:rsidR="00A6398B" w:rsidRPr="0074058E" w:rsidRDefault="00A6398B" w:rsidP="00F3439B">
            <w:pPr>
              <w:pStyle w:val="TableText"/>
              <w:rPr>
                <w:b/>
              </w:rPr>
            </w:pPr>
            <w:r w:rsidRPr="0074058E">
              <w:rPr>
                <w:rFonts w:eastAsia="Times New Roman"/>
                <w:b/>
              </w:rPr>
              <w:t>HRD+</w:t>
            </w:r>
          </w:p>
          <w:p w14:paraId="7505FF96" w14:textId="446384FE" w:rsidR="00A6398B" w:rsidRPr="0074058E" w:rsidRDefault="00A6398B" w:rsidP="00F3439B">
            <w:pPr>
              <w:pStyle w:val="TableText"/>
              <w:rPr>
                <w:rFonts w:eastAsia="Times New Roman"/>
                <w:b/>
              </w:rPr>
            </w:pPr>
            <w:r w:rsidRPr="0074058E">
              <w:rPr>
                <w:rFonts w:eastAsia="Times New Roman"/>
                <w:b/>
                <w:i/>
                <w:iCs/>
              </w:rPr>
              <w:t>BRCA</w:t>
            </w:r>
            <w:r w:rsidRPr="0074058E">
              <w:rPr>
                <w:rFonts w:eastAsia="Times New Roman"/>
                <w:b/>
              </w:rPr>
              <w:t>wt</w:t>
            </w:r>
            <w:r w:rsidRPr="0074058E">
              <w:rPr>
                <w:rFonts w:eastAsia="Times New Roman"/>
                <w:b/>
              </w:rPr>
              <w:br/>
              <w:t>DCO3</w:t>
            </w:r>
          </w:p>
        </w:tc>
        <w:tc>
          <w:tcPr>
            <w:tcW w:w="1167" w:type="dxa"/>
            <w:tcBorders>
              <w:top w:val="nil"/>
              <w:left w:val="nil"/>
              <w:bottom w:val="single" w:sz="4" w:space="0" w:color="auto"/>
              <w:right w:val="single" w:sz="4" w:space="0" w:color="auto"/>
            </w:tcBorders>
            <w:shd w:val="clear" w:color="auto" w:fill="auto"/>
            <w:vAlign w:val="bottom"/>
            <w:hideMark/>
          </w:tcPr>
          <w:p w14:paraId="022B153B" w14:textId="77777777" w:rsidR="00A6398B" w:rsidRPr="0074058E" w:rsidRDefault="00A6398B" w:rsidP="00F3439B">
            <w:pPr>
              <w:pStyle w:val="TableText"/>
              <w:rPr>
                <w:rFonts w:eastAsia="Times New Roman"/>
                <w:b/>
              </w:rPr>
            </w:pPr>
            <w:r w:rsidRPr="0074058E">
              <w:rPr>
                <w:rFonts w:eastAsia="Times New Roman"/>
                <w:b/>
              </w:rPr>
              <w:t>HRD+</w:t>
            </w:r>
            <w:r w:rsidRPr="0074058E">
              <w:rPr>
                <w:rFonts w:eastAsia="Times New Roman"/>
                <w:b/>
              </w:rPr>
              <w:br/>
              <w:t>DCO3</w:t>
            </w:r>
          </w:p>
        </w:tc>
        <w:tc>
          <w:tcPr>
            <w:tcW w:w="1177" w:type="dxa"/>
            <w:tcBorders>
              <w:top w:val="nil"/>
              <w:left w:val="nil"/>
              <w:bottom w:val="single" w:sz="4" w:space="0" w:color="auto"/>
              <w:right w:val="single" w:sz="4" w:space="0" w:color="auto"/>
            </w:tcBorders>
            <w:shd w:val="clear" w:color="auto" w:fill="auto"/>
            <w:vAlign w:val="bottom"/>
            <w:hideMark/>
          </w:tcPr>
          <w:p w14:paraId="49DA3619" w14:textId="77777777" w:rsidR="00A6398B" w:rsidRPr="0074058E" w:rsidRDefault="00A6398B" w:rsidP="00F3439B">
            <w:pPr>
              <w:pStyle w:val="TableText"/>
              <w:rPr>
                <w:rFonts w:eastAsia="Times New Roman"/>
                <w:b/>
              </w:rPr>
            </w:pPr>
            <w:r w:rsidRPr="0074058E">
              <w:rPr>
                <w:rFonts w:eastAsia="Times New Roman"/>
                <w:b/>
                <w:i/>
                <w:iCs/>
              </w:rPr>
              <w:t>BRCA</w:t>
            </w:r>
            <w:r w:rsidRPr="0074058E">
              <w:rPr>
                <w:rFonts w:eastAsia="Times New Roman"/>
                <w:b/>
              </w:rPr>
              <w:t>m</w:t>
            </w:r>
            <w:r w:rsidRPr="0074058E">
              <w:rPr>
                <w:rFonts w:eastAsia="Times New Roman"/>
                <w:b/>
              </w:rPr>
              <w:br/>
              <w:t>DCO3</w:t>
            </w:r>
          </w:p>
        </w:tc>
        <w:tc>
          <w:tcPr>
            <w:tcW w:w="992" w:type="dxa"/>
            <w:tcBorders>
              <w:top w:val="nil"/>
              <w:left w:val="nil"/>
              <w:bottom w:val="single" w:sz="4" w:space="0" w:color="auto"/>
              <w:right w:val="single" w:sz="4" w:space="0" w:color="auto"/>
            </w:tcBorders>
            <w:shd w:val="clear" w:color="auto" w:fill="auto"/>
            <w:noWrap/>
            <w:vAlign w:val="bottom"/>
            <w:hideMark/>
          </w:tcPr>
          <w:p w14:paraId="535A49BB" w14:textId="77777777" w:rsidR="00A6398B" w:rsidRPr="0074058E" w:rsidRDefault="00A6398B" w:rsidP="00F3439B">
            <w:pPr>
              <w:pStyle w:val="TableText"/>
              <w:rPr>
                <w:rFonts w:eastAsia="Times New Roman"/>
                <w:b/>
              </w:rPr>
            </w:pPr>
            <w:r w:rsidRPr="0074058E">
              <w:rPr>
                <w:rFonts w:eastAsia="Times New Roman"/>
                <w:b/>
              </w:rPr>
              <w:t>Submitted</w:t>
            </w:r>
          </w:p>
        </w:tc>
        <w:tc>
          <w:tcPr>
            <w:tcW w:w="1276" w:type="dxa"/>
            <w:tcBorders>
              <w:top w:val="nil"/>
              <w:left w:val="nil"/>
              <w:bottom w:val="single" w:sz="4" w:space="0" w:color="auto"/>
              <w:right w:val="single" w:sz="4" w:space="0" w:color="auto"/>
            </w:tcBorders>
            <w:shd w:val="clear" w:color="auto" w:fill="auto"/>
            <w:noWrap/>
            <w:vAlign w:val="bottom"/>
            <w:hideMark/>
          </w:tcPr>
          <w:p w14:paraId="49CB63F3" w14:textId="77777777" w:rsidR="00A6398B" w:rsidRPr="0074058E" w:rsidRDefault="00A6398B" w:rsidP="00F3439B">
            <w:pPr>
              <w:pStyle w:val="TableText"/>
              <w:rPr>
                <w:rFonts w:eastAsia="Times New Roman"/>
                <w:b/>
              </w:rPr>
            </w:pPr>
            <w:r w:rsidRPr="0074058E">
              <w:rPr>
                <w:rFonts w:eastAsia="Times New Roman"/>
                <w:b/>
              </w:rPr>
              <w:t>5 year follow-up</w:t>
            </w:r>
          </w:p>
        </w:tc>
        <w:tc>
          <w:tcPr>
            <w:tcW w:w="1224" w:type="dxa"/>
            <w:tcBorders>
              <w:top w:val="nil"/>
              <w:left w:val="nil"/>
              <w:bottom w:val="single" w:sz="4" w:space="0" w:color="auto"/>
              <w:right w:val="single" w:sz="4" w:space="0" w:color="auto"/>
            </w:tcBorders>
            <w:shd w:val="clear" w:color="auto" w:fill="auto"/>
            <w:noWrap/>
            <w:vAlign w:val="bottom"/>
            <w:hideMark/>
          </w:tcPr>
          <w:p w14:paraId="1AC63307" w14:textId="77777777" w:rsidR="00A6398B" w:rsidRPr="0074058E" w:rsidRDefault="00A6398B" w:rsidP="00F3439B">
            <w:pPr>
              <w:pStyle w:val="TableText"/>
              <w:rPr>
                <w:rFonts w:eastAsia="Times New Roman"/>
                <w:b/>
              </w:rPr>
            </w:pPr>
            <w:r w:rsidRPr="0074058E">
              <w:rPr>
                <w:rFonts w:eastAsia="Times New Roman"/>
                <w:b/>
              </w:rPr>
              <w:t>7 Year follow-up</w:t>
            </w:r>
          </w:p>
        </w:tc>
      </w:tr>
      <w:tr w:rsidR="00A6398B" w:rsidRPr="0074058E" w14:paraId="53345ADD" w14:textId="77777777" w:rsidTr="00F3439B">
        <w:trPr>
          <w:trHeight w:val="8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0CB713C" w14:textId="77777777" w:rsidR="00A6398B" w:rsidRPr="0074058E" w:rsidRDefault="00A6398B" w:rsidP="00F3439B">
            <w:pPr>
              <w:pStyle w:val="TableText"/>
              <w:rPr>
                <w:rFonts w:eastAsia="Times New Roman"/>
              </w:rPr>
            </w:pPr>
            <w:r w:rsidRPr="0074058E">
              <w:rPr>
                <w:rFonts w:eastAsia="Times New Roman"/>
              </w:rPr>
              <w:t>Olaparib arm</w:t>
            </w:r>
          </w:p>
        </w:tc>
        <w:tc>
          <w:tcPr>
            <w:tcW w:w="1167" w:type="dxa"/>
            <w:tcBorders>
              <w:top w:val="nil"/>
              <w:left w:val="nil"/>
              <w:bottom w:val="single" w:sz="4" w:space="0" w:color="auto"/>
              <w:right w:val="single" w:sz="4" w:space="0" w:color="auto"/>
            </w:tcBorders>
            <w:shd w:val="clear" w:color="auto" w:fill="auto"/>
            <w:noWrap/>
            <w:vAlign w:val="bottom"/>
            <w:hideMark/>
          </w:tcPr>
          <w:p w14:paraId="77C3FD49" w14:textId="77777777" w:rsidR="00A6398B" w:rsidRPr="0074058E" w:rsidRDefault="00A6398B" w:rsidP="00F3439B">
            <w:pPr>
              <w:pStyle w:val="TableText"/>
              <w:rPr>
                <w:rFonts w:eastAsia="Times New Roman"/>
              </w:rPr>
            </w:pPr>
            <w:r w:rsidRPr="0074058E">
              <w:rPr>
                <w:rFonts w:eastAsia="Times New Roman"/>
              </w:rPr>
              <w:t>30%</w:t>
            </w:r>
          </w:p>
        </w:tc>
        <w:tc>
          <w:tcPr>
            <w:tcW w:w="1167" w:type="dxa"/>
            <w:tcBorders>
              <w:top w:val="nil"/>
              <w:left w:val="nil"/>
              <w:bottom w:val="single" w:sz="4" w:space="0" w:color="auto"/>
              <w:right w:val="single" w:sz="4" w:space="0" w:color="auto"/>
            </w:tcBorders>
            <w:shd w:val="clear" w:color="auto" w:fill="auto"/>
            <w:vAlign w:val="bottom"/>
            <w:hideMark/>
          </w:tcPr>
          <w:p w14:paraId="34D8C857" w14:textId="77777777" w:rsidR="00A6398B" w:rsidRPr="0074058E" w:rsidRDefault="00A6398B" w:rsidP="00F3439B">
            <w:pPr>
              <w:pStyle w:val="TableText"/>
              <w:rPr>
                <w:rFonts w:eastAsia="Times New Roman"/>
              </w:rPr>
            </w:pPr>
            <w:r w:rsidRPr="0074058E">
              <w:rPr>
                <w:rFonts w:eastAsia="Times New Roman"/>
              </w:rPr>
              <w:t>34.0%</w:t>
            </w:r>
            <w:r w:rsidRPr="0074058E">
              <w:rPr>
                <w:rFonts w:eastAsia="Times New Roman"/>
              </w:rPr>
              <w:br/>
              <w:t>range 25.7% - 36.5%</w:t>
            </w:r>
          </w:p>
        </w:tc>
        <w:tc>
          <w:tcPr>
            <w:tcW w:w="1167" w:type="dxa"/>
            <w:tcBorders>
              <w:top w:val="nil"/>
              <w:left w:val="nil"/>
              <w:bottom w:val="single" w:sz="4" w:space="0" w:color="auto"/>
              <w:right w:val="single" w:sz="4" w:space="0" w:color="auto"/>
            </w:tcBorders>
            <w:shd w:val="clear" w:color="auto" w:fill="auto"/>
            <w:vAlign w:val="bottom"/>
            <w:hideMark/>
          </w:tcPr>
          <w:p w14:paraId="7B8A7DF4" w14:textId="77777777" w:rsidR="00A6398B" w:rsidRPr="0074058E" w:rsidRDefault="00A6398B" w:rsidP="00F3439B">
            <w:pPr>
              <w:pStyle w:val="TableText"/>
              <w:rPr>
                <w:rFonts w:eastAsia="Times New Roman"/>
              </w:rPr>
            </w:pPr>
            <w:r w:rsidRPr="0074058E">
              <w:rPr>
                <w:rFonts w:eastAsia="Times New Roman"/>
              </w:rPr>
              <w:t>36.7%</w:t>
            </w:r>
            <w:r w:rsidRPr="0074058E">
              <w:rPr>
                <w:rFonts w:eastAsia="Times New Roman"/>
              </w:rPr>
              <w:br/>
              <w:t>range 33.9% - 41.0%</w:t>
            </w:r>
          </w:p>
        </w:tc>
        <w:tc>
          <w:tcPr>
            <w:tcW w:w="1177" w:type="dxa"/>
            <w:tcBorders>
              <w:top w:val="nil"/>
              <w:left w:val="nil"/>
              <w:bottom w:val="single" w:sz="4" w:space="0" w:color="auto"/>
              <w:right w:val="single" w:sz="4" w:space="0" w:color="auto"/>
            </w:tcBorders>
            <w:shd w:val="clear" w:color="auto" w:fill="auto"/>
            <w:vAlign w:val="bottom"/>
            <w:hideMark/>
          </w:tcPr>
          <w:p w14:paraId="0B0EFD5E" w14:textId="77777777" w:rsidR="00A6398B" w:rsidRPr="0074058E" w:rsidRDefault="00A6398B" w:rsidP="00F3439B">
            <w:pPr>
              <w:pStyle w:val="TableText"/>
              <w:rPr>
                <w:rFonts w:eastAsia="Times New Roman"/>
              </w:rPr>
            </w:pPr>
            <w:r w:rsidRPr="0074058E">
              <w:rPr>
                <w:rFonts w:eastAsia="Times New Roman"/>
              </w:rPr>
              <w:t>38.3%</w:t>
            </w:r>
            <w:r w:rsidRPr="0074058E">
              <w:rPr>
                <w:rFonts w:eastAsia="Times New Roman"/>
              </w:rPr>
              <w:br/>
              <w:t>range 34.2% - 44.7%</w:t>
            </w:r>
          </w:p>
        </w:tc>
        <w:tc>
          <w:tcPr>
            <w:tcW w:w="992" w:type="dxa"/>
            <w:tcBorders>
              <w:top w:val="nil"/>
              <w:left w:val="nil"/>
              <w:bottom w:val="single" w:sz="4" w:space="0" w:color="auto"/>
              <w:right w:val="single" w:sz="4" w:space="0" w:color="auto"/>
            </w:tcBorders>
            <w:shd w:val="clear" w:color="auto" w:fill="auto"/>
            <w:noWrap/>
            <w:vAlign w:val="bottom"/>
            <w:hideMark/>
          </w:tcPr>
          <w:p w14:paraId="591ABF36" w14:textId="77777777" w:rsidR="00A6398B" w:rsidRPr="0074058E" w:rsidRDefault="00A6398B" w:rsidP="00F3439B">
            <w:pPr>
              <w:pStyle w:val="TableText"/>
              <w:rPr>
                <w:rFonts w:eastAsia="Times New Roman"/>
              </w:rPr>
            </w:pPr>
            <w:r w:rsidRPr="0074058E">
              <w:rPr>
                <w:rFonts w:eastAsia="Times New Roman"/>
              </w:rPr>
              <w:t>25.45%</w:t>
            </w:r>
          </w:p>
        </w:tc>
        <w:tc>
          <w:tcPr>
            <w:tcW w:w="1276" w:type="dxa"/>
            <w:tcBorders>
              <w:top w:val="nil"/>
              <w:left w:val="nil"/>
              <w:bottom w:val="single" w:sz="4" w:space="0" w:color="auto"/>
              <w:right w:val="single" w:sz="4" w:space="0" w:color="auto"/>
            </w:tcBorders>
            <w:shd w:val="clear" w:color="auto" w:fill="auto"/>
            <w:vAlign w:val="bottom"/>
            <w:hideMark/>
          </w:tcPr>
          <w:p w14:paraId="72266011" w14:textId="77777777" w:rsidR="00A6398B" w:rsidRPr="0074058E" w:rsidRDefault="00A6398B" w:rsidP="00F3439B">
            <w:pPr>
              <w:pStyle w:val="TableText"/>
              <w:rPr>
                <w:rFonts w:eastAsia="Times New Roman"/>
              </w:rPr>
            </w:pPr>
            <w:r w:rsidRPr="0074058E">
              <w:rPr>
                <w:rFonts w:eastAsia="Times New Roman"/>
              </w:rPr>
              <w:t>33.7%</w:t>
            </w:r>
            <w:r w:rsidRPr="0074058E">
              <w:rPr>
                <w:rFonts w:eastAsia="Times New Roman"/>
              </w:rPr>
              <w:br/>
              <w:t>range 20.6% - 45%</w:t>
            </w:r>
          </w:p>
        </w:tc>
        <w:tc>
          <w:tcPr>
            <w:tcW w:w="1224" w:type="dxa"/>
            <w:tcBorders>
              <w:top w:val="nil"/>
              <w:left w:val="nil"/>
              <w:bottom w:val="single" w:sz="4" w:space="0" w:color="auto"/>
              <w:right w:val="single" w:sz="4" w:space="0" w:color="auto"/>
            </w:tcBorders>
            <w:shd w:val="clear" w:color="auto" w:fill="auto"/>
            <w:vAlign w:val="bottom"/>
            <w:hideMark/>
          </w:tcPr>
          <w:p w14:paraId="45406A21" w14:textId="77777777" w:rsidR="00A6398B" w:rsidRPr="0074058E" w:rsidRDefault="00A6398B" w:rsidP="00F3439B">
            <w:pPr>
              <w:pStyle w:val="TableText"/>
              <w:rPr>
                <w:rFonts w:eastAsia="Times New Roman"/>
              </w:rPr>
            </w:pPr>
            <w:r w:rsidRPr="0074058E">
              <w:rPr>
                <w:rFonts w:eastAsia="Times New Roman"/>
              </w:rPr>
              <w:t>28.2%</w:t>
            </w:r>
            <w:r w:rsidRPr="0074058E">
              <w:rPr>
                <w:rFonts w:eastAsia="Times New Roman"/>
              </w:rPr>
              <w:br/>
              <w:t>range 16.6% - 37.9%</w:t>
            </w:r>
          </w:p>
        </w:tc>
      </w:tr>
      <w:tr w:rsidR="00A6398B" w:rsidRPr="0074058E" w14:paraId="382BB5BA" w14:textId="77777777" w:rsidTr="00F3439B">
        <w:trPr>
          <w:trHeight w:val="8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A8EB930" w14:textId="77777777" w:rsidR="00A6398B" w:rsidRPr="0074058E" w:rsidRDefault="00A6398B" w:rsidP="00F3439B">
            <w:pPr>
              <w:pStyle w:val="TableText"/>
              <w:rPr>
                <w:rFonts w:eastAsia="Times New Roman"/>
              </w:rPr>
            </w:pPr>
            <w:r w:rsidRPr="0074058E">
              <w:rPr>
                <w:rFonts w:eastAsia="Times New Roman"/>
              </w:rPr>
              <w:t>Control arm</w:t>
            </w:r>
          </w:p>
        </w:tc>
        <w:tc>
          <w:tcPr>
            <w:tcW w:w="1167" w:type="dxa"/>
            <w:tcBorders>
              <w:top w:val="nil"/>
              <w:left w:val="nil"/>
              <w:bottom w:val="single" w:sz="4" w:space="0" w:color="auto"/>
              <w:right w:val="single" w:sz="4" w:space="0" w:color="auto"/>
            </w:tcBorders>
            <w:shd w:val="clear" w:color="auto" w:fill="auto"/>
            <w:noWrap/>
            <w:vAlign w:val="bottom"/>
            <w:hideMark/>
          </w:tcPr>
          <w:p w14:paraId="7063254D" w14:textId="77777777" w:rsidR="00A6398B" w:rsidRPr="0074058E" w:rsidRDefault="00A6398B" w:rsidP="00F3439B">
            <w:pPr>
              <w:pStyle w:val="TableText"/>
              <w:rPr>
                <w:rFonts w:eastAsia="Times New Roman"/>
              </w:rPr>
            </w:pPr>
            <w:r w:rsidRPr="0074058E">
              <w:rPr>
                <w:rFonts w:eastAsia="Times New Roman"/>
              </w:rPr>
              <w:t>6.6%</w:t>
            </w:r>
          </w:p>
        </w:tc>
        <w:tc>
          <w:tcPr>
            <w:tcW w:w="1167" w:type="dxa"/>
            <w:tcBorders>
              <w:top w:val="nil"/>
              <w:left w:val="nil"/>
              <w:bottom w:val="single" w:sz="4" w:space="0" w:color="auto"/>
              <w:right w:val="single" w:sz="4" w:space="0" w:color="auto"/>
            </w:tcBorders>
            <w:shd w:val="clear" w:color="auto" w:fill="auto"/>
            <w:vAlign w:val="bottom"/>
            <w:hideMark/>
          </w:tcPr>
          <w:p w14:paraId="269AE406" w14:textId="77777777" w:rsidR="00A6398B" w:rsidRPr="0074058E" w:rsidRDefault="00A6398B" w:rsidP="00F3439B">
            <w:pPr>
              <w:pStyle w:val="TableText"/>
              <w:rPr>
                <w:rFonts w:eastAsia="Times New Roman"/>
              </w:rPr>
            </w:pPr>
            <w:r w:rsidRPr="0074058E">
              <w:rPr>
                <w:rFonts w:eastAsia="Times New Roman"/>
              </w:rPr>
              <w:t>12.3%</w:t>
            </w:r>
            <w:r w:rsidRPr="0074058E">
              <w:rPr>
                <w:rFonts w:eastAsia="Times New Roman"/>
              </w:rPr>
              <w:br/>
              <w:t>range 11.1% - 14.7%</w:t>
            </w:r>
          </w:p>
        </w:tc>
        <w:tc>
          <w:tcPr>
            <w:tcW w:w="1167" w:type="dxa"/>
            <w:tcBorders>
              <w:top w:val="nil"/>
              <w:left w:val="nil"/>
              <w:bottom w:val="single" w:sz="4" w:space="0" w:color="auto"/>
              <w:right w:val="single" w:sz="4" w:space="0" w:color="auto"/>
            </w:tcBorders>
            <w:shd w:val="clear" w:color="auto" w:fill="auto"/>
            <w:vAlign w:val="bottom"/>
            <w:hideMark/>
          </w:tcPr>
          <w:p w14:paraId="1F2A8722" w14:textId="77777777" w:rsidR="00A6398B" w:rsidRPr="0074058E" w:rsidRDefault="00A6398B" w:rsidP="00F3439B">
            <w:pPr>
              <w:pStyle w:val="TableText"/>
              <w:rPr>
                <w:rFonts w:eastAsia="Times New Roman"/>
              </w:rPr>
            </w:pPr>
            <w:r w:rsidRPr="0074058E">
              <w:rPr>
                <w:rFonts w:eastAsia="Times New Roman"/>
              </w:rPr>
              <w:t>16.8%</w:t>
            </w:r>
            <w:r w:rsidRPr="0074058E">
              <w:rPr>
                <w:rFonts w:eastAsia="Times New Roman"/>
              </w:rPr>
              <w:br/>
              <w:t>range 15.1 - 19.2%</w:t>
            </w:r>
          </w:p>
        </w:tc>
        <w:tc>
          <w:tcPr>
            <w:tcW w:w="1177" w:type="dxa"/>
            <w:tcBorders>
              <w:top w:val="nil"/>
              <w:left w:val="nil"/>
              <w:bottom w:val="single" w:sz="4" w:space="0" w:color="auto"/>
              <w:right w:val="single" w:sz="4" w:space="0" w:color="auto"/>
            </w:tcBorders>
            <w:shd w:val="clear" w:color="auto" w:fill="auto"/>
            <w:vAlign w:val="bottom"/>
            <w:hideMark/>
          </w:tcPr>
          <w:p w14:paraId="3D8EEBBC" w14:textId="77777777" w:rsidR="00A6398B" w:rsidRPr="0074058E" w:rsidRDefault="00A6398B" w:rsidP="00F3439B">
            <w:pPr>
              <w:pStyle w:val="TableText"/>
              <w:rPr>
                <w:rFonts w:eastAsia="Times New Roman"/>
              </w:rPr>
            </w:pPr>
            <w:r w:rsidRPr="0074058E">
              <w:rPr>
                <w:rFonts w:eastAsia="Times New Roman"/>
              </w:rPr>
              <w:t>20.2%</w:t>
            </w:r>
            <w:r w:rsidRPr="0074058E">
              <w:rPr>
                <w:rFonts w:eastAsia="Times New Roman"/>
              </w:rPr>
              <w:br/>
              <w:t>range 18.1% - 22.6%</w:t>
            </w:r>
          </w:p>
        </w:tc>
        <w:tc>
          <w:tcPr>
            <w:tcW w:w="992" w:type="dxa"/>
            <w:tcBorders>
              <w:top w:val="nil"/>
              <w:left w:val="nil"/>
              <w:bottom w:val="single" w:sz="4" w:space="0" w:color="auto"/>
              <w:right w:val="single" w:sz="4" w:space="0" w:color="auto"/>
            </w:tcBorders>
            <w:shd w:val="clear" w:color="auto" w:fill="auto"/>
            <w:noWrap/>
            <w:vAlign w:val="bottom"/>
            <w:hideMark/>
          </w:tcPr>
          <w:p w14:paraId="2EF6509B" w14:textId="77777777" w:rsidR="00A6398B" w:rsidRPr="0074058E" w:rsidRDefault="00A6398B" w:rsidP="00F3439B">
            <w:pPr>
              <w:pStyle w:val="TableText"/>
              <w:rPr>
                <w:rFonts w:eastAsia="Times New Roman"/>
              </w:rPr>
            </w:pPr>
            <w:r w:rsidRPr="0074058E">
              <w:rPr>
                <w:rFonts w:eastAsia="Times New Roman"/>
              </w:rPr>
              <w:t>18.0%</w:t>
            </w:r>
          </w:p>
        </w:tc>
        <w:tc>
          <w:tcPr>
            <w:tcW w:w="1276" w:type="dxa"/>
            <w:tcBorders>
              <w:top w:val="nil"/>
              <w:left w:val="nil"/>
              <w:bottom w:val="single" w:sz="4" w:space="0" w:color="auto"/>
              <w:right w:val="single" w:sz="4" w:space="0" w:color="auto"/>
            </w:tcBorders>
            <w:shd w:val="clear" w:color="auto" w:fill="auto"/>
            <w:vAlign w:val="bottom"/>
            <w:hideMark/>
          </w:tcPr>
          <w:p w14:paraId="3A7F24D3" w14:textId="77777777" w:rsidR="00A6398B" w:rsidRPr="0074058E" w:rsidRDefault="00A6398B" w:rsidP="00F3439B">
            <w:pPr>
              <w:pStyle w:val="TableText"/>
              <w:rPr>
                <w:rFonts w:eastAsia="Times New Roman"/>
              </w:rPr>
            </w:pPr>
            <w:r w:rsidRPr="0074058E">
              <w:rPr>
                <w:rFonts w:eastAsia="Times New Roman"/>
              </w:rPr>
              <w:t>17.1%</w:t>
            </w:r>
            <w:r w:rsidRPr="0074058E">
              <w:rPr>
                <w:rFonts w:eastAsia="Times New Roman"/>
              </w:rPr>
              <w:br/>
              <w:t>range 14.5% - 19.3%</w:t>
            </w:r>
          </w:p>
        </w:tc>
        <w:tc>
          <w:tcPr>
            <w:tcW w:w="1224" w:type="dxa"/>
            <w:tcBorders>
              <w:top w:val="nil"/>
              <w:left w:val="nil"/>
              <w:bottom w:val="single" w:sz="4" w:space="0" w:color="auto"/>
              <w:right w:val="single" w:sz="4" w:space="0" w:color="auto"/>
            </w:tcBorders>
            <w:shd w:val="clear" w:color="auto" w:fill="auto"/>
            <w:vAlign w:val="bottom"/>
            <w:hideMark/>
          </w:tcPr>
          <w:p w14:paraId="3AB47650" w14:textId="77777777" w:rsidR="00A6398B" w:rsidRPr="0074058E" w:rsidRDefault="00A6398B" w:rsidP="00F3439B">
            <w:pPr>
              <w:pStyle w:val="TableText"/>
              <w:rPr>
                <w:rFonts w:eastAsia="Times New Roman"/>
              </w:rPr>
            </w:pPr>
            <w:r w:rsidRPr="0074058E">
              <w:rPr>
                <w:rFonts w:eastAsia="Times New Roman"/>
              </w:rPr>
              <w:t>15.6%</w:t>
            </w:r>
            <w:r w:rsidRPr="0074058E">
              <w:rPr>
                <w:rFonts w:eastAsia="Times New Roman"/>
              </w:rPr>
              <w:br/>
              <w:t>range 12.2% - 17.4%</w:t>
            </w:r>
          </w:p>
        </w:tc>
      </w:tr>
    </w:tbl>
    <w:p w14:paraId="132D36FA" w14:textId="27A42E65" w:rsidR="00A54245" w:rsidRPr="00301C8B" w:rsidRDefault="00A54245" w:rsidP="00301C8B">
      <w:pPr>
        <w:pStyle w:val="TableFooter"/>
        <w:rPr>
          <w:i/>
          <w:iCs/>
        </w:rPr>
      </w:pPr>
      <w:r w:rsidRPr="0095246F">
        <w:rPr>
          <w:i/>
          <w:iCs/>
        </w:rPr>
        <w:t xml:space="preserve">Note that the results presented in Table </w:t>
      </w:r>
      <w:r>
        <w:rPr>
          <w:i/>
          <w:iCs/>
        </w:rPr>
        <w:t>7</w:t>
      </w:r>
      <w:r w:rsidRPr="0095246F">
        <w:rPr>
          <w:i/>
          <w:iCs/>
        </w:rPr>
        <w:t xml:space="preserve"> </w:t>
      </w:r>
      <w:proofErr w:type="gramStart"/>
      <w:r w:rsidRPr="0095246F">
        <w:rPr>
          <w:i/>
          <w:iCs/>
        </w:rPr>
        <w:t>are derived</w:t>
      </w:r>
      <w:proofErr w:type="gramEnd"/>
      <w:r w:rsidRPr="0095246F">
        <w:rPr>
          <w:i/>
          <w:iCs/>
        </w:rPr>
        <w:t xml:space="preserve"> from post-hoc analyses of a subgroup of the PAOLA-1 population across endpoints conducted specifically for the purposes of informing the PBAC consideration. These analyses were not part of the pre-specified statistical plan for PAOLA-1. Interpretation of the results and their application should therefore </w:t>
      </w:r>
      <w:proofErr w:type="gramStart"/>
      <w:r w:rsidRPr="0095246F">
        <w:rPr>
          <w:i/>
          <w:iCs/>
        </w:rPr>
        <w:t>be limited</w:t>
      </w:r>
      <w:proofErr w:type="gramEnd"/>
      <w:r w:rsidRPr="0095246F">
        <w:rPr>
          <w:i/>
          <w:iCs/>
        </w:rPr>
        <w:t xml:space="preserve"> to seeking to understand the basis for the PBAC outcome and should not be used for any other purpose.</w:t>
      </w:r>
    </w:p>
    <w:p w14:paraId="36355D87" w14:textId="38B5027D" w:rsidR="00F51BA6" w:rsidRPr="0074058E" w:rsidRDefault="00F51BA6" w:rsidP="00017E19">
      <w:pPr>
        <w:pStyle w:val="3-BodyText"/>
        <w:numPr>
          <w:ilvl w:val="0"/>
          <w:numId w:val="0"/>
        </w:numPr>
        <w:spacing w:before="240"/>
        <w:rPr>
          <w:rFonts w:eastAsiaTheme="minorEastAsia"/>
          <w:u w:val="single"/>
        </w:rPr>
      </w:pPr>
      <w:r w:rsidRPr="0074058E">
        <w:rPr>
          <w:rFonts w:eastAsiaTheme="minorEastAsia"/>
          <w:u w:val="single"/>
        </w:rPr>
        <w:t>Extrapolations</w:t>
      </w:r>
    </w:p>
    <w:p w14:paraId="5D3266F9" w14:textId="39F47DC7" w:rsidR="00955D67" w:rsidRPr="0074058E" w:rsidRDefault="00955D67" w:rsidP="00955D67">
      <w:pPr>
        <w:pStyle w:val="3-BodyText"/>
        <w:rPr>
          <w:rFonts w:eastAsiaTheme="minorEastAsia"/>
        </w:rPr>
      </w:pPr>
      <w:bookmarkStart w:id="27" w:name="_Ref116998744"/>
      <w:r w:rsidRPr="0074058E">
        <w:t xml:space="preserve">The loglogistic extrapolation remains the </w:t>
      </w:r>
      <w:r w:rsidR="00D1583C" w:rsidRPr="0074058E">
        <w:t xml:space="preserve">resubmission’s </w:t>
      </w:r>
      <w:r w:rsidRPr="0074058E">
        <w:t xml:space="preserve">nominated functional form for PFS as the base case for both treatment arms in the resubmission. </w:t>
      </w:r>
      <w:r w:rsidR="00D1583C" w:rsidRPr="0074058E">
        <w:t>The resubmission stated that modelled extrapolation of PFS for the bevacizumab arm fit the DCO3 data well</w:t>
      </w:r>
      <w:r w:rsidR="0069055A" w:rsidRPr="0074058E">
        <w:t xml:space="preserve">, </w:t>
      </w:r>
      <w:r w:rsidR="0069055A" w:rsidRPr="0074058E">
        <w:rPr>
          <w:iCs/>
        </w:rPr>
        <w:t>h</w:t>
      </w:r>
      <w:r w:rsidRPr="0074058E">
        <w:rPr>
          <w:iCs/>
        </w:rPr>
        <w:t xml:space="preserve">owever, the Weibull function had the best statistical fit for the bevacizumab monotherapy arm and has external validity (the estimated cure fraction of 17.4% was more consistent with the 18.0% cure fraction used for the placebo arm in the olaparib July 2020 submission) (paragraph 6.60, </w:t>
      </w:r>
      <w:r w:rsidRPr="0074058E">
        <w:rPr>
          <w:rFonts w:eastAsiaTheme="minorEastAsia"/>
          <w:iCs/>
        </w:rPr>
        <w:t xml:space="preserve">6.07 olaparib </w:t>
      </w:r>
      <w:r w:rsidR="006E635E" w:rsidRPr="0074058E">
        <w:rPr>
          <w:rFonts w:eastAsiaTheme="minorEastAsia"/>
          <w:iCs/>
        </w:rPr>
        <w:t>PSD,</w:t>
      </w:r>
      <w:r w:rsidRPr="0074058E">
        <w:rPr>
          <w:rFonts w:eastAsiaTheme="minorEastAsia"/>
          <w:iCs/>
        </w:rPr>
        <w:t xml:space="preserve"> July 2022 PBAC meeting). </w:t>
      </w:r>
      <w:bookmarkEnd w:id="27"/>
    </w:p>
    <w:p w14:paraId="71A539A4" w14:textId="3F648B4A" w:rsidR="00AA510C" w:rsidRDefault="00955D67" w:rsidP="00955D67">
      <w:pPr>
        <w:pStyle w:val="3-BodyText"/>
        <w:rPr>
          <w:iCs/>
          <w:snapToGrid w:val="0"/>
        </w:rPr>
      </w:pPr>
      <w:bookmarkStart w:id="28" w:name="_Ref116999158"/>
      <w:r w:rsidRPr="0074058E">
        <w:rPr>
          <w:snapToGrid w:val="0"/>
        </w:rPr>
        <w:t xml:space="preserve">The resubmission </w:t>
      </w:r>
      <w:r w:rsidR="00480407" w:rsidRPr="0074058E">
        <w:rPr>
          <w:snapToGrid w:val="0"/>
        </w:rPr>
        <w:t xml:space="preserve">noted </w:t>
      </w:r>
      <w:r w:rsidRPr="0074058E">
        <w:rPr>
          <w:snapToGrid w:val="0"/>
        </w:rPr>
        <w:t xml:space="preserve">that the PBAC Guidelines request trial-based time-to-event data </w:t>
      </w:r>
      <w:proofErr w:type="gramStart"/>
      <w:r w:rsidRPr="0074058E">
        <w:rPr>
          <w:snapToGrid w:val="0"/>
        </w:rPr>
        <w:t>be used</w:t>
      </w:r>
      <w:proofErr w:type="gramEnd"/>
      <w:r w:rsidRPr="0074058E">
        <w:rPr>
          <w:snapToGrid w:val="0"/>
        </w:rPr>
        <w:t xml:space="preserve"> until </w:t>
      </w:r>
      <w:r w:rsidR="00DE74A3" w:rsidRPr="0074058E">
        <w:rPr>
          <w:snapToGrid w:val="0"/>
        </w:rPr>
        <w:t>a certain point</w:t>
      </w:r>
      <w:r w:rsidR="00480407" w:rsidRPr="0074058E">
        <w:rPr>
          <w:snapToGrid w:val="0"/>
        </w:rPr>
        <w:t xml:space="preserve"> </w:t>
      </w:r>
      <w:r w:rsidRPr="0074058E">
        <w:rPr>
          <w:snapToGrid w:val="0"/>
        </w:rPr>
        <w:t>with parametric extrapolation thereafter</w:t>
      </w:r>
      <w:r w:rsidR="00480407" w:rsidRPr="0074058E">
        <w:rPr>
          <w:snapToGrid w:val="0"/>
        </w:rPr>
        <w:t>. This</w:t>
      </w:r>
      <w:r w:rsidRPr="0074058E">
        <w:rPr>
          <w:snapToGrid w:val="0"/>
        </w:rPr>
        <w:t xml:space="preserve"> was not done in the previous model but it was implemented in the resubmission for the calculation of PFS for </w:t>
      </w:r>
      <w:bookmarkStart w:id="29" w:name="_Hlk120700461"/>
      <w:r w:rsidRPr="0074058E">
        <w:rPr>
          <w:snapToGrid w:val="0"/>
        </w:rPr>
        <w:t>olaparib plus bevacizumab (branch P1)</w:t>
      </w:r>
      <w:bookmarkEnd w:id="29"/>
      <w:r w:rsidR="00DE74A3" w:rsidRPr="0074058E">
        <w:rPr>
          <w:snapToGrid w:val="0"/>
        </w:rPr>
        <w:t xml:space="preserve"> because </w:t>
      </w:r>
      <w:r w:rsidR="00DE74A3" w:rsidRPr="0074058E">
        <w:rPr>
          <w:rFonts w:eastAsia="Arial" w:cs="Arial"/>
          <w:szCs w:val="24"/>
        </w:rPr>
        <w:t xml:space="preserve">without changing the point of truncation, the modelled PFS curve for olaparib+bevacizumab sits </w:t>
      </w:r>
      <w:proofErr w:type="gramStart"/>
      <w:r w:rsidR="00DE74A3" w:rsidRPr="0074058E">
        <w:rPr>
          <w:rFonts w:eastAsia="Arial" w:cs="Arial"/>
          <w:szCs w:val="24"/>
        </w:rPr>
        <w:t>substantially below</w:t>
      </w:r>
      <w:proofErr w:type="gramEnd"/>
      <w:r w:rsidR="00DE74A3" w:rsidRPr="0074058E">
        <w:rPr>
          <w:rFonts w:eastAsia="Arial" w:cs="Arial"/>
          <w:szCs w:val="24"/>
        </w:rPr>
        <w:t xml:space="preserve"> the DCO3 trial data. The submission stated that the point of truncation chosen in the model was the end of the trial follow-up</w:t>
      </w:r>
      <w:r w:rsidR="00575099" w:rsidRPr="0074058E">
        <w:rPr>
          <w:rFonts w:eastAsia="Arial" w:cs="Arial"/>
          <w:szCs w:val="24"/>
        </w:rPr>
        <w:t xml:space="preserve"> </w:t>
      </w:r>
      <w:r w:rsidR="00575099" w:rsidRPr="0074058E">
        <w:rPr>
          <w:rFonts w:eastAsia="Arial" w:cs="Arial"/>
          <w:iCs/>
          <w:szCs w:val="24"/>
        </w:rPr>
        <w:t>(49 months for olaparib arm, 39 months for other arms)</w:t>
      </w:r>
      <w:r w:rsidR="00DE74A3" w:rsidRPr="0074058E">
        <w:rPr>
          <w:rFonts w:eastAsia="Arial" w:cs="Arial"/>
          <w:iCs/>
          <w:szCs w:val="24"/>
        </w:rPr>
        <w:t>.</w:t>
      </w:r>
      <w:r w:rsidR="00DE74A3" w:rsidRPr="0074058E">
        <w:rPr>
          <w:rFonts w:eastAsia="Arial" w:cs="Arial"/>
          <w:szCs w:val="24"/>
        </w:rPr>
        <w:t xml:space="preserve"> </w:t>
      </w:r>
      <w:r w:rsidR="00DE74A3" w:rsidRPr="0074058E">
        <w:rPr>
          <w:iCs/>
          <w:snapToGrid w:val="0"/>
        </w:rPr>
        <w:t xml:space="preserve">The PBAC guidelines request that time-to-event data </w:t>
      </w:r>
      <w:proofErr w:type="gramStart"/>
      <w:r w:rsidR="00DE74A3" w:rsidRPr="0074058E">
        <w:rPr>
          <w:iCs/>
          <w:snapToGrid w:val="0"/>
        </w:rPr>
        <w:t>be used</w:t>
      </w:r>
      <w:proofErr w:type="gramEnd"/>
      <w:r w:rsidR="00DE74A3" w:rsidRPr="0074058E">
        <w:rPr>
          <w:iCs/>
          <w:snapToGrid w:val="0"/>
        </w:rPr>
        <w:t xml:space="preserve"> up to the time point at which the observed data become unreliable </w:t>
      </w:r>
      <w:r w:rsidR="00A80284" w:rsidRPr="0074058E">
        <w:rPr>
          <w:iCs/>
          <w:snapToGrid w:val="0"/>
        </w:rPr>
        <w:t>due to</w:t>
      </w:r>
      <w:r w:rsidR="00DE74A3" w:rsidRPr="0074058E">
        <w:rPr>
          <w:iCs/>
          <w:snapToGrid w:val="0"/>
        </w:rPr>
        <w:t xml:space="preserve"> </w:t>
      </w:r>
      <w:r w:rsidR="00A80284" w:rsidRPr="0074058E">
        <w:rPr>
          <w:iCs/>
          <w:snapToGrid w:val="0"/>
        </w:rPr>
        <w:t xml:space="preserve">the </w:t>
      </w:r>
      <w:r w:rsidR="00DE74A3" w:rsidRPr="0074058E">
        <w:rPr>
          <w:iCs/>
          <w:snapToGrid w:val="0"/>
        </w:rPr>
        <w:t>small number of patients remaining event-free</w:t>
      </w:r>
      <w:r w:rsidR="00575099" w:rsidRPr="0074058E">
        <w:rPr>
          <w:iCs/>
          <w:snapToGrid w:val="0"/>
        </w:rPr>
        <w:t>. At the end of trial follow-up there were no patients at risk, therefore the truncation point chosen appears to be inappropriate</w:t>
      </w:r>
      <w:r w:rsidR="00DE74A3" w:rsidRPr="0074058E">
        <w:rPr>
          <w:snapToGrid w:val="0"/>
        </w:rPr>
        <w:t xml:space="preserve">. </w:t>
      </w:r>
      <w:r w:rsidRPr="0074058E">
        <w:rPr>
          <w:iCs/>
          <w:snapToGrid w:val="0"/>
        </w:rPr>
        <w:t xml:space="preserve">The application of </w:t>
      </w:r>
      <w:r w:rsidR="00575099" w:rsidRPr="0074058E">
        <w:rPr>
          <w:iCs/>
          <w:snapToGrid w:val="0"/>
        </w:rPr>
        <w:t xml:space="preserve">KM data up to the end of the trial follow-up </w:t>
      </w:r>
      <w:r w:rsidRPr="0074058E">
        <w:rPr>
          <w:iCs/>
          <w:snapToGrid w:val="0"/>
        </w:rPr>
        <w:t>increased the proportion of patients who remain progression-free (but uncured) in the olaparib + bevacizumab arm but did the opposite for the bevacizumab only arm after 20 months, favouring olaparib + bevacizumab (</w:t>
      </w:r>
      <w:r w:rsidRPr="0074058E">
        <w:rPr>
          <w:iCs/>
          <w:snapToGrid w:val="0"/>
        </w:rPr>
        <w:fldChar w:fldCharType="begin" w:fldLock="1"/>
      </w:r>
      <w:r w:rsidRPr="0074058E">
        <w:rPr>
          <w:iCs/>
          <w:snapToGrid w:val="0"/>
        </w:rPr>
        <w:instrText xml:space="preserve"> REF _Ref115774611 \h  \* MERGEFORMAT </w:instrText>
      </w:r>
      <w:r w:rsidRPr="0074058E">
        <w:rPr>
          <w:iCs/>
          <w:snapToGrid w:val="0"/>
        </w:rPr>
      </w:r>
      <w:r w:rsidRPr="0074058E">
        <w:rPr>
          <w:iCs/>
          <w:snapToGrid w:val="0"/>
        </w:rPr>
        <w:fldChar w:fldCharType="separate"/>
      </w:r>
      <w:r w:rsidR="00ED2FAA" w:rsidRPr="00ED2FAA">
        <w:rPr>
          <w:iCs/>
          <w:snapToGrid w:val="0"/>
        </w:rPr>
        <w:t>Figure 3</w:t>
      </w:r>
      <w:r w:rsidRPr="0074058E">
        <w:rPr>
          <w:iCs/>
          <w:snapToGrid w:val="0"/>
        </w:rPr>
        <w:fldChar w:fldCharType="end"/>
      </w:r>
      <w:r w:rsidRPr="0074058E">
        <w:rPr>
          <w:iCs/>
          <w:snapToGrid w:val="0"/>
        </w:rPr>
        <w:t xml:space="preserve">). </w:t>
      </w:r>
      <w:bookmarkEnd w:id="28"/>
    </w:p>
    <w:p w14:paraId="1AD6CFC4" w14:textId="77777777" w:rsidR="00AA510C" w:rsidRDefault="00AA510C">
      <w:pPr>
        <w:jc w:val="left"/>
        <w:rPr>
          <w:rFonts w:asciiTheme="minorHAnsi" w:eastAsiaTheme="minorHAnsi" w:hAnsiTheme="minorHAnsi" w:cstheme="minorBidi"/>
          <w:iCs/>
          <w:snapToGrid w:val="0"/>
          <w:szCs w:val="22"/>
        </w:rPr>
      </w:pPr>
      <w:r>
        <w:rPr>
          <w:iCs/>
          <w:snapToGrid w:val="0"/>
        </w:rPr>
        <w:br w:type="page"/>
      </w:r>
    </w:p>
    <w:p w14:paraId="6AA14AF3" w14:textId="3AEC3CA6" w:rsidR="00955D67" w:rsidRPr="0074058E" w:rsidRDefault="00955D67" w:rsidP="00955D67">
      <w:pPr>
        <w:pStyle w:val="3-BodyText"/>
        <w:numPr>
          <w:ilvl w:val="0"/>
          <w:numId w:val="0"/>
        </w:numPr>
        <w:rPr>
          <w:rFonts w:eastAsiaTheme="minorEastAsia"/>
        </w:rPr>
      </w:pPr>
      <w:bookmarkStart w:id="30" w:name="_Ref115774611"/>
      <w:r w:rsidRPr="0074058E">
        <w:rPr>
          <w:rFonts w:ascii="Arial Narrow" w:hAnsi="Arial Narrow"/>
          <w:b/>
          <w:bCs/>
          <w:sz w:val="20"/>
          <w:szCs w:val="20"/>
        </w:rPr>
        <w:lastRenderedPageBreak/>
        <w:t xml:space="preserve">Figure </w:t>
      </w:r>
      <w:r w:rsidRPr="0074058E">
        <w:rPr>
          <w:rFonts w:ascii="Arial Narrow" w:hAnsi="Arial Narrow"/>
          <w:b/>
          <w:bCs/>
          <w:i/>
          <w:iCs/>
          <w:sz w:val="20"/>
          <w:szCs w:val="20"/>
        </w:rPr>
        <w:fldChar w:fldCharType="begin" w:fldLock="1"/>
      </w:r>
      <w:r w:rsidRPr="0074058E">
        <w:rPr>
          <w:rFonts w:ascii="Arial Narrow" w:hAnsi="Arial Narrow"/>
          <w:b/>
          <w:bCs/>
          <w:sz w:val="20"/>
          <w:szCs w:val="20"/>
        </w:rPr>
        <w:instrText xml:space="preserve"> SEQ Figure \* ARABIC </w:instrText>
      </w:r>
      <w:r w:rsidRPr="0074058E">
        <w:rPr>
          <w:rFonts w:ascii="Arial Narrow" w:hAnsi="Arial Narrow"/>
          <w:b/>
          <w:bCs/>
          <w:i/>
          <w:iCs/>
          <w:sz w:val="20"/>
          <w:szCs w:val="20"/>
        </w:rPr>
        <w:fldChar w:fldCharType="separate"/>
      </w:r>
      <w:r w:rsidR="00ED2FAA">
        <w:rPr>
          <w:rFonts w:ascii="Arial Narrow" w:hAnsi="Arial Narrow"/>
          <w:b/>
          <w:bCs/>
          <w:noProof/>
          <w:sz w:val="20"/>
          <w:szCs w:val="20"/>
        </w:rPr>
        <w:t>3</w:t>
      </w:r>
      <w:r w:rsidRPr="0074058E">
        <w:rPr>
          <w:rFonts w:ascii="Arial Narrow" w:hAnsi="Arial Narrow"/>
          <w:b/>
          <w:bCs/>
          <w:i/>
          <w:iCs/>
          <w:sz w:val="20"/>
          <w:szCs w:val="20"/>
        </w:rPr>
        <w:fldChar w:fldCharType="end"/>
      </w:r>
      <w:bookmarkEnd w:id="30"/>
      <w:r w:rsidRPr="0074058E">
        <w:rPr>
          <w:rFonts w:ascii="Arial Narrow" w:hAnsi="Arial Narrow"/>
          <w:b/>
          <w:bCs/>
          <w:sz w:val="20"/>
          <w:szCs w:val="20"/>
        </w:rPr>
        <w:t>: Comparison of proportion of PFS (uncured) patients with and without truncation in the model for olaparib + bevacizumab (left) and bevacizumab only (right)</w:t>
      </w:r>
    </w:p>
    <w:p w14:paraId="48C54E94" w14:textId="77777777" w:rsidR="00955D67" w:rsidRPr="0074058E" w:rsidRDefault="00955D67" w:rsidP="00955D67">
      <w:pPr>
        <w:pStyle w:val="TableFooter"/>
      </w:pPr>
      <w:r w:rsidRPr="0074058E">
        <w:rPr>
          <w:noProof/>
        </w:rPr>
        <w:drawing>
          <wp:inline distT="0" distB="0" distL="0" distR="0" wp14:anchorId="79A4CA72" wp14:editId="77E1EE26">
            <wp:extent cx="2796540" cy="1906907"/>
            <wp:effectExtent l="0" t="0" r="3810" b="0"/>
            <wp:docPr id="9" name="Picture 9" descr="Figure 3: Comparison of proportion of PFS (uncured) patients with and without truncation in the model for olaparib + bevacizumab (le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3: Comparison of proportion of PFS (uncured) patients with and without truncation in the model for olaparib + bevacizumab (left) "/>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810642" cy="1916523"/>
                    </a:xfrm>
                    <a:prstGeom prst="rect">
                      <a:avLst/>
                    </a:prstGeom>
                    <a:noFill/>
                  </pic:spPr>
                </pic:pic>
              </a:graphicData>
            </a:graphic>
          </wp:inline>
        </w:drawing>
      </w:r>
      <w:r w:rsidRPr="0074058E">
        <w:rPr>
          <w:noProof/>
        </w:rPr>
        <w:drawing>
          <wp:inline distT="0" distB="0" distL="0" distR="0" wp14:anchorId="4B6774BB" wp14:editId="317A0D2F">
            <wp:extent cx="2818488" cy="1901190"/>
            <wp:effectExtent l="0" t="0" r="1270" b="3810"/>
            <wp:docPr id="10" name="Picture 10" descr="Figure 3: Comparison of proportion of PFS (uncured) patients with and without truncation in the model for bevacizumab only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3: Comparison of proportion of PFS (uncured) patients with and without truncation in the model for bevacizumab only (right)"/>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831535" cy="1909991"/>
                    </a:xfrm>
                    <a:prstGeom prst="rect">
                      <a:avLst/>
                    </a:prstGeom>
                    <a:noFill/>
                  </pic:spPr>
                </pic:pic>
              </a:graphicData>
            </a:graphic>
          </wp:inline>
        </w:drawing>
      </w:r>
    </w:p>
    <w:p w14:paraId="28ACFD63" w14:textId="13DED619" w:rsidR="00955D67" w:rsidRPr="0074058E" w:rsidRDefault="00955D67" w:rsidP="00017E19">
      <w:pPr>
        <w:pStyle w:val="TableFooter"/>
        <w:spacing w:after="240"/>
        <w:rPr>
          <w:rFonts w:eastAsiaTheme="minorEastAsia"/>
        </w:rPr>
      </w:pPr>
      <w:r w:rsidRPr="0074058E">
        <w:t>Source: Constructed during evaluation using Attachment 3 LYNPARZA (olaparib) HRDBRCAwt CEM.xlsx</w:t>
      </w:r>
    </w:p>
    <w:p w14:paraId="6DEFA93E" w14:textId="090CF3FA" w:rsidR="008A0AE0" w:rsidRPr="0074058E" w:rsidRDefault="008A0AE0" w:rsidP="008A0AE0">
      <w:pPr>
        <w:pStyle w:val="3-BodyText"/>
      </w:pPr>
      <w:r w:rsidRPr="0074058E">
        <w:t xml:space="preserve">The modelled PFS and OS curves applied in the resubmission, along with data from DCO3 </w:t>
      </w:r>
      <w:proofErr w:type="gramStart"/>
      <w:r w:rsidRPr="0074058E">
        <w:t>are shown</w:t>
      </w:r>
      <w:proofErr w:type="gramEnd"/>
      <w:r w:rsidRPr="0074058E">
        <w:t xml:space="preserve"> in </w:t>
      </w:r>
      <w:r w:rsidR="002B2A62" w:rsidRPr="0074058E">
        <w:fldChar w:fldCharType="begin" w:fldLock="1"/>
      </w:r>
      <w:r w:rsidR="002B2A62" w:rsidRPr="0074058E">
        <w:instrText xml:space="preserve"> REF _Ref116906344 \h </w:instrText>
      </w:r>
      <w:r w:rsidR="002B2A62" w:rsidRPr="0074058E">
        <w:fldChar w:fldCharType="separate"/>
      </w:r>
      <w:r w:rsidR="00ED2FAA" w:rsidRPr="0074058E">
        <w:t xml:space="preserve">Figure </w:t>
      </w:r>
      <w:r w:rsidR="00ED2FAA">
        <w:rPr>
          <w:noProof/>
        </w:rPr>
        <w:t>4</w:t>
      </w:r>
      <w:r w:rsidR="002B2A62" w:rsidRPr="0074058E">
        <w:fldChar w:fldCharType="end"/>
      </w:r>
      <w:r w:rsidR="002B2A62" w:rsidRPr="0074058E">
        <w:t xml:space="preserve"> </w:t>
      </w:r>
      <w:r w:rsidRPr="0074058E">
        <w:t xml:space="preserve">and </w:t>
      </w:r>
      <w:r w:rsidR="002B2A62" w:rsidRPr="0074058E">
        <w:fldChar w:fldCharType="begin" w:fldLock="1"/>
      </w:r>
      <w:r w:rsidR="002B2A62" w:rsidRPr="0074058E">
        <w:instrText xml:space="preserve"> REF _Ref116906351 \h </w:instrText>
      </w:r>
      <w:r w:rsidR="002B2A62" w:rsidRPr="0074058E">
        <w:fldChar w:fldCharType="separate"/>
      </w:r>
      <w:r w:rsidR="00ED2FAA" w:rsidRPr="0074058E">
        <w:t xml:space="preserve">Figure </w:t>
      </w:r>
      <w:r w:rsidR="00ED2FAA">
        <w:rPr>
          <w:noProof/>
        </w:rPr>
        <w:t>5</w:t>
      </w:r>
      <w:r w:rsidR="002B2A62" w:rsidRPr="0074058E">
        <w:fldChar w:fldCharType="end"/>
      </w:r>
      <w:r w:rsidRPr="0074058E">
        <w:t>, respectively</w:t>
      </w:r>
      <w:r w:rsidR="002B2A62" w:rsidRPr="0074058E">
        <w:t>.</w:t>
      </w:r>
    </w:p>
    <w:p w14:paraId="751503F4" w14:textId="71F0BE4E" w:rsidR="008A0AE0" w:rsidRPr="0074058E" w:rsidRDefault="008A0AE0" w:rsidP="00957E75">
      <w:pPr>
        <w:pStyle w:val="TableHeading"/>
        <w:rPr>
          <w:rFonts w:eastAsia="Arial"/>
        </w:rPr>
      </w:pPr>
      <w:bookmarkStart w:id="31" w:name="_Ref116906344"/>
      <w:r w:rsidRPr="0074058E">
        <w:t xml:space="preserve">Figure </w:t>
      </w:r>
      <w:r w:rsidR="00663A0C">
        <w:fldChar w:fldCharType="begin" w:fldLock="1"/>
      </w:r>
      <w:r w:rsidR="00663A0C">
        <w:instrText xml:space="preserve"> SEQ Figure \* ARABIC </w:instrText>
      </w:r>
      <w:r w:rsidR="00663A0C">
        <w:fldChar w:fldCharType="separate"/>
      </w:r>
      <w:r w:rsidR="00ED2FAA">
        <w:rPr>
          <w:noProof/>
        </w:rPr>
        <w:t>4</w:t>
      </w:r>
      <w:r w:rsidR="00663A0C">
        <w:rPr>
          <w:noProof/>
        </w:rPr>
        <w:fldChar w:fldCharType="end"/>
      </w:r>
      <w:bookmarkEnd w:id="31"/>
      <w:r w:rsidRPr="0074058E">
        <w:t xml:space="preserve"> PFS using loglogistic for both arms with cure fraction of 30% for olaparib+bevacizumab and 6.6% for bevacizumab monotherapy</w:t>
      </w:r>
    </w:p>
    <w:p w14:paraId="645388C0" w14:textId="2CA321E0" w:rsidR="008A0AE0" w:rsidRPr="0074058E" w:rsidRDefault="008A0AE0" w:rsidP="008A0AE0">
      <w:pPr>
        <w:pStyle w:val="3-BodyText"/>
        <w:numPr>
          <w:ilvl w:val="0"/>
          <w:numId w:val="0"/>
        </w:numPr>
      </w:pPr>
      <w:r w:rsidRPr="0074058E">
        <w:t xml:space="preserve"> </w:t>
      </w:r>
      <w:r w:rsidRPr="0074058E">
        <w:rPr>
          <w:noProof/>
        </w:rPr>
        <w:drawing>
          <wp:inline distT="0" distB="0" distL="0" distR="0" wp14:anchorId="60CC8154" wp14:editId="325894C6">
            <wp:extent cx="4510800" cy="3268800"/>
            <wp:effectExtent l="0" t="0" r="4445" b="8255"/>
            <wp:docPr id="14" name="Picture 14" descr="Figure 4 PFS using loglogistic for both arms with cure fraction of 30% for olaparib+bevacizumab and 6.6% for bevacizumab mon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4 PFS using loglogistic for both arms with cure fraction of 30% for olaparib+bevacizumab and 6.6% for bevacizumab monotherapy"/>
                    <pic:cNvPicPr/>
                  </pic:nvPicPr>
                  <pic:blipFill>
                    <a:blip r:embed="rId14" cstate="screen">
                      <a:extLst>
                        <a:ext uri="{28A0092B-C50C-407E-A947-70E740481C1C}">
                          <a14:useLocalDpi xmlns:a14="http://schemas.microsoft.com/office/drawing/2010/main"/>
                        </a:ext>
                      </a:extLst>
                    </a:blip>
                    <a:stretch>
                      <a:fillRect/>
                    </a:stretch>
                  </pic:blipFill>
                  <pic:spPr>
                    <a:xfrm>
                      <a:off x="0" y="0"/>
                      <a:ext cx="4510800" cy="3268800"/>
                    </a:xfrm>
                    <a:prstGeom prst="rect">
                      <a:avLst/>
                    </a:prstGeom>
                  </pic:spPr>
                </pic:pic>
              </a:graphicData>
            </a:graphic>
          </wp:inline>
        </w:drawing>
      </w:r>
    </w:p>
    <w:p w14:paraId="09574F57" w14:textId="5652FB2B" w:rsidR="002B2A62" w:rsidRPr="0074058E" w:rsidRDefault="002B2A62" w:rsidP="00E571FA">
      <w:pPr>
        <w:pStyle w:val="TableFigureFooter"/>
      </w:pPr>
      <w:r w:rsidRPr="0074058E">
        <w:t>Source: Figure 8 of the resubmission</w:t>
      </w:r>
    </w:p>
    <w:p w14:paraId="2D5CEFCD" w14:textId="5DD4246F" w:rsidR="008A0AE0" w:rsidRPr="0074058E" w:rsidRDefault="008A0AE0" w:rsidP="0084425F">
      <w:pPr>
        <w:pStyle w:val="TableHeading"/>
        <w:rPr>
          <w:rFonts w:eastAsia="Arial"/>
        </w:rPr>
      </w:pPr>
      <w:bookmarkStart w:id="32" w:name="_Ref116906351"/>
      <w:r w:rsidRPr="0074058E">
        <w:lastRenderedPageBreak/>
        <w:t xml:space="preserve">Figure </w:t>
      </w:r>
      <w:r w:rsidR="00663A0C">
        <w:fldChar w:fldCharType="begin" w:fldLock="1"/>
      </w:r>
      <w:r w:rsidR="00663A0C">
        <w:instrText xml:space="preserve"> SEQ Figure \* ARABIC </w:instrText>
      </w:r>
      <w:r w:rsidR="00663A0C">
        <w:fldChar w:fldCharType="separate"/>
      </w:r>
      <w:r w:rsidR="00ED2FAA">
        <w:rPr>
          <w:noProof/>
        </w:rPr>
        <w:t>5</w:t>
      </w:r>
      <w:r w:rsidR="00663A0C">
        <w:rPr>
          <w:noProof/>
        </w:rPr>
        <w:fldChar w:fldCharType="end"/>
      </w:r>
      <w:bookmarkEnd w:id="32"/>
      <w:r w:rsidRPr="0074058E">
        <w:t xml:space="preserve"> Comparison of modelled OS and validation using DCO3 OS data (cure fractions are 30% for olaparib+bevacizumab and 6.6% for bevacizumab monotherapy)</w:t>
      </w:r>
    </w:p>
    <w:p w14:paraId="5CBC420F" w14:textId="7FD462CF" w:rsidR="008A0AE0" w:rsidRPr="0074058E" w:rsidRDefault="008A0AE0" w:rsidP="008A0AE0">
      <w:pPr>
        <w:rPr>
          <w:rFonts w:eastAsiaTheme="minorEastAsia"/>
          <w:lang w:eastAsia="en-US"/>
        </w:rPr>
      </w:pPr>
      <w:r w:rsidRPr="0074058E">
        <w:rPr>
          <w:noProof/>
        </w:rPr>
        <w:drawing>
          <wp:inline distT="0" distB="0" distL="0" distR="0" wp14:anchorId="76145DF5" wp14:editId="0B503B76">
            <wp:extent cx="4662000" cy="3265200"/>
            <wp:effectExtent l="0" t="0" r="5715" b="0"/>
            <wp:docPr id="15" name="Picture 15" descr="Figure 5 Comparison of modelled OS and validation using DCO3 OS data (cure fractions are 30% for olaparib+bevacizumab and 6.6% for bevacizumab mon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5 Comparison of modelled OS and validation using DCO3 OS data (cure fractions are 30% for olaparib+bevacizumab and 6.6% for bevacizumab monotherapy)"/>
                    <pic:cNvPicPr/>
                  </pic:nvPicPr>
                  <pic:blipFill rotWithShape="1">
                    <a:blip r:embed="rId15" cstate="screen">
                      <a:extLst>
                        <a:ext uri="{28A0092B-C50C-407E-A947-70E740481C1C}">
                          <a14:useLocalDpi xmlns:a14="http://schemas.microsoft.com/office/drawing/2010/main"/>
                        </a:ext>
                      </a:extLst>
                    </a:blip>
                    <a:srcRect b="3396"/>
                    <a:stretch/>
                  </pic:blipFill>
                  <pic:spPr bwMode="auto">
                    <a:xfrm>
                      <a:off x="0" y="0"/>
                      <a:ext cx="4662000" cy="3265200"/>
                    </a:xfrm>
                    <a:prstGeom prst="rect">
                      <a:avLst/>
                    </a:prstGeom>
                    <a:ln>
                      <a:noFill/>
                    </a:ln>
                    <a:extLst>
                      <a:ext uri="{53640926-AAD7-44D8-BBD7-CCE9431645EC}">
                        <a14:shadowObscured xmlns:a14="http://schemas.microsoft.com/office/drawing/2010/main"/>
                      </a:ext>
                    </a:extLst>
                  </pic:spPr>
                </pic:pic>
              </a:graphicData>
            </a:graphic>
          </wp:inline>
        </w:drawing>
      </w:r>
    </w:p>
    <w:p w14:paraId="11DFACAB" w14:textId="66C82DA2" w:rsidR="002B2A62" w:rsidRPr="0074058E" w:rsidRDefault="002B2A62" w:rsidP="00017E19">
      <w:pPr>
        <w:pStyle w:val="TableFigureFooter"/>
        <w:rPr>
          <w:rFonts w:eastAsiaTheme="minorEastAsia"/>
          <w:lang w:eastAsia="en-US"/>
        </w:rPr>
      </w:pPr>
      <w:r w:rsidRPr="0074058E">
        <w:t>Source: Figure 9 of the resubmission</w:t>
      </w:r>
    </w:p>
    <w:p w14:paraId="630E0641" w14:textId="73E022CC" w:rsidR="00575099" w:rsidRPr="0074058E" w:rsidRDefault="00575099" w:rsidP="00957E75">
      <w:pPr>
        <w:pStyle w:val="3-BodyText"/>
        <w:numPr>
          <w:ilvl w:val="0"/>
          <w:numId w:val="0"/>
        </w:numPr>
        <w:ind w:left="720" w:hanging="720"/>
        <w:rPr>
          <w:rFonts w:eastAsiaTheme="minorEastAsia"/>
          <w:u w:val="single"/>
        </w:rPr>
      </w:pPr>
      <w:r w:rsidRPr="0074058E">
        <w:rPr>
          <w:rFonts w:eastAsiaTheme="minorEastAsia"/>
          <w:u w:val="single"/>
        </w:rPr>
        <w:t>Changes in costs</w:t>
      </w:r>
    </w:p>
    <w:p w14:paraId="0F8197AF" w14:textId="172464E8" w:rsidR="00955D67" w:rsidRPr="0074058E" w:rsidRDefault="00955D67" w:rsidP="00955D67">
      <w:pPr>
        <w:pStyle w:val="3-BodyText"/>
        <w:rPr>
          <w:rFonts w:eastAsiaTheme="minorEastAsia"/>
        </w:rPr>
      </w:pPr>
      <w:r w:rsidRPr="0074058E">
        <w:rPr>
          <w:iCs/>
          <w:snapToGrid w:val="0"/>
        </w:rPr>
        <w:t xml:space="preserve">Additionally, the cost of palliative care </w:t>
      </w:r>
      <w:proofErr w:type="gramStart"/>
      <w:r w:rsidRPr="0074058E">
        <w:rPr>
          <w:iCs/>
          <w:snapToGrid w:val="0"/>
        </w:rPr>
        <w:t>was increased</w:t>
      </w:r>
      <w:proofErr w:type="gramEnd"/>
      <w:r w:rsidRPr="0074058E">
        <w:rPr>
          <w:iCs/>
          <w:snapToGrid w:val="0"/>
        </w:rPr>
        <w:t xml:space="preserve"> from $16,301 to $17,051 in the updated model due to the inclusion of an additional year of data for the Health Price Index that was used to inflate the palliative care cost (Kardamanidis 2007) to 2022 prices. The cost of MBS items, other medical items (e.g. secondary debulking surgery) and dispensing fees for chemotherapy </w:t>
      </w:r>
      <w:proofErr w:type="gramStart"/>
      <w:r w:rsidRPr="0074058E">
        <w:rPr>
          <w:iCs/>
          <w:snapToGrid w:val="0"/>
        </w:rPr>
        <w:t>were also updated</w:t>
      </w:r>
      <w:proofErr w:type="gramEnd"/>
      <w:r w:rsidRPr="0074058E">
        <w:rPr>
          <w:iCs/>
          <w:snapToGrid w:val="0"/>
        </w:rPr>
        <w:t xml:space="preserve"> in line with current item costs. Cost for treatment of adverse events appears to have </w:t>
      </w:r>
      <w:proofErr w:type="gramStart"/>
      <w:r w:rsidRPr="0074058E">
        <w:rPr>
          <w:iCs/>
          <w:snapToGrid w:val="0"/>
        </w:rPr>
        <w:t>been updated</w:t>
      </w:r>
      <w:proofErr w:type="gramEnd"/>
      <w:r w:rsidRPr="0074058E">
        <w:rPr>
          <w:iCs/>
          <w:snapToGrid w:val="0"/>
        </w:rPr>
        <w:t xml:space="preserve"> to National Hospital Cost Data Collection (NHCDC) Round 23 to Round 24 data though the reference in the attached model still refers to Round 23. </w:t>
      </w:r>
      <w:r w:rsidR="00575099" w:rsidRPr="0074058E">
        <w:rPr>
          <w:iCs/>
          <w:snapToGrid w:val="0"/>
        </w:rPr>
        <w:t xml:space="preserve">These changes </w:t>
      </w:r>
      <w:proofErr w:type="gramStart"/>
      <w:r w:rsidR="00575099" w:rsidRPr="0074058E">
        <w:rPr>
          <w:iCs/>
          <w:snapToGrid w:val="0"/>
        </w:rPr>
        <w:t>were not requested</w:t>
      </w:r>
      <w:proofErr w:type="gramEnd"/>
      <w:r w:rsidR="00575099" w:rsidRPr="0074058E">
        <w:rPr>
          <w:iCs/>
          <w:snapToGrid w:val="0"/>
        </w:rPr>
        <w:t xml:space="preserve"> by the PBAC but had a very minimal impact on the ICER</w:t>
      </w:r>
      <w:r w:rsidR="00AF2035" w:rsidRPr="0074058E">
        <w:rPr>
          <w:iCs/>
          <w:snapToGrid w:val="0"/>
        </w:rPr>
        <w:t xml:space="preserve"> </w:t>
      </w:r>
      <w:r w:rsidR="00575099" w:rsidRPr="0074058E">
        <w:rPr>
          <w:iCs/>
          <w:snapToGrid w:val="0"/>
        </w:rPr>
        <w:t>(&lt;$100</w:t>
      </w:r>
      <w:r w:rsidR="00AF2035" w:rsidRPr="0074058E">
        <w:rPr>
          <w:iCs/>
          <w:snapToGrid w:val="0"/>
        </w:rPr>
        <w:t xml:space="preserve"> change to the ICER</w:t>
      </w:r>
      <w:r w:rsidR="00575099" w:rsidRPr="0074058E">
        <w:rPr>
          <w:iCs/>
          <w:snapToGrid w:val="0"/>
        </w:rPr>
        <w:t>).</w:t>
      </w:r>
    </w:p>
    <w:p w14:paraId="3D89429C" w14:textId="60817D3B" w:rsidR="008852FF" w:rsidRDefault="004E2718" w:rsidP="004E2718">
      <w:pPr>
        <w:pStyle w:val="3-BodyText"/>
        <w:rPr>
          <w:iCs/>
          <w:snapToGrid w:val="0"/>
        </w:rPr>
      </w:pPr>
      <w:r w:rsidRPr="0074058E">
        <w:rPr>
          <w:iCs/>
          <w:snapToGrid w:val="0"/>
        </w:rPr>
        <w:t>Though the PBAC requested a price reduction to result in an ICER of less than $50,000/QALY gained (paragraph 7.16, olaparib PSD, July 2022 PBAC meeting), t</w:t>
      </w:r>
      <w:r w:rsidR="00792569" w:rsidRPr="0074058E">
        <w:rPr>
          <w:iCs/>
          <w:snapToGrid w:val="0"/>
        </w:rPr>
        <w:t>he submission argued that</w:t>
      </w:r>
      <w:r w:rsidRPr="0074058E">
        <w:rPr>
          <w:iCs/>
          <w:snapToGrid w:val="0"/>
        </w:rPr>
        <w:t xml:space="preserve"> the strength of the OS data from DCO3 should alleviate any of the PBAC’s concern and permit an ICER threshold consistent with SOLO-1, given the OS gains demonstrated. </w:t>
      </w:r>
      <w:r w:rsidR="009A36D3" w:rsidRPr="0074058E">
        <w:rPr>
          <w:iCs/>
          <w:snapToGrid w:val="0"/>
        </w:rPr>
        <w:t>An effective DPMQ of $</w:t>
      </w:r>
      <w:r w:rsidR="00ED35F2" w:rsidRPr="00663A0C">
        <w:rPr>
          <w:iCs/>
          <w:snapToGrid w:val="0"/>
          <w:color w:val="000000"/>
          <w:w w:val="15"/>
          <w:shd w:val="solid" w:color="000000" w:fill="000000"/>
          <w:fitText w:val="-20" w:id="-1300508919"/>
          <w14:textFill>
            <w14:solidFill>
              <w14:srgbClr w14:val="000000">
                <w14:alpha w14:val="100000"/>
              </w14:srgbClr>
            </w14:solidFill>
          </w14:textFill>
        </w:rPr>
        <w:t xml:space="preserve">|  </w:t>
      </w:r>
      <w:r w:rsidR="00ED35F2" w:rsidRPr="00663A0C">
        <w:rPr>
          <w:iCs/>
          <w:snapToGrid w:val="0"/>
          <w:color w:val="000000"/>
          <w:spacing w:val="-69"/>
          <w:w w:val="15"/>
          <w:shd w:val="solid" w:color="000000" w:fill="000000"/>
          <w:fitText w:val="-20" w:id="-1300508919"/>
          <w14:textFill>
            <w14:solidFill>
              <w14:srgbClr w14:val="000000">
                <w14:alpha w14:val="100000"/>
              </w14:srgbClr>
            </w14:solidFill>
          </w14:textFill>
        </w:rPr>
        <w:t>|</w:t>
      </w:r>
      <w:r w:rsidR="009A36D3" w:rsidRPr="0074058E">
        <w:rPr>
          <w:iCs/>
          <w:snapToGrid w:val="0"/>
        </w:rPr>
        <w:t xml:space="preserve"> </w:t>
      </w:r>
      <w:proofErr w:type="gramStart"/>
      <w:r w:rsidR="009A36D3" w:rsidRPr="0074058E">
        <w:rPr>
          <w:iCs/>
          <w:snapToGrid w:val="0"/>
        </w:rPr>
        <w:t>was required</w:t>
      </w:r>
      <w:proofErr w:type="gramEnd"/>
      <w:r w:rsidR="009A36D3" w:rsidRPr="0074058E">
        <w:rPr>
          <w:iCs/>
          <w:snapToGrid w:val="0"/>
        </w:rPr>
        <w:t xml:space="preserve"> to achieve an ICER of $50,000/QALY (as considered appropriately cost-effective by the PBAC) based on the resubmission’s assumptions and inputs. This represented a further </w:t>
      </w:r>
      <w:r w:rsidR="00ED35F2" w:rsidRPr="00663A0C">
        <w:rPr>
          <w:iCs/>
          <w:snapToGrid w:val="0"/>
          <w:color w:val="000000"/>
          <w:w w:val="15"/>
          <w:shd w:val="solid" w:color="000000" w:fill="000000"/>
          <w:fitText w:val="-20" w:id="-1300508918"/>
          <w14:textFill>
            <w14:solidFill>
              <w14:srgbClr w14:val="000000">
                <w14:alpha w14:val="100000"/>
              </w14:srgbClr>
            </w14:solidFill>
          </w14:textFill>
        </w:rPr>
        <w:t xml:space="preserve">|  </w:t>
      </w:r>
      <w:r w:rsidR="00ED35F2" w:rsidRPr="00663A0C">
        <w:rPr>
          <w:iCs/>
          <w:snapToGrid w:val="0"/>
          <w:color w:val="000000"/>
          <w:spacing w:val="-69"/>
          <w:w w:val="15"/>
          <w:shd w:val="solid" w:color="000000" w:fill="000000"/>
          <w:fitText w:val="-20" w:id="-1300508918"/>
          <w14:textFill>
            <w14:solidFill>
              <w14:srgbClr w14:val="000000">
                <w14:alpha w14:val="100000"/>
              </w14:srgbClr>
            </w14:solidFill>
          </w14:textFill>
        </w:rPr>
        <w:t>|</w:t>
      </w:r>
      <w:r w:rsidR="009A36D3" w:rsidRPr="0074058E">
        <w:rPr>
          <w:iCs/>
          <w:snapToGrid w:val="0"/>
        </w:rPr>
        <w:t>% reduction in the price proposed in the resubmission (effective DPMQ of $</w:t>
      </w:r>
      <w:r w:rsidR="00ED35F2" w:rsidRPr="00663A0C">
        <w:rPr>
          <w:iCs/>
          <w:snapToGrid w:val="0"/>
          <w:color w:val="000000"/>
          <w:w w:val="15"/>
          <w:shd w:val="solid" w:color="000000" w:fill="000000"/>
          <w:fitText w:val="-20" w:id="-1300508917"/>
          <w14:textFill>
            <w14:solidFill>
              <w14:srgbClr w14:val="000000">
                <w14:alpha w14:val="100000"/>
              </w14:srgbClr>
            </w14:solidFill>
          </w14:textFill>
        </w:rPr>
        <w:t xml:space="preserve">|  </w:t>
      </w:r>
      <w:r w:rsidR="00ED35F2" w:rsidRPr="00663A0C">
        <w:rPr>
          <w:iCs/>
          <w:snapToGrid w:val="0"/>
          <w:color w:val="000000"/>
          <w:spacing w:val="-69"/>
          <w:w w:val="15"/>
          <w:shd w:val="solid" w:color="000000" w:fill="000000"/>
          <w:fitText w:val="-20" w:id="-1300508917"/>
          <w14:textFill>
            <w14:solidFill>
              <w14:srgbClr w14:val="000000">
                <w14:alpha w14:val="100000"/>
              </w14:srgbClr>
            </w14:solidFill>
          </w14:textFill>
        </w:rPr>
        <w:t>|</w:t>
      </w:r>
      <w:r w:rsidR="009A36D3" w:rsidRPr="0074058E">
        <w:rPr>
          <w:iCs/>
          <w:snapToGrid w:val="0"/>
        </w:rPr>
        <w:t xml:space="preserve">). </w:t>
      </w:r>
    </w:p>
    <w:p w14:paraId="36B7263A" w14:textId="0AD98AB0" w:rsidR="00195C38" w:rsidRDefault="00195C38" w:rsidP="00B24498">
      <w:pPr>
        <w:pStyle w:val="3-BodyText"/>
        <w:numPr>
          <w:ilvl w:val="0"/>
          <w:numId w:val="0"/>
        </w:numPr>
        <w:rPr>
          <w:iCs/>
          <w:snapToGrid w:val="0"/>
        </w:rPr>
      </w:pPr>
    </w:p>
    <w:p w14:paraId="56AA3E7A" w14:textId="77777777" w:rsidR="00195C38" w:rsidRPr="0074058E" w:rsidRDefault="00195C38" w:rsidP="00017E19">
      <w:pPr>
        <w:pStyle w:val="3-BodyText"/>
        <w:numPr>
          <w:ilvl w:val="0"/>
          <w:numId w:val="0"/>
        </w:numPr>
        <w:rPr>
          <w:iCs/>
          <w:snapToGrid w:val="0"/>
        </w:rPr>
      </w:pPr>
    </w:p>
    <w:p w14:paraId="710C2877" w14:textId="6C69FC4A" w:rsidR="00F3439B" w:rsidRPr="0074058E" w:rsidRDefault="00F3439B" w:rsidP="00195C38">
      <w:pPr>
        <w:pStyle w:val="3-BodyText"/>
        <w:numPr>
          <w:ilvl w:val="0"/>
          <w:numId w:val="0"/>
        </w:numPr>
        <w:ind w:left="720" w:hanging="720"/>
        <w:rPr>
          <w:rFonts w:eastAsiaTheme="minorEastAsia"/>
          <w:u w:val="single"/>
        </w:rPr>
      </w:pPr>
      <w:r w:rsidRPr="0074058E">
        <w:rPr>
          <w:rFonts w:eastAsiaTheme="minorEastAsia"/>
          <w:u w:val="single"/>
        </w:rPr>
        <w:lastRenderedPageBreak/>
        <w:t>Sensitivity analyses</w:t>
      </w:r>
    </w:p>
    <w:p w14:paraId="66FF0603" w14:textId="0BC83232" w:rsidR="00F3439B" w:rsidRPr="0074058E" w:rsidRDefault="00F3439B" w:rsidP="00017E19">
      <w:pPr>
        <w:pStyle w:val="3-BodyText"/>
        <w:rPr>
          <w:rFonts w:eastAsiaTheme="minorEastAsia"/>
        </w:rPr>
      </w:pPr>
      <w:r w:rsidRPr="0074058E">
        <w:rPr>
          <w:iCs/>
          <w:snapToGrid w:val="0"/>
        </w:rPr>
        <w:t xml:space="preserve">Key sensitivity analyses </w:t>
      </w:r>
      <w:proofErr w:type="gramStart"/>
      <w:r w:rsidRPr="0074058E">
        <w:rPr>
          <w:iCs/>
          <w:snapToGrid w:val="0"/>
        </w:rPr>
        <w:t>are shown</w:t>
      </w:r>
      <w:proofErr w:type="gramEnd"/>
      <w:r w:rsidRPr="0074058E">
        <w:rPr>
          <w:iCs/>
          <w:snapToGrid w:val="0"/>
        </w:rPr>
        <w:t xml:space="preserve"> in </w:t>
      </w:r>
      <w:r w:rsidRPr="0074058E">
        <w:rPr>
          <w:iCs/>
          <w:snapToGrid w:val="0"/>
        </w:rPr>
        <w:fldChar w:fldCharType="begin" w:fldLock="1"/>
      </w:r>
      <w:r w:rsidRPr="0074058E">
        <w:rPr>
          <w:iCs/>
          <w:snapToGrid w:val="0"/>
        </w:rPr>
        <w:instrText xml:space="preserve"> REF _Ref119496388 \h  \* MERGEFORMAT </w:instrText>
      </w:r>
      <w:r w:rsidRPr="0074058E">
        <w:rPr>
          <w:iCs/>
          <w:snapToGrid w:val="0"/>
        </w:rPr>
      </w:r>
      <w:r w:rsidRPr="0074058E">
        <w:rPr>
          <w:iCs/>
          <w:snapToGrid w:val="0"/>
        </w:rPr>
        <w:fldChar w:fldCharType="separate"/>
      </w:r>
      <w:r w:rsidR="00ED2FAA" w:rsidRPr="00ED2FAA">
        <w:rPr>
          <w:iCs/>
          <w:snapToGrid w:val="0"/>
        </w:rPr>
        <w:t>Table 8</w:t>
      </w:r>
      <w:r w:rsidRPr="0074058E">
        <w:rPr>
          <w:iCs/>
          <w:snapToGrid w:val="0"/>
        </w:rPr>
        <w:fldChar w:fldCharType="end"/>
      </w:r>
      <w:r w:rsidRPr="0074058E">
        <w:rPr>
          <w:iCs/>
          <w:snapToGrid w:val="0"/>
        </w:rPr>
        <w:t xml:space="preserve">. </w:t>
      </w:r>
      <w:r w:rsidR="0063222E" w:rsidRPr="0074058E">
        <w:rPr>
          <w:iCs/>
          <w:snapToGrid w:val="0"/>
        </w:rPr>
        <w:t xml:space="preserve">The model was sensitive to </w:t>
      </w:r>
      <w:r w:rsidR="00D577F8" w:rsidRPr="0074058E">
        <w:rPr>
          <w:iCs/>
          <w:snapToGrid w:val="0"/>
        </w:rPr>
        <w:t xml:space="preserve">changes in </w:t>
      </w:r>
      <w:r w:rsidR="0063222E" w:rsidRPr="0074058E">
        <w:rPr>
          <w:iCs/>
          <w:snapToGrid w:val="0"/>
        </w:rPr>
        <w:t xml:space="preserve">the cure fraction </w:t>
      </w:r>
      <w:r w:rsidR="00D577F8" w:rsidRPr="0074058E">
        <w:rPr>
          <w:iCs/>
          <w:snapToGrid w:val="0"/>
        </w:rPr>
        <w:t xml:space="preserve">in either arm. </w:t>
      </w:r>
      <w:r w:rsidRPr="0074058E">
        <w:rPr>
          <w:iCs/>
          <w:snapToGrid w:val="0"/>
        </w:rPr>
        <w:t>When the cure fraction</w:t>
      </w:r>
      <w:r w:rsidR="0063222E" w:rsidRPr="0074058E">
        <w:rPr>
          <w:iCs/>
          <w:snapToGrid w:val="0"/>
        </w:rPr>
        <w:t xml:space="preserve"> for olaparib</w:t>
      </w:r>
      <w:r w:rsidRPr="0074058E">
        <w:rPr>
          <w:iCs/>
          <w:snapToGrid w:val="0"/>
        </w:rPr>
        <w:t xml:space="preserve"> </w:t>
      </w:r>
      <w:r w:rsidR="0063222E" w:rsidRPr="0074058E">
        <w:rPr>
          <w:iCs/>
          <w:snapToGrid w:val="0"/>
        </w:rPr>
        <w:t xml:space="preserve">+ bevacizumab </w:t>
      </w:r>
      <w:proofErr w:type="gramStart"/>
      <w:r w:rsidRPr="0074058E">
        <w:rPr>
          <w:iCs/>
          <w:snapToGrid w:val="0"/>
        </w:rPr>
        <w:t>was changed</w:t>
      </w:r>
      <w:proofErr w:type="gramEnd"/>
      <w:r w:rsidRPr="0074058E">
        <w:rPr>
          <w:iCs/>
          <w:snapToGrid w:val="0"/>
        </w:rPr>
        <w:t xml:space="preserve"> from 30% to 25.45%, the ICER increased by 16.8% to </w:t>
      </w:r>
      <w:r w:rsidR="001341AB" w:rsidRPr="001341AB">
        <w:rPr>
          <w:iCs/>
          <w:snapToGrid w:val="0"/>
        </w:rPr>
        <w:t>$55,000 to &lt;</w:t>
      </w:r>
      <w:r w:rsidR="00195C38">
        <w:rPr>
          <w:iCs/>
          <w:snapToGrid w:val="0"/>
        </w:rPr>
        <w:t> </w:t>
      </w:r>
      <w:r w:rsidR="001341AB" w:rsidRPr="001341AB">
        <w:rPr>
          <w:iCs/>
          <w:snapToGrid w:val="0"/>
        </w:rPr>
        <w:t>$75,000</w:t>
      </w:r>
      <w:r w:rsidR="001341AB">
        <w:rPr>
          <w:iCs/>
          <w:snapToGrid w:val="0"/>
        </w:rPr>
        <w:t xml:space="preserve"> per </w:t>
      </w:r>
      <w:r w:rsidRPr="0074058E">
        <w:rPr>
          <w:iCs/>
          <w:snapToGrid w:val="0"/>
        </w:rPr>
        <w:t xml:space="preserve">QALY. </w:t>
      </w:r>
      <w:r w:rsidRPr="0074058E">
        <w:rPr>
          <w:rFonts w:eastAsiaTheme="minorEastAsia"/>
          <w:iCs/>
        </w:rPr>
        <w:t xml:space="preserve">Using the Weibull function for the extrapolation of bevacizumab monotherapy PFS </w:t>
      </w:r>
      <w:r w:rsidR="00D577F8" w:rsidRPr="0074058E">
        <w:rPr>
          <w:rFonts w:eastAsiaTheme="minorEastAsia"/>
          <w:iCs/>
        </w:rPr>
        <w:t xml:space="preserve">(which increased the cure fraction to 17.4%) </w:t>
      </w:r>
      <w:r w:rsidRPr="0074058E">
        <w:rPr>
          <w:rFonts w:eastAsiaTheme="minorEastAsia"/>
          <w:iCs/>
        </w:rPr>
        <w:t xml:space="preserve">increased the ICER by 45.5% to </w:t>
      </w:r>
      <w:r w:rsidR="001341AB" w:rsidRPr="001341AB">
        <w:rPr>
          <w:rFonts w:eastAsiaTheme="minorEastAsia"/>
          <w:iCs/>
        </w:rPr>
        <w:t>$75,000 to &lt; $95,000</w:t>
      </w:r>
      <w:r w:rsidR="001341AB">
        <w:rPr>
          <w:rFonts w:eastAsiaTheme="minorEastAsia"/>
          <w:iCs/>
        </w:rPr>
        <w:t xml:space="preserve"> per </w:t>
      </w:r>
      <w:r w:rsidRPr="0074058E">
        <w:rPr>
          <w:rFonts w:eastAsiaTheme="minorEastAsia"/>
          <w:iCs/>
        </w:rPr>
        <w:t xml:space="preserve">QALY. </w:t>
      </w:r>
      <w:r w:rsidR="0063222E" w:rsidRPr="0074058E">
        <w:rPr>
          <w:iCs/>
          <w:snapToGrid w:val="0"/>
        </w:rPr>
        <w:t>Removal of the PFS point of truncation from the model only had a small impact on the model, resulting in a 4.8% increase in the ICER (</w:t>
      </w:r>
      <w:r w:rsidR="001341AB" w:rsidRPr="001341AB">
        <w:rPr>
          <w:iCs/>
          <w:snapToGrid w:val="0"/>
        </w:rPr>
        <w:t>$55,000 to &lt; $75,000</w:t>
      </w:r>
      <w:r w:rsidR="001341AB">
        <w:rPr>
          <w:iCs/>
          <w:snapToGrid w:val="0"/>
        </w:rPr>
        <w:t xml:space="preserve"> per </w:t>
      </w:r>
      <w:r w:rsidR="0063222E" w:rsidRPr="0074058E">
        <w:rPr>
          <w:iCs/>
          <w:snapToGrid w:val="0"/>
        </w:rPr>
        <w:t>QALY).</w:t>
      </w:r>
    </w:p>
    <w:p w14:paraId="61D17C59" w14:textId="395F6501" w:rsidR="008852FF" w:rsidRPr="0074058E" w:rsidRDefault="008852FF" w:rsidP="008852FF">
      <w:pPr>
        <w:pStyle w:val="Caption"/>
        <w:spacing w:after="0"/>
        <w:rPr>
          <w:rFonts w:ascii="Arial Narrow" w:hAnsi="Arial Narrow"/>
          <w:b/>
          <w:bCs/>
          <w:i w:val="0"/>
          <w:iCs w:val="0"/>
          <w:sz w:val="20"/>
          <w:szCs w:val="20"/>
        </w:rPr>
      </w:pPr>
      <w:bookmarkStart w:id="33" w:name="_Ref119496388"/>
      <w:r w:rsidRPr="0074058E">
        <w:rPr>
          <w:rFonts w:ascii="Arial Narrow" w:hAnsi="Arial Narrow"/>
          <w:b/>
          <w:bCs/>
          <w:i w:val="0"/>
          <w:iCs w:val="0"/>
          <w:sz w:val="20"/>
          <w:szCs w:val="20"/>
        </w:rPr>
        <w:t xml:space="preserve">Table </w:t>
      </w:r>
      <w:r w:rsidRPr="0074058E">
        <w:rPr>
          <w:rFonts w:ascii="Arial Narrow" w:hAnsi="Arial Narrow"/>
          <w:b/>
          <w:bCs/>
          <w:i w:val="0"/>
          <w:iCs w:val="0"/>
          <w:sz w:val="20"/>
          <w:szCs w:val="20"/>
        </w:rPr>
        <w:fldChar w:fldCharType="begin" w:fldLock="1"/>
      </w:r>
      <w:r w:rsidRPr="0074058E">
        <w:rPr>
          <w:rFonts w:ascii="Arial Narrow" w:hAnsi="Arial Narrow"/>
          <w:b/>
          <w:bCs/>
          <w:i w:val="0"/>
          <w:iCs w:val="0"/>
          <w:sz w:val="20"/>
          <w:szCs w:val="20"/>
        </w:rPr>
        <w:instrText xml:space="preserve"> SEQ Table \* ARABIC </w:instrText>
      </w:r>
      <w:r w:rsidRPr="0074058E">
        <w:rPr>
          <w:rFonts w:ascii="Arial Narrow" w:hAnsi="Arial Narrow"/>
          <w:b/>
          <w:bCs/>
          <w:i w:val="0"/>
          <w:iCs w:val="0"/>
          <w:sz w:val="20"/>
          <w:szCs w:val="20"/>
        </w:rPr>
        <w:fldChar w:fldCharType="separate"/>
      </w:r>
      <w:r w:rsidR="00ED2FAA">
        <w:rPr>
          <w:rFonts w:ascii="Arial Narrow" w:hAnsi="Arial Narrow"/>
          <w:b/>
          <w:bCs/>
          <w:i w:val="0"/>
          <w:iCs w:val="0"/>
          <w:noProof/>
          <w:sz w:val="20"/>
          <w:szCs w:val="20"/>
        </w:rPr>
        <w:t>8</w:t>
      </w:r>
      <w:r w:rsidRPr="0074058E">
        <w:rPr>
          <w:rFonts w:ascii="Arial Narrow" w:hAnsi="Arial Narrow"/>
          <w:b/>
          <w:bCs/>
          <w:i w:val="0"/>
          <w:iCs w:val="0"/>
          <w:sz w:val="20"/>
          <w:szCs w:val="20"/>
        </w:rPr>
        <w:fldChar w:fldCharType="end"/>
      </w:r>
      <w:bookmarkEnd w:id="33"/>
      <w:r w:rsidRPr="0074058E">
        <w:rPr>
          <w:rFonts w:ascii="Arial Narrow" w:hAnsi="Arial Narrow"/>
          <w:b/>
          <w:bCs/>
          <w:i w:val="0"/>
          <w:iCs w:val="0"/>
          <w:sz w:val="20"/>
          <w:szCs w:val="20"/>
        </w:rPr>
        <w:t>: Results of key sensitivity analyses</w:t>
      </w:r>
    </w:p>
    <w:tbl>
      <w:tblPr>
        <w:tblStyle w:val="AZTable"/>
        <w:tblpPr w:leftFromText="180" w:rightFromText="180" w:vertAnchor="text" w:tblpY="1"/>
        <w:tblOverlap w:val="never"/>
        <w:tblW w:w="5000" w:type="pct"/>
        <w:tblLook w:val="04A0" w:firstRow="1" w:lastRow="0" w:firstColumn="1" w:lastColumn="0" w:noHBand="0" w:noVBand="1"/>
      </w:tblPr>
      <w:tblGrid>
        <w:gridCol w:w="3961"/>
        <w:gridCol w:w="1194"/>
        <w:gridCol w:w="1313"/>
        <w:gridCol w:w="1304"/>
        <w:gridCol w:w="1244"/>
      </w:tblGrid>
      <w:tr w:rsidR="008852FF" w:rsidRPr="0074058E" w14:paraId="2F58115B" w14:textId="77777777" w:rsidTr="00E218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7" w:type="pct"/>
            <w:tcBorders>
              <w:top w:val="single" w:sz="4" w:space="0" w:color="auto"/>
              <w:left w:val="single" w:sz="4" w:space="0" w:color="auto"/>
              <w:bottom w:val="single" w:sz="4" w:space="0" w:color="auto"/>
              <w:right w:val="single" w:sz="4" w:space="0" w:color="auto"/>
            </w:tcBorders>
            <w:hideMark/>
          </w:tcPr>
          <w:p w14:paraId="24400144" w14:textId="77777777" w:rsidR="008852FF" w:rsidRPr="0074058E" w:rsidRDefault="008852FF" w:rsidP="00BE7719">
            <w:pPr>
              <w:pStyle w:val="TableHeading"/>
              <w:spacing w:before="0" w:after="0" w:line="240" w:lineRule="auto"/>
              <w:rPr>
                <w:b/>
                <w:bCs/>
                <w:iCs/>
              </w:rPr>
            </w:pPr>
            <w:r w:rsidRPr="0074058E">
              <w:rPr>
                <w:b/>
                <w:bCs/>
                <w:iCs/>
              </w:rPr>
              <w:t>Variable or assumption</w:t>
            </w:r>
          </w:p>
        </w:tc>
        <w:tc>
          <w:tcPr>
            <w:tcW w:w="662" w:type="pct"/>
            <w:tcBorders>
              <w:top w:val="single" w:sz="4" w:space="0" w:color="auto"/>
              <w:left w:val="single" w:sz="4" w:space="0" w:color="auto"/>
              <w:bottom w:val="single" w:sz="4" w:space="0" w:color="auto"/>
              <w:right w:val="single" w:sz="4" w:space="0" w:color="auto"/>
            </w:tcBorders>
            <w:hideMark/>
          </w:tcPr>
          <w:p w14:paraId="467D6418" w14:textId="77777777" w:rsidR="008852FF" w:rsidRPr="0074058E" w:rsidRDefault="008852FF" w:rsidP="00BE7719">
            <w:pPr>
              <w:pStyle w:val="TableHeading"/>
              <w:spacing w:before="0" w:after="0" w:line="240" w:lineRule="auto"/>
              <w:jc w:val="center"/>
              <w:cnfStyle w:val="100000000000" w:firstRow="1" w:lastRow="0" w:firstColumn="0" w:lastColumn="0" w:oddVBand="0" w:evenVBand="0" w:oddHBand="0" w:evenHBand="0" w:firstRowFirstColumn="0" w:firstRowLastColumn="0" w:lastRowFirstColumn="0" w:lastRowLastColumn="0"/>
              <w:rPr>
                <w:b/>
                <w:bCs/>
                <w:iCs/>
              </w:rPr>
            </w:pPr>
            <w:r w:rsidRPr="0074058E">
              <w:rPr>
                <w:b/>
                <w:bCs/>
                <w:iCs/>
              </w:rPr>
              <w:t>Incremental costs</w:t>
            </w:r>
          </w:p>
        </w:tc>
        <w:tc>
          <w:tcPr>
            <w:tcW w:w="728" w:type="pct"/>
            <w:tcBorders>
              <w:top w:val="single" w:sz="4" w:space="0" w:color="auto"/>
              <w:left w:val="single" w:sz="4" w:space="0" w:color="auto"/>
              <w:bottom w:val="single" w:sz="4" w:space="0" w:color="auto"/>
              <w:right w:val="single" w:sz="4" w:space="0" w:color="auto"/>
            </w:tcBorders>
            <w:hideMark/>
          </w:tcPr>
          <w:p w14:paraId="5375D71E" w14:textId="77777777" w:rsidR="008852FF" w:rsidRPr="0074058E" w:rsidRDefault="008852FF" w:rsidP="00BE7719">
            <w:pPr>
              <w:pStyle w:val="TableHeading"/>
              <w:spacing w:before="0" w:after="0" w:line="240" w:lineRule="auto"/>
              <w:jc w:val="center"/>
              <w:cnfStyle w:val="100000000000" w:firstRow="1" w:lastRow="0" w:firstColumn="0" w:lastColumn="0" w:oddVBand="0" w:evenVBand="0" w:oddHBand="0" w:evenHBand="0" w:firstRowFirstColumn="0" w:firstRowLastColumn="0" w:lastRowFirstColumn="0" w:lastRowLastColumn="0"/>
              <w:rPr>
                <w:b/>
                <w:bCs/>
                <w:iCs/>
              </w:rPr>
            </w:pPr>
            <w:r w:rsidRPr="0074058E">
              <w:rPr>
                <w:b/>
                <w:bCs/>
                <w:iCs/>
              </w:rPr>
              <w:t>Incremental effectiveness (QALYs)</w:t>
            </w:r>
          </w:p>
        </w:tc>
        <w:tc>
          <w:tcPr>
            <w:tcW w:w="723" w:type="pct"/>
            <w:tcBorders>
              <w:top w:val="single" w:sz="4" w:space="0" w:color="auto"/>
              <w:left w:val="single" w:sz="4" w:space="0" w:color="auto"/>
              <w:bottom w:val="single" w:sz="4" w:space="0" w:color="auto"/>
              <w:right w:val="single" w:sz="4" w:space="0" w:color="auto"/>
            </w:tcBorders>
            <w:hideMark/>
          </w:tcPr>
          <w:p w14:paraId="6ACA710A" w14:textId="77777777" w:rsidR="008852FF" w:rsidRPr="0074058E" w:rsidRDefault="008852FF" w:rsidP="00BE7719">
            <w:pPr>
              <w:pStyle w:val="TableHeading"/>
              <w:spacing w:before="0" w:after="0" w:line="240" w:lineRule="auto"/>
              <w:jc w:val="center"/>
              <w:cnfStyle w:val="100000000000" w:firstRow="1" w:lastRow="0" w:firstColumn="0" w:lastColumn="0" w:oddVBand="0" w:evenVBand="0" w:oddHBand="0" w:evenHBand="0" w:firstRowFirstColumn="0" w:firstRowLastColumn="0" w:lastRowFirstColumn="0" w:lastRowLastColumn="0"/>
              <w:rPr>
                <w:b/>
                <w:bCs/>
                <w:iCs/>
              </w:rPr>
            </w:pPr>
            <w:r w:rsidRPr="0074058E">
              <w:rPr>
                <w:b/>
                <w:bCs/>
                <w:iCs/>
              </w:rPr>
              <w:t>ICER versus bevacizumab</w:t>
            </w:r>
          </w:p>
        </w:tc>
        <w:tc>
          <w:tcPr>
            <w:tcW w:w="690" w:type="pct"/>
            <w:tcBorders>
              <w:top w:val="single" w:sz="4" w:space="0" w:color="auto"/>
              <w:left w:val="single" w:sz="4" w:space="0" w:color="auto"/>
              <w:bottom w:val="single" w:sz="4" w:space="0" w:color="auto"/>
              <w:right w:val="single" w:sz="4" w:space="0" w:color="auto"/>
            </w:tcBorders>
            <w:hideMark/>
          </w:tcPr>
          <w:p w14:paraId="735F6FFC" w14:textId="77777777" w:rsidR="008852FF" w:rsidRPr="0074058E" w:rsidRDefault="008852FF" w:rsidP="00BE7719">
            <w:pPr>
              <w:pStyle w:val="TableHeading"/>
              <w:spacing w:before="0" w:after="0" w:line="240" w:lineRule="auto"/>
              <w:jc w:val="center"/>
              <w:cnfStyle w:val="100000000000" w:firstRow="1" w:lastRow="0" w:firstColumn="0" w:lastColumn="0" w:oddVBand="0" w:evenVBand="0" w:oddHBand="0" w:evenHBand="0" w:firstRowFirstColumn="0" w:firstRowLastColumn="0" w:lastRowFirstColumn="0" w:lastRowLastColumn="0"/>
              <w:rPr>
                <w:b/>
                <w:bCs/>
                <w:iCs/>
              </w:rPr>
            </w:pPr>
            <w:r w:rsidRPr="0074058E">
              <w:rPr>
                <w:b/>
                <w:bCs/>
                <w:iCs/>
              </w:rPr>
              <w:t>% change from base case</w:t>
            </w:r>
          </w:p>
        </w:tc>
      </w:tr>
      <w:tr w:rsidR="008852FF" w:rsidRPr="0074058E" w14:paraId="5A3978C8" w14:textId="77777777" w:rsidTr="00E218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E9ECE" w14:textId="615BD2E2" w:rsidR="008852FF" w:rsidRPr="0074058E" w:rsidRDefault="00D577F8" w:rsidP="00BE7719">
            <w:pPr>
              <w:pStyle w:val="TableText"/>
              <w:keepLines/>
              <w:jc w:val="left"/>
              <w:rPr>
                <w:bCs w:val="0"/>
                <w:iCs/>
              </w:rPr>
            </w:pPr>
            <w:r w:rsidRPr="0074058E">
              <w:rPr>
                <w:bCs w:val="0"/>
                <w:iCs/>
              </w:rPr>
              <w:t>Resubmission</w:t>
            </w:r>
            <w:r w:rsidR="008852FF" w:rsidRPr="0074058E">
              <w:rPr>
                <w:bCs w:val="0"/>
                <w:iCs/>
              </w:rPr>
              <w:t xml:space="preserve"> Base Case</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403F415E" w14:textId="68AD9550"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iCs/>
              </w:rPr>
            </w:pPr>
            <w:r w:rsidRPr="0074058E">
              <w:rPr>
                <w:iCs/>
              </w:rPr>
              <w:t>$</w:t>
            </w:r>
            <w:r w:rsidR="00ED35F2" w:rsidRPr="00ED35F2">
              <w:rPr>
                <w:rFonts w:hint="eastAsia"/>
                <w:iCs/>
                <w:color w:val="000000"/>
                <w:w w:val="15"/>
                <w:shd w:val="solid" w:color="000000" w:fill="000000"/>
                <w:fitText w:val="44" w:id="-1300508916"/>
                <w14:textFill>
                  <w14:solidFill>
                    <w14:srgbClr w14:val="000000">
                      <w14:alpha w14:val="100000"/>
                    </w14:srgbClr>
                  </w14:solidFill>
                </w14:textFill>
              </w:rPr>
              <w:t xml:space="preserve">　</w:t>
            </w:r>
            <w:r w:rsidR="00ED35F2" w:rsidRPr="00ED35F2">
              <w:rPr>
                <w:iCs/>
                <w:color w:val="000000"/>
                <w:w w:val="15"/>
                <w:shd w:val="solid" w:color="000000" w:fill="000000"/>
                <w:fitText w:val="44" w:id="-1300508916"/>
                <w14:textFill>
                  <w14:solidFill>
                    <w14:srgbClr w14:val="000000">
                      <w14:alpha w14:val="100000"/>
                    </w14:srgbClr>
                  </w14:solidFill>
                </w14:textFill>
              </w:rPr>
              <w:t>|</w:t>
            </w:r>
            <w:r w:rsidR="00ED35F2" w:rsidRPr="00ED35F2">
              <w:rPr>
                <w:rFonts w:hint="eastAsia"/>
                <w:iCs/>
                <w:color w:val="000000"/>
                <w:spacing w:val="-22"/>
                <w:w w:val="15"/>
                <w:shd w:val="solid" w:color="000000" w:fill="000000"/>
                <w:fitText w:val="44" w:id="-1300508916"/>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55BB88A4" w14:textId="77777777"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iCs/>
              </w:rPr>
            </w:pPr>
            <w:r w:rsidRPr="0074058E">
              <w:rPr>
                <w:iCs/>
              </w:rPr>
              <w:t>0.36</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1675DF16" w14:textId="6C01776E"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iCs/>
              </w:rPr>
            </w:pPr>
            <w:r w:rsidRPr="0074058E">
              <w:rPr>
                <w:iCs/>
              </w:rPr>
              <w:t>$</w:t>
            </w:r>
            <w:r w:rsidR="00ED35F2" w:rsidRPr="00663A0C">
              <w:rPr>
                <w:rFonts w:hint="eastAsia"/>
                <w:iCs/>
                <w:color w:val="000000"/>
                <w:w w:val="15"/>
                <w:shd w:val="solid" w:color="000000" w:fill="000000"/>
                <w:fitText w:val="11" w:id="-1300508915"/>
                <w14:textFill>
                  <w14:solidFill>
                    <w14:srgbClr w14:val="000000">
                      <w14:alpha w14:val="100000"/>
                    </w14:srgbClr>
                  </w14:solidFill>
                </w14:textFill>
              </w:rPr>
              <w:t xml:space="preserve">　</w:t>
            </w:r>
            <w:r w:rsidR="00ED35F2" w:rsidRPr="00663A0C">
              <w:rPr>
                <w:iCs/>
                <w:color w:val="000000"/>
                <w:w w:val="15"/>
                <w:shd w:val="solid" w:color="000000" w:fill="000000"/>
                <w:fitText w:val="11" w:id="-1300508915"/>
                <w14:textFill>
                  <w14:solidFill>
                    <w14:srgbClr w14:val="000000">
                      <w14:alpha w14:val="100000"/>
                    </w14:srgbClr>
                  </w14:solidFill>
                </w14:textFill>
              </w:rPr>
              <w:t>|</w:t>
            </w:r>
            <w:r w:rsidR="00ED35F2" w:rsidRPr="00663A0C">
              <w:rPr>
                <w:rFonts w:hint="eastAsia"/>
                <w:iCs/>
                <w:color w:val="000000"/>
                <w:spacing w:val="-55"/>
                <w:w w:val="15"/>
                <w:shd w:val="solid" w:color="000000" w:fill="000000"/>
                <w:fitText w:val="11" w:id="-1300508915"/>
                <w14:textFill>
                  <w14:solidFill>
                    <w14:srgbClr w14:val="000000">
                      <w14:alpha w14:val="100000"/>
                    </w14:srgbClr>
                  </w14:solidFill>
                </w14:textFill>
              </w:rPr>
              <w:t xml:space="preserve">　</w:t>
            </w:r>
            <w:r w:rsidR="001341AB">
              <w:rPr>
                <w:rFonts w:cs="Calibri"/>
                <w:b w:val="0"/>
                <w:bCs w:val="0"/>
                <w:iCs/>
                <w:color w:val="000000"/>
                <w:szCs w:val="20"/>
                <w:vertAlign w:val="superscript"/>
              </w:rPr>
              <w:t>1</w:t>
            </w: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tcPr>
          <w:p w14:paraId="42FC0ADC" w14:textId="1C69C3E0" w:rsidR="008852FF" w:rsidRPr="0074058E" w:rsidRDefault="0069055A" w:rsidP="008852FF">
            <w:pPr>
              <w:pStyle w:val="TableText"/>
              <w:keepLines/>
              <w:cnfStyle w:val="100000000000" w:firstRow="1" w:lastRow="0" w:firstColumn="0" w:lastColumn="0" w:oddVBand="0" w:evenVBand="0" w:oddHBand="0" w:evenHBand="0" w:firstRowFirstColumn="0" w:firstRowLastColumn="0" w:lastRowFirstColumn="0" w:lastRowLastColumn="0"/>
              <w:rPr>
                <w:iCs/>
              </w:rPr>
            </w:pPr>
            <w:r w:rsidRPr="0074058E">
              <w:rPr>
                <w:iCs/>
              </w:rPr>
              <w:t>N/A</w:t>
            </w:r>
          </w:p>
        </w:tc>
      </w:tr>
      <w:tr w:rsidR="008852FF" w:rsidRPr="0074058E" w14:paraId="3CFA1B40" w14:textId="77777777" w:rsidTr="00E218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7" w:type="pct"/>
            <w:tcBorders>
              <w:top w:val="single" w:sz="4" w:space="0" w:color="auto"/>
              <w:left w:val="single" w:sz="4" w:space="0" w:color="auto"/>
              <w:bottom w:val="single" w:sz="4" w:space="0" w:color="auto"/>
              <w:right w:val="single" w:sz="4" w:space="0" w:color="auto"/>
            </w:tcBorders>
          </w:tcPr>
          <w:p w14:paraId="69DB68D8" w14:textId="4BF56F9C" w:rsidR="008852FF" w:rsidRPr="0074058E" w:rsidRDefault="0069055A" w:rsidP="00BE7719">
            <w:pPr>
              <w:pStyle w:val="TableText"/>
              <w:jc w:val="left"/>
              <w:rPr>
                <w:b w:val="0"/>
                <w:bCs w:val="0"/>
                <w:iCs/>
                <w:szCs w:val="20"/>
              </w:rPr>
            </w:pPr>
            <w:r w:rsidRPr="0074058E">
              <w:rPr>
                <w:b w:val="0"/>
                <w:bCs w:val="0"/>
                <w:iCs/>
                <w:szCs w:val="20"/>
              </w:rPr>
              <w:t>o</w:t>
            </w:r>
            <w:r w:rsidR="008852FF" w:rsidRPr="0074058E">
              <w:rPr>
                <w:b w:val="0"/>
                <w:bCs w:val="0"/>
                <w:iCs/>
                <w:szCs w:val="20"/>
              </w:rPr>
              <w:t>la+beva arm cure fraction (base case = 30%)</w:t>
            </w:r>
          </w:p>
          <w:p w14:paraId="21521EA8" w14:textId="77777777" w:rsidR="008852FF" w:rsidRPr="0074058E" w:rsidRDefault="008852FF" w:rsidP="00F659ED">
            <w:pPr>
              <w:pStyle w:val="TableText"/>
              <w:keepNext w:val="0"/>
              <w:widowControl w:val="0"/>
              <w:numPr>
                <w:ilvl w:val="0"/>
                <w:numId w:val="13"/>
              </w:numPr>
              <w:ind w:left="447"/>
              <w:jc w:val="left"/>
              <w:rPr>
                <w:b w:val="0"/>
                <w:bCs w:val="0"/>
                <w:iCs/>
                <w:szCs w:val="20"/>
              </w:rPr>
            </w:pPr>
            <w:r w:rsidRPr="0074058E">
              <w:rPr>
                <w:b w:val="0"/>
                <w:bCs w:val="0"/>
                <w:iCs/>
                <w:szCs w:val="20"/>
              </w:rPr>
              <w:t>25.45% (PBAC advice)</w:t>
            </w:r>
          </w:p>
        </w:tc>
        <w:tc>
          <w:tcPr>
            <w:tcW w:w="662" w:type="pct"/>
            <w:tcBorders>
              <w:top w:val="single" w:sz="4" w:space="0" w:color="auto"/>
              <w:left w:val="single" w:sz="4" w:space="0" w:color="auto"/>
              <w:bottom w:val="single" w:sz="4" w:space="0" w:color="auto"/>
              <w:right w:val="single" w:sz="4" w:space="0" w:color="auto"/>
            </w:tcBorders>
            <w:vAlign w:val="top"/>
          </w:tcPr>
          <w:p w14:paraId="666ED3FE" w14:textId="740F91CF"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bCs w:val="0"/>
                <w:iCs/>
                <w:szCs w:val="20"/>
              </w:rPr>
            </w:pPr>
            <w:r w:rsidRPr="0074058E">
              <w:rPr>
                <w:rFonts w:cs="Calibri"/>
                <w:b w:val="0"/>
                <w:bCs w:val="0"/>
                <w:iCs/>
                <w:color w:val="000000"/>
                <w:szCs w:val="20"/>
              </w:rPr>
              <w:t>$</w:t>
            </w:r>
            <w:r w:rsidR="00ED35F2" w:rsidRPr="00ED35F2">
              <w:rPr>
                <w:rFonts w:cs="Calibri" w:hint="eastAsia"/>
                <w:b w:val="0"/>
                <w:bCs w:val="0"/>
                <w:iCs/>
                <w:color w:val="000000"/>
                <w:w w:val="15"/>
                <w:szCs w:val="20"/>
                <w:shd w:val="solid" w:color="000000" w:fill="000000"/>
                <w:fitText w:val="44" w:id="-1300508914"/>
                <w14:textFill>
                  <w14:solidFill>
                    <w14:srgbClr w14:val="000000">
                      <w14:alpha w14:val="100000"/>
                    </w14:srgbClr>
                  </w14:solidFill>
                </w14:textFill>
              </w:rPr>
              <w:t xml:space="preserve">　</w:t>
            </w:r>
            <w:r w:rsidR="00ED35F2" w:rsidRPr="00ED35F2">
              <w:rPr>
                <w:rFonts w:cs="Calibri"/>
                <w:bCs w:val="0"/>
                <w:iCs/>
                <w:color w:val="000000"/>
                <w:w w:val="15"/>
                <w:szCs w:val="20"/>
                <w:shd w:val="solid" w:color="000000" w:fill="000000"/>
                <w:fitText w:val="44" w:id="-1300508914"/>
                <w14:textFill>
                  <w14:solidFill>
                    <w14:srgbClr w14:val="000000">
                      <w14:alpha w14:val="100000"/>
                    </w14:srgbClr>
                  </w14:solidFill>
                </w14:textFill>
              </w:rPr>
              <w:t>|</w:t>
            </w:r>
            <w:r w:rsidR="00ED35F2" w:rsidRPr="00ED35F2">
              <w:rPr>
                <w:rFonts w:cs="Calibri" w:hint="eastAsia"/>
                <w:bCs w:val="0"/>
                <w:iCs/>
                <w:color w:val="000000"/>
                <w:spacing w:val="-22"/>
                <w:w w:val="15"/>
                <w:szCs w:val="20"/>
                <w:shd w:val="solid" w:color="000000" w:fill="000000"/>
                <w:fitText w:val="44" w:id="-1300508914"/>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top"/>
          </w:tcPr>
          <w:p w14:paraId="44C7A39F" w14:textId="19A70856" w:rsidR="008852FF" w:rsidRPr="00017E19"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bCs w:val="0"/>
                <w:iCs/>
                <w:szCs w:val="20"/>
                <w:vertAlign w:val="superscript"/>
              </w:rPr>
            </w:pPr>
            <w:r w:rsidRPr="0074058E">
              <w:rPr>
                <w:rFonts w:cs="Calibri"/>
                <w:b w:val="0"/>
                <w:bCs w:val="0"/>
                <w:iCs/>
                <w:color w:val="000000"/>
                <w:szCs w:val="20"/>
              </w:rPr>
              <w:t>0.31</w:t>
            </w:r>
          </w:p>
        </w:tc>
        <w:tc>
          <w:tcPr>
            <w:tcW w:w="723" w:type="pct"/>
            <w:tcBorders>
              <w:top w:val="single" w:sz="4" w:space="0" w:color="auto"/>
              <w:left w:val="single" w:sz="4" w:space="0" w:color="auto"/>
              <w:bottom w:val="single" w:sz="4" w:space="0" w:color="auto"/>
              <w:right w:val="single" w:sz="4" w:space="0" w:color="auto"/>
            </w:tcBorders>
            <w:vAlign w:val="top"/>
          </w:tcPr>
          <w:p w14:paraId="39DCD744" w14:textId="11E927C8"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bCs w:val="0"/>
                <w:iCs/>
                <w:szCs w:val="20"/>
              </w:rPr>
            </w:pPr>
            <w:r w:rsidRPr="0074058E">
              <w:rPr>
                <w:b w:val="0"/>
                <w:bCs w:val="0"/>
                <w:iCs/>
                <w:szCs w:val="20"/>
              </w:rPr>
              <w:t>$</w:t>
            </w:r>
            <w:r w:rsidR="00ED35F2" w:rsidRPr="00663A0C">
              <w:rPr>
                <w:rFonts w:hint="eastAsia"/>
                <w:bCs w:val="0"/>
                <w:iCs/>
                <w:color w:val="000000"/>
                <w:w w:val="15"/>
                <w:szCs w:val="20"/>
                <w:shd w:val="solid" w:color="000000" w:fill="000000"/>
                <w:fitText w:val="11" w:id="-1300508913"/>
                <w14:textFill>
                  <w14:solidFill>
                    <w14:srgbClr w14:val="000000">
                      <w14:alpha w14:val="100000"/>
                    </w14:srgbClr>
                  </w14:solidFill>
                </w14:textFill>
              </w:rPr>
              <w:t xml:space="preserve">　</w:t>
            </w:r>
            <w:r w:rsidR="00ED35F2" w:rsidRPr="00663A0C">
              <w:rPr>
                <w:bCs w:val="0"/>
                <w:iCs/>
                <w:color w:val="000000"/>
                <w:w w:val="15"/>
                <w:szCs w:val="20"/>
                <w:shd w:val="solid" w:color="000000" w:fill="000000"/>
                <w:fitText w:val="11" w:id="-1300508913"/>
                <w14:textFill>
                  <w14:solidFill>
                    <w14:srgbClr w14:val="000000">
                      <w14:alpha w14:val="100000"/>
                    </w14:srgbClr>
                  </w14:solidFill>
                </w14:textFill>
              </w:rPr>
              <w:t>|</w:t>
            </w:r>
            <w:r w:rsidR="00ED35F2" w:rsidRPr="00663A0C">
              <w:rPr>
                <w:rFonts w:hint="eastAsia"/>
                <w:bCs w:val="0"/>
                <w:iCs/>
                <w:color w:val="000000"/>
                <w:spacing w:val="-55"/>
                <w:w w:val="15"/>
                <w:szCs w:val="20"/>
                <w:shd w:val="solid" w:color="000000" w:fill="000000"/>
                <w:fitText w:val="11" w:id="-1300508913"/>
                <w14:textFill>
                  <w14:solidFill>
                    <w14:srgbClr w14:val="000000">
                      <w14:alpha w14:val="100000"/>
                    </w14:srgbClr>
                  </w14:solidFill>
                </w14:textFill>
              </w:rPr>
              <w:t xml:space="preserve">　</w:t>
            </w:r>
            <w:r w:rsidR="001341AB">
              <w:rPr>
                <w:rFonts w:cs="Calibri"/>
                <w:b w:val="0"/>
                <w:bCs w:val="0"/>
                <w:iCs/>
                <w:color w:val="000000"/>
                <w:szCs w:val="20"/>
                <w:vertAlign w:val="superscript"/>
              </w:rPr>
              <w:t>1</w:t>
            </w:r>
          </w:p>
        </w:tc>
        <w:tc>
          <w:tcPr>
            <w:tcW w:w="690" w:type="pct"/>
            <w:tcBorders>
              <w:top w:val="single" w:sz="4" w:space="0" w:color="auto"/>
              <w:left w:val="single" w:sz="4" w:space="0" w:color="auto"/>
              <w:bottom w:val="single" w:sz="4" w:space="0" w:color="auto"/>
              <w:right w:val="single" w:sz="4" w:space="0" w:color="auto"/>
            </w:tcBorders>
            <w:vAlign w:val="top"/>
          </w:tcPr>
          <w:p w14:paraId="683B10A3" w14:textId="77777777"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bCs w:val="0"/>
                <w:iCs/>
                <w:szCs w:val="20"/>
              </w:rPr>
            </w:pPr>
            <w:r w:rsidRPr="0074058E">
              <w:rPr>
                <w:b w:val="0"/>
                <w:bCs w:val="0"/>
                <w:iCs/>
                <w:szCs w:val="20"/>
              </w:rPr>
              <w:t>+16.8%</w:t>
            </w:r>
          </w:p>
        </w:tc>
      </w:tr>
      <w:tr w:rsidR="00E218CD" w:rsidRPr="0074058E" w14:paraId="37FF3740" w14:textId="77777777" w:rsidTr="00E218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7" w:type="pct"/>
            <w:tcBorders>
              <w:top w:val="single" w:sz="4" w:space="0" w:color="auto"/>
              <w:left w:val="single" w:sz="4" w:space="0" w:color="auto"/>
              <w:bottom w:val="single" w:sz="4" w:space="0" w:color="auto"/>
              <w:right w:val="single" w:sz="4" w:space="0" w:color="auto"/>
            </w:tcBorders>
          </w:tcPr>
          <w:p w14:paraId="61F43E84" w14:textId="7D50A5FE" w:rsidR="00E218CD" w:rsidRPr="0074058E" w:rsidRDefault="0069055A" w:rsidP="00E218CD">
            <w:pPr>
              <w:pStyle w:val="TableText"/>
              <w:jc w:val="left"/>
              <w:rPr>
                <w:b w:val="0"/>
                <w:bCs w:val="0"/>
                <w:iCs/>
                <w:szCs w:val="20"/>
              </w:rPr>
            </w:pPr>
            <w:r w:rsidRPr="0074058E">
              <w:rPr>
                <w:b w:val="0"/>
                <w:bCs w:val="0"/>
                <w:iCs/>
                <w:szCs w:val="20"/>
              </w:rPr>
              <w:t>b</w:t>
            </w:r>
            <w:r w:rsidR="00E218CD" w:rsidRPr="0074058E">
              <w:rPr>
                <w:b w:val="0"/>
                <w:bCs w:val="0"/>
                <w:iCs/>
                <w:szCs w:val="20"/>
              </w:rPr>
              <w:t>eva arm cure fraction (base case = 6.6%)</w:t>
            </w:r>
          </w:p>
          <w:p w14:paraId="720F26BE" w14:textId="64ECAAA5" w:rsidR="00E218CD" w:rsidRPr="0074058E" w:rsidRDefault="00E218CD" w:rsidP="00E218CD">
            <w:pPr>
              <w:pStyle w:val="TableText"/>
              <w:keepLines/>
              <w:widowControl w:val="0"/>
              <w:numPr>
                <w:ilvl w:val="0"/>
                <w:numId w:val="13"/>
              </w:numPr>
              <w:ind w:left="447"/>
              <w:jc w:val="left"/>
              <w:rPr>
                <w:b w:val="0"/>
                <w:iCs/>
                <w:szCs w:val="20"/>
              </w:rPr>
            </w:pPr>
            <w:r w:rsidRPr="0074058E">
              <w:rPr>
                <w:b w:val="0"/>
                <w:bCs w:val="0"/>
                <w:iCs/>
                <w:szCs w:val="20"/>
              </w:rPr>
              <w:t>18.0% (</w:t>
            </w:r>
            <w:r w:rsidRPr="0074058E">
              <w:rPr>
                <w:b w:val="0"/>
                <w:iCs/>
                <w:szCs w:val="20"/>
              </w:rPr>
              <w:t xml:space="preserve">see </w:t>
            </w:r>
            <w:r w:rsidR="00820F19" w:rsidRPr="0074058E">
              <w:rPr>
                <w:b w:val="0"/>
                <w:iCs/>
                <w:szCs w:val="20"/>
              </w:rPr>
              <w:t xml:space="preserve">para </w:t>
            </w:r>
            <w:r w:rsidR="00820F19" w:rsidRPr="0074058E">
              <w:rPr>
                <w:iCs/>
                <w:szCs w:val="20"/>
              </w:rPr>
              <w:fldChar w:fldCharType="begin" w:fldLock="1"/>
            </w:r>
            <w:r w:rsidR="00820F19" w:rsidRPr="0074058E">
              <w:rPr>
                <w:b w:val="0"/>
                <w:iCs/>
                <w:szCs w:val="20"/>
              </w:rPr>
              <w:instrText xml:space="preserve"> REF _Ref116998708 \r \h  \* MERGEFORMAT </w:instrText>
            </w:r>
            <w:r w:rsidR="00820F19" w:rsidRPr="0074058E">
              <w:rPr>
                <w:iCs/>
                <w:szCs w:val="20"/>
              </w:rPr>
            </w:r>
            <w:r w:rsidR="00820F19" w:rsidRPr="0074058E">
              <w:rPr>
                <w:iCs/>
                <w:szCs w:val="20"/>
              </w:rPr>
              <w:fldChar w:fldCharType="separate"/>
            </w:r>
            <w:r w:rsidR="00ED2FAA">
              <w:rPr>
                <w:b w:val="0"/>
                <w:iCs/>
                <w:szCs w:val="20"/>
              </w:rPr>
              <w:t>4.17</w:t>
            </w:r>
            <w:r w:rsidR="00820F19" w:rsidRPr="0074058E">
              <w:rPr>
                <w:iCs/>
                <w:szCs w:val="20"/>
              </w:rPr>
              <w:fldChar w:fldCharType="end"/>
            </w:r>
            <w:r w:rsidRPr="0074058E">
              <w:rPr>
                <w:b w:val="0"/>
                <w:iCs/>
                <w:szCs w:val="20"/>
              </w:rPr>
              <w:t>)</w:t>
            </w:r>
            <w:r w:rsidR="00CB6C04" w:rsidRPr="0074058E">
              <w:rPr>
                <w:b w:val="0"/>
                <w:iCs/>
                <w:szCs w:val="20"/>
              </w:rPr>
              <w:t xml:space="preserve"> </w:t>
            </w:r>
            <w:r w:rsidR="00CB6C04" w:rsidRPr="0074058E">
              <w:rPr>
                <w:b w:val="0"/>
                <w:iCs/>
                <w:szCs w:val="20"/>
                <w:vertAlign w:val="superscript"/>
              </w:rPr>
              <w:t>a</w:t>
            </w:r>
          </w:p>
        </w:tc>
        <w:tc>
          <w:tcPr>
            <w:tcW w:w="662" w:type="pct"/>
            <w:tcBorders>
              <w:top w:val="single" w:sz="4" w:space="0" w:color="auto"/>
              <w:left w:val="single" w:sz="4" w:space="0" w:color="auto"/>
              <w:bottom w:val="single" w:sz="4" w:space="0" w:color="auto"/>
              <w:right w:val="single" w:sz="4" w:space="0" w:color="auto"/>
            </w:tcBorders>
            <w:vAlign w:val="top"/>
          </w:tcPr>
          <w:p w14:paraId="4A4E2A3A" w14:textId="4EE7B83F" w:rsidR="00E218CD" w:rsidRPr="0074058E" w:rsidRDefault="00E218CD" w:rsidP="00E218CD">
            <w:pPr>
              <w:pStyle w:val="TableText"/>
              <w:keepLines/>
              <w:cnfStyle w:val="100000000000" w:firstRow="1" w:lastRow="0" w:firstColumn="0" w:lastColumn="0" w:oddVBand="0" w:evenVBand="0" w:oddHBand="0" w:evenHBand="0" w:firstRowFirstColumn="0" w:firstRowLastColumn="0" w:lastRowFirstColumn="0" w:lastRowLastColumn="0"/>
              <w:rPr>
                <w:b w:val="0"/>
                <w:bCs w:val="0"/>
                <w:i/>
                <w:iCs/>
                <w:szCs w:val="20"/>
              </w:rPr>
            </w:pPr>
            <w:r w:rsidRPr="0074058E">
              <w:rPr>
                <w:b w:val="0"/>
                <w:bCs w:val="0"/>
              </w:rPr>
              <w:t>$</w:t>
            </w:r>
            <w:r w:rsidR="00ED35F2" w:rsidRPr="00ED35F2">
              <w:rPr>
                <w:rFonts w:hint="eastAsia"/>
                <w:b w:val="0"/>
                <w:bCs w:val="0"/>
                <w:color w:val="000000"/>
                <w:w w:val="15"/>
                <w:shd w:val="solid" w:color="000000" w:fill="000000"/>
                <w:fitText w:val="44" w:id="-1300508912"/>
                <w14:textFill>
                  <w14:solidFill>
                    <w14:srgbClr w14:val="000000">
                      <w14:alpha w14:val="100000"/>
                    </w14:srgbClr>
                  </w14:solidFill>
                </w14:textFill>
              </w:rPr>
              <w:t xml:space="preserve">　</w:t>
            </w:r>
            <w:r w:rsidR="00ED35F2" w:rsidRPr="00ED35F2">
              <w:rPr>
                <w:bCs w:val="0"/>
                <w:color w:val="000000"/>
                <w:w w:val="15"/>
                <w:shd w:val="solid" w:color="000000" w:fill="000000"/>
                <w:fitText w:val="44" w:id="-1300508912"/>
                <w14:textFill>
                  <w14:solidFill>
                    <w14:srgbClr w14:val="000000">
                      <w14:alpha w14:val="100000"/>
                    </w14:srgbClr>
                  </w14:solidFill>
                </w14:textFill>
              </w:rPr>
              <w:t>|</w:t>
            </w:r>
            <w:r w:rsidR="00ED35F2" w:rsidRPr="00ED35F2">
              <w:rPr>
                <w:rFonts w:hint="eastAsia"/>
                <w:bCs w:val="0"/>
                <w:color w:val="000000"/>
                <w:spacing w:val="-22"/>
                <w:w w:val="15"/>
                <w:shd w:val="solid" w:color="000000" w:fill="000000"/>
                <w:fitText w:val="44" w:id="-1300508912"/>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top"/>
          </w:tcPr>
          <w:p w14:paraId="33B6DFCB" w14:textId="516D2702" w:rsidR="00E218CD" w:rsidRPr="0074058E" w:rsidRDefault="00E218CD" w:rsidP="00E218CD">
            <w:pPr>
              <w:pStyle w:val="TableText"/>
              <w:keepLines/>
              <w:cnfStyle w:val="100000000000" w:firstRow="1" w:lastRow="0" w:firstColumn="0" w:lastColumn="0" w:oddVBand="0" w:evenVBand="0" w:oddHBand="0" w:evenHBand="0" w:firstRowFirstColumn="0" w:firstRowLastColumn="0" w:lastRowFirstColumn="0" w:lastRowLastColumn="0"/>
              <w:rPr>
                <w:b w:val="0"/>
                <w:bCs w:val="0"/>
                <w:i/>
                <w:iCs/>
                <w:szCs w:val="20"/>
              </w:rPr>
            </w:pPr>
            <w:r w:rsidRPr="0074058E">
              <w:rPr>
                <w:b w:val="0"/>
                <w:bCs w:val="0"/>
              </w:rPr>
              <w:t>0.25</w:t>
            </w:r>
          </w:p>
        </w:tc>
        <w:tc>
          <w:tcPr>
            <w:tcW w:w="723" w:type="pct"/>
            <w:tcBorders>
              <w:top w:val="single" w:sz="4" w:space="0" w:color="auto"/>
              <w:left w:val="single" w:sz="4" w:space="0" w:color="auto"/>
              <w:bottom w:val="single" w:sz="4" w:space="0" w:color="auto"/>
              <w:right w:val="single" w:sz="4" w:space="0" w:color="auto"/>
            </w:tcBorders>
            <w:vAlign w:val="top"/>
          </w:tcPr>
          <w:p w14:paraId="09B437BB" w14:textId="26AA5FC0" w:rsidR="00E218CD" w:rsidRPr="0074058E" w:rsidRDefault="00E218CD" w:rsidP="00E218CD">
            <w:pPr>
              <w:pStyle w:val="TableText"/>
              <w:keepLines/>
              <w:cnfStyle w:val="100000000000" w:firstRow="1" w:lastRow="0" w:firstColumn="0" w:lastColumn="0" w:oddVBand="0" w:evenVBand="0" w:oddHBand="0" w:evenHBand="0" w:firstRowFirstColumn="0" w:firstRowLastColumn="0" w:lastRowFirstColumn="0" w:lastRowLastColumn="0"/>
              <w:rPr>
                <w:b w:val="0"/>
                <w:bCs w:val="0"/>
                <w:i/>
                <w:iCs/>
                <w:szCs w:val="20"/>
              </w:rPr>
            </w:pPr>
            <w:r w:rsidRPr="0074058E">
              <w:rPr>
                <w:b w:val="0"/>
                <w:bCs w:val="0"/>
              </w:rPr>
              <w:t>$</w:t>
            </w:r>
            <w:r w:rsidR="00ED35F2" w:rsidRPr="00663A0C">
              <w:rPr>
                <w:rFonts w:hint="eastAsia"/>
                <w:bCs w:val="0"/>
                <w:color w:val="000000"/>
                <w:w w:val="15"/>
                <w:shd w:val="solid" w:color="000000" w:fill="000000"/>
                <w:fitText w:val="11" w:id="-1300508928"/>
                <w14:textFill>
                  <w14:solidFill>
                    <w14:srgbClr w14:val="000000">
                      <w14:alpha w14:val="100000"/>
                    </w14:srgbClr>
                  </w14:solidFill>
                </w14:textFill>
              </w:rPr>
              <w:t xml:space="preserve">　</w:t>
            </w:r>
            <w:r w:rsidR="00ED35F2" w:rsidRPr="00663A0C">
              <w:rPr>
                <w:bCs w:val="0"/>
                <w:color w:val="000000"/>
                <w:w w:val="15"/>
                <w:shd w:val="solid" w:color="000000" w:fill="000000"/>
                <w:fitText w:val="11" w:id="-1300508928"/>
                <w14:textFill>
                  <w14:solidFill>
                    <w14:srgbClr w14:val="000000">
                      <w14:alpha w14:val="100000"/>
                    </w14:srgbClr>
                  </w14:solidFill>
                </w14:textFill>
              </w:rPr>
              <w:t>|</w:t>
            </w:r>
            <w:r w:rsidR="00ED35F2" w:rsidRPr="00663A0C">
              <w:rPr>
                <w:rFonts w:hint="eastAsia"/>
                <w:bCs w:val="0"/>
                <w:color w:val="000000"/>
                <w:spacing w:val="-55"/>
                <w:w w:val="15"/>
                <w:shd w:val="solid" w:color="000000" w:fill="000000"/>
                <w:fitText w:val="11" w:id="-1300508928"/>
                <w14:textFill>
                  <w14:solidFill>
                    <w14:srgbClr w14:val="000000">
                      <w14:alpha w14:val="100000"/>
                    </w14:srgbClr>
                  </w14:solidFill>
                </w14:textFill>
              </w:rPr>
              <w:t xml:space="preserve">　</w:t>
            </w:r>
            <w:r w:rsidR="001341AB">
              <w:rPr>
                <w:rFonts w:cs="Calibri"/>
                <w:b w:val="0"/>
                <w:bCs w:val="0"/>
                <w:iCs/>
                <w:color w:val="000000"/>
                <w:szCs w:val="20"/>
                <w:vertAlign w:val="superscript"/>
              </w:rPr>
              <w:t>2</w:t>
            </w:r>
          </w:p>
        </w:tc>
        <w:tc>
          <w:tcPr>
            <w:tcW w:w="690" w:type="pct"/>
            <w:tcBorders>
              <w:top w:val="single" w:sz="4" w:space="0" w:color="auto"/>
              <w:left w:val="single" w:sz="4" w:space="0" w:color="auto"/>
              <w:bottom w:val="single" w:sz="4" w:space="0" w:color="auto"/>
              <w:right w:val="single" w:sz="4" w:space="0" w:color="auto"/>
            </w:tcBorders>
            <w:vAlign w:val="top"/>
          </w:tcPr>
          <w:p w14:paraId="61CAB143" w14:textId="537175E2" w:rsidR="00E218CD" w:rsidRPr="0074058E" w:rsidRDefault="00E218CD" w:rsidP="00E218CD">
            <w:pPr>
              <w:pStyle w:val="TableText"/>
              <w:keepLines/>
              <w:cnfStyle w:val="100000000000" w:firstRow="1" w:lastRow="0" w:firstColumn="0" w:lastColumn="0" w:oddVBand="0" w:evenVBand="0" w:oddHBand="0" w:evenHBand="0" w:firstRowFirstColumn="0" w:firstRowLastColumn="0" w:lastRowFirstColumn="0" w:lastRowLastColumn="0"/>
              <w:rPr>
                <w:b w:val="0"/>
                <w:bCs w:val="0"/>
                <w:i/>
                <w:iCs/>
                <w:szCs w:val="20"/>
              </w:rPr>
            </w:pPr>
            <w:r w:rsidRPr="0074058E">
              <w:rPr>
                <w:b w:val="0"/>
                <w:bCs w:val="0"/>
              </w:rPr>
              <w:t>+49.8%</w:t>
            </w:r>
          </w:p>
        </w:tc>
      </w:tr>
      <w:tr w:rsidR="008852FF" w:rsidRPr="0074058E" w14:paraId="67021EF3" w14:textId="77777777" w:rsidTr="00E218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7" w:type="pct"/>
            <w:tcBorders>
              <w:top w:val="single" w:sz="4" w:space="0" w:color="auto"/>
              <w:left w:val="single" w:sz="4" w:space="0" w:color="auto"/>
              <w:bottom w:val="single" w:sz="4" w:space="0" w:color="auto"/>
              <w:right w:val="single" w:sz="4" w:space="0" w:color="auto"/>
            </w:tcBorders>
          </w:tcPr>
          <w:p w14:paraId="54F758E8" w14:textId="77777777" w:rsidR="008852FF" w:rsidRPr="0074058E" w:rsidRDefault="008852FF" w:rsidP="00BE7719">
            <w:pPr>
              <w:pStyle w:val="TableText"/>
              <w:jc w:val="left"/>
              <w:rPr>
                <w:b w:val="0"/>
                <w:bCs w:val="0"/>
                <w:iCs/>
                <w:szCs w:val="20"/>
              </w:rPr>
            </w:pPr>
            <w:r w:rsidRPr="0074058E">
              <w:rPr>
                <w:b w:val="0"/>
                <w:bCs w:val="0"/>
                <w:iCs/>
                <w:szCs w:val="20"/>
              </w:rPr>
              <w:t>Beva arm cure fraction (base case = 6.6%)</w:t>
            </w:r>
          </w:p>
          <w:p w14:paraId="301AA123" w14:textId="5E12907C" w:rsidR="008852FF" w:rsidRPr="0074058E" w:rsidRDefault="008852FF" w:rsidP="00F659ED">
            <w:pPr>
              <w:pStyle w:val="TableText"/>
              <w:keepLines/>
              <w:widowControl w:val="0"/>
              <w:numPr>
                <w:ilvl w:val="0"/>
                <w:numId w:val="13"/>
              </w:numPr>
              <w:ind w:left="447"/>
              <w:jc w:val="left"/>
              <w:rPr>
                <w:b w:val="0"/>
                <w:iCs/>
                <w:szCs w:val="20"/>
              </w:rPr>
            </w:pPr>
            <w:r w:rsidRPr="0074058E">
              <w:rPr>
                <w:b w:val="0"/>
                <w:bCs w:val="0"/>
                <w:iCs/>
                <w:szCs w:val="20"/>
              </w:rPr>
              <w:t>17.43% by applying Weibull</w:t>
            </w:r>
            <w:r w:rsidR="00820F19" w:rsidRPr="0074058E">
              <w:rPr>
                <w:b w:val="0"/>
                <w:bCs w:val="0"/>
                <w:iCs/>
                <w:szCs w:val="20"/>
              </w:rPr>
              <w:t xml:space="preserve"> (see para </w:t>
            </w:r>
            <w:r w:rsidR="00820F19" w:rsidRPr="0074058E">
              <w:rPr>
                <w:bCs w:val="0"/>
                <w:iCs/>
                <w:szCs w:val="20"/>
              </w:rPr>
              <w:fldChar w:fldCharType="begin" w:fldLock="1"/>
            </w:r>
            <w:r w:rsidR="00820F19" w:rsidRPr="0074058E">
              <w:rPr>
                <w:b w:val="0"/>
                <w:bCs w:val="0"/>
                <w:iCs/>
                <w:szCs w:val="20"/>
              </w:rPr>
              <w:instrText xml:space="preserve"> REF _Ref116998744 \r \h </w:instrText>
            </w:r>
            <w:r w:rsidR="00820F19" w:rsidRPr="0074058E">
              <w:rPr>
                <w:bCs w:val="0"/>
                <w:iCs/>
                <w:szCs w:val="20"/>
              </w:rPr>
            </w:r>
            <w:r w:rsidR="00820F19" w:rsidRPr="0074058E">
              <w:rPr>
                <w:bCs w:val="0"/>
                <w:iCs/>
                <w:szCs w:val="20"/>
              </w:rPr>
              <w:fldChar w:fldCharType="separate"/>
            </w:r>
            <w:r w:rsidR="00ED2FAA">
              <w:rPr>
                <w:b w:val="0"/>
                <w:bCs w:val="0"/>
                <w:iCs/>
                <w:szCs w:val="20"/>
              </w:rPr>
              <w:t>4.19</w:t>
            </w:r>
            <w:r w:rsidR="00820F19" w:rsidRPr="0074058E">
              <w:rPr>
                <w:bCs w:val="0"/>
                <w:iCs/>
                <w:szCs w:val="20"/>
              </w:rPr>
              <w:fldChar w:fldCharType="end"/>
            </w:r>
            <w:r w:rsidR="00820F19" w:rsidRPr="0074058E">
              <w:rPr>
                <w:b w:val="0"/>
                <w:bCs w:val="0"/>
                <w:iCs/>
                <w:szCs w:val="20"/>
              </w:rPr>
              <w:t>)</w:t>
            </w:r>
          </w:p>
        </w:tc>
        <w:tc>
          <w:tcPr>
            <w:tcW w:w="662" w:type="pct"/>
            <w:tcBorders>
              <w:top w:val="single" w:sz="4" w:space="0" w:color="auto"/>
              <w:left w:val="single" w:sz="4" w:space="0" w:color="auto"/>
              <w:bottom w:val="single" w:sz="4" w:space="0" w:color="auto"/>
              <w:right w:val="single" w:sz="4" w:space="0" w:color="auto"/>
            </w:tcBorders>
            <w:vAlign w:val="top"/>
          </w:tcPr>
          <w:p w14:paraId="08A481ED" w14:textId="5F6278C0"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bCs w:val="0"/>
                <w:iCs/>
                <w:szCs w:val="20"/>
              </w:rPr>
            </w:pPr>
            <w:r w:rsidRPr="0074058E">
              <w:rPr>
                <w:rFonts w:cs="Calibri"/>
                <w:b w:val="0"/>
                <w:bCs w:val="0"/>
                <w:iCs/>
                <w:color w:val="000000"/>
                <w:szCs w:val="20"/>
              </w:rPr>
              <w:t>$</w:t>
            </w:r>
            <w:r w:rsidR="00ED35F2" w:rsidRPr="00ED35F2">
              <w:rPr>
                <w:rFonts w:cs="Calibri" w:hint="eastAsia"/>
                <w:b w:val="0"/>
                <w:bCs w:val="0"/>
                <w:iCs/>
                <w:color w:val="000000"/>
                <w:w w:val="15"/>
                <w:szCs w:val="20"/>
                <w:shd w:val="solid" w:color="000000" w:fill="000000"/>
                <w:fitText w:val="44" w:id="-1300508927"/>
                <w14:textFill>
                  <w14:solidFill>
                    <w14:srgbClr w14:val="000000">
                      <w14:alpha w14:val="100000"/>
                    </w14:srgbClr>
                  </w14:solidFill>
                </w14:textFill>
              </w:rPr>
              <w:t xml:space="preserve">　</w:t>
            </w:r>
            <w:r w:rsidR="00ED35F2" w:rsidRPr="00ED35F2">
              <w:rPr>
                <w:rFonts w:cs="Calibri"/>
                <w:bCs w:val="0"/>
                <w:iCs/>
                <w:color w:val="000000"/>
                <w:w w:val="15"/>
                <w:szCs w:val="20"/>
                <w:shd w:val="solid" w:color="000000" w:fill="000000"/>
                <w:fitText w:val="44" w:id="-1300508927"/>
                <w14:textFill>
                  <w14:solidFill>
                    <w14:srgbClr w14:val="000000">
                      <w14:alpha w14:val="100000"/>
                    </w14:srgbClr>
                  </w14:solidFill>
                </w14:textFill>
              </w:rPr>
              <w:t>|</w:t>
            </w:r>
            <w:r w:rsidR="00ED35F2" w:rsidRPr="00ED35F2">
              <w:rPr>
                <w:rFonts w:cs="Calibri" w:hint="eastAsia"/>
                <w:bCs w:val="0"/>
                <w:iCs/>
                <w:color w:val="000000"/>
                <w:spacing w:val="-22"/>
                <w:w w:val="15"/>
                <w:szCs w:val="20"/>
                <w:shd w:val="solid" w:color="000000" w:fill="000000"/>
                <w:fitText w:val="44" w:id="-1300508927"/>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top"/>
          </w:tcPr>
          <w:p w14:paraId="2A191C25" w14:textId="77777777"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bCs w:val="0"/>
                <w:iCs/>
                <w:szCs w:val="20"/>
              </w:rPr>
            </w:pPr>
            <w:r w:rsidRPr="0074058E">
              <w:rPr>
                <w:rFonts w:cs="Calibri"/>
                <w:b w:val="0"/>
                <w:bCs w:val="0"/>
                <w:iCs/>
                <w:color w:val="000000"/>
                <w:szCs w:val="20"/>
              </w:rPr>
              <w:t>0.25</w:t>
            </w:r>
          </w:p>
        </w:tc>
        <w:tc>
          <w:tcPr>
            <w:tcW w:w="723" w:type="pct"/>
            <w:tcBorders>
              <w:top w:val="single" w:sz="4" w:space="0" w:color="auto"/>
              <w:left w:val="single" w:sz="4" w:space="0" w:color="auto"/>
              <w:bottom w:val="single" w:sz="4" w:space="0" w:color="auto"/>
              <w:right w:val="single" w:sz="4" w:space="0" w:color="auto"/>
            </w:tcBorders>
            <w:vAlign w:val="top"/>
          </w:tcPr>
          <w:p w14:paraId="20597004" w14:textId="4A7A0B2B"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bCs w:val="0"/>
                <w:iCs/>
                <w:szCs w:val="20"/>
              </w:rPr>
            </w:pPr>
            <w:r w:rsidRPr="0074058E">
              <w:rPr>
                <w:rFonts w:cs="Calibri"/>
                <w:b w:val="0"/>
                <w:bCs w:val="0"/>
                <w:iCs/>
                <w:color w:val="000000"/>
                <w:szCs w:val="20"/>
              </w:rPr>
              <w:t>$</w:t>
            </w:r>
            <w:r w:rsidR="00ED35F2" w:rsidRPr="00663A0C">
              <w:rPr>
                <w:rFonts w:cs="Calibri" w:hint="eastAsia"/>
                <w:bCs w:val="0"/>
                <w:iCs/>
                <w:color w:val="000000"/>
                <w:w w:val="15"/>
                <w:szCs w:val="20"/>
                <w:shd w:val="solid" w:color="000000" w:fill="000000"/>
                <w:fitText w:val="11" w:id="-1300508926"/>
                <w14:textFill>
                  <w14:solidFill>
                    <w14:srgbClr w14:val="000000">
                      <w14:alpha w14:val="100000"/>
                    </w14:srgbClr>
                  </w14:solidFill>
                </w14:textFill>
              </w:rPr>
              <w:t xml:space="preserve">　</w:t>
            </w:r>
            <w:r w:rsidR="00ED35F2" w:rsidRPr="00663A0C">
              <w:rPr>
                <w:rFonts w:cs="Calibri"/>
                <w:bCs w:val="0"/>
                <w:iCs/>
                <w:color w:val="000000"/>
                <w:w w:val="15"/>
                <w:szCs w:val="20"/>
                <w:shd w:val="solid" w:color="000000" w:fill="000000"/>
                <w:fitText w:val="11" w:id="-1300508926"/>
                <w14:textFill>
                  <w14:solidFill>
                    <w14:srgbClr w14:val="000000">
                      <w14:alpha w14:val="100000"/>
                    </w14:srgbClr>
                  </w14:solidFill>
                </w14:textFill>
              </w:rPr>
              <w:t>|</w:t>
            </w:r>
            <w:r w:rsidR="00ED35F2" w:rsidRPr="00663A0C">
              <w:rPr>
                <w:rFonts w:cs="Calibri" w:hint="eastAsia"/>
                <w:bCs w:val="0"/>
                <w:iCs/>
                <w:color w:val="000000"/>
                <w:spacing w:val="-55"/>
                <w:w w:val="15"/>
                <w:szCs w:val="20"/>
                <w:shd w:val="solid" w:color="000000" w:fill="000000"/>
                <w:fitText w:val="11" w:id="-1300508926"/>
                <w14:textFill>
                  <w14:solidFill>
                    <w14:srgbClr w14:val="000000">
                      <w14:alpha w14:val="100000"/>
                    </w14:srgbClr>
                  </w14:solidFill>
                </w14:textFill>
              </w:rPr>
              <w:t xml:space="preserve">　</w:t>
            </w:r>
            <w:r w:rsidR="001341AB">
              <w:rPr>
                <w:rFonts w:cs="Calibri"/>
                <w:b w:val="0"/>
                <w:bCs w:val="0"/>
                <w:iCs/>
                <w:color w:val="000000"/>
                <w:szCs w:val="20"/>
                <w:vertAlign w:val="superscript"/>
              </w:rPr>
              <w:t>2</w:t>
            </w:r>
          </w:p>
        </w:tc>
        <w:tc>
          <w:tcPr>
            <w:tcW w:w="690" w:type="pct"/>
            <w:tcBorders>
              <w:top w:val="single" w:sz="4" w:space="0" w:color="auto"/>
              <w:left w:val="single" w:sz="4" w:space="0" w:color="auto"/>
              <w:bottom w:val="single" w:sz="4" w:space="0" w:color="auto"/>
              <w:right w:val="single" w:sz="4" w:space="0" w:color="auto"/>
            </w:tcBorders>
            <w:vAlign w:val="top"/>
          </w:tcPr>
          <w:p w14:paraId="222B0240" w14:textId="1EA9DA08"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bCs w:val="0"/>
                <w:iCs/>
                <w:szCs w:val="20"/>
              </w:rPr>
            </w:pPr>
            <w:r w:rsidRPr="0074058E">
              <w:rPr>
                <w:rFonts w:cs="Calibri"/>
                <w:b w:val="0"/>
                <w:bCs w:val="0"/>
                <w:iCs/>
                <w:color w:val="000000"/>
                <w:szCs w:val="20"/>
              </w:rPr>
              <w:t>+45.5%</w:t>
            </w:r>
          </w:p>
        </w:tc>
      </w:tr>
      <w:tr w:rsidR="008852FF" w:rsidRPr="0074058E" w14:paraId="2805EE0C" w14:textId="77777777" w:rsidTr="00E218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7" w:type="pct"/>
            <w:tcBorders>
              <w:top w:val="single" w:sz="4" w:space="0" w:color="auto"/>
              <w:left w:val="single" w:sz="4" w:space="0" w:color="auto"/>
              <w:bottom w:val="single" w:sz="4" w:space="0" w:color="auto"/>
              <w:right w:val="single" w:sz="4" w:space="0" w:color="auto"/>
            </w:tcBorders>
          </w:tcPr>
          <w:p w14:paraId="576A37FA" w14:textId="306957FB" w:rsidR="008852FF" w:rsidRPr="0074058E" w:rsidRDefault="008852FF" w:rsidP="00BE7719">
            <w:pPr>
              <w:pStyle w:val="TableText"/>
              <w:jc w:val="left"/>
              <w:rPr>
                <w:b w:val="0"/>
                <w:iCs/>
                <w:szCs w:val="20"/>
              </w:rPr>
            </w:pPr>
            <w:r w:rsidRPr="0074058E">
              <w:rPr>
                <w:b w:val="0"/>
                <w:iCs/>
                <w:szCs w:val="20"/>
              </w:rPr>
              <w:t xml:space="preserve">PFS point of truncation (base case = 49 months for </w:t>
            </w:r>
            <w:r w:rsidR="00E60499" w:rsidRPr="0074058E">
              <w:rPr>
                <w:b w:val="0"/>
                <w:iCs/>
                <w:szCs w:val="20"/>
              </w:rPr>
              <w:t>beva arm (P1)</w:t>
            </w:r>
            <w:r w:rsidRPr="0074058E">
              <w:rPr>
                <w:b w:val="0"/>
                <w:iCs/>
                <w:szCs w:val="20"/>
              </w:rPr>
              <w:t xml:space="preserve"> and 39 months for all other branches)</w:t>
            </w:r>
          </w:p>
          <w:p w14:paraId="20F25AA6" w14:textId="2174B4C4" w:rsidR="008852FF" w:rsidRPr="0074058E" w:rsidRDefault="00D32F5D" w:rsidP="00F659ED">
            <w:pPr>
              <w:pStyle w:val="TableText"/>
              <w:keepLines/>
              <w:numPr>
                <w:ilvl w:val="0"/>
                <w:numId w:val="13"/>
              </w:numPr>
              <w:ind w:left="447"/>
              <w:jc w:val="left"/>
              <w:rPr>
                <w:b w:val="0"/>
                <w:iCs/>
                <w:szCs w:val="20"/>
              </w:rPr>
            </w:pPr>
            <w:r w:rsidRPr="0074058E">
              <w:rPr>
                <w:b w:val="0"/>
                <w:iCs/>
                <w:szCs w:val="20"/>
              </w:rPr>
              <w:t>No KM data used</w:t>
            </w:r>
            <w:r w:rsidR="008852FF" w:rsidRPr="0074058E">
              <w:rPr>
                <w:b w:val="0"/>
                <w:iCs/>
                <w:szCs w:val="20"/>
              </w:rPr>
              <w:t xml:space="preserve"> (para </w:t>
            </w:r>
            <w:r w:rsidRPr="0074058E">
              <w:rPr>
                <w:iCs/>
                <w:szCs w:val="20"/>
              </w:rPr>
              <w:fldChar w:fldCharType="begin" w:fldLock="1"/>
            </w:r>
            <w:r w:rsidRPr="0074058E">
              <w:rPr>
                <w:b w:val="0"/>
                <w:iCs/>
                <w:szCs w:val="20"/>
              </w:rPr>
              <w:instrText xml:space="preserve"> REF _Ref116999158 \r \h </w:instrText>
            </w:r>
            <w:r w:rsidR="0088142C" w:rsidRPr="0074058E">
              <w:rPr>
                <w:b w:val="0"/>
                <w:iCs/>
                <w:szCs w:val="20"/>
              </w:rPr>
              <w:instrText xml:space="preserve"> \* MERGEFORMAT </w:instrText>
            </w:r>
            <w:r w:rsidRPr="0074058E">
              <w:rPr>
                <w:iCs/>
                <w:szCs w:val="20"/>
              </w:rPr>
            </w:r>
            <w:r w:rsidRPr="0074058E">
              <w:rPr>
                <w:iCs/>
                <w:szCs w:val="20"/>
              </w:rPr>
              <w:fldChar w:fldCharType="separate"/>
            </w:r>
            <w:r w:rsidR="00ED2FAA">
              <w:rPr>
                <w:b w:val="0"/>
                <w:iCs/>
                <w:szCs w:val="20"/>
              </w:rPr>
              <w:t>4.20</w:t>
            </w:r>
            <w:r w:rsidRPr="0074058E">
              <w:rPr>
                <w:iCs/>
                <w:szCs w:val="20"/>
              </w:rPr>
              <w:fldChar w:fldCharType="end"/>
            </w:r>
            <w:r w:rsidR="008852FF" w:rsidRPr="0074058E">
              <w:rPr>
                <w:b w:val="0"/>
                <w:iCs/>
                <w:szCs w:val="20"/>
              </w:rPr>
              <w:t>)</w:t>
            </w:r>
          </w:p>
          <w:p w14:paraId="0C8C4A34" w14:textId="235E9EE2" w:rsidR="008852FF" w:rsidRPr="0074058E" w:rsidRDefault="008852FF" w:rsidP="00F659ED">
            <w:pPr>
              <w:pStyle w:val="TableText"/>
              <w:keepLines/>
              <w:numPr>
                <w:ilvl w:val="0"/>
                <w:numId w:val="13"/>
              </w:numPr>
              <w:ind w:left="447"/>
              <w:jc w:val="left"/>
              <w:rPr>
                <w:b w:val="0"/>
                <w:iCs/>
                <w:szCs w:val="20"/>
              </w:rPr>
            </w:pPr>
            <w:r w:rsidRPr="0074058E">
              <w:rPr>
                <w:b w:val="0"/>
                <w:iCs/>
                <w:szCs w:val="20"/>
              </w:rPr>
              <w:t>1</w:t>
            </w:r>
            <w:r w:rsidR="00E60499" w:rsidRPr="0074058E">
              <w:rPr>
                <w:b w:val="0"/>
                <w:iCs/>
                <w:szCs w:val="20"/>
              </w:rPr>
              <w:t xml:space="preserve"> month</w:t>
            </w:r>
            <w:r w:rsidRPr="0074058E">
              <w:rPr>
                <w:b w:val="0"/>
                <w:iCs/>
                <w:szCs w:val="20"/>
              </w:rPr>
              <w:t xml:space="preserve"> for all branches </w:t>
            </w:r>
          </w:p>
          <w:p w14:paraId="7D0773B2" w14:textId="5A492200" w:rsidR="008852FF" w:rsidRPr="0074058E" w:rsidRDefault="00820F19" w:rsidP="00F659ED">
            <w:pPr>
              <w:pStyle w:val="TableText"/>
              <w:keepLines/>
              <w:numPr>
                <w:ilvl w:val="0"/>
                <w:numId w:val="13"/>
              </w:numPr>
              <w:ind w:left="447"/>
              <w:jc w:val="left"/>
              <w:rPr>
                <w:b w:val="0"/>
                <w:i/>
                <w:iCs/>
                <w:szCs w:val="20"/>
              </w:rPr>
            </w:pPr>
            <w:r w:rsidRPr="0074058E">
              <w:rPr>
                <w:rFonts w:eastAsia="Times New Roman"/>
                <w:b w:val="0"/>
                <w:iCs/>
                <w:szCs w:val="20"/>
              </w:rPr>
              <w:t xml:space="preserve">35.5 months for P1 and 36.5 for all other branches (median follow-up DCO2; July 2022 </w:t>
            </w:r>
            <w:r w:rsidR="006E635E" w:rsidRPr="0074058E">
              <w:rPr>
                <w:rFonts w:eastAsia="Times New Roman"/>
                <w:b w:val="0"/>
                <w:iCs/>
                <w:szCs w:val="20"/>
              </w:rPr>
              <w:t>PSD</w:t>
            </w:r>
            <w:r w:rsidRPr="0074058E">
              <w:rPr>
                <w:rFonts w:eastAsia="Times New Roman"/>
                <w:b w:val="0"/>
                <w:iCs/>
                <w:szCs w:val="20"/>
              </w:rPr>
              <w:t>, paragraph 6.14)</w:t>
            </w:r>
          </w:p>
        </w:tc>
        <w:tc>
          <w:tcPr>
            <w:tcW w:w="662" w:type="pct"/>
            <w:tcBorders>
              <w:top w:val="single" w:sz="4" w:space="0" w:color="auto"/>
              <w:left w:val="single" w:sz="4" w:space="0" w:color="auto"/>
              <w:bottom w:val="single" w:sz="4" w:space="0" w:color="auto"/>
              <w:right w:val="single" w:sz="4" w:space="0" w:color="auto"/>
            </w:tcBorders>
            <w:vAlign w:val="top"/>
          </w:tcPr>
          <w:p w14:paraId="1B4B73D8" w14:textId="77777777" w:rsidR="00E60499" w:rsidRPr="0074058E" w:rsidRDefault="009D32BA"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iCs/>
                <w:color w:val="000000"/>
                <w:szCs w:val="20"/>
              </w:rPr>
            </w:pPr>
            <w:r w:rsidRPr="0074058E">
              <w:rPr>
                <w:rFonts w:cs="Calibri"/>
                <w:b w:val="0"/>
                <w:iCs/>
                <w:color w:val="000000"/>
                <w:szCs w:val="20"/>
              </w:rPr>
              <w:br/>
            </w:r>
          </w:p>
          <w:p w14:paraId="21EE6675" w14:textId="275F313D" w:rsidR="008852FF" w:rsidRPr="0074058E" w:rsidRDefault="009D32BA"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br/>
            </w:r>
            <w:r w:rsidR="008852FF" w:rsidRPr="0074058E">
              <w:rPr>
                <w:rFonts w:cs="Calibri"/>
                <w:b w:val="0"/>
                <w:iCs/>
                <w:color w:val="000000"/>
                <w:szCs w:val="20"/>
              </w:rPr>
              <w:t>$</w:t>
            </w:r>
            <w:r w:rsidR="00ED35F2" w:rsidRPr="00ED35F2">
              <w:rPr>
                <w:rFonts w:cs="Calibri" w:hint="eastAsia"/>
                <w:b w:val="0"/>
                <w:iCs/>
                <w:color w:val="000000"/>
                <w:w w:val="15"/>
                <w:szCs w:val="20"/>
                <w:shd w:val="solid" w:color="000000" w:fill="000000"/>
                <w:fitText w:val="44" w:id="-1300508925"/>
                <w14:textFill>
                  <w14:solidFill>
                    <w14:srgbClr w14:val="000000">
                      <w14:alpha w14:val="100000"/>
                    </w14:srgbClr>
                  </w14:solidFill>
                </w14:textFill>
              </w:rPr>
              <w:t xml:space="preserve">　</w:t>
            </w:r>
            <w:r w:rsidR="00ED35F2" w:rsidRPr="00ED35F2">
              <w:rPr>
                <w:rFonts w:cs="Calibri"/>
                <w:iCs/>
                <w:color w:val="000000"/>
                <w:w w:val="15"/>
                <w:szCs w:val="20"/>
                <w:shd w:val="solid" w:color="000000" w:fill="000000"/>
                <w:fitText w:val="44" w:id="-1300508925"/>
                <w14:textFill>
                  <w14:solidFill>
                    <w14:srgbClr w14:val="000000">
                      <w14:alpha w14:val="100000"/>
                    </w14:srgbClr>
                  </w14:solidFill>
                </w14:textFill>
              </w:rPr>
              <w:t>|</w:t>
            </w:r>
            <w:r w:rsidR="00ED35F2" w:rsidRPr="00ED35F2">
              <w:rPr>
                <w:rFonts w:cs="Calibri" w:hint="eastAsia"/>
                <w:iCs/>
                <w:color w:val="000000"/>
                <w:spacing w:val="-22"/>
                <w:w w:val="15"/>
                <w:szCs w:val="20"/>
                <w:shd w:val="solid" w:color="000000" w:fill="000000"/>
                <w:fitText w:val="44" w:id="-1300508925"/>
                <w14:textFill>
                  <w14:solidFill>
                    <w14:srgbClr w14:val="000000">
                      <w14:alpha w14:val="100000"/>
                    </w14:srgbClr>
                  </w14:solidFill>
                </w14:textFill>
              </w:rPr>
              <w:t xml:space="preserve">　</w:t>
            </w:r>
          </w:p>
          <w:p w14:paraId="51DD5478" w14:textId="49F9DED3"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t>$</w:t>
            </w:r>
            <w:r w:rsidR="00ED35F2" w:rsidRPr="00ED35F2">
              <w:rPr>
                <w:rFonts w:cs="Calibri" w:hint="eastAsia"/>
                <w:b w:val="0"/>
                <w:iCs/>
                <w:color w:val="000000"/>
                <w:w w:val="15"/>
                <w:szCs w:val="20"/>
                <w:shd w:val="solid" w:color="000000" w:fill="000000"/>
                <w:fitText w:val="44" w:id="-1300508924"/>
                <w14:textFill>
                  <w14:solidFill>
                    <w14:srgbClr w14:val="000000">
                      <w14:alpha w14:val="100000"/>
                    </w14:srgbClr>
                  </w14:solidFill>
                </w14:textFill>
              </w:rPr>
              <w:t xml:space="preserve">　</w:t>
            </w:r>
            <w:r w:rsidR="00ED35F2" w:rsidRPr="00ED35F2">
              <w:rPr>
                <w:rFonts w:cs="Calibri"/>
                <w:iCs/>
                <w:color w:val="000000"/>
                <w:w w:val="15"/>
                <w:szCs w:val="20"/>
                <w:shd w:val="solid" w:color="000000" w:fill="000000"/>
                <w:fitText w:val="44" w:id="-1300508924"/>
                <w14:textFill>
                  <w14:solidFill>
                    <w14:srgbClr w14:val="000000">
                      <w14:alpha w14:val="100000"/>
                    </w14:srgbClr>
                  </w14:solidFill>
                </w14:textFill>
              </w:rPr>
              <w:t>|</w:t>
            </w:r>
            <w:r w:rsidR="00ED35F2" w:rsidRPr="00ED35F2">
              <w:rPr>
                <w:rFonts w:cs="Calibri" w:hint="eastAsia"/>
                <w:iCs/>
                <w:color w:val="000000"/>
                <w:spacing w:val="-22"/>
                <w:w w:val="15"/>
                <w:szCs w:val="20"/>
                <w:shd w:val="solid" w:color="000000" w:fill="000000"/>
                <w:fitText w:val="44" w:id="-1300508924"/>
                <w14:textFill>
                  <w14:solidFill>
                    <w14:srgbClr w14:val="000000">
                      <w14:alpha w14:val="100000"/>
                    </w14:srgbClr>
                  </w14:solidFill>
                </w14:textFill>
              </w:rPr>
              <w:t xml:space="preserve">　</w:t>
            </w:r>
            <w:r w:rsidR="009D32BA" w:rsidRPr="0074058E">
              <w:rPr>
                <w:rFonts w:cs="Calibri"/>
                <w:b w:val="0"/>
                <w:iCs/>
                <w:color w:val="000000"/>
                <w:szCs w:val="20"/>
              </w:rPr>
              <w:br/>
            </w:r>
          </w:p>
          <w:p w14:paraId="32FE61C0" w14:textId="43F2CBE4"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i/>
                <w:iCs/>
                <w:szCs w:val="20"/>
              </w:rPr>
            </w:pPr>
            <w:r w:rsidRPr="0074058E">
              <w:rPr>
                <w:rFonts w:cs="Calibri"/>
                <w:b w:val="0"/>
                <w:iCs/>
                <w:color w:val="000000"/>
                <w:szCs w:val="20"/>
              </w:rPr>
              <w:t>$</w:t>
            </w:r>
            <w:r w:rsidR="00ED35F2" w:rsidRPr="00ED35F2">
              <w:rPr>
                <w:rFonts w:cs="Calibri" w:hint="eastAsia"/>
                <w:b w:val="0"/>
                <w:iCs/>
                <w:color w:val="000000"/>
                <w:w w:val="15"/>
                <w:szCs w:val="20"/>
                <w:shd w:val="solid" w:color="000000" w:fill="000000"/>
                <w:fitText w:val="44" w:id="-1300508923"/>
                <w14:textFill>
                  <w14:solidFill>
                    <w14:srgbClr w14:val="000000">
                      <w14:alpha w14:val="100000"/>
                    </w14:srgbClr>
                  </w14:solidFill>
                </w14:textFill>
              </w:rPr>
              <w:t xml:space="preserve">　</w:t>
            </w:r>
            <w:r w:rsidR="00ED35F2" w:rsidRPr="00ED35F2">
              <w:rPr>
                <w:rFonts w:cs="Calibri"/>
                <w:iCs/>
                <w:color w:val="000000"/>
                <w:w w:val="15"/>
                <w:szCs w:val="20"/>
                <w:shd w:val="solid" w:color="000000" w:fill="000000"/>
                <w:fitText w:val="44" w:id="-1300508923"/>
                <w14:textFill>
                  <w14:solidFill>
                    <w14:srgbClr w14:val="000000">
                      <w14:alpha w14:val="100000"/>
                    </w14:srgbClr>
                  </w14:solidFill>
                </w14:textFill>
              </w:rPr>
              <w:t>|</w:t>
            </w:r>
            <w:r w:rsidR="00ED35F2" w:rsidRPr="00ED35F2">
              <w:rPr>
                <w:rFonts w:cs="Calibri" w:hint="eastAsia"/>
                <w:iCs/>
                <w:color w:val="000000"/>
                <w:spacing w:val="-22"/>
                <w:w w:val="15"/>
                <w:szCs w:val="20"/>
                <w:shd w:val="solid" w:color="000000" w:fill="000000"/>
                <w:fitText w:val="44" w:id="-1300508923"/>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top"/>
          </w:tcPr>
          <w:p w14:paraId="0FF1C35D" w14:textId="77777777" w:rsidR="00E60499" w:rsidRPr="0074058E" w:rsidRDefault="00E60499"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iCs/>
                <w:color w:val="000000"/>
                <w:szCs w:val="20"/>
              </w:rPr>
            </w:pPr>
          </w:p>
          <w:p w14:paraId="63F8DAA4" w14:textId="6BA40F74" w:rsidR="008852FF" w:rsidRPr="0074058E" w:rsidRDefault="009D32BA"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br/>
            </w:r>
            <w:r w:rsidRPr="0074058E">
              <w:rPr>
                <w:rFonts w:cs="Calibri"/>
                <w:b w:val="0"/>
                <w:iCs/>
                <w:color w:val="000000"/>
                <w:szCs w:val="20"/>
              </w:rPr>
              <w:br/>
            </w:r>
            <w:r w:rsidR="008852FF" w:rsidRPr="0074058E">
              <w:rPr>
                <w:rFonts w:cs="Calibri"/>
                <w:b w:val="0"/>
                <w:iCs/>
                <w:color w:val="000000"/>
                <w:szCs w:val="20"/>
              </w:rPr>
              <w:t>0.35</w:t>
            </w:r>
          </w:p>
          <w:p w14:paraId="5CE8A1E3" w14:textId="7C269CB0"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t>0.35</w:t>
            </w:r>
            <w:r w:rsidR="009D32BA" w:rsidRPr="0074058E">
              <w:rPr>
                <w:rFonts w:cs="Calibri"/>
                <w:b w:val="0"/>
                <w:iCs/>
                <w:color w:val="000000"/>
                <w:szCs w:val="20"/>
              </w:rPr>
              <w:br/>
            </w:r>
          </w:p>
          <w:p w14:paraId="63977946" w14:textId="74533C98"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i/>
                <w:iCs/>
                <w:szCs w:val="20"/>
              </w:rPr>
            </w:pPr>
            <w:r w:rsidRPr="0074058E">
              <w:rPr>
                <w:rFonts w:cs="Calibri"/>
                <w:b w:val="0"/>
                <w:iCs/>
                <w:color w:val="000000"/>
                <w:szCs w:val="20"/>
              </w:rPr>
              <w:t>0.3</w:t>
            </w:r>
            <w:r w:rsidR="00820F19" w:rsidRPr="0074058E">
              <w:rPr>
                <w:rFonts w:cs="Calibri"/>
                <w:b w:val="0"/>
                <w:iCs/>
                <w:color w:val="000000"/>
                <w:szCs w:val="20"/>
              </w:rPr>
              <w:t>6</w:t>
            </w:r>
          </w:p>
        </w:tc>
        <w:tc>
          <w:tcPr>
            <w:tcW w:w="723" w:type="pct"/>
            <w:tcBorders>
              <w:top w:val="single" w:sz="4" w:space="0" w:color="auto"/>
              <w:left w:val="single" w:sz="4" w:space="0" w:color="auto"/>
              <w:bottom w:val="single" w:sz="4" w:space="0" w:color="auto"/>
              <w:right w:val="single" w:sz="4" w:space="0" w:color="auto"/>
            </w:tcBorders>
            <w:vAlign w:val="top"/>
          </w:tcPr>
          <w:p w14:paraId="092BA790" w14:textId="77777777" w:rsidR="00E60499" w:rsidRPr="0074058E" w:rsidRDefault="009D32BA"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iCs/>
                <w:color w:val="000000"/>
                <w:szCs w:val="20"/>
              </w:rPr>
            </w:pPr>
            <w:r w:rsidRPr="0074058E">
              <w:rPr>
                <w:rFonts w:cs="Calibri"/>
                <w:b w:val="0"/>
                <w:iCs/>
                <w:color w:val="000000"/>
                <w:szCs w:val="20"/>
              </w:rPr>
              <w:br/>
            </w:r>
          </w:p>
          <w:p w14:paraId="45145D47" w14:textId="28A8C2E5" w:rsidR="008852FF" w:rsidRPr="0074058E" w:rsidRDefault="009D32BA"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br/>
            </w:r>
            <w:r w:rsidR="008852FF" w:rsidRPr="0074058E">
              <w:rPr>
                <w:rFonts w:cs="Calibri"/>
                <w:b w:val="0"/>
                <w:iCs/>
                <w:color w:val="000000"/>
                <w:szCs w:val="20"/>
              </w:rPr>
              <w:t>$</w:t>
            </w:r>
            <w:r w:rsidR="00ED35F2" w:rsidRPr="00663A0C">
              <w:rPr>
                <w:rFonts w:cs="Calibri" w:hint="eastAsia"/>
                <w:iCs/>
                <w:color w:val="000000"/>
                <w:w w:val="15"/>
                <w:szCs w:val="20"/>
                <w:shd w:val="solid" w:color="000000" w:fill="000000"/>
                <w:fitText w:val="11" w:id="-1300508922"/>
                <w14:textFill>
                  <w14:solidFill>
                    <w14:srgbClr w14:val="000000">
                      <w14:alpha w14:val="100000"/>
                    </w14:srgbClr>
                  </w14:solidFill>
                </w14:textFill>
              </w:rPr>
              <w:t xml:space="preserve">　</w:t>
            </w:r>
            <w:r w:rsidR="00ED35F2" w:rsidRPr="00663A0C">
              <w:rPr>
                <w:rFonts w:cs="Calibri"/>
                <w:iCs/>
                <w:color w:val="000000"/>
                <w:w w:val="15"/>
                <w:szCs w:val="20"/>
                <w:shd w:val="solid" w:color="000000" w:fill="000000"/>
                <w:fitText w:val="11" w:id="-1300508922"/>
                <w14:textFill>
                  <w14:solidFill>
                    <w14:srgbClr w14:val="000000">
                      <w14:alpha w14:val="100000"/>
                    </w14:srgbClr>
                  </w14:solidFill>
                </w14:textFill>
              </w:rPr>
              <w:t>|</w:t>
            </w:r>
            <w:r w:rsidR="00ED35F2" w:rsidRPr="00663A0C">
              <w:rPr>
                <w:rFonts w:cs="Calibri" w:hint="eastAsia"/>
                <w:iCs/>
                <w:color w:val="000000"/>
                <w:spacing w:val="-55"/>
                <w:w w:val="15"/>
                <w:szCs w:val="20"/>
                <w:shd w:val="solid" w:color="000000" w:fill="000000"/>
                <w:fitText w:val="11" w:id="-1300508922"/>
                <w14:textFill>
                  <w14:solidFill>
                    <w14:srgbClr w14:val="000000">
                      <w14:alpha w14:val="100000"/>
                    </w14:srgbClr>
                  </w14:solidFill>
                </w14:textFill>
              </w:rPr>
              <w:t xml:space="preserve">　</w:t>
            </w:r>
            <w:r w:rsidR="001341AB">
              <w:rPr>
                <w:rFonts w:cs="Calibri"/>
                <w:b w:val="0"/>
                <w:bCs w:val="0"/>
                <w:iCs/>
                <w:color w:val="000000"/>
                <w:szCs w:val="20"/>
                <w:vertAlign w:val="superscript"/>
              </w:rPr>
              <w:t>1</w:t>
            </w:r>
          </w:p>
          <w:p w14:paraId="394B4762" w14:textId="7F1F7760"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t>$</w:t>
            </w:r>
            <w:r w:rsidR="00ED35F2" w:rsidRPr="00663A0C">
              <w:rPr>
                <w:rFonts w:cs="Calibri" w:hint="eastAsia"/>
                <w:iCs/>
                <w:color w:val="000000"/>
                <w:w w:val="15"/>
                <w:szCs w:val="20"/>
                <w:shd w:val="solid" w:color="000000" w:fill="000000"/>
                <w:fitText w:val="11" w:id="-1300508921"/>
                <w14:textFill>
                  <w14:solidFill>
                    <w14:srgbClr w14:val="000000">
                      <w14:alpha w14:val="100000"/>
                    </w14:srgbClr>
                  </w14:solidFill>
                </w14:textFill>
              </w:rPr>
              <w:t xml:space="preserve">　</w:t>
            </w:r>
            <w:r w:rsidR="00ED35F2" w:rsidRPr="00663A0C">
              <w:rPr>
                <w:rFonts w:cs="Calibri"/>
                <w:iCs/>
                <w:color w:val="000000"/>
                <w:w w:val="15"/>
                <w:szCs w:val="20"/>
                <w:shd w:val="solid" w:color="000000" w:fill="000000"/>
                <w:fitText w:val="11" w:id="-1300508921"/>
                <w14:textFill>
                  <w14:solidFill>
                    <w14:srgbClr w14:val="000000">
                      <w14:alpha w14:val="100000"/>
                    </w14:srgbClr>
                  </w14:solidFill>
                </w14:textFill>
              </w:rPr>
              <w:t>|</w:t>
            </w:r>
            <w:r w:rsidR="00ED35F2" w:rsidRPr="00663A0C">
              <w:rPr>
                <w:rFonts w:cs="Calibri" w:hint="eastAsia"/>
                <w:iCs/>
                <w:color w:val="000000"/>
                <w:spacing w:val="-55"/>
                <w:w w:val="15"/>
                <w:szCs w:val="20"/>
                <w:shd w:val="solid" w:color="000000" w:fill="000000"/>
                <w:fitText w:val="11" w:id="-1300508921"/>
                <w14:textFill>
                  <w14:solidFill>
                    <w14:srgbClr w14:val="000000">
                      <w14:alpha w14:val="100000"/>
                    </w14:srgbClr>
                  </w14:solidFill>
                </w14:textFill>
              </w:rPr>
              <w:t xml:space="preserve">　</w:t>
            </w:r>
            <w:r w:rsidR="001341AB">
              <w:rPr>
                <w:rFonts w:cs="Calibri"/>
                <w:b w:val="0"/>
                <w:bCs w:val="0"/>
                <w:iCs/>
                <w:color w:val="000000"/>
                <w:szCs w:val="20"/>
                <w:vertAlign w:val="superscript"/>
              </w:rPr>
              <w:t>1</w:t>
            </w:r>
            <w:r w:rsidR="009D32BA" w:rsidRPr="0074058E">
              <w:rPr>
                <w:rFonts w:cs="Calibri"/>
                <w:b w:val="0"/>
                <w:iCs/>
                <w:color w:val="000000"/>
                <w:szCs w:val="20"/>
              </w:rPr>
              <w:br/>
            </w:r>
          </w:p>
          <w:p w14:paraId="17FE453C" w14:textId="0F93ACB9"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i/>
                <w:iCs/>
                <w:szCs w:val="20"/>
              </w:rPr>
            </w:pPr>
            <w:r w:rsidRPr="0074058E">
              <w:rPr>
                <w:b w:val="0"/>
                <w:iCs/>
                <w:szCs w:val="20"/>
              </w:rPr>
              <w:t>$</w:t>
            </w:r>
            <w:r w:rsidR="00ED35F2" w:rsidRPr="00663A0C">
              <w:rPr>
                <w:rFonts w:hint="eastAsia"/>
                <w:iCs/>
                <w:color w:val="000000"/>
                <w:w w:val="15"/>
                <w:szCs w:val="20"/>
                <w:shd w:val="solid" w:color="000000" w:fill="000000"/>
                <w:fitText w:val="11" w:id="-1300508920"/>
                <w14:textFill>
                  <w14:solidFill>
                    <w14:srgbClr w14:val="000000">
                      <w14:alpha w14:val="100000"/>
                    </w14:srgbClr>
                  </w14:solidFill>
                </w14:textFill>
              </w:rPr>
              <w:t xml:space="preserve">　</w:t>
            </w:r>
            <w:r w:rsidR="00ED35F2" w:rsidRPr="00663A0C">
              <w:rPr>
                <w:iCs/>
                <w:color w:val="000000"/>
                <w:w w:val="15"/>
                <w:szCs w:val="20"/>
                <w:shd w:val="solid" w:color="000000" w:fill="000000"/>
                <w:fitText w:val="11" w:id="-1300508920"/>
                <w14:textFill>
                  <w14:solidFill>
                    <w14:srgbClr w14:val="000000">
                      <w14:alpha w14:val="100000"/>
                    </w14:srgbClr>
                  </w14:solidFill>
                </w14:textFill>
              </w:rPr>
              <w:t>|</w:t>
            </w:r>
            <w:r w:rsidR="00ED35F2" w:rsidRPr="00663A0C">
              <w:rPr>
                <w:rFonts w:hint="eastAsia"/>
                <w:iCs/>
                <w:color w:val="000000"/>
                <w:spacing w:val="-55"/>
                <w:w w:val="15"/>
                <w:szCs w:val="20"/>
                <w:shd w:val="solid" w:color="000000" w:fill="000000"/>
                <w:fitText w:val="11" w:id="-1300508920"/>
                <w14:textFill>
                  <w14:solidFill>
                    <w14:srgbClr w14:val="000000">
                      <w14:alpha w14:val="100000"/>
                    </w14:srgbClr>
                  </w14:solidFill>
                </w14:textFill>
              </w:rPr>
              <w:t xml:space="preserve">　</w:t>
            </w:r>
            <w:r w:rsidR="001341AB">
              <w:rPr>
                <w:rFonts w:cs="Calibri"/>
                <w:b w:val="0"/>
                <w:bCs w:val="0"/>
                <w:iCs/>
                <w:color w:val="000000"/>
                <w:szCs w:val="20"/>
                <w:vertAlign w:val="superscript"/>
              </w:rPr>
              <w:t>1</w:t>
            </w:r>
          </w:p>
        </w:tc>
        <w:tc>
          <w:tcPr>
            <w:tcW w:w="690" w:type="pct"/>
            <w:tcBorders>
              <w:top w:val="single" w:sz="4" w:space="0" w:color="auto"/>
              <w:left w:val="single" w:sz="4" w:space="0" w:color="auto"/>
              <w:bottom w:val="single" w:sz="4" w:space="0" w:color="auto"/>
              <w:right w:val="single" w:sz="4" w:space="0" w:color="auto"/>
            </w:tcBorders>
            <w:vAlign w:val="top"/>
          </w:tcPr>
          <w:p w14:paraId="131927E6" w14:textId="77777777" w:rsidR="00E60499" w:rsidRPr="0074058E" w:rsidRDefault="00E60499"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iCs/>
                <w:color w:val="000000"/>
                <w:szCs w:val="20"/>
              </w:rPr>
            </w:pPr>
          </w:p>
          <w:p w14:paraId="10B2BEFB" w14:textId="4C1314FE" w:rsidR="008852FF" w:rsidRPr="0074058E" w:rsidRDefault="009D32BA"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br/>
            </w:r>
            <w:r w:rsidRPr="0074058E">
              <w:rPr>
                <w:rFonts w:cs="Calibri"/>
                <w:b w:val="0"/>
                <w:iCs/>
                <w:color w:val="000000"/>
                <w:szCs w:val="20"/>
              </w:rPr>
              <w:br/>
              <w:t>+</w:t>
            </w:r>
            <w:r w:rsidR="008852FF" w:rsidRPr="0074058E">
              <w:rPr>
                <w:rFonts w:cs="Calibri"/>
                <w:b w:val="0"/>
                <w:iCs/>
                <w:color w:val="000000"/>
                <w:szCs w:val="20"/>
              </w:rPr>
              <w:t>4.8%</w:t>
            </w:r>
          </w:p>
          <w:p w14:paraId="34554ECB" w14:textId="3B5E717F" w:rsidR="008852FF" w:rsidRPr="0074058E" w:rsidRDefault="009D32BA" w:rsidP="008852FF">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t>+</w:t>
            </w:r>
            <w:r w:rsidR="008852FF" w:rsidRPr="0074058E">
              <w:rPr>
                <w:rFonts w:cs="Calibri"/>
                <w:b w:val="0"/>
                <w:iCs/>
                <w:color w:val="000000"/>
                <w:szCs w:val="20"/>
              </w:rPr>
              <w:t>4.2%</w:t>
            </w:r>
            <w:r w:rsidRPr="0074058E">
              <w:rPr>
                <w:rFonts w:cs="Calibri"/>
                <w:b w:val="0"/>
                <w:iCs/>
                <w:color w:val="000000"/>
                <w:szCs w:val="20"/>
              </w:rPr>
              <w:br/>
            </w:r>
          </w:p>
          <w:p w14:paraId="47BC90A5" w14:textId="0E0ECACB" w:rsidR="008852FF" w:rsidRPr="0074058E" w:rsidRDefault="008852FF" w:rsidP="008852FF">
            <w:pPr>
              <w:pStyle w:val="TableText"/>
              <w:keepLines/>
              <w:cnfStyle w:val="100000000000" w:firstRow="1" w:lastRow="0" w:firstColumn="0" w:lastColumn="0" w:oddVBand="0" w:evenVBand="0" w:oddHBand="0" w:evenHBand="0" w:firstRowFirstColumn="0" w:firstRowLastColumn="0" w:lastRowFirstColumn="0" w:lastRowLastColumn="0"/>
              <w:rPr>
                <w:b w:val="0"/>
                <w:i/>
                <w:iCs/>
                <w:szCs w:val="20"/>
              </w:rPr>
            </w:pPr>
            <w:r w:rsidRPr="0074058E">
              <w:rPr>
                <w:b w:val="0"/>
                <w:iCs/>
                <w:szCs w:val="20"/>
              </w:rPr>
              <w:t>+</w:t>
            </w:r>
            <w:r w:rsidR="00820F19" w:rsidRPr="0074058E">
              <w:rPr>
                <w:b w:val="0"/>
                <w:iCs/>
                <w:szCs w:val="20"/>
              </w:rPr>
              <w:t>0</w:t>
            </w:r>
            <w:r w:rsidRPr="0074058E">
              <w:rPr>
                <w:b w:val="0"/>
                <w:iCs/>
                <w:szCs w:val="20"/>
              </w:rPr>
              <w:t>.9%</w:t>
            </w:r>
          </w:p>
        </w:tc>
      </w:tr>
      <w:tr w:rsidR="0088142C" w:rsidRPr="0074058E" w14:paraId="5E56F070" w14:textId="77777777" w:rsidTr="00E218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7" w:type="pct"/>
            <w:tcBorders>
              <w:top w:val="single" w:sz="4" w:space="0" w:color="auto"/>
              <w:left w:val="single" w:sz="4" w:space="0" w:color="auto"/>
              <w:bottom w:val="single" w:sz="4" w:space="0" w:color="auto"/>
              <w:right w:val="single" w:sz="4" w:space="0" w:color="auto"/>
            </w:tcBorders>
          </w:tcPr>
          <w:p w14:paraId="03522C1F" w14:textId="77777777" w:rsidR="0088142C" w:rsidRPr="0074058E" w:rsidRDefault="0088142C" w:rsidP="0088142C">
            <w:pPr>
              <w:pStyle w:val="TableText"/>
              <w:jc w:val="left"/>
              <w:rPr>
                <w:b w:val="0"/>
                <w:iCs/>
                <w:szCs w:val="20"/>
              </w:rPr>
            </w:pPr>
            <w:r w:rsidRPr="0074058E">
              <w:rPr>
                <w:b w:val="0"/>
                <w:iCs/>
                <w:szCs w:val="20"/>
              </w:rPr>
              <w:t>Multivariate analysis</w:t>
            </w:r>
          </w:p>
          <w:p w14:paraId="2E3E06F1" w14:textId="110CE0F6" w:rsidR="0088142C" w:rsidRPr="0074058E" w:rsidRDefault="0069055A" w:rsidP="00F659ED">
            <w:pPr>
              <w:pStyle w:val="TableText"/>
              <w:numPr>
                <w:ilvl w:val="0"/>
                <w:numId w:val="16"/>
              </w:numPr>
              <w:ind w:left="459"/>
              <w:jc w:val="left"/>
              <w:rPr>
                <w:b w:val="0"/>
                <w:iCs/>
                <w:szCs w:val="20"/>
              </w:rPr>
            </w:pPr>
            <w:r w:rsidRPr="0074058E">
              <w:rPr>
                <w:b w:val="0"/>
                <w:iCs/>
                <w:szCs w:val="20"/>
              </w:rPr>
              <w:t>o</w:t>
            </w:r>
            <w:r w:rsidR="0088142C" w:rsidRPr="0074058E">
              <w:rPr>
                <w:b w:val="0"/>
                <w:iCs/>
                <w:szCs w:val="20"/>
              </w:rPr>
              <w:t>la+beva arm cure fraction (25.45%) and No KM data used for PFS (as for July 2022 model)</w:t>
            </w:r>
          </w:p>
        </w:tc>
        <w:tc>
          <w:tcPr>
            <w:tcW w:w="662" w:type="pct"/>
            <w:tcBorders>
              <w:top w:val="single" w:sz="4" w:space="0" w:color="auto"/>
              <w:left w:val="single" w:sz="4" w:space="0" w:color="auto"/>
              <w:bottom w:val="single" w:sz="4" w:space="0" w:color="auto"/>
              <w:right w:val="single" w:sz="4" w:space="0" w:color="auto"/>
            </w:tcBorders>
          </w:tcPr>
          <w:p w14:paraId="1C9D1DE6" w14:textId="677EC874" w:rsidR="0088142C" w:rsidRPr="0074058E" w:rsidRDefault="0088142C" w:rsidP="0088142C">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t>$</w:t>
            </w:r>
            <w:r w:rsidR="00ED35F2" w:rsidRPr="00ED35F2">
              <w:rPr>
                <w:rFonts w:cs="Calibri" w:hint="eastAsia"/>
                <w:b w:val="0"/>
                <w:iCs/>
                <w:color w:val="000000"/>
                <w:w w:val="15"/>
                <w:szCs w:val="20"/>
                <w:shd w:val="solid" w:color="000000" w:fill="000000"/>
                <w:fitText w:val="44" w:id="-1300508919"/>
                <w14:textFill>
                  <w14:solidFill>
                    <w14:srgbClr w14:val="000000">
                      <w14:alpha w14:val="100000"/>
                    </w14:srgbClr>
                  </w14:solidFill>
                </w14:textFill>
              </w:rPr>
              <w:t xml:space="preserve">　</w:t>
            </w:r>
            <w:r w:rsidR="00ED35F2" w:rsidRPr="00ED35F2">
              <w:rPr>
                <w:rFonts w:cs="Calibri"/>
                <w:iCs/>
                <w:color w:val="000000"/>
                <w:w w:val="15"/>
                <w:szCs w:val="20"/>
                <w:shd w:val="solid" w:color="000000" w:fill="000000"/>
                <w:fitText w:val="44" w:id="-1300508919"/>
                <w14:textFill>
                  <w14:solidFill>
                    <w14:srgbClr w14:val="000000">
                      <w14:alpha w14:val="100000"/>
                    </w14:srgbClr>
                  </w14:solidFill>
                </w14:textFill>
              </w:rPr>
              <w:t>|</w:t>
            </w:r>
            <w:r w:rsidR="00ED35F2" w:rsidRPr="00ED35F2">
              <w:rPr>
                <w:rFonts w:cs="Calibri" w:hint="eastAsia"/>
                <w:iCs/>
                <w:color w:val="000000"/>
                <w:spacing w:val="-22"/>
                <w:w w:val="15"/>
                <w:szCs w:val="20"/>
                <w:shd w:val="solid" w:color="000000" w:fill="000000"/>
                <w:fitText w:val="44" w:id="-1300508919"/>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tcPr>
          <w:p w14:paraId="5290CBEF" w14:textId="2B11183E" w:rsidR="0088142C" w:rsidRPr="0074058E" w:rsidRDefault="0088142C" w:rsidP="0088142C">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t>0.29</w:t>
            </w:r>
          </w:p>
        </w:tc>
        <w:tc>
          <w:tcPr>
            <w:tcW w:w="723" w:type="pct"/>
            <w:tcBorders>
              <w:top w:val="single" w:sz="4" w:space="0" w:color="auto"/>
              <w:left w:val="single" w:sz="4" w:space="0" w:color="auto"/>
              <w:bottom w:val="single" w:sz="4" w:space="0" w:color="auto"/>
              <w:right w:val="single" w:sz="4" w:space="0" w:color="auto"/>
            </w:tcBorders>
          </w:tcPr>
          <w:p w14:paraId="17EC5F53" w14:textId="5867ED62" w:rsidR="0088142C" w:rsidRPr="0074058E" w:rsidRDefault="0088142C" w:rsidP="0088142C">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t>$</w:t>
            </w:r>
            <w:r w:rsidR="00ED35F2" w:rsidRPr="00663A0C">
              <w:rPr>
                <w:rFonts w:cs="Calibri" w:hint="eastAsia"/>
                <w:iCs/>
                <w:color w:val="000000"/>
                <w:w w:val="15"/>
                <w:szCs w:val="20"/>
                <w:shd w:val="solid" w:color="000000" w:fill="000000"/>
                <w:fitText w:val="11" w:id="-1300508918"/>
                <w14:textFill>
                  <w14:solidFill>
                    <w14:srgbClr w14:val="000000">
                      <w14:alpha w14:val="100000"/>
                    </w14:srgbClr>
                  </w14:solidFill>
                </w14:textFill>
              </w:rPr>
              <w:t xml:space="preserve">　</w:t>
            </w:r>
            <w:r w:rsidR="00ED35F2" w:rsidRPr="00663A0C">
              <w:rPr>
                <w:rFonts w:cs="Calibri"/>
                <w:iCs/>
                <w:color w:val="000000"/>
                <w:w w:val="15"/>
                <w:szCs w:val="20"/>
                <w:shd w:val="solid" w:color="000000" w:fill="000000"/>
                <w:fitText w:val="11" w:id="-1300508918"/>
                <w14:textFill>
                  <w14:solidFill>
                    <w14:srgbClr w14:val="000000">
                      <w14:alpha w14:val="100000"/>
                    </w14:srgbClr>
                  </w14:solidFill>
                </w14:textFill>
              </w:rPr>
              <w:t>|</w:t>
            </w:r>
            <w:r w:rsidR="00ED35F2" w:rsidRPr="00663A0C">
              <w:rPr>
                <w:rFonts w:cs="Calibri" w:hint="eastAsia"/>
                <w:iCs/>
                <w:color w:val="000000"/>
                <w:spacing w:val="-55"/>
                <w:w w:val="15"/>
                <w:szCs w:val="20"/>
                <w:shd w:val="solid" w:color="000000" w:fill="000000"/>
                <w:fitText w:val="11" w:id="-1300508918"/>
                <w14:textFill>
                  <w14:solidFill>
                    <w14:srgbClr w14:val="000000">
                      <w14:alpha w14:val="100000"/>
                    </w14:srgbClr>
                  </w14:solidFill>
                </w14:textFill>
              </w:rPr>
              <w:t xml:space="preserve">　</w:t>
            </w:r>
            <w:r w:rsidR="001341AB">
              <w:rPr>
                <w:rFonts w:cs="Calibri"/>
                <w:b w:val="0"/>
                <w:bCs w:val="0"/>
                <w:iCs/>
                <w:color w:val="000000"/>
                <w:szCs w:val="20"/>
                <w:vertAlign w:val="superscript"/>
              </w:rPr>
              <w:t>1</w:t>
            </w:r>
          </w:p>
        </w:tc>
        <w:tc>
          <w:tcPr>
            <w:tcW w:w="690" w:type="pct"/>
            <w:tcBorders>
              <w:top w:val="single" w:sz="4" w:space="0" w:color="auto"/>
              <w:left w:val="single" w:sz="4" w:space="0" w:color="auto"/>
              <w:bottom w:val="single" w:sz="4" w:space="0" w:color="auto"/>
              <w:right w:val="single" w:sz="4" w:space="0" w:color="auto"/>
            </w:tcBorders>
          </w:tcPr>
          <w:p w14:paraId="6211C246" w14:textId="10C25B02" w:rsidR="0088142C" w:rsidRPr="0074058E" w:rsidRDefault="0088142C" w:rsidP="0088142C">
            <w:pPr>
              <w:pStyle w:val="TableText"/>
              <w:keepLines/>
              <w:cnfStyle w:val="100000000000" w:firstRow="1" w:lastRow="0" w:firstColumn="0" w:lastColumn="0" w:oddVBand="0" w:evenVBand="0" w:oddHBand="0" w:evenHBand="0" w:firstRowFirstColumn="0" w:firstRowLastColumn="0" w:lastRowFirstColumn="0" w:lastRowLastColumn="0"/>
              <w:rPr>
                <w:rFonts w:cs="Calibri"/>
                <w:b w:val="0"/>
                <w:iCs/>
                <w:color w:val="000000"/>
                <w:szCs w:val="20"/>
              </w:rPr>
            </w:pPr>
            <w:r w:rsidRPr="0074058E">
              <w:rPr>
                <w:rFonts w:cs="Calibri"/>
                <w:b w:val="0"/>
                <w:iCs/>
                <w:color w:val="000000"/>
                <w:szCs w:val="20"/>
              </w:rPr>
              <w:t>+26.1%</w:t>
            </w:r>
          </w:p>
        </w:tc>
      </w:tr>
    </w:tbl>
    <w:p w14:paraId="632C6B6B" w14:textId="361EFCAF" w:rsidR="00F24D94" w:rsidRPr="0074058E" w:rsidRDefault="00F24D94" w:rsidP="00F24D94">
      <w:pPr>
        <w:pStyle w:val="TableFigureFooter"/>
      </w:pPr>
      <w:r w:rsidRPr="0074058E">
        <w:t>Source: Attachment 3 LYNPARZA (olaparib) HRDBRCAwt CEM.</w:t>
      </w:r>
    </w:p>
    <w:p w14:paraId="5DD08BB5" w14:textId="649C1968" w:rsidR="0069055A" w:rsidRPr="0074058E" w:rsidRDefault="0069055A" w:rsidP="00F24D94">
      <w:pPr>
        <w:pStyle w:val="TableFigureFooter"/>
      </w:pPr>
      <w:r w:rsidRPr="0074058E">
        <w:t>ola = olaparib, beva = bevacizumab</w:t>
      </w:r>
    </w:p>
    <w:p w14:paraId="5387A5F6" w14:textId="55C43B12" w:rsidR="00CB6C04" w:rsidRDefault="00CB6C04" w:rsidP="00050EA5">
      <w:pPr>
        <w:pStyle w:val="TableFigureFooter"/>
        <w:spacing w:after="0"/>
        <w:rPr>
          <w:iCs/>
          <w:szCs w:val="20"/>
        </w:rPr>
      </w:pPr>
      <w:r w:rsidRPr="0074058E">
        <w:t xml:space="preserve">a </w:t>
      </w:r>
      <w:r w:rsidRPr="0074058E">
        <w:rPr>
          <w:iCs/>
          <w:szCs w:val="20"/>
        </w:rPr>
        <w:t>The inputs on Mixture cure Modelling sheet are P2=18.00%; P3-P4 and C2=17.35% (P2 x 0.9639)</w:t>
      </w:r>
    </w:p>
    <w:p w14:paraId="5B46D4AB" w14:textId="77777777" w:rsidR="001341AB" w:rsidRPr="009A6D58" w:rsidRDefault="001341AB" w:rsidP="00050EA5">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759896D" w14:textId="3015AF84" w:rsidR="001341AB" w:rsidRPr="009A6D58" w:rsidRDefault="001341AB" w:rsidP="00050EA5">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1341AB">
        <w:rPr>
          <w:rFonts w:ascii="Arial Narrow" w:hAnsi="Arial Narrow" w:cs="Arial"/>
          <w:i/>
          <w:sz w:val="18"/>
          <w:szCs w:val="18"/>
        </w:rPr>
        <w:t>$55,000 to &lt; $75,000</w:t>
      </w:r>
    </w:p>
    <w:p w14:paraId="641B124E" w14:textId="13A377CB" w:rsidR="001341AB" w:rsidRPr="0074058E" w:rsidRDefault="001341AB" w:rsidP="00050EA5">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1341AB">
        <w:rPr>
          <w:rFonts w:ascii="Arial Narrow" w:hAnsi="Arial Narrow" w:cs="Arial"/>
          <w:i/>
          <w:sz w:val="18"/>
          <w:szCs w:val="18"/>
        </w:rPr>
        <w:t>$75,000 to &lt; $95,000</w:t>
      </w:r>
    </w:p>
    <w:p w14:paraId="1FAA7620" w14:textId="615CE3C0" w:rsidR="00955D67" w:rsidRPr="0074058E" w:rsidRDefault="00955D67" w:rsidP="00D82AC4">
      <w:pPr>
        <w:pStyle w:val="4-SubsectionHeading"/>
        <w:keepNext/>
      </w:pPr>
      <w:r w:rsidRPr="0074058E">
        <w:t xml:space="preserve">Revised </w:t>
      </w:r>
      <w:r w:rsidR="009340A3" w:rsidRPr="0074058E">
        <w:t>f</w:t>
      </w:r>
      <w:r w:rsidRPr="0074058E">
        <w:t>inancial estimates</w:t>
      </w:r>
    </w:p>
    <w:p w14:paraId="53C193E9" w14:textId="16D83CDC" w:rsidR="002B6EA3" w:rsidRPr="0074058E" w:rsidRDefault="002B6EA3" w:rsidP="002B6EA3">
      <w:pPr>
        <w:pStyle w:val="3-BodyText"/>
        <w:rPr>
          <w:rFonts w:eastAsiaTheme="minorEastAsia"/>
        </w:rPr>
      </w:pPr>
      <w:r w:rsidRPr="0074058E">
        <w:t>The estimated olaparib cost/patient per course for the financial estimates was $</w:t>
      </w:r>
      <w:r w:rsidR="00ED35F2" w:rsidRPr="00B80215">
        <w:rPr>
          <w:color w:val="000000"/>
          <w:w w:val="60"/>
          <w:shd w:val="solid" w:color="000000" w:fill="000000"/>
          <w:fitText w:val="334" w:id="-1300508917"/>
          <w14:textFill>
            <w14:solidFill>
              <w14:srgbClr w14:val="000000">
                <w14:alpha w14:val="100000"/>
              </w14:srgbClr>
            </w14:solidFill>
          </w14:textFill>
        </w:rPr>
        <w:t>||  |</w:t>
      </w:r>
      <w:r w:rsidR="00ED35F2" w:rsidRPr="00B80215">
        <w:rPr>
          <w:color w:val="000000"/>
          <w:spacing w:val="3"/>
          <w:w w:val="60"/>
          <w:shd w:val="solid" w:color="000000" w:fill="000000"/>
          <w:fitText w:val="334" w:id="-1300508917"/>
          <w14:textFill>
            <w14:solidFill>
              <w14:srgbClr w14:val="000000">
                <w14:alpha w14:val="100000"/>
              </w14:srgbClr>
            </w14:solidFill>
          </w14:textFill>
        </w:rPr>
        <w:t>|</w:t>
      </w:r>
      <w:r w:rsidRPr="0074058E">
        <w:t xml:space="preserve">, based on 17.1 months treatment duration (18.58 scripts). </w:t>
      </w:r>
    </w:p>
    <w:p w14:paraId="114260A0" w14:textId="77777777" w:rsidR="00247A04" w:rsidRPr="0074058E" w:rsidRDefault="008A147F" w:rsidP="00247A04">
      <w:pPr>
        <w:pStyle w:val="3-BodyText"/>
      </w:pPr>
      <w:r w:rsidRPr="0074058E">
        <w:t>The resubmission presented revised financial implications using the reduced olaparib price and mean treatment duration.</w:t>
      </w:r>
      <w:r w:rsidR="00247A04" w:rsidRPr="0074058E">
        <w:rPr>
          <w:iCs/>
        </w:rPr>
        <w:t xml:space="preserve"> </w:t>
      </w:r>
    </w:p>
    <w:p w14:paraId="45EB3DE1" w14:textId="18E12B2F" w:rsidR="00247A04" w:rsidRPr="0074058E" w:rsidRDefault="00247A04" w:rsidP="00247A04">
      <w:pPr>
        <w:pStyle w:val="3-BodyText"/>
      </w:pPr>
      <w:bookmarkStart w:id="34" w:name="_Ref119507139"/>
      <w:r w:rsidRPr="0074058E">
        <w:rPr>
          <w:iCs/>
        </w:rPr>
        <w:t xml:space="preserve">There were </w:t>
      </w:r>
      <w:proofErr w:type="gramStart"/>
      <w:r w:rsidRPr="0074058E">
        <w:rPr>
          <w:iCs/>
        </w:rPr>
        <w:t>several</w:t>
      </w:r>
      <w:proofErr w:type="gramEnd"/>
      <w:r w:rsidRPr="0074058E">
        <w:rPr>
          <w:iCs/>
        </w:rPr>
        <w:t xml:space="preserve"> issues with the financial estimates presented in the resubmission:</w:t>
      </w:r>
      <w:bookmarkEnd w:id="34"/>
    </w:p>
    <w:p w14:paraId="6CB1AC30" w14:textId="195EE04B" w:rsidR="00247A04" w:rsidRPr="0074058E" w:rsidRDefault="00247A04" w:rsidP="00247A04">
      <w:pPr>
        <w:pStyle w:val="3-BodyText"/>
        <w:numPr>
          <w:ilvl w:val="0"/>
          <w:numId w:val="9"/>
        </w:numPr>
        <w:ind w:left="993" w:hanging="284"/>
        <w:rPr>
          <w:iCs/>
        </w:rPr>
      </w:pPr>
      <w:r w:rsidRPr="0074058E">
        <w:rPr>
          <w:iCs/>
        </w:rPr>
        <w:lastRenderedPageBreak/>
        <w:t>While the mean duration of treatment for olaparib was used, the median duration for concomitant bevacizumab (from DCO2) was used in the resubmission instead of the mean duration</w:t>
      </w:r>
      <w:r w:rsidR="00197685" w:rsidRPr="0074058E">
        <w:rPr>
          <w:iCs/>
        </w:rPr>
        <w:t xml:space="preserve"> and</w:t>
      </w:r>
      <w:r w:rsidRPr="0074058E">
        <w:rPr>
          <w:iCs/>
        </w:rPr>
        <w:t xml:space="preserve"> the values differed to data presented in the previous submission which was based on the PAOLA-1 CSR DCO2 Table 2828.1 (see </w:t>
      </w:r>
      <w:r w:rsidRPr="0074058E">
        <w:rPr>
          <w:iCs/>
        </w:rPr>
        <w:fldChar w:fldCharType="begin" w:fldLock="1"/>
      </w:r>
      <w:r w:rsidRPr="0074058E">
        <w:rPr>
          <w:iCs/>
        </w:rPr>
        <w:instrText xml:space="preserve"> REF _Ref115439556 \h  \* MERGEFORMAT </w:instrText>
      </w:r>
      <w:r w:rsidRPr="0074058E">
        <w:rPr>
          <w:iCs/>
        </w:rPr>
      </w:r>
      <w:r w:rsidRPr="0074058E">
        <w:rPr>
          <w:iCs/>
        </w:rPr>
        <w:fldChar w:fldCharType="separate"/>
      </w:r>
      <w:r w:rsidR="00ED2FAA" w:rsidRPr="00ED2FAA">
        <w:rPr>
          <w:iCs/>
        </w:rPr>
        <w:t>Table 9</w:t>
      </w:r>
      <w:r w:rsidRPr="0074058E">
        <w:rPr>
          <w:iCs/>
        </w:rPr>
        <w:fldChar w:fldCharType="end"/>
      </w:r>
      <w:r w:rsidRPr="0074058E">
        <w:rPr>
          <w:iCs/>
        </w:rPr>
        <w:t xml:space="preserve">). </w:t>
      </w:r>
    </w:p>
    <w:p w14:paraId="7727AA44" w14:textId="043458F9" w:rsidR="00247A04" w:rsidRPr="0074058E" w:rsidRDefault="00247A04" w:rsidP="00247A04">
      <w:pPr>
        <w:pStyle w:val="3-BodyText"/>
        <w:numPr>
          <w:ilvl w:val="0"/>
          <w:numId w:val="9"/>
        </w:numPr>
        <w:ind w:left="993" w:hanging="284"/>
        <w:rPr>
          <w:iCs/>
        </w:rPr>
      </w:pPr>
      <w:r w:rsidRPr="0074058E">
        <w:rPr>
          <w:iCs/>
        </w:rPr>
        <w:t xml:space="preserve">The resubmission assumed that grandfathered patients would use only an additional 7.97 bevacizumab scripts if olaparib </w:t>
      </w:r>
      <w:proofErr w:type="gramStart"/>
      <w:r w:rsidRPr="0074058E">
        <w:rPr>
          <w:iCs/>
        </w:rPr>
        <w:t>was listed</w:t>
      </w:r>
      <w:proofErr w:type="gramEnd"/>
      <w:r w:rsidRPr="0074058E">
        <w:rPr>
          <w:iCs/>
        </w:rPr>
        <w:t xml:space="preserve"> but assumed an offset of 15.35 scripts of bevacizumab for each grandfathered patient.</w:t>
      </w:r>
    </w:p>
    <w:p w14:paraId="47BBE438" w14:textId="27D8F5E3" w:rsidR="00247A04" w:rsidRPr="0074058E" w:rsidRDefault="00247A04" w:rsidP="00247A04">
      <w:pPr>
        <w:pStyle w:val="3-BodyText"/>
        <w:numPr>
          <w:ilvl w:val="0"/>
          <w:numId w:val="9"/>
        </w:numPr>
        <w:ind w:left="993" w:hanging="284"/>
      </w:pPr>
      <w:r w:rsidRPr="0074058E">
        <w:rPr>
          <w:iCs/>
        </w:rPr>
        <w:t xml:space="preserve">Estimation of concomitant bevacizumab use along with olaparib </w:t>
      </w:r>
      <w:proofErr w:type="gramStart"/>
      <w:r w:rsidRPr="0074058E">
        <w:rPr>
          <w:iCs/>
        </w:rPr>
        <w:t>was inconsistently applied</w:t>
      </w:r>
      <w:proofErr w:type="gramEnd"/>
      <w:r w:rsidRPr="0074058E">
        <w:rPr>
          <w:iCs/>
        </w:rPr>
        <w:t xml:space="preserve"> in the resubmission’s financial estimates, leading to a slight underestimate of concomitant bevacizumab use with olaparib.</w:t>
      </w:r>
    </w:p>
    <w:p w14:paraId="0E2F1961" w14:textId="495DC468" w:rsidR="00247A04" w:rsidRPr="0074058E" w:rsidRDefault="00247A04" w:rsidP="00247A04">
      <w:pPr>
        <w:pStyle w:val="3-BodyText"/>
        <w:numPr>
          <w:ilvl w:val="0"/>
          <w:numId w:val="9"/>
        </w:numPr>
        <w:ind w:left="993" w:hanging="284"/>
      </w:pPr>
      <w:r w:rsidRPr="0074058E">
        <w:rPr>
          <w:iCs/>
        </w:rPr>
        <w:t xml:space="preserve">While the co-payment for general-ordinary services </w:t>
      </w:r>
      <w:proofErr w:type="gramStart"/>
      <w:r w:rsidRPr="0074058E">
        <w:rPr>
          <w:iCs/>
        </w:rPr>
        <w:t>were updated</w:t>
      </w:r>
      <w:proofErr w:type="gramEnd"/>
      <w:r w:rsidRPr="0074058E">
        <w:rPr>
          <w:iCs/>
        </w:rPr>
        <w:t>, the co-payment for general-safety net, RPBS – ordinary and concessional – ordinary services were not updated in the resubmission.</w:t>
      </w:r>
    </w:p>
    <w:p w14:paraId="3FED5A55" w14:textId="77777777" w:rsidR="00247A04" w:rsidRPr="0074058E" w:rsidRDefault="00247A04" w:rsidP="00247A04">
      <w:pPr>
        <w:pStyle w:val="3-BodyText"/>
        <w:numPr>
          <w:ilvl w:val="0"/>
          <w:numId w:val="9"/>
        </w:numPr>
        <w:ind w:left="993" w:hanging="284"/>
      </w:pPr>
      <w:r w:rsidRPr="0074058E">
        <w:rPr>
          <w:iCs/>
        </w:rPr>
        <w:t xml:space="preserve">None of the issues in the calculation of the financial estimates identified during the evaluation of the previous submission (paragraphs 6.96 and 6.97, 6.07 olaparib PSD, July 2022 PBAC meeting) </w:t>
      </w:r>
      <w:proofErr w:type="gramStart"/>
      <w:r w:rsidRPr="0074058E">
        <w:rPr>
          <w:iCs/>
        </w:rPr>
        <w:t>were addressed</w:t>
      </w:r>
      <w:proofErr w:type="gramEnd"/>
      <w:r w:rsidRPr="0074058E">
        <w:rPr>
          <w:iCs/>
        </w:rPr>
        <w:t xml:space="preserve"> in the resubmission. </w:t>
      </w:r>
    </w:p>
    <w:p w14:paraId="0FAF3C48" w14:textId="43C346D3" w:rsidR="00247A04" w:rsidRPr="0074058E" w:rsidRDefault="00247A04" w:rsidP="00247A04">
      <w:pPr>
        <w:pStyle w:val="Caption"/>
        <w:spacing w:after="0"/>
        <w:rPr>
          <w:rFonts w:ascii="Arial Narrow" w:hAnsi="Arial Narrow"/>
          <w:b/>
          <w:bCs/>
          <w:i w:val="0"/>
          <w:iCs w:val="0"/>
          <w:sz w:val="20"/>
          <w:szCs w:val="20"/>
        </w:rPr>
      </w:pPr>
      <w:bookmarkStart w:id="35" w:name="_Ref115439556"/>
      <w:r w:rsidRPr="0074058E">
        <w:rPr>
          <w:rFonts w:ascii="Arial Narrow" w:hAnsi="Arial Narrow"/>
          <w:b/>
          <w:bCs/>
          <w:i w:val="0"/>
          <w:iCs w:val="0"/>
          <w:sz w:val="20"/>
          <w:szCs w:val="20"/>
        </w:rPr>
        <w:t xml:space="preserve">Table </w:t>
      </w:r>
      <w:r w:rsidRPr="0074058E">
        <w:rPr>
          <w:rFonts w:ascii="Arial Narrow" w:hAnsi="Arial Narrow"/>
          <w:b/>
          <w:bCs/>
          <w:i w:val="0"/>
          <w:iCs w:val="0"/>
          <w:sz w:val="20"/>
          <w:szCs w:val="20"/>
        </w:rPr>
        <w:fldChar w:fldCharType="begin" w:fldLock="1"/>
      </w:r>
      <w:r w:rsidRPr="0074058E">
        <w:rPr>
          <w:rFonts w:ascii="Arial Narrow" w:hAnsi="Arial Narrow"/>
          <w:b/>
          <w:bCs/>
          <w:i w:val="0"/>
          <w:iCs w:val="0"/>
          <w:sz w:val="20"/>
          <w:szCs w:val="20"/>
        </w:rPr>
        <w:instrText xml:space="preserve"> SEQ Table \* ARABIC </w:instrText>
      </w:r>
      <w:r w:rsidRPr="0074058E">
        <w:rPr>
          <w:rFonts w:ascii="Arial Narrow" w:hAnsi="Arial Narrow"/>
          <w:b/>
          <w:bCs/>
          <w:i w:val="0"/>
          <w:iCs w:val="0"/>
          <w:sz w:val="20"/>
          <w:szCs w:val="20"/>
        </w:rPr>
        <w:fldChar w:fldCharType="separate"/>
      </w:r>
      <w:r w:rsidR="00ED2FAA">
        <w:rPr>
          <w:rFonts w:ascii="Arial Narrow" w:hAnsi="Arial Narrow"/>
          <w:b/>
          <w:bCs/>
          <w:i w:val="0"/>
          <w:iCs w:val="0"/>
          <w:noProof/>
          <w:sz w:val="20"/>
          <w:szCs w:val="20"/>
        </w:rPr>
        <w:t>9</w:t>
      </w:r>
      <w:r w:rsidRPr="0074058E">
        <w:rPr>
          <w:rFonts w:ascii="Arial Narrow" w:hAnsi="Arial Narrow"/>
          <w:b/>
          <w:bCs/>
          <w:i w:val="0"/>
          <w:iCs w:val="0"/>
          <w:sz w:val="20"/>
          <w:szCs w:val="20"/>
        </w:rPr>
        <w:fldChar w:fldCharType="end"/>
      </w:r>
      <w:bookmarkEnd w:id="35"/>
      <w:r w:rsidRPr="0074058E">
        <w:rPr>
          <w:rFonts w:ascii="Arial Narrow" w:hAnsi="Arial Narrow"/>
          <w:b/>
          <w:bCs/>
          <w:i w:val="0"/>
          <w:iCs w:val="0"/>
          <w:sz w:val="20"/>
          <w:szCs w:val="20"/>
        </w:rPr>
        <w:t>: Comparison of treatment duration assumed in resubmission with data provided in previous submission</w:t>
      </w:r>
    </w:p>
    <w:tbl>
      <w:tblPr>
        <w:tblStyle w:val="TableGrid"/>
        <w:tblW w:w="5000" w:type="pct"/>
        <w:tblInd w:w="-5" w:type="dxa"/>
        <w:tblLook w:val="04A0" w:firstRow="1" w:lastRow="0" w:firstColumn="1" w:lastColumn="0" w:noHBand="0" w:noVBand="1"/>
      </w:tblPr>
      <w:tblGrid>
        <w:gridCol w:w="1307"/>
        <w:gridCol w:w="988"/>
        <w:gridCol w:w="988"/>
        <w:gridCol w:w="1433"/>
        <w:gridCol w:w="1275"/>
        <w:gridCol w:w="1592"/>
        <w:gridCol w:w="1433"/>
      </w:tblGrid>
      <w:tr w:rsidR="00247A04" w:rsidRPr="0074058E" w14:paraId="4ECA04E1" w14:textId="77777777" w:rsidTr="008D2D3F">
        <w:tc>
          <w:tcPr>
            <w:tcW w:w="1307" w:type="dxa"/>
          </w:tcPr>
          <w:p w14:paraId="50A861FC" w14:textId="77777777" w:rsidR="00247A04" w:rsidRPr="0074058E" w:rsidRDefault="00247A04" w:rsidP="008D2D3F">
            <w:pPr>
              <w:pStyle w:val="3-BodyText"/>
              <w:keepNext/>
              <w:keepLines/>
              <w:numPr>
                <w:ilvl w:val="0"/>
                <w:numId w:val="0"/>
              </w:numPr>
              <w:spacing w:after="0"/>
              <w:rPr>
                <w:rFonts w:ascii="Arial Narrow" w:hAnsi="Arial Narrow"/>
                <w:sz w:val="20"/>
                <w:szCs w:val="20"/>
              </w:rPr>
            </w:pPr>
          </w:p>
        </w:tc>
        <w:tc>
          <w:tcPr>
            <w:tcW w:w="1976" w:type="dxa"/>
            <w:gridSpan w:val="2"/>
          </w:tcPr>
          <w:p w14:paraId="66C3D37E" w14:textId="77777777" w:rsidR="00247A04" w:rsidRPr="0074058E" w:rsidRDefault="00247A04" w:rsidP="008D2D3F">
            <w:pPr>
              <w:pStyle w:val="3-BodyText"/>
              <w:keepNext/>
              <w:keepLines/>
              <w:numPr>
                <w:ilvl w:val="0"/>
                <w:numId w:val="0"/>
              </w:numPr>
              <w:spacing w:after="0"/>
              <w:jc w:val="center"/>
              <w:rPr>
                <w:rFonts w:ascii="Arial Narrow" w:hAnsi="Arial Narrow"/>
                <w:b/>
                <w:bCs/>
                <w:sz w:val="20"/>
                <w:szCs w:val="20"/>
              </w:rPr>
            </w:pPr>
            <w:r w:rsidRPr="0074058E">
              <w:rPr>
                <w:rFonts w:ascii="Arial Narrow" w:hAnsi="Arial Narrow"/>
                <w:b/>
                <w:bCs/>
                <w:sz w:val="20"/>
                <w:szCs w:val="20"/>
              </w:rPr>
              <w:t>Estimates from resubmission’s economic model</w:t>
            </w:r>
          </w:p>
        </w:tc>
        <w:tc>
          <w:tcPr>
            <w:tcW w:w="2708" w:type="dxa"/>
            <w:gridSpan w:val="2"/>
            <w:vAlign w:val="center"/>
          </w:tcPr>
          <w:p w14:paraId="0195658A" w14:textId="77777777" w:rsidR="00247A04" w:rsidRPr="0074058E" w:rsidRDefault="00247A04" w:rsidP="008D2D3F">
            <w:pPr>
              <w:pStyle w:val="3-BodyText"/>
              <w:keepNext/>
              <w:keepLines/>
              <w:numPr>
                <w:ilvl w:val="0"/>
                <w:numId w:val="0"/>
              </w:numPr>
              <w:spacing w:after="0"/>
              <w:jc w:val="center"/>
              <w:rPr>
                <w:rFonts w:ascii="Arial Narrow" w:hAnsi="Arial Narrow"/>
                <w:b/>
                <w:bCs/>
                <w:sz w:val="20"/>
                <w:szCs w:val="20"/>
                <w:vertAlign w:val="superscript"/>
              </w:rPr>
            </w:pPr>
            <w:r w:rsidRPr="0074058E">
              <w:rPr>
                <w:rFonts w:ascii="Arial Narrow" w:hAnsi="Arial Narrow"/>
                <w:b/>
                <w:bCs/>
                <w:sz w:val="20"/>
                <w:szCs w:val="20"/>
              </w:rPr>
              <w:t xml:space="preserve">Used in resubmission’s financial estimates </w:t>
            </w:r>
            <w:r w:rsidRPr="0074058E">
              <w:rPr>
                <w:rFonts w:ascii="Arial Narrow" w:hAnsi="Arial Narrow"/>
                <w:b/>
                <w:bCs/>
                <w:sz w:val="20"/>
                <w:szCs w:val="20"/>
                <w:vertAlign w:val="superscript"/>
              </w:rPr>
              <w:t>a</w:t>
            </w:r>
          </w:p>
        </w:tc>
        <w:tc>
          <w:tcPr>
            <w:tcW w:w="3025" w:type="dxa"/>
            <w:gridSpan w:val="2"/>
            <w:vAlign w:val="center"/>
          </w:tcPr>
          <w:p w14:paraId="5B650DA9" w14:textId="77777777" w:rsidR="00247A04" w:rsidRPr="0074058E" w:rsidRDefault="00247A04" w:rsidP="008D2D3F">
            <w:pPr>
              <w:pStyle w:val="3-BodyText"/>
              <w:keepNext/>
              <w:keepLines/>
              <w:numPr>
                <w:ilvl w:val="0"/>
                <w:numId w:val="0"/>
              </w:numPr>
              <w:spacing w:after="0"/>
              <w:jc w:val="center"/>
              <w:rPr>
                <w:rFonts w:ascii="Arial Narrow" w:hAnsi="Arial Narrow"/>
                <w:b/>
                <w:bCs/>
                <w:sz w:val="20"/>
                <w:szCs w:val="20"/>
              </w:rPr>
            </w:pPr>
            <w:r w:rsidRPr="0074058E">
              <w:rPr>
                <w:rFonts w:ascii="Arial Narrow" w:hAnsi="Arial Narrow"/>
                <w:b/>
                <w:bCs/>
                <w:sz w:val="20"/>
                <w:szCs w:val="20"/>
              </w:rPr>
              <w:t>Table 2828.1, DCO2 (presented with previous submission)</w:t>
            </w:r>
          </w:p>
        </w:tc>
      </w:tr>
      <w:tr w:rsidR="00247A04" w:rsidRPr="0074058E" w14:paraId="6CEF8C93" w14:textId="77777777" w:rsidTr="008D2D3F">
        <w:tc>
          <w:tcPr>
            <w:tcW w:w="1307" w:type="dxa"/>
          </w:tcPr>
          <w:p w14:paraId="372A140A" w14:textId="77777777" w:rsidR="00247A04" w:rsidRPr="0074058E" w:rsidRDefault="00247A04" w:rsidP="008D2D3F">
            <w:pPr>
              <w:pStyle w:val="3-BodyText"/>
              <w:keepNext/>
              <w:keepLines/>
              <w:numPr>
                <w:ilvl w:val="0"/>
                <w:numId w:val="0"/>
              </w:numPr>
              <w:spacing w:after="0"/>
              <w:rPr>
                <w:rFonts w:ascii="Arial Narrow" w:hAnsi="Arial Narrow"/>
                <w:sz w:val="20"/>
                <w:szCs w:val="20"/>
              </w:rPr>
            </w:pPr>
          </w:p>
        </w:tc>
        <w:tc>
          <w:tcPr>
            <w:tcW w:w="988" w:type="dxa"/>
            <w:vAlign w:val="center"/>
          </w:tcPr>
          <w:p w14:paraId="644F977A"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Ola + Beva</w:t>
            </w:r>
          </w:p>
        </w:tc>
        <w:tc>
          <w:tcPr>
            <w:tcW w:w="988" w:type="dxa"/>
            <w:vAlign w:val="center"/>
          </w:tcPr>
          <w:p w14:paraId="5C7306F9"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Ola + Beva</w:t>
            </w:r>
          </w:p>
        </w:tc>
        <w:tc>
          <w:tcPr>
            <w:tcW w:w="1433" w:type="dxa"/>
            <w:vAlign w:val="center"/>
          </w:tcPr>
          <w:p w14:paraId="43DF6EA0"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Ola + Beva</w:t>
            </w:r>
          </w:p>
        </w:tc>
        <w:tc>
          <w:tcPr>
            <w:tcW w:w="1275" w:type="dxa"/>
            <w:vAlign w:val="center"/>
          </w:tcPr>
          <w:p w14:paraId="6DA3C6BD"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Ola + Beva</w:t>
            </w:r>
          </w:p>
        </w:tc>
        <w:tc>
          <w:tcPr>
            <w:tcW w:w="1592" w:type="dxa"/>
            <w:vAlign w:val="center"/>
          </w:tcPr>
          <w:p w14:paraId="3F0C3FF7"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Ola + Beva</w:t>
            </w:r>
          </w:p>
        </w:tc>
        <w:tc>
          <w:tcPr>
            <w:tcW w:w="1433" w:type="dxa"/>
            <w:vAlign w:val="center"/>
          </w:tcPr>
          <w:p w14:paraId="53FEB195"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Ola + Beva</w:t>
            </w:r>
          </w:p>
        </w:tc>
      </w:tr>
      <w:tr w:rsidR="00247A04" w:rsidRPr="0074058E" w14:paraId="008D006B" w14:textId="77777777" w:rsidTr="008D2D3F">
        <w:tc>
          <w:tcPr>
            <w:tcW w:w="1307" w:type="dxa"/>
            <w:vAlign w:val="center"/>
          </w:tcPr>
          <w:p w14:paraId="3CF0CF60" w14:textId="77777777" w:rsidR="00247A04" w:rsidRPr="0074058E" w:rsidRDefault="00247A04" w:rsidP="008D2D3F">
            <w:pPr>
              <w:pStyle w:val="3-BodyText"/>
              <w:keepNext/>
              <w:keepLines/>
              <w:numPr>
                <w:ilvl w:val="0"/>
                <w:numId w:val="0"/>
              </w:numPr>
              <w:spacing w:after="0"/>
              <w:jc w:val="left"/>
              <w:rPr>
                <w:rFonts w:ascii="Arial Narrow" w:hAnsi="Arial Narrow"/>
                <w:sz w:val="20"/>
                <w:szCs w:val="20"/>
              </w:rPr>
            </w:pPr>
            <w:r w:rsidRPr="0074058E">
              <w:rPr>
                <w:rFonts w:ascii="Arial Narrow" w:hAnsi="Arial Narrow"/>
                <w:sz w:val="20"/>
                <w:szCs w:val="20"/>
              </w:rPr>
              <w:t>Olaparib (months)</w:t>
            </w:r>
          </w:p>
        </w:tc>
        <w:tc>
          <w:tcPr>
            <w:tcW w:w="988" w:type="dxa"/>
            <w:vAlign w:val="center"/>
          </w:tcPr>
          <w:p w14:paraId="7D5065F8"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17.079</w:t>
            </w:r>
          </w:p>
        </w:tc>
        <w:tc>
          <w:tcPr>
            <w:tcW w:w="988" w:type="dxa"/>
            <w:vAlign w:val="center"/>
          </w:tcPr>
          <w:p w14:paraId="1064E1F8"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w:t>
            </w:r>
          </w:p>
        </w:tc>
        <w:tc>
          <w:tcPr>
            <w:tcW w:w="1433" w:type="dxa"/>
            <w:vAlign w:val="center"/>
          </w:tcPr>
          <w:p w14:paraId="093D98C6"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 xml:space="preserve">17.1 </w:t>
            </w:r>
          </w:p>
        </w:tc>
        <w:tc>
          <w:tcPr>
            <w:tcW w:w="1275" w:type="dxa"/>
            <w:vAlign w:val="center"/>
          </w:tcPr>
          <w:p w14:paraId="1B1AA7D1"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w:t>
            </w:r>
          </w:p>
        </w:tc>
        <w:tc>
          <w:tcPr>
            <w:tcW w:w="1592" w:type="dxa"/>
            <w:vAlign w:val="center"/>
          </w:tcPr>
          <w:p w14:paraId="68A4C621"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Mean 16.9426</w:t>
            </w:r>
          </w:p>
          <w:p w14:paraId="1451CB97"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Median: 21.552</w:t>
            </w:r>
          </w:p>
        </w:tc>
        <w:tc>
          <w:tcPr>
            <w:tcW w:w="1433" w:type="dxa"/>
            <w:vAlign w:val="center"/>
          </w:tcPr>
          <w:p w14:paraId="20FC0D0A"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w:t>
            </w:r>
          </w:p>
        </w:tc>
      </w:tr>
      <w:tr w:rsidR="00247A04" w:rsidRPr="0074058E" w14:paraId="4E85AA1F" w14:textId="77777777" w:rsidTr="008D2D3F">
        <w:tc>
          <w:tcPr>
            <w:tcW w:w="1307" w:type="dxa"/>
            <w:vAlign w:val="center"/>
          </w:tcPr>
          <w:p w14:paraId="3C55BCCC" w14:textId="77777777" w:rsidR="00247A04" w:rsidRPr="0074058E" w:rsidRDefault="00247A04" w:rsidP="008D2D3F">
            <w:pPr>
              <w:pStyle w:val="3-BodyText"/>
              <w:keepNext/>
              <w:keepLines/>
              <w:numPr>
                <w:ilvl w:val="0"/>
                <w:numId w:val="0"/>
              </w:numPr>
              <w:spacing w:after="0"/>
              <w:jc w:val="left"/>
              <w:rPr>
                <w:rFonts w:ascii="Arial Narrow" w:hAnsi="Arial Narrow"/>
                <w:sz w:val="20"/>
                <w:szCs w:val="20"/>
              </w:rPr>
            </w:pPr>
            <w:r w:rsidRPr="0074058E">
              <w:rPr>
                <w:rFonts w:ascii="Arial Narrow" w:hAnsi="Arial Narrow"/>
                <w:sz w:val="20"/>
                <w:szCs w:val="20"/>
              </w:rPr>
              <w:t>Bevacizumab (months)</w:t>
            </w:r>
          </w:p>
        </w:tc>
        <w:tc>
          <w:tcPr>
            <w:tcW w:w="988" w:type="dxa"/>
            <w:vAlign w:val="center"/>
          </w:tcPr>
          <w:p w14:paraId="4038B33B" w14:textId="77777777" w:rsidR="00247A04" w:rsidRPr="0074058E" w:rsidRDefault="00247A04" w:rsidP="008D2D3F">
            <w:pPr>
              <w:pStyle w:val="3-BodyText"/>
              <w:keepNext/>
              <w:keepLines/>
              <w:numPr>
                <w:ilvl w:val="0"/>
                <w:numId w:val="0"/>
              </w:numPr>
              <w:spacing w:after="0"/>
              <w:jc w:val="center"/>
              <w:rPr>
                <w:rFonts w:ascii="Arial Narrow" w:hAnsi="Arial Narrow"/>
                <w:iCs/>
                <w:sz w:val="20"/>
                <w:szCs w:val="20"/>
                <w:vertAlign w:val="superscript"/>
              </w:rPr>
            </w:pPr>
            <w:r w:rsidRPr="0074058E">
              <w:rPr>
                <w:rFonts w:ascii="Arial Narrow" w:hAnsi="Arial Narrow"/>
                <w:iCs/>
                <w:sz w:val="20"/>
                <w:szCs w:val="20"/>
              </w:rPr>
              <w:t xml:space="preserve">9.865 </w:t>
            </w:r>
            <w:r w:rsidRPr="0074058E">
              <w:rPr>
                <w:rFonts w:ascii="Arial Narrow" w:hAnsi="Arial Narrow"/>
                <w:iCs/>
                <w:sz w:val="20"/>
                <w:szCs w:val="20"/>
                <w:vertAlign w:val="superscript"/>
              </w:rPr>
              <w:t>b</w:t>
            </w:r>
          </w:p>
        </w:tc>
        <w:tc>
          <w:tcPr>
            <w:tcW w:w="988" w:type="dxa"/>
            <w:vAlign w:val="center"/>
          </w:tcPr>
          <w:p w14:paraId="5A40AA8F" w14:textId="77777777" w:rsidR="00247A04" w:rsidRPr="0074058E" w:rsidRDefault="00247A04" w:rsidP="008D2D3F">
            <w:pPr>
              <w:pStyle w:val="3-BodyText"/>
              <w:keepNext/>
              <w:keepLines/>
              <w:numPr>
                <w:ilvl w:val="0"/>
                <w:numId w:val="0"/>
              </w:numPr>
              <w:spacing w:after="0"/>
              <w:jc w:val="center"/>
              <w:rPr>
                <w:rFonts w:ascii="Arial Narrow" w:hAnsi="Arial Narrow"/>
                <w:iCs/>
                <w:sz w:val="20"/>
                <w:szCs w:val="20"/>
                <w:vertAlign w:val="superscript"/>
              </w:rPr>
            </w:pPr>
            <w:r w:rsidRPr="0074058E">
              <w:rPr>
                <w:rFonts w:ascii="Arial Narrow" w:hAnsi="Arial Narrow"/>
                <w:iCs/>
                <w:sz w:val="20"/>
                <w:szCs w:val="20"/>
              </w:rPr>
              <w:t>9.037</w:t>
            </w:r>
            <w:r w:rsidRPr="0074058E">
              <w:rPr>
                <w:rFonts w:ascii="Arial Narrow" w:hAnsi="Arial Narrow"/>
                <w:iCs/>
                <w:sz w:val="20"/>
                <w:szCs w:val="20"/>
                <w:vertAlign w:val="superscript"/>
              </w:rPr>
              <w:t>c</w:t>
            </w:r>
          </w:p>
        </w:tc>
        <w:tc>
          <w:tcPr>
            <w:tcW w:w="1433" w:type="dxa"/>
            <w:vAlign w:val="center"/>
          </w:tcPr>
          <w:p w14:paraId="7DDC1EC4"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 xml:space="preserve">11.0 </w:t>
            </w:r>
          </w:p>
        </w:tc>
        <w:tc>
          <w:tcPr>
            <w:tcW w:w="1275" w:type="dxa"/>
            <w:vAlign w:val="center"/>
          </w:tcPr>
          <w:p w14:paraId="009537D9"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10.6</w:t>
            </w:r>
          </w:p>
        </w:tc>
        <w:tc>
          <w:tcPr>
            <w:tcW w:w="1592" w:type="dxa"/>
            <w:vAlign w:val="center"/>
          </w:tcPr>
          <w:p w14:paraId="778C3002"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Mean 10.319</w:t>
            </w:r>
          </w:p>
          <w:p w14:paraId="581AB510"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Median 11.039</w:t>
            </w:r>
          </w:p>
        </w:tc>
        <w:tc>
          <w:tcPr>
            <w:tcW w:w="1433" w:type="dxa"/>
            <w:vAlign w:val="center"/>
          </w:tcPr>
          <w:p w14:paraId="13A10141"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Mean 9.598</w:t>
            </w:r>
          </w:p>
          <w:p w14:paraId="22B9D74F" w14:textId="77777777" w:rsidR="00247A04" w:rsidRPr="0074058E" w:rsidRDefault="00247A04" w:rsidP="008D2D3F">
            <w:pPr>
              <w:pStyle w:val="3-BodyText"/>
              <w:keepNext/>
              <w:keepLines/>
              <w:numPr>
                <w:ilvl w:val="0"/>
                <w:numId w:val="0"/>
              </w:numPr>
              <w:spacing w:after="0"/>
              <w:jc w:val="center"/>
              <w:rPr>
                <w:rFonts w:ascii="Arial Narrow" w:hAnsi="Arial Narrow"/>
                <w:sz w:val="20"/>
                <w:szCs w:val="20"/>
              </w:rPr>
            </w:pPr>
            <w:r w:rsidRPr="0074058E">
              <w:rPr>
                <w:rFonts w:ascii="Arial Narrow" w:hAnsi="Arial Narrow"/>
                <w:sz w:val="20"/>
                <w:szCs w:val="20"/>
              </w:rPr>
              <w:t>Median 10.218</w:t>
            </w:r>
          </w:p>
        </w:tc>
      </w:tr>
    </w:tbl>
    <w:p w14:paraId="78DC387B" w14:textId="77777777" w:rsidR="00247A04" w:rsidRPr="0074058E" w:rsidRDefault="00247A04" w:rsidP="00247A04">
      <w:pPr>
        <w:pStyle w:val="TableFigureFooter"/>
        <w:keepNext/>
        <w:keepLines/>
        <w:rPr>
          <w:iCs/>
        </w:rPr>
      </w:pPr>
      <w:r w:rsidRPr="0074058E">
        <w:t xml:space="preserve">Beva = bevacizumab, Ola = olaparib </w:t>
      </w:r>
    </w:p>
    <w:p w14:paraId="336FC2FE" w14:textId="77777777" w:rsidR="00247A04" w:rsidRPr="0074058E" w:rsidRDefault="00247A04" w:rsidP="00247A04">
      <w:pPr>
        <w:pStyle w:val="TableFigureFooter"/>
        <w:keepNext/>
        <w:keepLines/>
        <w:rPr>
          <w:iCs/>
        </w:rPr>
      </w:pPr>
      <w:r w:rsidRPr="0074058E">
        <w:t xml:space="preserve">a Resubmission claims mean values </w:t>
      </w:r>
      <w:proofErr w:type="gramStart"/>
      <w:r w:rsidRPr="0074058E">
        <w:t>were used</w:t>
      </w:r>
      <w:proofErr w:type="gramEnd"/>
    </w:p>
    <w:p w14:paraId="61984AEF" w14:textId="77777777" w:rsidR="00247A04" w:rsidRPr="0074058E" w:rsidRDefault="00247A04" w:rsidP="00247A04">
      <w:pPr>
        <w:pStyle w:val="TableFigureFooter"/>
        <w:keepNext/>
        <w:keepLines/>
        <w:rPr>
          <w:iCs/>
        </w:rPr>
      </w:pPr>
      <w:r w:rsidRPr="0074058E">
        <w:t xml:space="preserve">b Economic model assumed 14.3 infusions of bevacizumab based on number of bevacizumab doses post randomisation (i.e. maintenance only) in PAOLA-1 among HRD + </w:t>
      </w:r>
      <w:r w:rsidRPr="0074058E">
        <w:rPr>
          <w:i/>
          <w:iCs/>
        </w:rPr>
        <w:t>BRCA</w:t>
      </w:r>
      <w:r w:rsidRPr="0074058E">
        <w:t>wt patients. Back calculated assuming 30.44 days in a month as in financial model</w:t>
      </w:r>
    </w:p>
    <w:p w14:paraId="2A7FA9AA" w14:textId="77777777" w:rsidR="00247A04" w:rsidRPr="0074058E" w:rsidRDefault="00247A04" w:rsidP="00247A04">
      <w:pPr>
        <w:pStyle w:val="TableFigureFooter"/>
        <w:keepNext/>
        <w:keepLines/>
        <w:rPr>
          <w:iCs/>
        </w:rPr>
      </w:pPr>
      <w:r w:rsidRPr="0074058E">
        <w:t xml:space="preserve">c Economic model assumed 13.1 infusions of bevacizumab based on number of bevacizumab doses post randomisation (i.e. maintenance only) in PAOLA-1 among HRD + </w:t>
      </w:r>
      <w:r w:rsidRPr="0074058E">
        <w:rPr>
          <w:i/>
          <w:iCs/>
        </w:rPr>
        <w:t>BRCA</w:t>
      </w:r>
      <w:r w:rsidRPr="0074058E">
        <w:t>wt patients. Back calculated assuming 30.44 days in a month as in financial model.</w:t>
      </w:r>
    </w:p>
    <w:p w14:paraId="7E9C9561" w14:textId="77777777" w:rsidR="00247A04" w:rsidRPr="0074058E" w:rsidRDefault="00247A04" w:rsidP="00247A04">
      <w:pPr>
        <w:pStyle w:val="TableFigureFooter"/>
        <w:keepNext/>
        <w:keepLines/>
        <w:rPr>
          <w:iCs/>
        </w:rPr>
      </w:pPr>
      <w:r w:rsidRPr="0074058E">
        <w:t>Source: Attachment 4 to the resubmission and PAOLA-1 CSR DCO2 Table 2828.1 (Other Attachment_Section4 to previous submission)</w:t>
      </w:r>
    </w:p>
    <w:p w14:paraId="3F67F778" w14:textId="5C5A4260" w:rsidR="008A147F" w:rsidRPr="0074058E" w:rsidRDefault="00197685" w:rsidP="00663A59">
      <w:pPr>
        <w:pStyle w:val="3-BodyText"/>
      </w:pPr>
      <w:r w:rsidRPr="0074058E">
        <w:rPr>
          <w:iCs/>
        </w:rPr>
        <w:t>Correcting</w:t>
      </w:r>
      <w:r w:rsidR="00247A04" w:rsidRPr="0074058E">
        <w:rPr>
          <w:iCs/>
        </w:rPr>
        <w:t xml:space="preserve"> the issues above, the financial estimates </w:t>
      </w:r>
      <w:proofErr w:type="gramStart"/>
      <w:r w:rsidR="00247A04" w:rsidRPr="0074058E">
        <w:rPr>
          <w:iCs/>
        </w:rPr>
        <w:t>were revised</w:t>
      </w:r>
      <w:proofErr w:type="gramEnd"/>
      <w:r w:rsidR="00247A04" w:rsidRPr="0074058E">
        <w:rPr>
          <w:iCs/>
        </w:rPr>
        <w:t xml:space="preserve"> as shown in </w:t>
      </w:r>
      <w:r w:rsidR="00247A04" w:rsidRPr="0074058E">
        <w:rPr>
          <w:iCs/>
        </w:rPr>
        <w:fldChar w:fldCharType="begin" w:fldLock="1"/>
      </w:r>
      <w:r w:rsidR="00247A04" w:rsidRPr="0074058E">
        <w:rPr>
          <w:iCs/>
        </w:rPr>
        <w:instrText xml:space="preserve"> REF _Ref116664891 \h  \* MERGEFORMAT </w:instrText>
      </w:r>
      <w:r w:rsidR="00247A04" w:rsidRPr="0074058E">
        <w:rPr>
          <w:iCs/>
        </w:rPr>
      </w:r>
      <w:r w:rsidR="00247A04" w:rsidRPr="0074058E">
        <w:rPr>
          <w:iCs/>
        </w:rPr>
        <w:fldChar w:fldCharType="separate"/>
      </w:r>
      <w:r w:rsidR="00ED2FAA" w:rsidRPr="00ED2FAA">
        <w:rPr>
          <w:iCs/>
        </w:rPr>
        <w:t>Table 10</w:t>
      </w:r>
      <w:r w:rsidR="00247A04" w:rsidRPr="0074058E">
        <w:rPr>
          <w:iCs/>
        </w:rPr>
        <w:fldChar w:fldCharType="end"/>
      </w:r>
      <w:r w:rsidR="00247A04" w:rsidRPr="0074058E">
        <w:rPr>
          <w:iCs/>
        </w:rPr>
        <w:t xml:space="preserve">. The pre-PBAC response acknowledged these adjustments were appropriate and the revisions did not </w:t>
      </w:r>
      <w:proofErr w:type="gramStart"/>
      <w:r w:rsidR="00247A04" w:rsidRPr="0074058E">
        <w:rPr>
          <w:iCs/>
        </w:rPr>
        <w:t>substantially change</w:t>
      </w:r>
      <w:proofErr w:type="gramEnd"/>
      <w:r w:rsidR="00247A04" w:rsidRPr="0074058E">
        <w:rPr>
          <w:iCs/>
        </w:rPr>
        <w:t xml:space="preserve"> the financial implications. </w:t>
      </w:r>
    </w:p>
    <w:p w14:paraId="6E738A6E" w14:textId="6A700784" w:rsidR="002B6EA3" w:rsidRPr="0074058E" w:rsidRDefault="002B6EA3" w:rsidP="002B6EA3">
      <w:pPr>
        <w:pStyle w:val="Caption"/>
        <w:spacing w:after="0"/>
        <w:rPr>
          <w:i w:val="0"/>
          <w:szCs w:val="20"/>
        </w:rPr>
      </w:pPr>
      <w:bookmarkStart w:id="36" w:name="_Ref116664891"/>
      <w:r w:rsidRPr="0074058E">
        <w:rPr>
          <w:rFonts w:ascii="Arial Narrow" w:hAnsi="Arial Narrow"/>
          <w:b/>
          <w:bCs/>
          <w:i w:val="0"/>
          <w:iCs w:val="0"/>
          <w:sz w:val="20"/>
          <w:szCs w:val="20"/>
        </w:rPr>
        <w:lastRenderedPageBreak/>
        <w:t xml:space="preserve">Table </w:t>
      </w:r>
      <w:r w:rsidRPr="0074058E">
        <w:rPr>
          <w:rFonts w:ascii="Arial Narrow" w:hAnsi="Arial Narrow"/>
          <w:b/>
          <w:bCs/>
          <w:i w:val="0"/>
          <w:iCs w:val="0"/>
          <w:sz w:val="20"/>
          <w:szCs w:val="20"/>
        </w:rPr>
        <w:fldChar w:fldCharType="begin" w:fldLock="1"/>
      </w:r>
      <w:r w:rsidRPr="0074058E">
        <w:rPr>
          <w:rFonts w:ascii="Arial Narrow" w:hAnsi="Arial Narrow"/>
          <w:b/>
          <w:bCs/>
          <w:i w:val="0"/>
          <w:iCs w:val="0"/>
          <w:sz w:val="20"/>
          <w:szCs w:val="20"/>
        </w:rPr>
        <w:instrText xml:space="preserve"> SEQ Table \* ARABIC </w:instrText>
      </w:r>
      <w:r w:rsidRPr="0074058E">
        <w:rPr>
          <w:rFonts w:ascii="Arial Narrow" w:hAnsi="Arial Narrow"/>
          <w:b/>
          <w:bCs/>
          <w:i w:val="0"/>
          <w:iCs w:val="0"/>
          <w:sz w:val="20"/>
          <w:szCs w:val="20"/>
        </w:rPr>
        <w:fldChar w:fldCharType="separate"/>
      </w:r>
      <w:r w:rsidR="00ED2FAA">
        <w:rPr>
          <w:rFonts w:ascii="Arial Narrow" w:hAnsi="Arial Narrow"/>
          <w:b/>
          <w:bCs/>
          <w:i w:val="0"/>
          <w:iCs w:val="0"/>
          <w:noProof/>
          <w:sz w:val="20"/>
          <w:szCs w:val="20"/>
        </w:rPr>
        <w:t>10</w:t>
      </w:r>
      <w:r w:rsidRPr="0074058E">
        <w:rPr>
          <w:rFonts w:ascii="Arial Narrow" w:hAnsi="Arial Narrow"/>
          <w:b/>
          <w:bCs/>
          <w:i w:val="0"/>
          <w:iCs w:val="0"/>
          <w:sz w:val="20"/>
          <w:szCs w:val="20"/>
        </w:rPr>
        <w:fldChar w:fldCharType="end"/>
      </w:r>
      <w:bookmarkEnd w:id="36"/>
      <w:r w:rsidRPr="0074058E">
        <w:rPr>
          <w:rFonts w:ascii="Arial Narrow" w:hAnsi="Arial Narrow"/>
          <w:b/>
          <w:bCs/>
          <w:i w:val="0"/>
          <w:iCs w:val="0"/>
          <w:sz w:val="20"/>
          <w:szCs w:val="20"/>
        </w:rPr>
        <w:t>: Estimated use and financial implications</w:t>
      </w:r>
    </w:p>
    <w:tbl>
      <w:tblPr>
        <w:tblStyle w:val="TableGrid"/>
        <w:tblW w:w="0" w:type="auto"/>
        <w:tblLook w:val="04A0" w:firstRow="1" w:lastRow="0" w:firstColumn="1" w:lastColumn="0" w:noHBand="0" w:noVBand="1"/>
      </w:tblPr>
      <w:tblGrid>
        <w:gridCol w:w="2240"/>
        <w:gridCol w:w="1129"/>
        <w:gridCol w:w="1129"/>
        <w:gridCol w:w="1129"/>
        <w:gridCol w:w="1129"/>
        <w:gridCol w:w="1131"/>
        <w:gridCol w:w="1129"/>
      </w:tblGrid>
      <w:tr w:rsidR="002B6EA3" w:rsidRPr="0074058E" w14:paraId="2A86B889" w14:textId="77777777" w:rsidTr="00D577F8">
        <w:tc>
          <w:tcPr>
            <w:tcW w:w="2240" w:type="dxa"/>
          </w:tcPr>
          <w:p w14:paraId="61928429" w14:textId="77777777" w:rsidR="002B6EA3" w:rsidRPr="0074058E" w:rsidRDefault="002B6EA3" w:rsidP="00206731">
            <w:pPr>
              <w:pStyle w:val="TableText"/>
            </w:pPr>
          </w:p>
        </w:tc>
        <w:tc>
          <w:tcPr>
            <w:tcW w:w="1129" w:type="dxa"/>
            <w:shd w:val="clear" w:color="auto" w:fill="auto"/>
            <w:vAlign w:val="center"/>
          </w:tcPr>
          <w:p w14:paraId="4CE50FCE" w14:textId="77777777" w:rsidR="002B6EA3" w:rsidRPr="0074058E" w:rsidRDefault="002B6EA3" w:rsidP="00206731">
            <w:pPr>
              <w:pStyle w:val="In-tableHeading"/>
              <w:jc w:val="center"/>
              <w:rPr>
                <w:lang w:val="en-AU"/>
              </w:rPr>
            </w:pPr>
            <w:r w:rsidRPr="0074058E">
              <w:rPr>
                <w:lang w:val="en-AU"/>
              </w:rPr>
              <w:t>Year 1</w:t>
            </w:r>
          </w:p>
        </w:tc>
        <w:tc>
          <w:tcPr>
            <w:tcW w:w="1129" w:type="dxa"/>
            <w:shd w:val="clear" w:color="auto" w:fill="auto"/>
            <w:vAlign w:val="center"/>
          </w:tcPr>
          <w:p w14:paraId="0A9C35CB" w14:textId="77777777" w:rsidR="002B6EA3" w:rsidRPr="0074058E" w:rsidRDefault="002B6EA3" w:rsidP="00206731">
            <w:pPr>
              <w:pStyle w:val="In-tableHeading"/>
              <w:jc w:val="center"/>
              <w:rPr>
                <w:lang w:val="en-AU"/>
              </w:rPr>
            </w:pPr>
            <w:r w:rsidRPr="0074058E">
              <w:rPr>
                <w:lang w:val="en-AU"/>
              </w:rPr>
              <w:t>Year 2</w:t>
            </w:r>
          </w:p>
        </w:tc>
        <w:tc>
          <w:tcPr>
            <w:tcW w:w="1129" w:type="dxa"/>
            <w:shd w:val="clear" w:color="auto" w:fill="auto"/>
            <w:vAlign w:val="center"/>
          </w:tcPr>
          <w:p w14:paraId="25C86C10" w14:textId="77777777" w:rsidR="002B6EA3" w:rsidRPr="0074058E" w:rsidRDefault="002B6EA3" w:rsidP="00206731">
            <w:pPr>
              <w:pStyle w:val="In-tableHeading"/>
              <w:jc w:val="center"/>
              <w:rPr>
                <w:lang w:val="en-AU"/>
              </w:rPr>
            </w:pPr>
            <w:r w:rsidRPr="0074058E">
              <w:rPr>
                <w:lang w:val="en-AU"/>
              </w:rPr>
              <w:t>Year 3</w:t>
            </w:r>
          </w:p>
        </w:tc>
        <w:tc>
          <w:tcPr>
            <w:tcW w:w="1129" w:type="dxa"/>
            <w:shd w:val="clear" w:color="auto" w:fill="auto"/>
            <w:vAlign w:val="center"/>
          </w:tcPr>
          <w:p w14:paraId="14E667F3" w14:textId="77777777" w:rsidR="002B6EA3" w:rsidRPr="0074058E" w:rsidRDefault="002B6EA3" w:rsidP="00206731">
            <w:pPr>
              <w:pStyle w:val="In-tableHeading"/>
              <w:jc w:val="center"/>
              <w:rPr>
                <w:lang w:val="en-AU"/>
              </w:rPr>
            </w:pPr>
            <w:r w:rsidRPr="0074058E">
              <w:rPr>
                <w:lang w:val="en-AU"/>
              </w:rPr>
              <w:t>Year 4</w:t>
            </w:r>
          </w:p>
        </w:tc>
        <w:tc>
          <w:tcPr>
            <w:tcW w:w="1131" w:type="dxa"/>
            <w:shd w:val="clear" w:color="auto" w:fill="auto"/>
            <w:vAlign w:val="center"/>
          </w:tcPr>
          <w:p w14:paraId="662E895A" w14:textId="77777777" w:rsidR="002B6EA3" w:rsidRPr="0074058E" w:rsidRDefault="002B6EA3" w:rsidP="00206731">
            <w:pPr>
              <w:pStyle w:val="In-tableHeading"/>
              <w:jc w:val="center"/>
              <w:rPr>
                <w:lang w:val="en-AU"/>
              </w:rPr>
            </w:pPr>
            <w:r w:rsidRPr="0074058E">
              <w:rPr>
                <w:lang w:val="en-AU"/>
              </w:rPr>
              <w:t>Year 5</w:t>
            </w:r>
          </w:p>
        </w:tc>
        <w:tc>
          <w:tcPr>
            <w:tcW w:w="1129" w:type="dxa"/>
          </w:tcPr>
          <w:p w14:paraId="225824C1" w14:textId="77777777" w:rsidR="002B6EA3" w:rsidRPr="0074058E" w:rsidRDefault="002B6EA3" w:rsidP="00206731">
            <w:pPr>
              <w:pStyle w:val="In-tableHeading"/>
              <w:jc w:val="center"/>
              <w:rPr>
                <w:lang w:val="en-AU"/>
              </w:rPr>
            </w:pPr>
            <w:r w:rsidRPr="0074058E">
              <w:rPr>
                <w:lang w:val="en-AU"/>
              </w:rPr>
              <w:t>Year 6</w:t>
            </w:r>
          </w:p>
        </w:tc>
      </w:tr>
      <w:tr w:rsidR="00D577F8" w:rsidRPr="0074058E" w14:paraId="646513AA" w14:textId="77777777" w:rsidTr="00B6013B">
        <w:tc>
          <w:tcPr>
            <w:tcW w:w="9016" w:type="dxa"/>
            <w:gridSpan w:val="7"/>
            <w:vAlign w:val="center"/>
          </w:tcPr>
          <w:p w14:paraId="7A532FFE" w14:textId="5DF36679" w:rsidR="00D577F8" w:rsidRPr="0074058E" w:rsidRDefault="00D577F8" w:rsidP="00D577F8">
            <w:pPr>
              <w:pStyle w:val="TableText"/>
            </w:pPr>
            <w:r w:rsidRPr="0074058E">
              <w:rPr>
                <w:b/>
                <w:bCs w:val="0"/>
              </w:rPr>
              <w:t>Revised estimated extent of use</w:t>
            </w:r>
          </w:p>
        </w:tc>
      </w:tr>
      <w:tr w:rsidR="00D577F8" w:rsidRPr="0074058E" w14:paraId="2E8B0A0A" w14:textId="77777777" w:rsidTr="00D577F8">
        <w:tc>
          <w:tcPr>
            <w:tcW w:w="2240" w:type="dxa"/>
            <w:vAlign w:val="center"/>
          </w:tcPr>
          <w:p w14:paraId="22F4E701" w14:textId="731E60C2" w:rsidR="00D577F8" w:rsidRPr="0074058E" w:rsidRDefault="00D577F8" w:rsidP="00D577F8">
            <w:pPr>
              <w:pStyle w:val="TableText"/>
            </w:pPr>
            <w:r w:rsidRPr="0074058E">
              <w:rPr>
                <w:szCs w:val="20"/>
              </w:rPr>
              <w:t>Number of patients treated</w:t>
            </w:r>
          </w:p>
        </w:tc>
        <w:tc>
          <w:tcPr>
            <w:tcW w:w="1129" w:type="dxa"/>
            <w:vAlign w:val="center"/>
          </w:tcPr>
          <w:p w14:paraId="284EE80F" w14:textId="03B6CEED" w:rsidR="00D577F8" w:rsidRPr="0074058E" w:rsidRDefault="00ED35F2" w:rsidP="00D577F8">
            <w:pPr>
              <w:pStyle w:val="TableText"/>
              <w:jc w:val="center"/>
            </w:pPr>
            <w:r w:rsidRPr="00ED35F2">
              <w:rPr>
                <w:rFonts w:hint="eastAsia"/>
                <w:color w:val="000000"/>
                <w:w w:val="22"/>
                <w:szCs w:val="20"/>
                <w:shd w:val="solid" w:color="000000" w:fill="000000"/>
                <w:fitText w:val="100" w:id="-1300508916"/>
                <w14:textFill>
                  <w14:solidFill>
                    <w14:srgbClr w14:val="000000">
                      <w14:alpha w14:val="100000"/>
                    </w14:srgbClr>
                  </w14:solidFill>
                </w14:textFill>
              </w:rPr>
              <w:t xml:space="preserve">　</w:t>
            </w:r>
            <w:r w:rsidRPr="00ED35F2">
              <w:rPr>
                <w:color w:val="000000"/>
                <w:w w:val="22"/>
                <w:szCs w:val="20"/>
                <w:shd w:val="solid" w:color="000000" w:fill="000000"/>
                <w:fitText w:val="100" w:id="-1300508916"/>
                <w14:textFill>
                  <w14:solidFill>
                    <w14:srgbClr w14:val="000000">
                      <w14:alpha w14:val="100000"/>
                    </w14:srgbClr>
                  </w14:solidFill>
                </w14:textFill>
              </w:rPr>
              <w:t>|</w:t>
            </w:r>
            <w:r w:rsidRPr="00ED35F2">
              <w:rPr>
                <w:rFonts w:hint="eastAsia"/>
                <w:color w:val="000000"/>
                <w:spacing w:val="3"/>
                <w:w w:val="22"/>
                <w:szCs w:val="20"/>
                <w:shd w:val="solid" w:color="000000" w:fill="000000"/>
                <w:fitText w:val="100" w:id="-1300508916"/>
                <w14:textFill>
                  <w14:solidFill>
                    <w14:srgbClr w14:val="000000">
                      <w14:alpha w14:val="100000"/>
                    </w14:srgbClr>
                  </w14:solidFill>
                </w14:textFill>
              </w:rPr>
              <w:t xml:space="preserve">　</w:t>
            </w:r>
            <w:r w:rsidR="00D577F8" w:rsidRPr="0074058E">
              <w:rPr>
                <w:szCs w:val="20"/>
              </w:rPr>
              <w:t xml:space="preserve"> </w:t>
            </w:r>
            <w:r w:rsidR="00D577F8" w:rsidRPr="0074058E">
              <w:rPr>
                <w:szCs w:val="20"/>
                <w:vertAlign w:val="superscript"/>
              </w:rPr>
              <w:t>a</w:t>
            </w:r>
            <w:r w:rsidR="001341AB">
              <w:rPr>
                <w:szCs w:val="20"/>
                <w:vertAlign w:val="superscript"/>
              </w:rPr>
              <w:t>,1</w:t>
            </w:r>
          </w:p>
        </w:tc>
        <w:tc>
          <w:tcPr>
            <w:tcW w:w="1129" w:type="dxa"/>
            <w:vAlign w:val="center"/>
          </w:tcPr>
          <w:p w14:paraId="762940FE" w14:textId="777AFA60" w:rsidR="00D577F8" w:rsidRPr="00017E19" w:rsidRDefault="00ED35F2" w:rsidP="00D577F8">
            <w:pPr>
              <w:pStyle w:val="TableText"/>
              <w:jc w:val="center"/>
              <w:rPr>
                <w:highlight w:val="darkGray"/>
              </w:rPr>
            </w:pPr>
            <w:r w:rsidRPr="00ED35F2">
              <w:rPr>
                <w:rFonts w:hint="eastAsia"/>
                <w:color w:val="000000"/>
                <w:w w:val="15"/>
                <w:szCs w:val="20"/>
                <w:shd w:val="solid" w:color="000000" w:fill="000000"/>
                <w:fitText w:val="34" w:id="-1300508915"/>
                <w14:textFill>
                  <w14:solidFill>
                    <w14:srgbClr w14:val="000000">
                      <w14:alpha w14:val="100000"/>
                    </w14:srgbClr>
                  </w14:solidFill>
                </w14:textFill>
              </w:rPr>
              <w:t xml:space="preserve">　</w:t>
            </w:r>
            <w:r w:rsidRPr="00ED35F2">
              <w:rPr>
                <w:color w:val="000000"/>
                <w:w w:val="15"/>
                <w:szCs w:val="20"/>
                <w:shd w:val="solid" w:color="000000" w:fill="000000"/>
                <w:fitText w:val="34" w:id="-1300508915"/>
                <w14:textFill>
                  <w14:solidFill>
                    <w14:srgbClr w14:val="000000">
                      <w14:alpha w14:val="100000"/>
                    </w14:srgbClr>
                  </w14:solidFill>
                </w14:textFill>
              </w:rPr>
              <w:t>|</w:t>
            </w:r>
            <w:r w:rsidRPr="00ED35F2">
              <w:rPr>
                <w:rFonts w:hint="eastAsia"/>
                <w:color w:val="000000"/>
                <w:spacing w:val="-31"/>
                <w:w w:val="15"/>
                <w:szCs w:val="20"/>
                <w:shd w:val="solid" w:color="000000" w:fill="000000"/>
                <w:fitText w:val="34" w:id="-1300508915"/>
                <w14:textFill>
                  <w14:solidFill>
                    <w14:srgbClr w14:val="000000">
                      <w14:alpha w14:val="100000"/>
                    </w14:srgbClr>
                  </w14:solidFill>
                </w14:textFill>
              </w:rPr>
              <w:t xml:space="preserve">　</w:t>
            </w:r>
            <w:r w:rsidR="001341AB">
              <w:rPr>
                <w:szCs w:val="20"/>
                <w:vertAlign w:val="superscript"/>
              </w:rPr>
              <w:t>1</w:t>
            </w:r>
          </w:p>
        </w:tc>
        <w:tc>
          <w:tcPr>
            <w:tcW w:w="1129" w:type="dxa"/>
            <w:vAlign w:val="center"/>
          </w:tcPr>
          <w:p w14:paraId="27AF3D4C" w14:textId="5486CFBC" w:rsidR="00D577F8" w:rsidRPr="00017E19" w:rsidRDefault="00ED35F2" w:rsidP="00D577F8">
            <w:pPr>
              <w:pStyle w:val="TableText"/>
              <w:jc w:val="center"/>
              <w:rPr>
                <w:highlight w:val="darkGray"/>
              </w:rPr>
            </w:pPr>
            <w:r w:rsidRPr="00ED35F2">
              <w:rPr>
                <w:rFonts w:hint="eastAsia"/>
                <w:color w:val="000000"/>
                <w:w w:val="15"/>
                <w:szCs w:val="20"/>
                <w:shd w:val="solid" w:color="000000" w:fill="000000"/>
                <w:fitText w:val="34" w:id="-1300508914"/>
                <w14:textFill>
                  <w14:solidFill>
                    <w14:srgbClr w14:val="000000">
                      <w14:alpha w14:val="100000"/>
                    </w14:srgbClr>
                  </w14:solidFill>
                </w14:textFill>
              </w:rPr>
              <w:t xml:space="preserve">　</w:t>
            </w:r>
            <w:r w:rsidRPr="00ED35F2">
              <w:rPr>
                <w:color w:val="000000"/>
                <w:w w:val="15"/>
                <w:szCs w:val="20"/>
                <w:shd w:val="solid" w:color="000000" w:fill="000000"/>
                <w:fitText w:val="34" w:id="-1300508914"/>
                <w14:textFill>
                  <w14:solidFill>
                    <w14:srgbClr w14:val="000000">
                      <w14:alpha w14:val="100000"/>
                    </w14:srgbClr>
                  </w14:solidFill>
                </w14:textFill>
              </w:rPr>
              <w:t>|</w:t>
            </w:r>
            <w:r w:rsidRPr="00ED35F2">
              <w:rPr>
                <w:rFonts w:hint="eastAsia"/>
                <w:color w:val="000000"/>
                <w:spacing w:val="-31"/>
                <w:w w:val="15"/>
                <w:szCs w:val="20"/>
                <w:shd w:val="solid" w:color="000000" w:fill="000000"/>
                <w:fitText w:val="34" w:id="-1300508914"/>
                <w14:textFill>
                  <w14:solidFill>
                    <w14:srgbClr w14:val="000000">
                      <w14:alpha w14:val="100000"/>
                    </w14:srgbClr>
                  </w14:solidFill>
                </w14:textFill>
              </w:rPr>
              <w:t xml:space="preserve">　</w:t>
            </w:r>
            <w:r w:rsidR="001341AB">
              <w:rPr>
                <w:szCs w:val="20"/>
                <w:vertAlign w:val="superscript"/>
              </w:rPr>
              <w:t>1</w:t>
            </w:r>
          </w:p>
        </w:tc>
        <w:tc>
          <w:tcPr>
            <w:tcW w:w="1129" w:type="dxa"/>
            <w:vAlign w:val="center"/>
          </w:tcPr>
          <w:p w14:paraId="08CF4B2E" w14:textId="0CD47C21" w:rsidR="00D577F8" w:rsidRPr="00017E19" w:rsidRDefault="00ED35F2" w:rsidP="00D577F8">
            <w:pPr>
              <w:pStyle w:val="TableText"/>
              <w:jc w:val="center"/>
              <w:rPr>
                <w:highlight w:val="darkGray"/>
              </w:rPr>
            </w:pPr>
            <w:r w:rsidRPr="00ED35F2">
              <w:rPr>
                <w:rFonts w:hint="eastAsia"/>
                <w:color w:val="000000"/>
                <w:w w:val="15"/>
                <w:szCs w:val="20"/>
                <w:shd w:val="solid" w:color="000000" w:fill="000000"/>
                <w:fitText w:val="33" w:id="-1300508913"/>
                <w14:textFill>
                  <w14:solidFill>
                    <w14:srgbClr w14:val="000000">
                      <w14:alpha w14:val="100000"/>
                    </w14:srgbClr>
                  </w14:solidFill>
                </w14:textFill>
              </w:rPr>
              <w:t xml:space="preserve">　</w:t>
            </w:r>
            <w:r w:rsidRPr="00ED35F2">
              <w:rPr>
                <w:color w:val="000000"/>
                <w:w w:val="15"/>
                <w:szCs w:val="20"/>
                <w:shd w:val="solid" w:color="000000" w:fill="000000"/>
                <w:fitText w:val="33" w:id="-1300508913"/>
                <w14:textFill>
                  <w14:solidFill>
                    <w14:srgbClr w14:val="000000">
                      <w14:alpha w14:val="100000"/>
                    </w14:srgbClr>
                  </w14:solidFill>
                </w14:textFill>
              </w:rPr>
              <w:t>|</w:t>
            </w:r>
            <w:r w:rsidRPr="00ED35F2">
              <w:rPr>
                <w:rFonts w:hint="eastAsia"/>
                <w:color w:val="000000"/>
                <w:spacing w:val="-32"/>
                <w:w w:val="15"/>
                <w:szCs w:val="20"/>
                <w:shd w:val="solid" w:color="000000" w:fill="000000"/>
                <w:fitText w:val="33" w:id="-1300508913"/>
                <w14:textFill>
                  <w14:solidFill>
                    <w14:srgbClr w14:val="000000">
                      <w14:alpha w14:val="100000"/>
                    </w14:srgbClr>
                  </w14:solidFill>
                </w14:textFill>
              </w:rPr>
              <w:t xml:space="preserve">　</w:t>
            </w:r>
            <w:r w:rsidR="001341AB">
              <w:rPr>
                <w:szCs w:val="20"/>
                <w:vertAlign w:val="superscript"/>
              </w:rPr>
              <w:t>1</w:t>
            </w:r>
          </w:p>
        </w:tc>
        <w:tc>
          <w:tcPr>
            <w:tcW w:w="1131" w:type="dxa"/>
            <w:vAlign w:val="center"/>
          </w:tcPr>
          <w:p w14:paraId="1383CA87" w14:textId="101FDAD7" w:rsidR="00D577F8" w:rsidRPr="00017E19" w:rsidRDefault="00ED35F2" w:rsidP="00D577F8">
            <w:pPr>
              <w:pStyle w:val="TableText"/>
              <w:jc w:val="center"/>
              <w:rPr>
                <w:highlight w:val="darkGray"/>
              </w:rPr>
            </w:pPr>
            <w:r w:rsidRPr="00ED35F2">
              <w:rPr>
                <w:rFonts w:hint="eastAsia"/>
                <w:color w:val="000000"/>
                <w:w w:val="15"/>
                <w:szCs w:val="20"/>
                <w:shd w:val="solid" w:color="000000" w:fill="000000"/>
                <w:fitText w:val="33" w:id="-1300508912"/>
                <w14:textFill>
                  <w14:solidFill>
                    <w14:srgbClr w14:val="000000">
                      <w14:alpha w14:val="100000"/>
                    </w14:srgbClr>
                  </w14:solidFill>
                </w14:textFill>
              </w:rPr>
              <w:t xml:space="preserve">　</w:t>
            </w:r>
            <w:r w:rsidRPr="00ED35F2">
              <w:rPr>
                <w:color w:val="000000"/>
                <w:w w:val="15"/>
                <w:szCs w:val="20"/>
                <w:shd w:val="solid" w:color="000000" w:fill="000000"/>
                <w:fitText w:val="33" w:id="-1300508912"/>
                <w14:textFill>
                  <w14:solidFill>
                    <w14:srgbClr w14:val="000000">
                      <w14:alpha w14:val="100000"/>
                    </w14:srgbClr>
                  </w14:solidFill>
                </w14:textFill>
              </w:rPr>
              <w:t>|</w:t>
            </w:r>
            <w:r w:rsidRPr="00ED35F2">
              <w:rPr>
                <w:rFonts w:hint="eastAsia"/>
                <w:color w:val="000000"/>
                <w:spacing w:val="-32"/>
                <w:w w:val="15"/>
                <w:szCs w:val="20"/>
                <w:shd w:val="solid" w:color="000000" w:fill="000000"/>
                <w:fitText w:val="33" w:id="-1300508912"/>
                <w14:textFill>
                  <w14:solidFill>
                    <w14:srgbClr w14:val="000000">
                      <w14:alpha w14:val="100000"/>
                    </w14:srgbClr>
                  </w14:solidFill>
                </w14:textFill>
              </w:rPr>
              <w:t xml:space="preserve">　</w:t>
            </w:r>
            <w:r w:rsidR="001341AB">
              <w:rPr>
                <w:szCs w:val="20"/>
                <w:vertAlign w:val="superscript"/>
              </w:rPr>
              <w:t>1</w:t>
            </w:r>
          </w:p>
        </w:tc>
        <w:tc>
          <w:tcPr>
            <w:tcW w:w="1129" w:type="dxa"/>
            <w:vAlign w:val="center"/>
          </w:tcPr>
          <w:p w14:paraId="41FD53F7" w14:textId="681724FC" w:rsidR="00D577F8" w:rsidRPr="00017E19" w:rsidRDefault="00ED35F2" w:rsidP="00D577F8">
            <w:pPr>
              <w:pStyle w:val="TableText"/>
              <w:jc w:val="center"/>
              <w:rPr>
                <w:highlight w:val="darkGray"/>
              </w:rPr>
            </w:pPr>
            <w:r w:rsidRPr="00ED35F2">
              <w:rPr>
                <w:rFonts w:hint="eastAsia"/>
                <w:color w:val="000000"/>
                <w:w w:val="15"/>
                <w:szCs w:val="20"/>
                <w:shd w:val="solid" w:color="000000" w:fill="000000"/>
                <w:fitText w:val="33" w:id="-1300508928"/>
                <w14:textFill>
                  <w14:solidFill>
                    <w14:srgbClr w14:val="000000">
                      <w14:alpha w14:val="100000"/>
                    </w14:srgbClr>
                  </w14:solidFill>
                </w14:textFill>
              </w:rPr>
              <w:t xml:space="preserve">　</w:t>
            </w:r>
            <w:r w:rsidRPr="00ED35F2">
              <w:rPr>
                <w:color w:val="000000"/>
                <w:w w:val="15"/>
                <w:szCs w:val="20"/>
                <w:shd w:val="solid" w:color="000000" w:fill="000000"/>
                <w:fitText w:val="33" w:id="-1300508928"/>
                <w14:textFill>
                  <w14:solidFill>
                    <w14:srgbClr w14:val="000000">
                      <w14:alpha w14:val="100000"/>
                    </w14:srgbClr>
                  </w14:solidFill>
                </w14:textFill>
              </w:rPr>
              <w:t>|</w:t>
            </w:r>
            <w:r w:rsidRPr="00ED35F2">
              <w:rPr>
                <w:rFonts w:hint="eastAsia"/>
                <w:color w:val="000000"/>
                <w:spacing w:val="-32"/>
                <w:w w:val="15"/>
                <w:szCs w:val="20"/>
                <w:shd w:val="solid" w:color="000000" w:fill="000000"/>
                <w:fitText w:val="33" w:id="-1300508928"/>
                <w14:textFill>
                  <w14:solidFill>
                    <w14:srgbClr w14:val="000000">
                      <w14:alpha w14:val="100000"/>
                    </w14:srgbClr>
                  </w14:solidFill>
                </w14:textFill>
              </w:rPr>
              <w:t xml:space="preserve">　</w:t>
            </w:r>
            <w:r w:rsidR="001341AB">
              <w:rPr>
                <w:szCs w:val="20"/>
                <w:vertAlign w:val="superscript"/>
              </w:rPr>
              <w:t>1</w:t>
            </w:r>
          </w:p>
        </w:tc>
      </w:tr>
      <w:tr w:rsidR="00D577F8" w:rsidRPr="0074058E" w14:paraId="2981763A" w14:textId="77777777" w:rsidTr="00D577F8">
        <w:tc>
          <w:tcPr>
            <w:tcW w:w="2240" w:type="dxa"/>
            <w:vAlign w:val="center"/>
          </w:tcPr>
          <w:p w14:paraId="24D9C587" w14:textId="19D3759D" w:rsidR="00D577F8" w:rsidRPr="0074058E" w:rsidRDefault="00D577F8" w:rsidP="00D577F8">
            <w:pPr>
              <w:pStyle w:val="TableText"/>
            </w:pPr>
            <w:r w:rsidRPr="0074058E">
              <w:rPr>
                <w:szCs w:val="20"/>
              </w:rPr>
              <w:t>Number of scripts dispensed</w:t>
            </w:r>
          </w:p>
        </w:tc>
        <w:tc>
          <w:tcPr>
            <w:tcW w:w="1129" w:type="dxa"/>
            <w:vAlign w:val="center"/>
          </w:tcPr>
          <w:p w14:paraId="517B9E9D" w14:textId="1702333C" w:rsidR="00D577F8" w:rsidRPr="00017E19" w:rsidRDefault="00ED35F2" w:rsidP="00D577F8">
            <w:pPr>
              <w:pStyle w:val="TableText"/>
              <w:jc w:val="center"/>
              <w:rPr>
                <w:highlight w:val="darkGray"/>
              </w:rPr>
            </w:pPr>
            <w:r w:rsidRPr="00ED35F2">
              <w:rPr>
                <w:rFonts w:cs="Arial" w:hint="eastAsia"/>
                <w:iCs/>
                <w:color w:val="000000"/>
                <w:w w:val="15"/>
                <w:szCs w:val="20"/>
                <w:shd w:val="solid" w:color="000000" w:fill="000000"/>
                <w:fitText w:val="56" w:id="-1300508927"/>
                <w14:textFill>
                  <w14:solidFill>
                    <w14:srgbClr w14:val="000000">
                      <w14:alpha w14:val="100000"/>
                    </w14:srgbClr>
                  </w14:solidFill>
                </w14:textFill>
              </w:rPr>
              <w:t xml:space="preserve">　</w:t>
            </w:r>
            <w:r w:rsidRPr="00ED35F2">
              <w:rPr>
                <w:rFonts w:cs="Arial"/>
                <w:iCs/>
                <w:color w:val="000000"/>
                <w:w w:val="15"/>
                <w:szCs w:val="20"/>
                <w:shd w:val="solid" w:color="000000" w:fill="000000"/>
                <w:fitText w:val="56" w:id="-1300508927"/>
                <w14:textFill>
                  <w14:solidFill>
                    <w14:srgbClr w14:val="000000">
                      <w14:alpha w14:val="100000"/>
                    </w14:srgbClr>
                  </w14:solidFill>
                </w14:textFill>
              </w:rPr>
              <w:t>|</w:t>
            </w:r>
            <w:r w:rsidRPr="00ED35F2">
              <w:rPr>
                <w:rFonts w:cs="Arial" w:hint="eastAsia"/>
                <w:iCs/>
                <w:color w:val="000000"/>
                <w:spacing w:val="-9"/>
                <w:w w:val="15"/>
                <w:szCs w:val="20"/>
                <w:shd w:val="solid" w:color="000000" w:fill="000000"/>
                <w:fitText w:val="56" w:id="-1300508927"/>
                <w14:textFill>
                  <w14:solidFill>
                    <w14:srgbClr w14:val="000000">
                      <w14:alpha w14:val="100000"/>
                    </w14:srgbClr>
                  </w14:solidFill>
                </w14:textFill>
              </w:rPr>
              <w:t xml:space="preserve">　</w:t>
            </w:r>
            <w:r w:rsidR="00017E19" w:rsidRPr="00017E19">
              <w:rPr>
                <w:rFonts w:cs="Arial"/>
                <w:iCs/>
                <w:color w:val="000000"/>
                <w:szCs w:val="20"/>
              </w:rPr>
              <w:t xml:space="preserve"> </w:t>
            </w:r>
            <w:r w:rsidR="001341AB">
              <w:rPr>
                <w:szCs w:val="20"/>
                <w:vertAlign w:val="superscript"/>
              </w:rPr>
              <w:t>2</w:t>
            </w:r>
          </w:p>
        </w:tc>
        <w:tc>
          <w:tcPr>
            <w:tcW w:w="1129" w:type="dxa"/>
            <w:vAlign w:val="center"/>
          </w:tcPr>
          <w:p w14:paraId="0E80CD52" w14:textId="563193F6" w:rsidR="00D577F8" w:rsidRPr="00017E19" w:rsidRDefault="00ED35F2" w:rsidP="00D577F8">
            <w:pPr>
              <w:pStyle w:val="TableText"/>
              <w:jc w:val="center"/>
              <w:rPr>
                <w:highlight w:val="darkGray"/>
              </w:rPr>
            </w:pPr>
            <w:r w:rsidRPr="00ED35F2">
              <w:rPr>
                <w:rFonts w:cs="Arial" w:hint="eastAsia"/>
                <w:iCs/>
                <w:color w:val="000000"/>
                <w:w w:val="15"/>
                <w:szCs w:val="20"/>
                <w:shd w:val="solid" w:color="000000" w:fill="000000"/>
                <w:fitText w:val="56" w:id="-1300508926"/>
                <w14:textFill>
                  <w14:solidFill>
                    <w14:srgbClr w14:val="000000">
                      <w14:alpha w14:val="100000"/>
                    </w14:srgbClr>
                  </w14:solidFill>
                </w14:textFill>
              </w:rPr>
              <w:t xml:space="preserve">　</w:t>
            </w:r>
            <w:r w:rsidRPr="00ED35F2">
              <w:rPr>
                <w:rFonts w:cs="Arial"/>
                <w:iCs/>
                <w:color w:val="000000"/>
                <w:w w:val="15"/>
                <w:szCs w:val="20"/>
                <w:shd w:val="solid" w:color="000000" w:fill="000000"/>
                <w:fitText w:val="56" w:id="-1300508926"/>
                <w14:textFill>
                  <w14:solidFill>
                    <w14:srgbClr w14:val="000000">
                      <w14:alpha w14:val="100000"/>
                    </w14:srgbClr>
                  </w14:solidFill>
                </w14:textFill>
              </w:rPr>
              <w:t>|</w:t>
            </w:r>
            <w:r w:rsidRPr="00ED35F2">
              <w:rPr>
                <w:rFonts w:cs="Arial" w:hint="eastAsia"/>
                <w:iCs/>
                <w:color w:val="000000"/>
                <w:spacing w:val="-9"/>
                <w:w w:val="15"/>
                <w:szCs w:val="20"/>
                <w:shd w:val="solid" w:color="000000" w:fill="000000"/>
                <w:fitText w:val="56" w:id="-1300508926"/>
                <w14:textFill>
                  <w14:solidFill>
                    <w14:srgbClr w14:val="000000">
                      <w14:alpha w14:val="100000"/>
                    </w14:srgbClr>
                  </w14:solidFill>
                </w14:textFill>
              </w:rPr>
              <w:t xml:space="preserve">　</w:t>
            </w:r>
            <w:r w:rsidR="00017E19" w:rsidRPr="00017E19">
              <w:rPr>
                <w:rFonts w:cs="Arial"/>
                <w:iCs/>
                <w:color w:val="000000"/>
                <w:szCs w:val="20"/>
              </w:rPr>
              <w:t xml:space="preserve"> </w:t>
            </w:r>
            <w:r w:rsidR="001341AB">
              <w:rPr>
                <w:szCs w:val="20"/>
                <w:vertAlign w:val="superscript"/>
              </w:rPr>
              <w:t>2</w:t>
            </w:r>
          </w:p>
        </w:tc>
        <w:tc>
          <w:tcPr>
            <w:tcW w:w="1129" w:type="dxa"/>
            <w:vAlign w:val="center"/>
          </w:tcPr>
          <w:p w14:paraId="7E5185EC" w14:textId="703B3477" w:rsidR="00D577F8" w:rsidRPr="00017E19" w:rsidRDefault="00ED35F2" w:rsidP="00D577F8">
            <w:pPr>
              <w:pStyle w:val="TableText"/>
              <w:jc w:val="center"/>
              <w:rPr>
                <w:highlight w:val="darkGray"/>
              </w:rPr>
            </w:pPr>
            <w:r w:rsidRPr="00ED35F2">
              <w:rPr>
                <w:rFonts w:cs="Arial" w:hint="eastAsia"/>
                <w:iCs/>
                <w:color w:val="000000"/>
                <w:w w:val="15"/>
                <w:szCs w:val="20"/>
                <w:shd w:val="solid" w:color="000000" w:fill="000000"/>
                <w:fitText w:val="56" w:id="-1300508925"/>
                <w14:textFill>
                  <w14:solidFill>
                    <w14:srgbClr w14:val="000000">
                      <w14:alpha w14:val="100000"/>
                    </w14:srgbClr>
                  </w14:solidFill>
                </w14:textFill>
              </w:rPr>
              <w:t xml:space="preserve">　</w:t>
            </w:r>
            <w:r w:rsidRPr="00ED35F2">
              <w:rPr>
                <w:rFonts w:cs="Arial"/>
                <w:iCs/>
                <w:color w:val="000000"/>
                <w:w w:val="15"/>
                <w:szCs w:val="20"/>
                <w:shd w:val="solid" w:color="000000" w:fill="000000"/>
                <w:fitText w:val="56" w:id="-1300508925"/>
                <w14:textFill>
                  <w14:solidFill>
                    <w14:srgbClr w14:val="000000">
                      <w14:alpha w14:val="100000"/>
                    </w14:srgbClr>
                  </w14:solidFill>
                </w14:textFill>
              </w:rPr>
              <w:t>|</w:t>
            </w:r>
            <w:r w:rsidRPr="00ED35F2">
              <w:rPr>
                <w:rFonts w:cs="Arial" w:hint="eastAsia"/>
                <w:iCs/>
                <w:color w:val="000000"/>
                <w:spacing w:val="-9"/>
                <w:w w:val="15"/>
                <w:szCs w:val="20"/>
                <w:shd w:val="solid" w:color="000000" w:fill="000000"/>
                <w:fitText w:val="56" w:id="-1300508925"/>
                <w14:textFill>
                  <w14:solidFill>
                    <w14:srgbClr w14:val="000000">
                      <w14:alpha w14:val="100000"/>
                    </w14:srgbClr>
                  </w14:solidFill>
                </w14:textFill>
              </w:rPr>
              <w:t xml:space="preserve">　</w:t>
            </w:r>
            <w:r w:rsidR="00017E19" w:rsidRPr="00017E19">
              <w:rPr>
                <w:rFonts w:cs="Arial"/>
                <w:iCs/>
                <w:color w:val="000000"/>
                <w:szCs w:val="20"/>
              </w:rPr>
              <w:t xml:space="preserve"> </w:t>
            </w:r>
            <w:r w:rsidR="001341AB">
              <w:rPr>
                <w:szCs w:val="20"/>
                <w:vertAlign w:val="superscript"/>
              </w:rPr>
              <w:t>2</w:t>
            </w:r>
          </w:p>
        </w:tc>
        <w:tc>
          <w:tcPr>
            <w:tcW w:w="1129" w:type="dxa"/>
            <w:vAlign w:val="center"/>
          </w:tcPr>
          <w:p w14:paraId="188BA559" w14:textId="28B12D5E" w:rsidR="00D577F8" w:rsidRPr="00017E19" w:rsidRDefault="00ED35F2" w:rsidP="00D577F8">
            <w:pPr>
              <w:pStyle w:val="TableText"/>
              <w:jc w:val="center"/>
              <w:rPr>
                <w:highlight w:val="darkGray"/>
              </w:rPr>
            </w:pPr>
            <w:r w:rsidRPr="00ED35F2">
              <w:rPr>
                <w:rFonts w:cs="Arial" w:hint="eastAsia"/>
                <w:iCs/>
                <w:color w:val="000000"/>
                <w:w w:val="15"/>
                <w:szCs w:val="20"/>
                <w:shd w:val="solid" w:color="000000" w:fill="000000"/>
                <w:fitText w:val="55" w:id="-1300508924"/>
                <w14:textFill>
                  <w14:solidFill>
                    <w14:srgbClr w14:val="000000">
                      <w14:alpha w14:val="100000"/>
                    </w14:srgbClr>
                  </w14:solidFill>
                </w14:textFill>
              </w:rPr>
              <w:t xml:space="preserve">　</w:t>
            </w:r>
            <w:r w:rsidRPr="00ED35F2">
              <w:rPr>
                <w:rFonts w:cs="Arial"/>
                <w:iCs/>
                <w:color w:val="000000"/>
                <w:w w:val="15"/>
                <w:szCs w:val="20"/>
                <w:shd w:val="solid" w:color="000000" w:fill="000000"/>
                <w:fitText w:val="55" w:id="-1300508924"/>
                <w14:textFill>
                  <w14:solidFill>
                    <w14:srgbClr w14:val="000000">
                      <w14:alpha w14:val="100000"/>
                    </w14:srgbClr>
                  </w14:solidFill>
                </w14:textFill>
              </w:rPr>
              <w:t>|</w:t>
            </w:r>
            <w:r w:rsidRPr="00ED35F2">
              <w:rPr>
                <w:rFonts w:cs="Arial" w:hint="eastAsia"/>
                <w:iCs/>
                <w:color w:val="000000"/>
                <w:spacing w:val="-10"/>
                <w:w w:val="15"/>
                <w:szCs w:val="20"/>
                <w:shd w:val="solid" w:color="000000" w:fill="000000"/>
                <w:fitText w:val="55" w:id="-1300508924"/>
                <w14:textFill>
                  <w14:solidFill>
                    <w14:srgbClr w14:val="000000">
                      <w14:alpha w14:val="100000"/>
                    </w14:srgbClr>
                  </w14:solidFill>
                </w14:textFill>
              </w:rPr>
              <w:t xml:space="preserve">　</w:t>
            </w:r>
            <w:r w:rsidR="00017E19" w:rsidRPr="00017E19">
              <w:rPr>
                <w:rFonts w:cs="Arial"/>
                <w:iCs/>
                <w:color w:val="000000"/>
                <w:szCs w:val="20"/>
              </w:rPr>
              <w:t xml:space="preserve"> </w:t>
            </w:r>
            <w:r w:rsidR="001341AB">
              <w:rPr>
                <w:szCs w:val="20"/>
                <w:vertAlign w:val="superscript"/>
              </w:rPr>
              <w:t>2</w:t>
            </w:r>
          </w:p>
        </w:tc>
        <w:tc>
          <w:tcPr>
            <w:tcW w:w="1131" w:type="dxa"/>
            <w:vAlign w:val="center"/>
          </w:tcPr>
          <w:p w14:paraId="40530F7D" w14:textId="26C613EC" w:rsidR="00D577F8" w:rsidRPr="00017E19" w:rsidRDefault="00ED35F2" w:rsidP="00D577F8">
            <w:pPr>
              <w:pStyle w:val="TableText"/>
              <w:jc w:val="center"/>
              <w:rPr>
                <w:highlight w:val="darkGray"/>
              </w:rPr>
            </w:pPr>
            <w:r w:rsidRPr="00ED35F2">
              <w:rPr>
                <w:rFonts w:cs="Arial" w:hint="eastAsia"/>
                <w:iCs/>
                <w:color w:val="000000"/>
                <w:w w:val="15"/>
                <w:szCs w:val="20"/>
                <w:shd w:val="solid" w:color="000000" w:fill="000000"/>
                <w:fitText w:val="55" w:id="-1300508923"/>
                <w14:textFill>
                  <w14:solidFill>
                    <w14:srgbClr w14:val="000000">
                      <w14:alpha w14:val="100000"/>
                    </w14:srgbClr>
                  </w14:solidFill>
                </w14:textFill>
              </w:rPr>
              <w:t xml:space="preserve">　</w:t>
            </w:r>
            <w:r w:rsidRPr="00ED35F2">
              <w:rPr>
                <w:rFonts w:cs="Arial"/>
                <w:iCs/>
                <w:color w:val="000000"/>
                <w:w w:val="15"/>
                <w:szCs w:val="20"/>
                <w:shd w:val="solid" w:color="000000" w:fill="000000"/>
                <w:fitText w:val="55" w:id="-1300508923"/>
                <w14:textFill>
                  <w14:solidFill>
                    <w14:srgbClr w14:val="000000">
                      <w14:alpha w14:val="100000"/>
                    </w14:srgbClr>
                  </w14:solidFill>
                </w14:textFill>
              </w:rPr>
              <w:t>|</w:t>
            </w:r>
            <w:r w:rsidRPr="00ED35F2">
              <w:rPr>
                <w:rFonts w:cs="Arial" w:hint="eastAsia"/>
                <w:iCs/>
                <w:color w:val="000000"/>
                <w:spacing w:val="-10"/>
                <w:w w:val="15"/>
                <w:szCs w:val="20"/>
                <w:shd w:val="solid" w:color="000000" w:fill="000000"/>
                <w:fitText w:val="55" w:id="-1300508923"/>
                <w14:textFill>
                  <w14:solidFill>
                    <w14:srgbClr w14:val="000000">
                      <w14:alpha w14:val="100000"/>
                    </w14:srgbClr>
                  </w14:solidFill>
                </w14:textFill>
              </w:rPr>
              <w:t xml:space="preserve">　</w:t>
            </w:r>
            <w:r w:rsidR="00017E19" w:rsidRPr="00017E19">
              <w:rPr>
                <w:rFonts w:cs="Arial"/>
                <w:iCs/>
                <w:color w:val="000000"/>
                <w:szCs w:val="20"/>
              </w:rPr>
              <w:t xml:space="preserve"> </w:t>
            </w:r>
            <w:r w:rsidR="001341AB">
              <w:rPr>
                <w:szCs w:val="20"/>
                <w:vertAlign w:val="superscript"/>
              </w:rPr>
              <w:t>2</w:t>
            </w:r>
          </w:p>
        </w:tc>
        <w:tc>
          <w:tcPr>
            <w:tcW w:w="1129" w:type="dxa"/>
            <w:vAlign w:val="center"/>
          </w:tcPr>
          <w:p w14:paraId="4D86052D" w14:textId="45B61DAE" w:rsidR="00D577F8" w:rsidRPr="00017E19" w:rsidRDefault="00ED35F2" w:rsidP="00D577F8">
            <w:pPr>
              <w:pStyle w:val="TableText"/>
              <w:jc w:val="center"/>
              <w:rPr>
                <w:highlight w:val="darkGray"/>
              </w:rPr>
            </w:pPr>
            <w:r w:rsidRPr="00ED35F2">
              <w:rPr>
                <w:rFonts w:cs="Arial" w:hint="eastAsia"/>
                <w:iCs/>
                <w:color w:val="000000"/>
                <w:w w:val="15"/>
                <w:szCs w:val="20"/>
                <w:shd w:val="solid" w:color="000000" w:fill="000000"/>
                <w:fitText w:val="55" w:id="-1300508922"/>
                <w14:textFill>
                  <w14:solidFill>
                    <w14:srgbClr w14:val="000000">
                      <w14:alpha w14:val="100000"/>
                    </w14:srgbClr>
                  </w14:solidFill>
                </w14:textFill>
              </w:rPr>
              <w:t xml:space="preserve">　</w:t>
            </w:r>
            <w:r w:rsidRPr="00ED35F2">
              <w:rPr>
                <w:rFonts w:cs="Arial"/>
                <w:iCs/>
                <w:color w:val="000000"/>
                <w:w w:val="15"/>
                <w:szCs w:val="20"/>
                <w:shd w:val="solid" w:color="000000" w:fill="000000"/>
                <w:fitText w:val="55" w:id="-1300508922"/>
                <w14:textFill>
                  <w14:solidFill>
                    <w14:srgbClr w14:val="000000">
                      <w14:alpha w14:val="100000"/>
                    </w14:srgbClr>
                  </w14:solidFill>
                </w14:textFill>
              </w:rPr>
              <w:t>|</w:t>
            </w:r>
            <w:r w:rsidRPr="00ED35F2">
              <w:rPr>
                <w:rFonts w:cs="Arial" w:hint="eastAsia"/>
                <w:iCs/>
                <w:color w:val="000000"/>
                <w:spacing w:val="-10"/>
                <w:w w:val="15"/>
                <w:szCs w:val="20"/>
                <w:shd w:val="solid" w:color="000000" w:fill="000000"/>
                <w:fitText w:val="55" w:id="-1300508922"/>
                <w14:textFill>
                  <w14:solidFill>
                    <w14:srgbClr w14:val="000000">
                      <w14:alpha w14:val="100000"/>
                    </w14:srgbClr>
                  </w14:solidFill>
                </w14:textFill>
              </w:rPr>
              <w:t xml:space="preserve">　</w:t>
            </w:r>
            <w:r w:rsidR="00017E19" w:rsidRPr="00017E19">
              <w:rPr>
                <w:rFonts w:cs="Arial"/>
                <w:iCs/>
                <w:color w:val="000000"/>
                <w:szCs w:val="20"/>
              </w:rPr>
              <w:t xml:space="preserve"> </w:t>
            </w:r>
            <w:r w:rsidR="001341AB">
              <w:rPr>
                <w:szCs w:val="20"/>
                <w:vertAlign w:val="superscript"/>
              </w:rPr>
              <w:t>2</w:t>
            </w:r>
          </w:p>
        </w:tc>
      </w:tr>
      <w:tr w:rsidR="00D577F8" w:rsidRPr="0074058E" w:rsidDel="008147AE" w14:paraId="3F7B2BEA" w14:textId="77777777" w:rsidTr="00BD0B60">
        <w:tc>
          <w:tcPr>
            <w:tcW w:w="9016" w:type="dxa"/>
            <w:gridSpan w:val="7"/>
            <w:vAlign w:val="center"/>
          </w:tcPr>
          <w:p w14:paraId="5DA28953" w14:textId="7E0FD6DB" w:rsidR="00D577F8" w:rsidRPr="0074058E" w:rsidRDefault="00D577F8" w:rsidP="00206731">
            <w:pPr>
              <w:pStyle w:val="TableText"/>
              <w:rPr>
                <w:b/>
                <w:bCs w:val="0"/>
                <w:color w:val="000000"/>
              </w:rPr>
            </w:pPr>
            <w:r w:rsidRPr="0074058E">
              <w:rPr>
                <w:b/>
                <w:bCs w:val="0"/>
                <w:color w:val="000000"/>
              </w:rPr>
              <w:t>Revised estimated financial implications</w:t>
            </w:r>
          </w:p>
        </w:tc>
      </w:tr>
      <w:tr w:rsidR="00247A04" w:rsidRPr="0074058E" w:rsidDel="008147AE" w14:paraId="7C2EB707" w14:textId="77777777" w:rsidTr="00D577F8">
        <w:tc>
          <w:tcPr>
            <w:tcW w:w="2240" w:type="dxa"/>
            <w:vAlign w:val="center"/>
          </w:tcPr>
          <w:p w14:paraId="33501DE1" w14:textId="3B9EE4ED" w:rsidR="00247A04" w:rsidRPr="00017E19" w:rsidRDefault="00247A04" w:rsidP="00247A04">
            <w:pPr>
              <w:pStyle w:val="TableText"/>
              <w:rPr>
                <w:vertAlign w:val="superscript"/>
              </w:rPr>
            </w:pPr>
            <w:r w:rsidRPr="0074058E">
              <w:rPr>
                <w:szCs w:val="20"/>
              </w:rPr>
              <w:t>Cost to PBS/RPBS</w:t>
            </w:r>
          </w:p>
        </w:tc>
        <w:tc>
          <w:tcPr>
            <w:tcW w:w="1129" w:type="dxa"/>
            <w:vAlign w:val="center"/>
          </w:tcPr>
          <w:p w14:paraId="23971542" w14:textId="6976B5EC"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21"/>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21"/>
                <w14:textFill>
                  <w14:solidFill>
                    <w14:srgbClr w14:val="000000">
                      <w14:alpha w14:val="100000"/>
                    </w14:srgbClr>
                  </w14:solidFill>
                </w14:textFill>
              </w:rPr>
              <w:t>|</w:t>
            </w:r>
            <w:r w:rsidR="001341AB">
              <w:rPr>
                <w:szCs w:val="20"/>
                <w:vertAlign w:val="superscript"/>
              </w:rPr>
              <w:t>3</w:t>
            </w:r>
          </w:p>
        </w:tc>
        <w:tc>
          <w:tcPr>
            <w:tcW w:w="1129" w:type="dxa"/>
            <w:vAlign w:val="center"/>
          </w:tcPr>
          <w:p w14:paraId="76175A9E" w14:textId="53F64D7B"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20"/>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20"/>
                <w14:textFill>
                  <w14:solidFill>
                    <w14:srgbClr w14:val="000000">
                      <w14:alpha w14:val="100000"/>
                    </w14:srgbClr>
                  </w14:solidFill>
                </w14:textFill>
              </w:rPr>
              <w:t>|</w:t>
            </w:r>
            <w:r w:rsidR="001341AB">
              <w:rPr>
                <w:szCs w:val="20"/>
                <w:vertAlign w:val="superscript"/>
              </w:rPr>
              <w:t>3</w:t>
            </w:r>
          </w:p>
        </w:tc>
        <w:tc>
          <w:tcPr>
            <w:tcW w:w="1129" w:type="dxa"/>
            <w:vAlign w:val="center"/>
          </w:tcPr>
          <w:p w14:paraId="78FC50D6" w14:textId="56F1796A"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19"/>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19"/>
                <w14:textFill>
                  <w14:solidFill>
                    <w14:srgbClr w14:val="000000">
                      <w14:alpha w14:val="100000"/>
                    </w14:srgbClr>
                  </w14:solidFill>
                </w14:textFill>
              </w:rPr>
              <w:t>|</w:t>
            </w:r>
            <w:r w:rsidR="001341AB">
              <w:rPr>
                <w:szCs w:val="20"/>
                <w:vertAlign w:val="superscript"/>
              </w:rPr>
              <w:t>3</w:t>
            </w:r>
          </w:p>
        </w:tc>
        <w:tc>
          <w:tcPr>
            <w:tcW w:w="1129" w:type="dxa"/>
            <w:vAlign w:val="center"/>
          </w:tcPr>
          <w:p w14:paraId="02B62240" w14:textId="3375D0D9"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18"/>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18"/>
                <w14:textFill>
                  <w14:solidFill>
                    <w14:srgbClr w14:val="000000">
                      <w14:alpha w14:val="100000"/>
                    </w14:srgbClr>
                  </w14:solidFill>
                </w14:textFill>
              </w:rPr>
              <w:t>|</w:t>
            </w:r>
            <w:r w:rsidR="001341AB">
              <w:rPr>
                <w:szCs w:val="20"/>
                <w:vertAlign w:val="superscript"/>
              </w:rPr>
              <w:t>3</w:t>
            </w:r>
          </w:p>
        </w:tc>
        <w:tc>
          <w:tcPr>
            <w:tcW w:w="1131" w:type="dxa"/>
            <w:vAlign w:val="center"/>
          </w:tcPr>
          <w:p w14:paraId="204C9225" w14:textId="46CAF484"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17"/>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17"/>
                <w14:textFill>
                  <w14:solidFill>
                    <w14:srgbClr w14:val="000000">
                      <w14:alpha w14:val="100000"/>
                    </w14:srgbClr>
                  </w14:solidFill>
                </w14:textFill>
              </w:rPr>
              <w:t>|</w:t>
            </w:r>
            <w:r w:rsidR="001341AB">
              <w:rPr>
                <w:szCs w:val="20"/>
                <w:vertAlign w:val="superscript"/>
              </w:rPr>
              <w:t>3</w:t>
            </w:r>
          </w:p>
        </w:tc>
        <w:tc>
          <w:tcPr>
            <w:tcW w:w="1129" w:type="dxa"/>
            <w:vAlign w:val="center"/>
          </w:tcPr>
          <w:p w14:paraId="348F6551" w14:textId="46E8C5C3"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16"/>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16"/>
                <w14:textFill>
                  <w14:solidFill>
                    <w14:srgbClr w14:val="000000">
                      <w14:alpha w14:val="100000"/>
                    </w14:srgbClr>
                  </w14:solidFill>
                </w14:textFill>
              </w:rPr>
              <w:t>|</w:t>
            </w:r>
            <w:r w:rsidR="001341AB">
              <w:rPr>
                <w:szCs w:val="20"/>
                <w:vertAlign w:val="superscript"/>
              </w:rPr>
              <w:t>3</w:t>
            </w:r>
          </w:p>
        </w:tc>
      </w:tr>
      <w:tr w:rsidR="00247A04" w:rsidRPr="0074058E" w:rsidDel="008147AE" w14:paraId="2622D92C" w14:textId="77777777" w:rsidTr="00D577F8">
        <w:tc>
          <w:tcPr>
            <w:tcW w:w="2240" w:type="dxa"/>
            <w:vAlign w:val="center"/>
          </w:tcPr>
          <w:p w14:paraId="655198B9" w14:textId="75D0DB29" w:rsidR="00247A04" w:rsidRPr="0074058E" w:rsidRDefault="00247A04" w:rsidP="00247A04">
            <w:pPr>
              <w:pStyle w:val="TableText"/>
            </w:pPr>
            <w:r w:rsidRPr="0074058E">
              <w:rPr>
                <w:szCs w:val="20"/>
              </w:rPr>
              <w:t>Cost to MBS</w:t>
            </w:r>
          </w:p>
        </w:tc>
        <w:tc>
          <w:tcPr>
            <w:tcW w:w="1129" w:type="dxa"/>
            <w:vAlign w:val="center"/>
          </w:tcPr>
          <w:p w14:paraId="065CE8A6" w14:textId="60F465D8"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15"/>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15"/>
                <w14:textFill>
                  <w14:solidFill>
                    <w14:srgbClr w14:val="000000">
                      <w14:alpha w14:val="100000"/>
                    </w14:srgbClr>
                  </w14:solidFill>
                </w14:textFill>
              </w:rPr>
              <w:t>|</w:t>
            </w:r>
            <w:r w:rsidR="001341AB">
              <w:rPr>
                <w:szCs w:val="20"/>
                <w:vertAlign w:val="superscript"/>
              </w:rPr>
              <w:t>4</w:t>
            </w:r>
          </w:p>
        </w:tc>
        <w:tc>
          <w:tcPr>
            <w:tcW w:w="1129" w:type="dxa"/>
            <w:vAlign w:val="center"/>
          </w:tcPr>
          <w:p w14:paraId="3555C9F3" w14:textId="64A53092"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14"/>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14"/>
                <w14:textFill>
                  <w14:solidFill>
                    <w14:srgbClr w14:val="000000">
                      <w14:alpha w14:val="100000"/>
                    </w14:srgbClr>
                  </w14:solidFill>
                </w14:textFill>
              </w:rPr>
              <w:t>|</w:t>
            </w:r>
            <w:r w:rsidR="001341AB">
              <w:rPr>
                <w:szCs w:val="20"/>
                <w:vertAlign w:val="superscript"/>
              </w:rPr>
              <w:t>4</w:t>
            </w:r>
          </w:p>
        </w:tc>
        <w:tc>
          <w:tcPr>
            <w:tcW w:w="1129" w:type="dxa"/>
            <w:vAlign w:val="center"/>
          </w:tcPr>
          <w:p w14:paraId="3731381C" w14:textId="7932AEDF"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13"/>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13"/>
                <w14:textFill>
                  <w14:solidFill>
                    <w14:srgbClr w14:val="000000">
                      <w14:alpha w14:val="100000"/>
                    </w14:srgbClr>
                  </w14:solidFill>
                </w14:textFill>
              </w:rPr>
              <w:t>|</w:t>
            </w:r>
            <w:r w:rsidR="001341AB">
              <w:rPr>
                <w:szCs w:val="20"/>
                <w:vertAlign w:val="superscript"/>
              </w:rPr>
              <w:t>4</w:t>
            </w:r>
          </w:p>
        </w:tc>
        <w:tc>
          <w:tcPr>
            <w:tcW w:w="1129" w:type="dxa"/>
            <w:vAlign w:val="center"/>
          </w:tcPr>
          <w:p w14:paraId="764252ED" w14:textId="348E427D"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12"/>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12"/>
                <w14:textFill>
                  <w14:solidFill>
                    <w14:srgbClr w14:val="000000">
                      <w14:alpha w14:val="100000"/>
                    </w14:srgbClr>
                  </w14:solidFill>
                </w14:textFill>
              </w:rPr>
              <w:t>|</w:t>
            </w:r>
            <w:r w:rsidR="001341AB">
              <w:rPr>
                <w:szCs w:val="20"/>
                <w:vertAlign w:val="superscript"/>
              </w:rPr>
              <w:t>4</w:t>
            </w:r>
          </w:p>
        </w:tc>
        <w:tc>
          <w:tcPr>
            <w:tcW w:w="1131" w:type="dxa"/>
            <w:vAlign w:val="center"/>
          </w:tcPr>
          <w:p w14:paraId="6974363F" w14:textId="31072D79"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28"/>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28"/>
                <w14:textFill>
                  <w14:solidFill>
                    <w14:srgbClr w14:val="000000">
                      <w14:alpha w14:val="100000"/>
                    </w14:srgbClr>
                  </w14:solidFill>
                </w14:textFill>
              </w:rPr>
              <w:t>|</w:t>
            </w:r>
            <w:r w:rsidR="001341AB">
              <w:rPr>
                <w:szCs w:val="20"/>
                <w:vertAlign w:val="superscript"/>
              </w:rPr>
              <w:t>4</w:t>
            </w:r>
          </w:p>
        </w:tc>
        <w:tc>
          <w:tcPr>
            <w:tcW w:w="1129" w:type="dxa"/>
            <w:vAlign w:val="center"/>
          </w:tcPr>
          <w:p w14:paraId="2A51FB4F" w14:textId="58E6448A"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27"/>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27"/>
                <w14:textFill>
                  <w14:solidFill>
                    <w14:srgbClr w14:val="000000">
                      <w14:alpha w14:val="100000"/>
                    </w14:srgbClr>
                  </w14:solidFill>
                </w14:textFill>
              </w:rPr>
              <w:t>|</w:t>
            </w:r>
            <w:r w:rsidR="001341AB">
              <w:rPr>
                <w:szCs w:val="20"/>
                <w:vertAlign w:val="superscript"/>
              </w:rPr>
              <w:t>4</w:t>
            </w:r>
          </w:p>
        </w:tc>
      </w:tr>
      <w:tr w:rsidR="00247A04" w:rsidRPr="0074058E" w:rsidDel="008147AE" w14:paraId="430D8774" w14:textId="77777777" w:rsidTr="00D577F8">
        <w:tc>
          <w:tcPr>
            <w:tcW w:w="2240" w:type="dxa"/>
            <w:vAlign w:val="center"/>
          </w:tcPr>
          <w:p w14:paraId="35C96A9C" w14:textId="775E41BB" w:rsidR="00247A04" w:rsidRPr="0074058E" w:rsidRDefault="00247A04" w:rsidP="00247A04">
            <w:pPr>
              <w:pStyle w:val="TableText"/>
            </w:pPr>
            <w:r w:rsidRPr="0074058E">
              <w:rPr>
                <w:szCs w:val="20"/>
              </w:rPr>
              <w:t>Net cost to health budget</w:t>
            </w:r>
          </w:p>
        </w:tc>
        <w:tc>
          <w:tcPr>
            <w:tcW w:w="1129" w:type="dxa"/>
            <w:vAlign w:val="center"/>
          </w:tcPr>
          <w:p w14:paraId="0B0BA0A4" w14:textId="4CFEAE65"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26"/>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26"/>
                <w14:textFill>
                  <w14:solidFill>
                    <w14:srgbClr w14:val="000000">
                      <w14:alpha w14:val="100000"/>
                    </w14:srgbClr>
                  </w14:solidFill>
                </w14:textFill>
              </w:rPr>
              <w:t>|</w:t>
            </w:r>
            <w:r w:rsidR="001341AB">
              <w:rPr>
                <w:szCs w:val="20"/>
                <w:vertAlign w:val="superscript"/>
              </w:rPr>
              <w:t>3</w:t>
            </w:r>
          </w:p>
        </w:tc>
        <w:tc>
          <w:tcPr>
            <w:tcW w:w="1129" w:type="dxa"/>
            <w:vAlign w:val="center"/>
          </w:tcPr>
          <w:p w14:paraId="581E6F5F" w14:textId="474DC908"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25"/>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25"/>
                <w14:textFill>
                  <w14:solidFill>
                    <w14:srgbClr w14:val="000000">
                      <w14:alpha w14:val="100000"/>
                    </w14:srgbClr>
                  </w14:solidFill>
                </w14:textFill>
              </w:rPr>
              <w:t>|</w:t>
            </w:r>
            <w:r w:rsidR="001341AB">
              <w:rPr>
                <w:szCs w:val="20"/>
                <w:vertAlign w:val="superscript"/>
              </w:rPr>
              <w:t>3</w:t>
            </w:r>
          </w:p>
        </w:tc>
        <w:tc>
          <w:tcPr>
            <w:tcW w:w="1129" w:type="dxa"/>
            <w:vAlign w:val="center"/>
          </w:tcPr>
          <w:p w14:paraId="22A36768" w14:textId="2D961ADB"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24"/>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24"/>
                <w14:textFill>
                  <w14:solidFill>
                    <w14:srgbClr w14:val="000000">
                      <w14:alpha w14:val="100000"/>
                    </w14:srgbClr>
                  </w14:solidFill>
                </w14:textFill>
              </w:rPr>
              <w:t>|</w:t>
            </w:r>
            <w:r w:rsidR="001341AB">
              <w:rPr>
                <w:szCs w:val="20"/>
                <w:vertAlign w:val="superscript"/>
              </w:rPr>
              <w:t>3</w:t>
            </w:r>
          </w:p>
        </w:tc>
        <w:tc>
          <w:tcPr>
            <w:tcW w:w="1129" w:type="dxa"/>
            <w:vAlign w:val="center"/>
          </w:tcPr>
          <w:p w14:paraId="71C2B6BA" w14:textId="5CCD094E"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23"/>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23"/>
                <w14:textFill>
                  <w14:solidFill>
                    <w14:srgbClr w14:val="000000">
                      <w14:alpha w14:val="100000"/>
                    </w14:srgbClr>
                  </w14:solidFill>
                </w14:textFill>
              </w:rPr>
              <w:t>|</w:t>
            </w:r>
            <w:r w:rsidR="001341AB">
              <w:rPr>
                <w:szCs w:val="20"/>
                <w:vertAlign w:val="superscript"/>
              </w:rPr>
              <w:t>3</w:t>
            </w:r>
          </w:p>
        </w:tc>
        <w:tc>
          <w:tcPr>
            <w:tcW w:w="1131" w:type="dxa"/>
            <w:vAlign w:val="center"/>
          </w:tcPr>
          <w:p w14:paraId="55E8F561" w14:textId="4AA586BE"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22"/>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22"/>
                <w14:textFill>
                  <w14:solidFill>
                    <w14:srgbClr w14:val="000000">
                      <w14:alpha w14:val="100000"/>
                    </w14:srgbClr>
                  </w14:solidFill>
                </w14:textFill>
              </w:rPr>
              <w:t>|</w:t>
            </w:r>
            <w:r w:rsidR="001341AB">
              <w:rPr>
                <w:szCs w:val="20"/>
                <w:vertAlign w:val="superscript"/>
              </w:rPr>
              <w:t>3</w:t>
            </w:r>
          </w:p>
        </w:tc>
        <w:tc>
          <w:tcPr>
            <w:tcW w:w="1129" w:type="dxa"/>
            <w:vAlign w:val="center"/>
          </w:tcPr>
          <w:p w14:paraId="651A7529" w14:textId="05342F95" w:rsidR="00247A04" w:rsidRPr="00017E19" w:rsidRDefault="00ED35F2" w:rsidP="00050EA5">
            <w:pPr>
              <w:pStyle w:val="TableText"/>
              <w:jc w:val="center"/>
              <w:rPr>
                <w:color w:val="000000"/>
                <w:highlight w:val="darkGray"/>
              </w:rPr>
            </w:pPr>
            <w:r w:rsidRPr="00ED35F2">
              <w:rPr>
                <w:rFonts w:cs="Arial"/>
                <w:iCs/>
                <w:color w:val="000000"/>
                <w:spacing w:val="191"/>
                <w:szCs w:val="20"/>
                <w:shd w:val="solid" w:color="000000" w:fill="000000"/>
                <w:fitText w:val="277" w:id="-1300508921"/>
                <w14:textFill>
                  <w14:solidFill>
                    <w14:srgbClr w14:val="000000">
                      <w14:alpha w14:val="100000"/>
                    </w14:srgbClr>
                  </w14:solidFill>
                </w14:textFill>
              </w:rPr>
              <w:t>|</w:t>
            </w:r>
            <w:r w:rsidRPr="00ED35F2">
              <w:rPr>
                <w:rFonts w:cs="Arial"/>
                <w:iCs/>
                <w:color w:val="000000"/>
                <w:spacing w:val="1"/>
                <w:szCs w:val="20"/>
                <w:shd w:val="solid" w:color="000000" w:fill="000000"/>
                <w:fitText w:val="277" w:id="-1300508921"/>
                <w14:textFill>
                  <w14:solidFill>
                    <w14:srgbClr w14:val="000000">
                      <w14:alpha w14:val="100000"/>
                    </w14:srgbClr>
                  </w14:solidFill>
                </w14:textFill>
              </w:rPr>
              <w:t>|</w:t>
            </w:r>
            <w:r w:rsidR="001341AB">
              <w:rPr>
                <w:szCs w:val="20"/>
                <w:vertAlign w:val="superscript"/>
              </w:rPr>
              <w:t>3</w:t>
            </w:r>
          </w:p>
        </w:tc>
      </w:tr>
      <w:tr w:rsidR="002B6EA3" w:rsidRPr="0074058E" w:rsidDel="008147AE" w14:paraId="3C678F07" w14:textId="77777777" w:rsidTr="00206731">
        <w:tc>
          <w:tcPr>
            <w:tcW w:w="9016" w:type="dxa"/>
            <w:gridSpan w:val="7"/>
            <w:shd w:val="clear" w:color="auto" w:fill="F2F2F2" w:themeFill="background1" w:themeFillShade="F2"/>
            <w:vAlign w:val="center"/>
          </w:tcPr>
          <w:p w14:paraId="2CC27DF9" w14:textId="77777777" w:rsidR="002B6EA3" w:rsidRPr="0074058E" w:rsidDel="008147AE" w:rsidRDefault="002B6EA3" w:rsidP="00206731">
            <w:pPr>
              <w:pStyle w:val="In-tableHeading"/>
              <w:rPr>
                <w:lang w:val="en-AU"/>
              </w:rPr>
            </w:pPr>
            <w:r w:rsidRPr="0074058E">
              <w:rPr>
                <w:lang w:val="en-AU"/>
              </w:rPr>
              <w:t>Previous submission (July 2022)</w:t>
            </w:r>
          </w:p>
        </w:tc>
      </w:tr>
      <w:tr w:rsidR="002B6EA3" w:rsidRPr="0074058E" w:rsidDel="008147AE" w14:paraId="4C335CBF" w14:textId="77777777" w:rsidTr="00D577F8">
        <w:tc>
          <w:tcPr>
            <w:tcW w:w="2240" w:type="dxa"/>
            <w:shd w:val="clear" w:color="auto" w:fill="F2F2F2" w:themeFill="background1" w:themeFillShade="F2"/>
            <w:vAlign w:val="center"/>
          </w:tcPr>
          <w:p w14:paraId="6BE6C3A7" w14:textId="77777777" w:rsidR="002B6EA3" w:rsidRPr="0074058E" w:rsidRDefault="002B6EA3" w:rsidP="00206731">
            <w:pPr>
              <w:pStyle w:val="TableText"/>
            </w:pPr>
            <w:r w:rsidRPr="0074058E">
              <w:t>Net cost to PBS/RPBS</w:t>
            </w:r>
          </w:p>
        </w:tc>
        <w:tc>
          <w:tcPr>
            <w:tcW w:w="1129" w:type="dxa"/>
            <w:shd w:val="clear" w:color="auto" w:fill="F2F2F2" w:themeFill="background1" w:themeFillShade="F2"/>
            <w:vAlign w:val="center"/>
          </w:tcPr>
          <w:p w14:paraId="0EECBBC8" w14:textId="4BE812B9" w:rsidR="002B6EA3" w:rsidRPr="00017E19" w:rsidDel="008147AE" w:rsidRDefault="00ED35F2" w:rsidP="00050EA5">
            <w:pPr>
              <w:pStyle w:val="TableText"/>
              <w:jc w:val="center"/>
              <w:rPr>
                <w:highlight w:val="darkGray"/>
              </w:rPr>
            </w:pPr>
            <w:r w:rsidRPr="00ED35F2">
              <w:rPr>
                <w:rFonts w:cs="Arial"/>
                <w:bCs w:val="0"/>
                <w:color w:val="000000"/>
                <w:spacing w:val="191"/>
                <w:shd w:val="solid" w:color="000000" w:fill="000000"/>
                <w:fitText w:val="277" w:id="-1300508920"/>
                <w14:textFill>
                  <w14:solidFill>
                    <w14:srgbClr w14:val="000000">
                      <w14:alpha w14:val="100000"/>
                    </w14:srgbClr>
                  </w14:solidFill>
                </w14:textFill>
              </w:rPr>
              <w:t>|</w:t>
            </w:r>
            <w:r w:rsidRPr="00ED35F2">
              <w:rPr>
                <w:rFonts w:cs="Arial"/>
                <w:bCs w:val="0"/>
                <w:color w:val="000000"/>
                <w:spacing w:val="1"/>
                <w:shd w:val="solid" w:color="000000" w:fill="000000"/>
                <w:fitText w:val="277" w:id="-1300508920"/>
                <w14:textFill>
                  <w14:solidFill>
                    <w14:srgbClr w14:val="000000">
                      <w14:alpha w14:val="100000"/>
                    </w14:srgbClr>
                  </w14:solidFill>
                </w14:textFill>
              </w:rPr>
              <w:t>|</w:t>
            </w:r>
            <w:r w:rsidR="001341AB">
              <w:rPr>
                <w:szCs w:val="20"/>
                <w:vertAlign w:val="superscript"/>
              </w:rPr>
              <w:t>3</w:t>
            </w:r>
          </w:p>
        </w:tc>
        <w:tc>
          <w:tcPr>
            <w:tcW w:w="1129" w:type="dxa"/>
            <w:shd w:val="clear" w:color="auto" w:fill="F2F2F2" w:themeFill="background1" w:themeFillShade="F2"/>
            <w:vAlign w:val="center"/>
          </w:tcPr>
          <w:p w14:paraId="2AECA087" w14:textId="5CA0571C" w:rsidR="002B6EA3" w:rsidRPr="00017E19" w:rsidDel="008147AE" w:rsidRDefault="00ED35F2" w:rsidP="00050EA5">
            <w:pPr>
              <w:pStyle w:val="TableText"/>
              <w:jc w:val="center"/>
              <w:rPr>
                <w:highlight w:val="darkGray"/>
              </w:rPr>
            </w:pPr>
            <w:r w:rsidRPr="00ED35F2">
              <w:rPr>
                <w:rFonts w:cs="Arial"/>
                <w:bCs w:val="0"/>
                <w:color w:val="000000"/>
                <w:spacing w:val="191"/>
                <w:shd w:val="solid" w:color="000000" w:fill="000000"/>
                <w:fitText w:val="277" w:id="-1300508919"/>
                <w14:textFill>
                  <w14:solidFill>
                    <w14:srgbClr w14:val="000000">
                      <w14:alpha w14:val="100000"/>
                    </w14:srgbClr>
                  </w14:solidFill>
                </w14:textFill>
              </w:rPr>
              <w:t>|</w:t>
            </w:r>
            <w:r w:rsidRPr="00ED35F2">
              <w:rPr>
                <w:rFonts w:cs="Arial"/>
                <w:bCs w:val="0"/>
                <w:color w:val="000000"/>
                <w:spacing w:val="1"/>
                <w:shd w:val="solid" w:color="000000" w:fill="000000"/>
                <w:fitText w:val="277" w:id="-1300508919"/>
                <w14:textFill>
                  <w14:solidFill>
                    <w14:srgbClr w14:val="000000">
                      <w14:alpha w14:val="100000"/>
                    </w14:srgbClr>
                  </w14:solidFill>
                </w14:textFill>
              </w:rPr>
              <w:t>|</w:t>
            </w:r>
            <w:r w:rsidR="001341AB">
              <w:rPr>
                <w:szCs w:val="20"/>
                <w:vertAlign w:val="superscript"/>
              </w:rPr>
              <w:t>3</w:t>
            </w:r>
          </w:p>
        </w:tc>
        <w:tc>
          <w:tcPr>
            <w:tcW w:w="1129" w:type="dxa"/>
            <w:shd w:val="clear" w:color="auto" w:fill="F2F2F2" w:themeFill="background1" w:themeFillShade="F2"/>
            <w:vAlign w:val="center"/>
          </w:tcPr>
          <w:p w14:paraId="52D72FB6" w14:textId="4496C10F" w:rsidR="002B6EA3" w:rsidRPr="00017E19" w:rsidDel="008147AE" w:rsidRDefault="00ED35F2" w:rsidP="00050EA5">
            <w:pPr>
              <w:pStyle w:val="TableText"/>
              <w:jc w:val="center"/>
              <w:rPr>
                <w:highlight w:val="darkGray"/>
              </w:rPr>
            </w:pPr>
            <w:r w:rsidRPr="00ED35F2">
              <w:rPr>
                <w:rFonts w:cs="Arial"/>
                <w:bCs w:val="0"/>
                <w:color w:val="000000"/>
                <w:spacing w:val="191"/>
                <w:shd w:val="solid" w:color="000000" w:fill="000000"/>
                <w:fitText w:val="277" w:id="-1300508918"/>
                <w14:textFill>
                  <w14:solidFill>
                    <w14:srgbClr w14:val="000000">
                      <w14:alpha w14:val="100000"/>
                    </w14:srgbClr>
                  </w14:solidFill>
                </w14:textFill>
              </w:rPr>
              <w:t>|</w:t>
            </w:r>
            <w:r w:rsidRPr="00ED35F2">
              <w:rPr>
                <w:rFonts w:cs="Arial"/>
                <w:bCs w:val="0"/>
                <w:color w:val="000000"/>
                <w:spacing w:val="1"/>
                <w:shd w:val="solid" w:color="000000" w:fill="000000"/>
                <w:fitText w:val="277" w:id="-1300508918"/>
                <w14:textFill>
                  <w14:solidFill>
                    <w14:srgbClr w14:val="000000">
                      <w14:alpha w14:val="100000"/>
                    </w14:srgbClr>
                  </w14:solidFill>
                </w14:textFill>
              </w:rPr>
              <w:t>|</w:t>
            </w:r>
            <w:r w:rsidR="001341AB">
              <w:rPr>
                <w:szCs w:val="20"/>
                <w:vertAlign w:val="superscript"/>
              </w:rPr>
              <w:t>3</w:t>
            </w:r>
          </w:p>
        </w:tc>
        <w:tc>
          <w:tcPr>
            <w:tcW w:w="1129" w:type="dxa"/>
            <w:shd w:val="clear" w:color="auto" w:fill="F2F2F2" w:themeFill="background1" w:themeFillShade="F2"/>
            <w:vAlign w:val="center"/>
          </w:tcPr>
          <w:p w14:paraId="244E3CB3" w14:textId="28CF11C7" w:rsidR="002B6EA3" w:rsidRPr="00017E19" w:rsidDel="008147AE" w:rsidRDefault="00ED35F2" w:rsidP="00050EA5">
            <w:pPr>
              <w:pStyle w:val="TableText"/>
              <w:jc w:val="center"/>
              <w:rPr>
                <w:highlight w:val="darkGray"/>
              </w:rPr>
            </w:pPr>
            <w:r w:rsidRPr="00ED35F2">
              <w:rPr>
                <w:rFonts w:cs="Arial"/>
                <w:bCs w:val="0"/>
                <w:color w:val="000000"/>
                <w:spacing w:val="191"/>
                <w:shd w:val="solid" w:color="000000" w:fill="000000"/>
                <w:fitText w:val="277" w:id="-1300508917"/>
                <w14:textFill>
                  <w14:solidFill>
                    <w14:srgbClr w14:val="000000">
                      <w14:alpha w14:val="100000"/>
                    </w14:srgbClr>
                  </w14:solidFill>
                </w14:textFill>
              </w:rPr>
              <w:t>|</w:t>
            </w:r>
            <w:r w:rsidRPr="00ED35F2">
              <w:rPr>
                <w:rFonts w:cs="Arial"/>
                <w:bCs w:val="0"/>
                <w:color w:val="000000"/>
                <w:spacing w:val="1"/>
                <w:shd w:val="solid" w:color="000000" w:fill="000000"/>
                <w:fitText w:val="277" w:id="-1300508917"/>
                <w14:textFill>
                  <w14:solidFill>
                    <w14:srgbClr w14:val="000000">
                      <w14:alpha w14:val="100000"/>
                    </w14:srgbClr>
                  </w14:solidFill>
                </w14:textFill>
              </w:rPr>
              <w:t>|</w:t>
            </w:r>
            <w:r w:rsidR="001341AB">
              <w:rPr>
                <w:szCs w:val="20"/>
                <w:vertAlign w:val="superscript"/>
              </w:rPr>
              <w:t>3</w:t>
            </w:r>
          </w:p>
        </w:tc>
        <w:tc>
          <w:tcPr>
            <w:tcW w:w="1131" w:type="dxa"/>
            <w:shd w:val="clear" w:color="auto" w:fill="F2F2F2" w:themeFill="background1" w:themeFillShade="F2"/>
            <w:vAlign w:val="center"/>
          </w:tcPr>
          <w:p w14:paraId="687B61DC" w14:textId="1C677A25" w:rsidR="002B6EA3" w:rsidRPr="00017E19" w:rsidDel="008147AE" w:rsidRDefault="00ED35F2" w:rsidP="00050EA5">
            <w:pPr>
              <w:pStyle w:val="TableText"/>
              <w:jc w:val="center"/>
              <w:rPr>
                <w:highlight w:val="darkGray"/>
              </w:rPr>
            </w:pPr>
            <w:r w:rsidRPr="00ED35F2">
              <w:rPr>
                <w:rFonts w:cs="Arial"/>
                <w:bCs w:val="0"/>
                <w:color w:val="000000"/>
                <w:spacing w:val="191"/>
                <w:shd w:val="solid" w:color="000000" w:fill="000000"/>
                <w:fitText w:val="277" w:id="-1300508916"/>
                <w14:textFill>
                  <w14:solidFill>
                    <w14:srgbClr w14:val="000000">
                      <w14:alpha w14:val="100000"/>
                    </w14:srgbClr>
                  </w14:solidFill>
                </w14:textFill>
              </w:rPr>
              <w:t>|</w:t>
            </w:r>
            <w:r w:rsidRPr="00ED35F2">
              <w:rPr>
                <w:rFonts w:cs="Arial"/>
                <w:bCs w:val="0"/>
                <w:color w:val="000000"/>
                <w:spacing w:val="1"/>
                <w:shd w:val="solid" w:color="000000" w:fill="000000"/>
                <w:fitText w:val="277" w:id="-1300508916"/>
                <w14:textFill>
                  <w14:solidFill>
                    <w14:srgbClr w14:val="000000">
                      <w14:alpha w14:val="100000"/>
                    </w14:srgbClr>
                  </w14:solidFill>
                </w14:textFill>
              </w:rPr>
              <w:t>|</w:t>
            </w:r>
            <w:r w:rsidR="001341AB">
              <w:rPr>
                <w:szCs w:val="20"/>
                <w:vertAlign w:val="superscript"/>
              </w:rPr>
              <w:t>3</w:t>
            </w:r>
          </w:p>
        </w:tc>
        <w:tc>
          <w:tcPr>
            <w:tcW w:w="1129" w:type="dxa"/>
            <w:shd w:val="clear" w:color="auto" w:fill="F2F2F2" w:themeFill="background1" w:themeFillShade="F2"/>
            <w:vAlign w:val="center"/>
          </w:tcPr>
          <w:p w14:paraId="60663606" w14:textId="0819CC33" w:rsidR="002B6EA3" w:rsidRPr="00017E19" w:rsidDel="008147AE" w:rsidRDefault="00ED35F2" w:rsidP="00050EA5">
            <w:pPr>
              <w:pStyle w:val="TableText"/>
              <w:jc w:val="center"/>
              <w:rPr>
                <w:highlight w:val="darkGray"/>
              </w:rPr>
            </w:pPr>
            <w:r w:rsidRPr="00ED35F2">
              <w:rPr>
                <w:rFonts w:cs="Arial"/>
                <w:bCs w:val="0"/>
                <w:color w:val="000000"/>
                <w:spacing w:val="191"/>
                <w:shd w:val="solid" w:color="000000" w:fill="000000"/>
                <w:fitText w:val="277" w:id="-1300508915"/>
                <w14:textFill>
                  <w14:solidFill>
                    <w14:srgbClr w14:val="000000">
                      <w14:alpha w14:val="100000"/>
                    </w14:srgbClr>
                  </w14:solidFill>
                </w14:textFill>
              </w:rPr>
              <w:t>|</w:t>
            </w:r>
            <w:r w:rsidRPr="00ED35F2">
              <w:rPr>
                <w:rFonts w:cs="Arial"/>
                <w:bCs w:val="0"/>
                <w:color w:val="000000"/>
                <w:spacing w:val="1"/>
                <w:shd w:val="solid" w:color="000000" w:fill="000000"/>
                <w:fitText w:val="277" w:id="-1300508915"/>
                <w14:textFill>
                  <w14:solidFill>
                    <w14:srgbClr w14:val="000000">
                      <w14:alpha w14:val="100000"/>
                    </w14:srgbClr>
                  </w14:solidFill>
                </w14:textFill>
              </w:rPr>
              <w:t>|</w:t>
            </w:r>
            <w:r w:rsidR="001341AB">
              <w:rPr>
                <w:szCs w:val="20"/>
                <w:vertAlign w:val="superscript"/>
              </w:rPr>
              <w:t>3</w:t>
            </w:r>
          </w:p>
        </w:tc>
      </w:tr>
    </w:tbl>
    <w:p w14:paraId="6979D9AF" w14:textId="77777777" w:rsidR="002B6EA3" w:rsidRPr="0074058E" w:rsidRDefault="002B6EA3" w:rsidP="002B6EA3">
      <w:pPr>
        <w:pStyle w:val="TableFigureFooter"/>
      </w:pPr>
      <w:r w:rsidRPr="0074058E">
        <w:t>a Assuming mean treatment duration of 17.1 months (median duration of 22.1 months used in previous submission).</w:t>
      </w:r>
    </w:p>
    <w:p w14:paraId="02A107AA" w14:textId="01375FD8" w:rsidR="002B6EA3" w:rsidRPr="0074058E" w:rsidRDefault="002B6EA3" w:rsidP="002B6EA3">
      <w:pPr>
        <w:pStyle w:val="TableFigureFooter"/>
      </w:pPr>
      <w:r w:rsidRPr="0074058E">
        <w:t>b Includes</w:t>
      </w:r>
      <w:r w:rsidR="00085DA3">
        <w:t>&lt;500</w:t>
      </w:r>
      <w:r w:rsidRPr="0074058E">
        <w:t xml:space="preserve">  grandfathered patients in Year 1 of listing.</w:t>
      </w:r>
    </w:p>
    <w:p w14:paraId="76AFA63F" w14:textId="35B93C66" w:rsidR="002B6EA3" w:rsidRDefault="002B6EA3" w:rsidP="002B6EA3">
      <w:pPr>
        <w:pStyle w:val="TableFigureFooter"/>
      </w:pPr>
      <w:bookmarkStart w:id="37" w:name="_Hlk80288964"/>
      <w:r w:rsidRPr="0074058E">
        <w:t>Source: Tables 6 and 7, pp 27 and 28 of the resubmission, spreadsheet 4a, Attachment 4 – LYNPARZA (olaparib) Section 4 financial estimates revised</w:t>
      </w:r>
      <w:r w:rsidR="00247A04" w:rsidRPr="0074058E">
        <w:t xml:space="preserve"> </w:t>
      </w:r>
      <w:r w:rsidRPr="0074058E">
        <w:t>final.</w:t>
      </w:r>
      <w:bookmarkEnd w:id="37"/>
    </w:p>
    <w:p w14:paraId="5232FB43" w14:textId="77777777" w:rsidR="001341AB" w:rsidRPr="009A6D58" w:rsidRDefault="001341AB" w:rsidP="001341AB">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8DE28C3" w14:textId="26E6B394" w:rsidR="001341AB" w:rsidRPr="009A6D58" w:rsidRDefault="001341AB" w:rsidP="001341AB">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1341AB">
        <w:rPr>
          <w:rFonts w:ascii="Arial Narrow" w:hAnsi="Arial Narrow" w:cs="Arial"/>
          <w:i/>
          <w:sz w:val="18"/>
          <w:szCs w:val="18"/>
        </w:rPr>
        <w:t>&lt; 500</w:t>
      </w:r>
    </w:p>
    <w:p w14:paraId="4DCE7823" w14:textId="354AB978" w:rsidR="001341AB" w:rsidRPr="009A6D58" w:rsidRDefault="001341AB" w:rsidP="001341AB">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1341AB">
        <w:rPr>
          <w:rFonts w:ascii="Arial Narrow" w:hAnsi="Arial Narrow" w:cs="Arial"/>
          <w:i/>
          <w:sz w:val="18"/>
          <w:szCs w:val="18"/>
        </w:rPr>
        <w:t>5,000 to &lt; 10,000</w:t>
      </w:r>
    </w:p>
    <w:p w14:paraId="04E3B282" w14:textId="138DBF5F" w:rsidR="001341AB" w:rsidRDefault="001341AB" w:rsidP="001341AB">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1341AB">
        <w:rPr>
          <w:rFonts w:ascii="Arial Narrow" w:hAnsi="Arial Narrow" w:cs="Arial"/>
          <w:i/>
          <w:sz w:val="18"/>
          <w:szCs w:val="18"/>
        </w:rPr>
        <w:t>$10 million to &lt; $20 million</w:t>
      </w:r>
    </w:p>
    <w:p w14:paraId="1E4EDAF7" w14:textId="4464A4AE" w:rsidR="001341AB" w:rsidRPr="0074058E" w:rsidRDefault="001341AB" w:rsidP="00017E19">
      <w:pPr>
        <w:spacing w:after="120"/>
      </w:pPr>
      <w:r>
        <w:rPr>
          <w:rFonts w:ascii="Arial Narrow" w:hAnsi="Arial Narrow" w:cs="Arial"/>
          <w:i/>
          <w:sz w:val="18"/>
          <w:szCs w:val="18"/>
          <w:vertAlign w:val="superscript"/>
        </w:rPr>
        <w:t>4</w:t>
      </w:r>
      <w:r>
        <w:rPr>
          <w:rFonts w:ascii="Arial Narrow" w:hAnsi="Arial Narrow" w:cs="Arial"/>
          <w:i/>
          <w:sz w:val="18"/>
          <w:szCs w:val="18"/>
        </w:rPr>
        <w:t xml:space="preserve"> </w:t>
      </w:r>
      <w:r w:rsidRPr="001341AB">
        <w:rPr>
          <w:rFonts w:ascii="Arial Narrow" w:hAnsi="Arial Narrow" w:cs="Arial"/>
          <w:i/>
          <w:sz w:val="18"/>
          <w:szCs w:val="18"/>
        </w:rPr>
        <w:t>$0 to &lt; $10 million</w:t>
      </w:r>
    </w:p>
    <w:p w14:paraId="56223E9F" w14:textId="33CC5EF5" w:rsidR="00247A04" w:rsidRPr="0074058E" w:rsidRDefault="00247A04" w:rsidP="00247A04">
      <w:pPr>
        <w:pStyle w:val="3-BodyText"/>
        <w:rPr>
          <w:rFonts w:cstheme="minorHAnsi"/>
        </w:rPr>
      </w:pPr>
      <w:r w:rsidRPr="0074058E">
        <w:t xml:space="preserve">After these </w:t>
      </w:r>
      <w:r w:rsidR="00197685" w:rsidRPr="0074058E">
        <w:t>corrections</w:t>
      </w:r>
      <w:r w:rsidR="00663A59" w:rsidRPr="0074058E">
        <w:t>,</w:t>
      </w:r>
      <w:r w:rsidRPr="0074058E">
        <w:t xml:space="preserve"> the estimated </w:t>
      </w:r>
      <w:r w:rsidRPr="0074058E">
        <w:rPr>
          <w:rFonts w:cstheme="minorHAnsi"/>
        </w:rPr>
        <w:t xml:space="preserve">a net cost to the PBS/RPBS for listing olaparib + bevacizumab </w:t>
      </w:r>
      <w:r w:rsidR="00663A59" w:rsidRPr="0074058E">
        <w:rPr>
          <w:rFonts w:cstheme="minorHAnsi"/>
        </w:rPr>
        <w:t xml:space="preserve">was </w:t>
      </w:r>
      <w:r w:rsidR="001341AB" w:rsidRPr="001341AB">
        <w:rPr>
          <w:rFonts w:cstheme="minorHAnsi"/>
        </w:rPr>
        <w:t>$10</w:t>
      </w:r>
      <w:r w:rsidR="00AA510C">
        <w:rPr>
          <w:rFonts w:cstheme="minorHAnsi"/>
        </w:rPr>
        <w:t> </w:t>
      </w:r>
      <w:r w:rsidR="001341AB" w:rsidRPr="001341AB">
        <w:rPr>
          <w:rFonts w:cstheme="minorHAnsi"/>
        </w:rPr>
        <w:t>million to &lt;</w:t>
      </w:r>
      <w:r w:rsidR="00AA510C">
        <w:rPr>
          <w:rFonts w:cstheme="minorHAnsi"/>
        </w:rPr>
        <w:t> </w:t>
      </w:r>
      <w:r w:rsidR="001341AB" w:rsidRPr="001341AB">
        <w:rPr>
          <w:rFonts w:cstheme="minorHAnsi"/>
        </w:rPr>
        <w:t>$20</w:t>
      </w:r>
      <w:r w:rsidR="00AA510C">
        <w:rPr>
          <w:rFonts w:cstheme="minorHAnsi"/>
        </w:rPr>
        <w:t> </w:t>
      </w:r>
      <w:r w:rsidR="001341AB" w:rsidRPr="001341AB">
        <w:rPr>
          <w:rFonts w:cstheme="minorHAnsi"/>
        </w:rPr>
        <w:t>million</w:t>
      </w:r>
      <w:r w:rsidR="001341AB">
        <w:rPr>
          <w:rFonts w:cstheme="minorHAnsi"/>
        </w:rPr>
        <w:t xml:space="preserve"> </w:t>
      </w:r>
      <w:r w:rsidR="00663A59" w:rsidRPr="0074058E">
        <w:rPr>
          <w:rFonts w:cstheme="minorHAnsi"/>
        </w:rPr>
        <w:t xml:space="preserve">in Year 1 of listing, increasing to </w:t>
      </w:r>
      <w:r w:rsidR="001341AB" w:rsidRPr="001341AB">
        <w:rPr>
          <w:rFonts w:cstheme="minorHAnsi"/>
        </w:rPr>
        <w:t>$10</w:t>
      </w:r>
      <w:r w:rsidR="00AA510C">
        <w:rPr>
          <w:rFonts w:cstheme="minorHAnsi"/>
        </w:rPr>
        <w:t> </w:t>
      </w:r>
      <w:r w:rsidR="001341AB" w:rsidRPr="001341AB">
        <w:rPr>
          <w:rFonts w:cstheme="minorHAnsi"/>
        </w:rPr>
        <w:t>million to &lt; $20 million</w:t>
      </w:r>
      <w:r w:rsidR="001341AB">
        <w:rPr>
          <w:rFonts w:cstheme="minorHAnsi"/>
        </w:rPr>
        <w:t xml:space="preserve"> </w:t>
      </w:r>
      <w:r w:rsidRPr="0074058E">
        <w:rPr>
          <w:rFonts w:cstheme="minorHAnsi"/>
        </w:rPr>
        <w:t>in Year 6 of listing, with a total net cost</w:t>
      </w:r>
      <w:r w:rsidRPr="0074058E" w:rsidDel="00F51E70">
        <w:rPr>
          <w:rFonts w:cstheme="minorHAnsi"/>
        </w:rPr>
        <w:t xml:space="preserve"> </w:t>
      </w:r>
      <w:r w:rsidRPr="0074058E">
        <w:rPr>
          <w:rFonts w:cstheme="minorHAnsi"/>
        </w:rPr>
        <w:t xml:space="preserve">to the PBS/RPBS of </w:t>
      </w:r>
      <w:r w:rsidR="001341AB" w:rsidRPr="001341AB">
        <w:rPr>
          <w:rFonts w:cstheme="minorHAnsi"/>
        </w:rPr>
        <w:t>$90</w:t>
      </w:r>
      <w:r w:rsidR="00AA510C">
        <w:rPr>
          <w:rFonts w:cstheme="minorHAnsi"/>
        </w:rPr>
        <w:t> </w:t>
      </w:r>
      <w:r w:rsidR="001341AB" w:rsidRPr="001341AB">
        <w:rPr>
          <w:rFonts w:cstheme="minorHAnsi"/>
        </w:rPr>
        <w:t>million to &lt; $100 million</w:t>
      </w:r>
      <w:r w:rsidR="001341AB">
        <w:rPr>
          <w:rFonts w:cstheme="minorHAnsi"/>
        </w:rPr>
        <w:t xml:space="preserve"> </w:t>
      </w:r>
      <w:r w:rsidRPr="0074058E">
        <w:rPr>
          <w:rFonts w:cstheme="minorHAnsi"/>
        </w:rPr>
        <w:t>over the first 6 years of listing</w:t>
      </w:r>
      <w:r w:rsidR="00663A59" w:rsidRPr="0074058E">
        <w:rPr>
          <w:rFonts w:cstheme="minorHAnsi"/>
        </w:rPr>
        <w:t>.</w:t>
      </w:r>
    </w:p>
    <w:p w14:paraId="15412EFE" w14:textId="77777777" w:rsidR="00D82AC4" w:rsidRPr="0074058E" w:rsidRDefault="00D82AC4" w:rsidP="00D82AC4">
      <w:pPr>
        <w:pStyle w:val="4-SubsectionHeading"/>
        <w:keepNext/>
      </w:pPr>
      <w:bookmarkStart w:id="38" w:name="_Toc22897649"/>
      <w:bookmarkStart w:id="39" w:name="_Toc72315311"/>
      <w:r w:rsidRPr="0074058E">
        <w:t>Financial Management – Risk Sharing Arrangements</w:t>
      </w:r>
      <w:bookmarkEnd w:id="38"/>
      <w:bookmarkEnd w:id="39"/>
    </w:p>
    <w:p w14:paraId="103C2F90" w14:textId="02DF2A0D" w:rsidR="00D82AC4" w:rsidRPr="0074058E" w:rsidRDefault="00602DFC" w:rsidP="00663A59">
      <w:pPr>
        <w:pStyle w:val="3-BodyText"/>
      </w:pPr>
      <w:r w:rsidRPr="0074058E">
        <w:t>The resubmission stated the sponsor is willing to work with the PBAC and Department of Health to determine appropriate terms for PBS listing of olaparib for eligible patients with HRD+</w:t>
      </w:r>
      <w:r w:rsidRPr="0074058E">
        <w:rPr>
          <w:i/>
          <w:iCs/>
        </w:rPr>
        <w:t>BRCA</w:t>
      </w:r>
      <w:r w:rsidRPr="0074058E">
        <w:t>wt advanced ovarian cancer that recognises the value of this treatment and shares the risk of uncertainty between the Sponsor and the Department.</w:t>
      </w:r>
    </w:p>
    <w:p w14:paraId="51B5B6C0" w14:textId="27BF88F4" w:rsidR="00955D67" w:rsidRPr="0074058E" w:rsidRDefault="00955D67" w:rsidP="005D0EB3">
      <w:pPr>
        <w:pStyle w:val="4-SubsectionHeading"/>
        <w:keepNext/>
      </w:pPr>
      <w:r w:rsidRPr="0074058E">
        <w:t>HRD testing</w:t>
      </w:r>
    </w:p>
    <w:p w14:paraId="645C8417" w14:textId="561B660F" w:rsidR="00955D67" w:rsidRPr="0074058E" w:rsidRDefault="002B2A62" w:rsidP="00F81D86">
      <w:pPr>
        <w:pStyle w:val="3-BodyText"/>
        <w:rPr>
          <w:iCs/>
        </w:rPr>
      </w:pPr>
      <w:r w:rsidRPr="0074058E">
        <w:rPr>
          <w:iCs/>
        </w:rPr>
        <w:t xml:space="preserve">At its July 2022 meeting the MSAC did not </w:t>
      </w:r>
      <w:r w:rsidR="0075428C" w:rsidRPr="0074058E">
        <w:rPr>
          <w:iCs/>
        </w:rPr>
        <w:t xml:space="preserve">support public funding of HRD testing for access to olaparib and advised that further information </w:t>
      </w:r>
      <w:proofErr w:type="gramStart"/>
      <w:r w:rsidR="0075428C" w:rsidRPr="0074058E">
        <w:rPr>
          <w:iCs/>
        </w:rPr>
        <w:t>is nee</w:t>
      </w:r>
      <w:r w:rsidR="00F81D86" w:rsidRPr="0074058E">
        <w:rPr>
          <w:iCs/>
        </w:rPr>
        <w:t>d</w:t>
      </w:r>
      <w:r w:rsidR="0075428C" w:rsidRPr="0074058E">
        <w:rPr>
          <w:iCs/>
        </w:rPr>
        <w:t>ed</w:t>
      </w:r>
      <w:proofErr w:type="gramEnd"/>
      <w:r w:rsidR="0075428C" w:rsidRPr="0074058E">
        <w:rPr>
          <w:iCs/>
        </w:rPr>
        <w:t xml:space="preserve"> to elucidate how to confidently identify ovarian tumour tissue as being homologous recombination deficient</w:t>
      </w:r>
      <w:r w:rsidR="0075428C" w:rsidRPr="0074058E">
        <w:rPr>
          <w:iCs/>
          <w:vertAlign w:val="superscript"/>
        </w:rPr>
        <w:footnoteReference w:id="3"/>
      </w:r>
      <w:r w:rsidR="0075428C" w:rsidRPr="0074058E">
        <w:rPr>
          <w:iCs/>
        </w:rPr>
        <w:t xml:space="preserve">. </w:t>
      </w:r>
      <w:r w:rsidR="00955D67" w:rsidRPr="0074058E">
        <w:rPr>
          <w:iCs/>
        </w:rPr>
        <w:t xml:space="preserve">The resubmission noted that the sponsor is working with the MSAC to address remaining issues regarding HRD testing, the proposed HRD test </w:t>
      </w:r>
      <w:proofErr w:type="gramStart"/>
      <w:r w:rsidR="00955D67" w:rsidRPr="0074058E">
        <w:rPr>
          <w:iCs/>
        </w:rPr>
        <w:t>is expected</w:t>
      </w:r>
      <w:proofErr w:type="gramEnd"/>
      <w:r w:rsidR="00955D67" w:rsidRPr="0074058E">
        <w:rPr>
          <w:iCs/>
        </w:rPr>
        <w:t xml:space="preserve"> to be TGA</w:t>
      </w:r>
      <w:r w:rsidR="00955D67" w:rsidRPr="0074058E">
        <w:rPr>
          <w:iCs/>
        </w:rPr>
        <w:noBreakHyphen/>
        <w:t xml:space="preserve">notified prior to the MSAC and PBAC meetings in the second half of 2022 and the </w:t>
      </w:r>
      <w:r w:rsidR="00ED35F2" w:rsidRPr="00663A0C">
        <w:rPr>
          <w:iCs/>
          <w:color w:val="000000"/>
          <w:w w:val="15"/>
          <w:shd w:val="solid" w:color="000000" w:fill="000000"/>
          <w:fitText w:val="-20" w:id="-1300508914"/>
          <w14:textFill>
            <w14:solidFill>
              <w14:srgbClr w14:val="000000">
                <w14:alpha w14:val="100000"/>
              </w14:srgbClr>
            </w14:solidFill>
          </w14:textFill>
        </w:rPr>
        <w:t xml:space="preserve">|  </w:t>
      </w:r>
      <w:r w:rsidR="00ED35F2" w:rsidRPr="00663A0C">
        <w:rPr>
          <w:iCs/>
          <w:color w:val="000000"/>
          <w:spacing w:val="-69"/>
          <w:w w:val="15"/>
          <w:shd w:val="solid" w:color="000000" w:fill="000000"/>
          <w:fitText w:val="-20" w:id="-1300508914"/>
          <w14:textFill>
            <w14:solidFill>
              <w14:srgbClr w14:val="000000">
                <w14:alpha w14:val="100000"/>
              </w14:srgbClr>
            </w14:solidFill>
          </w14:textFill>
        </w:rPr>
        <w:t>|</w:t>
      </w:r>
      <w:r w:rsidR="00017E19" w:rsidRPr="00017E19">
        <w:rPr>
          <w:iCs/>
        </w:rPr>
        <w:t xml:space="preserve"> </w:t>
      </w:r>
      <w:r w:rsidR="00ED35F2" w:rsidRPr="00663A0C">
        <w:rPr>
          <w:iCs/>
          <w:color w:val="000000"/>
          <w:w w:val="15"/>
          <w:shd w:val="solid" w:color="000000" w:fill="000000"/>
          <w:fitText w:val="-20" w:id="-1300508913"/>
          <w14:textFill>
            <w14:solidFill>
              <w14:srgbClr w14:val="000000">
                <w14:alpha w14:val="100000"/>
              </w14:srgbClr>
            </w14:solidFill>
          </w14:textFill>
        </w:rPr>
        <w:t xml:space="preserve">|  </w:t>
      </w:r>
      <w:r w:rsidR="00ED35F2" w:rsidRPr="00663A0C">
        <w:rPr>
          <w:iCs/>
          <w:color w:val="000000"/>
          <w:spacing w:val="-69"/>
          <w:w w:val="15"/>
          <w:shd w:val="solid" w:color="000000" w:fill="000000"/>
          <w:fitText w:val="-20" w:id="-1300508913"/>
          <w14:textFill>
            <w14:solidFill>
              <w14:srgbClr w14:val="000000">
                <w14:alpha w14:val="100000"/>
              </w14:srgbClr>
            </w14:solidFill>
          </w14:textFill>
        </w:rPr>
        <w:t>|</w:t>
      </w:r>
      <w:r w:rsidR="00017E19" w:rsidRPr="00017E19">
        <w:rPr>
          <w:iCs/>
        </w:rPr>
        <w:t xml:space="preserve"> </w:t>
      </w:r>
      <w:r w:rsidR="00ED35F2" w:rsidRPr="00663A0C">
        <w:rPr>
          <w:iCs/>
          <w:color w:val="000000"/>
          <w:w w:val="15"/>
          <w:shd w:val="solid" w:color="000000" w:fill="000000"/>
          <w:fitText w:val="-20" w:id="-1300508912"/>
          <w14:textFill>
            <w14:solidFill>
              <w14:srgbClr w14:val="000000">
                <w14:alpha w14:val="100000"/>
              </w14:srgbClr>
            </w14:solidFill>
          </w14:textFill>
        </w:rPr>
        <w:t xml:space="preserve">|  </w:t>
      </w:r>
      <w:r w:rsidR="00ED35F2" w:rsidRPr="00663A0C">
        <w:rPr>
          <w:iCs/>
          <w:color w:val="000000"/>
          <w:spacing w:val="-69"/>
          <w:w w:val="15"/>
          <w:shd w:val="solid" w:color="000000" w:fill="000000"/>
          <w:fitText w:val="-20" w:id="-1300508912"/>
          <w14:textFill>
            <w14:solidFill>
              <w14:srgbClr w14:val="000000">
                <w14:alpha w14:val="100000"/>
              </w14:srgbClr>
            </w14:solidFill>
          </w14:textFill>
        </w:rPr>
        <w:t>|</w:t>
      </w:r>
      <w:r w:rsidR="00017E19" w:rsidRPr="00017E19">
        <w:rPr>
          <w:iCs/>
        </w:rPr>
        <w:t xml:space="preserve"> </w:t>
      </w:r>
      <w:r w:rsidR="00ED35F2" w:rsidRPr="00663A0C">
        <w:rPr>
          <w:iCs/>
          <w:color w:val="000000"/>
          <w:w w:val="15"/>
          <w:shd w:val="solid" w:color="000000" w:fill="000000"/>
          <w:fitText w:val="-20" w:id="-1300508928"/>
          <w14:textFill>
            <w14:solidFill>
              <w14:srgbClr w14:val="000000">
                <w14:alpha w14:val="100000"/>
              </w14:srgbClr>
            </w14:solidFill>
          </w14:textFill>
        </w:rPr>
        <w:t xml:space="preserve">|  </w:t>
      </w:r>
      <w:r w:rsidR="00ED35F2" w:rsidRPr="00663A0C">
        <w:rPr>
          <w:iCs/>
          <w:color w:val="000000"/>
          <w:spacing w:val="-69"/>
          <w:w w:val="15"/>
          <w:shd w:val="solid" w:color="000000" w:fill="000000"/>
          <w:fitText w:val="-20" w:id="-1300508928"/>
          <w14:textFill>
            <w14:solidFill>
              <w14:srgbClr w14:val="000000">
                <w14:alpha w14:val="100000"/>
              </w14:srgbClr>
            </w14:solidFill>
          </w14:textFill>
        </w:rPr>
        <w:t>|</w:t>
      </w:r>
      <w:r w:rsidR="00017E19" w:rsidRPr="00017E19">
        <w:rPr>
          <w:iCs/>
        </w:rPr>
        <w:t xml:space="preserve"> </w:t>
      </w:r>
      <w:r w:rsidR="00ED35F2" w:rsidRPr="00663A0C">
        <w:rPr>
          <w:iCs/>
          <w:color w:val="000000"/>
          <w:w w:val="15"/>
          <w:shd w:val="solid" w:color="000000" w:fill="000000"/>
          <w:fitText w:val="-20" w:id="-1300508927"/>
          <w14:textFill>
            <w14:solidFill>
              <w14:srgbClr w14:val="000000">
                <w14:alpha w14:val="100000"/>
              </w14:srgbClr>
            </w14:solidFill>
          </w14:textFill>
        </w:rPr>
        <w:t xml:space="preserve">|  </w:t>
      </w:r>
      <w:r w:rsidR="00ED35F2" w:rsidRPr="00663A0C">
        <w:rPr>
          <w:iCs/>
          <w:color w:val="000000"/>
          <w:spacing w:val="-69"/>
          <w:w w:val="15"/>
          <w:shd w:val="solid" w:color="000000" w:fill="000000"/>
          <w:fitText w:val="-20" w:id="-1300508927"/>
          <w14:textFill>
            <w14:solidFill>
              <w14:srgbClr w14:val="000000">
                <w14:alpha w14:val="100000"/>
              </w14:srgbClr>
            </w14:solidFill>
          </w14:textFill>
        </w:rPr>
        <w:t>|</w:t>
      </w:r>
      <w:r w:rsidR="00955D67" w:rsidRPr="0074058E">
        <w:rPr>
          <w:iCs/>
        </w:rPr>
        <w:t xml:space="preserve"> anticipates receipt of NATA accreditation to conduct HRD testing in the second </w:t>
      </w:r>
      <w:r w:rsidR="00955D67" w:rsidRPr="0074058E">
        <w:rPr>
          <w:iCs/>
        </w:rPr>
        <w:lastRenderedPageBreak/>
        <w:t>half of 2022.</w:t>
      </w:r>
      <w:r w:rsidRPr="0074058E">
        <w:rPr>
          <w:iCs/>
        </w:rPr>
        <w:t xml:space="preserve"> </w:t>
      </w:r>
      <w:r w:rsidR="00663A59" w:rsidRPr="0074058E">
        <w:rPr>
          <w:iCs/>
        </w:rPr>
        <w:t xml:space="preserve">The pre-PBAC response noted that a resubmission </w:t>
      </w:r>
      <w:proofErr w:type="gramStart"/>
      <w:r w:rsidR="00663A59" w:rsidRPr="0074058E">
        <w:rPr>
          <w:iCs/>
        </w:rPr>
        <w:t>was submitted</w:t>
      </w:r>
      <w:proofErr w:type="gramEnd"/>
      <w:r w:rsidR="00663A59" w:rsidRPr="0074058E">
        <w:rPr>
          <w:iCs/>
        </w:rPr>
        <w:t xml:space="preserve"> to MSAC on 5</w:t>
      </w:r>
      <w:r w:rsidR="00663A59" w:rsidRPr="0074058E">
        <w:rPr>
          <w:iCs/>
          <w:vertAlign w:val="superscript"/>
        </w:rPr>
        <w:t>th</w:t>
      </w:r>
      <w:r w:rsidR="00663A59" w:rsidRPr="0074058E">
        <w:rPr>
          <w:iCs/>
        </w:rPr>
        <w:t xml:space="preserve"> October 2022</w:t>
      </w:r>
      <w:r w:rsidR="00E60499" w:rsidRPr="0074058E">
        <w:rPr>
          <w:iCs/>
        </w:rPr>
        <w:t xml:space="preserve"> and that HRD testing data is currently being reviewed by TGA and NATA, with NATA accreditation now expected towards the end of 2022</w:t>
      </w:r>
      <w:r w:rsidR="00663A59" w:rsidRPr="0074058E">
        <w:rPr>
          <w:iCs/>
        </w:rPr>
        <w:t>.</w:t>
      </w:r>
    </w:p>
    <w:p w14:paraId="3C135727" w14:textId="6D6CD828" w:rsidR="00CD11A3" w:rsidRPr="0074058E" w:rsidRDefault="00CD11A3" w:rsidP="00CD11A3">
      <w:pPr>
        <w:pStyle w:val="3-BodyText"/>
      </w:pPr>
      <w:bookmarkStart w:id="40" w:name="_Ref116932452"/>
      <w:r w:rsidRPr="0074058E">
        <w:t>At its July 2022 meeting the PBAC sought advice from MSAC regarding the HRD testing component (paragraph 7.2</w:t>
      </w:r>
      <w:r w:rsidR="00663A59" w:rsidRPr="0074058E">
        <w:t>,</w:t>
      </w:r>
      <w:r w:rsidRPr="0074058E">
        <w:t xml:space="preserve"> olaparib</w:t>
      </w:r>
      <w:r w:rsidR="00663A59" w:rsidRPr="0074058E">
        <w:t xml:space="preserve"> PSD</w:t>
      </w:r>
      <w:r w:rsidRPr="0074058E">
        <w:t>, July 2022 PBAC meeting). In particular, the PBAC requested that MSAC provide advice on:</w:t>
      </w:r>
      <w:bookmarkEnd w:id="40"/>
    </w:p>
    <w:p w14:paraId="666904F6" w14:textId="375EB556" w:rsidR="00CD11A3" w:rsidRPr="0074058E" w:rsidRDefault="00CD11A3" w:rsidP="00F659ED">
      <w:pPr>
        <w:pStyle w:val="ListParagraph"/>
        <w:numPr>
          <w:ilvl w:val="4"/>
          <w:numId w:val="14"/>
        </w:numPr>
        <w:spacing w:before="120" w:after="160"/>
        <w:ind w:left="993" w:hanging="284"/>
        <w:jc w:val="both"/>
      </w:pPr>
      <w:r w:rsidRPr="0074058E">
        <w:t>The equivalence or validation of the SOPHiA assay (the assay in the submission proposed for MBS listing) versus the Myriad MyChoice Plus HRD assay (the clinical utility standard assay used in PAOLA-1).</w:t>
      </w:r>
      <w:r w:rsidR="003A610B" w:rsidRPr="0074058E">
        <w:t xml:space="preserve"> MSAC considered that the tests were not fully concordant.</w:t>
      </w:r>
    </w:p>
    <w:p w14:paraId="65F048BA" w14:textId="1A4C577D" w:rsidR="00CD11A3" w:rsidRPr="0074058E" w:rsidRDefault="00CD11A3" w:rsidP="00F659ED">
      <w:pPr>
        <w:pStyle w:val="ListParagraph"/>
        <w:numPr>
          <w:ilvl w:val="4"/>
          <w:numId w:val="14"/>
        </w:numPr>
        <w:spacing w:before="120" w:after="160"/>
        <w:ind w:left="993" w:hanging="284"/>
        <w:jc w:val="both"/>
      </w:pPr>
      <w:r w:rsidRPr="0074058E">
        <w:t xml:space="preserve">The threshold that should </w:t>
      </w:r>
      <w:proofErr w:type="gramStart"/>
      <w:r w:rsidRPr="0074058E">
        <w:t>be used</w:t>
      </w:r>
      <w:proofErr w:type="gramEnd"/>
      <w:r w:rsidRPr="0074058E">
        <w:t xml:space="preserve"> to define HRD positivity for determining PARPi eligibility with reference to the clinical utility standard.</w:t>
      </w:r>
      <w:r w:rsidR="003A610B" w:rsidRPr="0074058E">
        <w:t xml:space="preserve"> </w:t>
      </w:r>
      <w:r w:rsidR="00957E75" w:rsidRPr="0074058E">
        <w:t xml:space="preserve">MSAC advised that the concept of the clinical utility standard (in this case assay, </w:t>
      </w:r>
      <w:r w:rsidR="00A80284" w:rsidRPr="0074058E">
        <w:t>algorithm,</w:t>
      </w:r>
      <w:r w:rsidR="00957E75" w:rsidRPr="0074058E">
        <w:t xml:space="preserve"> and threshold) remains relevant as a basis for judging whether to allow other test options to </w:t>
      </w:r>
      <w:proofErr w:type="gramStart"/>
      <w:r w:rsidR="00957E75" w:rsidRPr="0074058E">
        <w:t>be used</w:t>
      </w:r>
      <w:proofErr w:type="gramEnd"/>
      <w:r w:rsidR="00957E75" w:rsidRPr="0074058E">
        <w:t xml:space="preserve"> within the scope of a broad MBS item descriptor. However, in the context of this application, more fundamental concerns regarding the different definitions of genomic instability (in this case assay, </w:t>
      </w:r>
      <w:r w:rsidR="00A80284" w:rsidRPr="0074058E">
        <w:t>algorithm,</w:t>
      </w:r>
      <w:r w:rsidR="00957E75" w:rsidRPr="0074058E">
        <w:t xml:space="preserve"> and threshold) in the context of different definitions of HRD status needed clearer resolution as a prerequisite to accepting this concept for this purpose.</w:t>
      </w:r>
    </w:p>
    <w:p w14:paraId="4E22EEF9" w14:textId="1E7304A2" w:rsidR="00CD11A3" w:rsidRPr="0074058E" w:rsidRDefault="00CD11A3" w:rsidP="00F659ED">
      <w:pPr>
        <w:pStyle w:val="ListParagraph"/>
        <w:numPr>
          <w:ilvl w:val="4"/>
          <w:numId w:val="14"/>
        </w:numPr>
        <w:spacing w:before="120" w:after="160"/>
        <w:ind w:left="993" w:hanging="284"/>
        <w:jc w:val="both"/>
      </w:pPr>
      <w:r w:rsidRPr="0074058E">
        <w:t xml:space="preserve">The proportions of the population anticipated to be HRD positive and </w:t>
      </w:r>
      <w:r w:rsidRPr="0074058E">
        <w:rPr>
          <w:i/>
          <w:iCs/>
        </w:rPr>
        <w:t>BRCA</w:t>
      </w:r>
      <w:r w:rsidRPr="0074058E">
        <w:t xml:space="preserve">wt, which are relevant for the financial estimates. To validate the financial estimates, it will be necessary to confirm the following for patients eligible to </w:t>
      </w:r>
      <w:proofErr w:type="gramStart"/>
      <w:r w:rsidRPr="0074058E">
        <w:t>be treated</w:t>
      </w:r>
      <w:proofErr w:type="gramEnd"/>
      <w:r w:rsidRPr="0074058E">
        <w:t xml:space="preserve"> with olaparib for 1L ovarian cancer:</w:t>
      </w:r>
    </w:p>
    <w:p w14:paraId="2D369369" w14:textId="77777777" w:rsidR="00CD11A3" w:rsidRPr="0074058E" w:rsidRDefault="00CD11A3" w:rsidP="00F659ED">
      <w:pPr>
        <w:pStyle w:val="ListParagraph"/>
        <w:numPr>
          <w:ilvl w:val="4"/>
          <w:numId w:val="15"/>
        </w:numPr>
        <w:spacing w:before="120" w:after="160"/>
        <w:ind w:left="1418" w:hanging="284"/>
        <w:jc w:val="both"/>
      </w:pPr>
      <w:r w:rsidRPr="0074058E">
        <w:t xml:space="preserve">The proportion of patients with </w:t>
      </w:r>
      <w:r w:rsidRPr="0074058E">
        <w:rPr>
          <w:i/>
        </w:rPr>
        <w:t>BRCA</w:t>
      </w:r>
      <w:r w:rsidRPr="0074058E">
        <w:t xml:space="preserve"> pathogenic or </w:t>
      </w:r>
      <w:proofErr w:type="gramStart"/>
      <w:r w:rsidRPr="0074058E">
        <w:t>likely pathogenic</w:t>
      </w:r>
      <w:proofErr w:type="gramEnd"/>
      <w:r w:rsidRPr="0074058E">
        <w:t xml:space="preserve"> variants (assumed to be 25.3% by the submission, and so eligible for treatment under the existing olaparib monotherapy listing).</w:t>
      </w:r>
    </w:p>
    <w:p w14:paraId="21C1EB87" w14:textId="677782FC" w:rsidR="00CD11A3" w:rsidRPr="0074058E" w:rsidRDefault="00CD11A3" w:rsidP="00F659ED">
      <w:pPr>
        <w:pStyle w:val="ListParagraph"/>
        <w:numPr>
          <w:ilvl w:val="4"/>
          <w:numId w:val="15"/>
        </w:numPr>
        <w:spacing w:before="120" w:after="160"/>
        <w:ind w:left="1418" w:hanging="284"/>
        <w:jc w:val="both"/>
      </w:pPr>
      <w:r w:rsidRPr="0074058E">
        <w:t>The proportion of patients with HRD positive tumours (assumed to be 50% by the submission), and thus the increment in the population eligible for olaparib of 24.7%.</w:t>
      </w:r>
    </w:p>
    <w:p w14:paraId="6EE8EE03" w14:textId="32317E31" w:rsidR="00957E75" w:rsidRPr="0074058E" w:rsidRDefault="00957E75" w:rsidP="00957E75">
      <w:pPr>
        <w:ind w:left="1134"/>
      </w:pPr>
      <w:r w:rsidRPr="0074058E">
        <w:t xml:space="preserve">MSAC advised that approximately 25% of people with advanced ovarian cancer would be HRD-positive </w:t>
      </w:r>
      <w:r w:rsidRPr="0074058E">
        <w:rPr>
          <w:i/>
          <w:iCs/>
        </w:rPr>
        <w:t>BRCA</w:t>
      </w:r>
      <w:r w:rsidRPr="0074058E">
        <w:t xml:space="preserve">wt in addition to the 25% of this population who would be </w:t>
      </w:r>
      <w:r w:rsidRPr="0074058E">
        <w:rPr>
          <w:i/>
          <w:iCs/>
        </w:rPr>
        <w:t>BRCA</w:t>
      </w:r>
      <w:r w:rsidRPr="0074058E">
        <w:t>m. These estimates are broadly consistent with the results of the validation study, although the prevalence of HRD-positive may vary with choice of assay and threshold of genomic instability.</w:t>
      </w:r>
    </w:p>
    <w:p w14:paraId="3D0945C3" w14:textId="34824438" w:rsidR="009340A3" w:rsidRPr="0074058E" w:rsidRDefault="009340A3" w:rsidP="00957E75"/>
    <w:p w14:paraId="12556291" w14:textId="1ED99704" w:rsidR="00B921DD" w:rsidRPr="0074058E" w:rsidRDefault="00B921DD" w:rsidP="00B921DD">
      <w:pPr>
        <w:ind w:firstLine="709"/>
        <w:rPr>
          <w:rFonts w:asciiTheme="minorHAnsi" w:hAnsiTheme="minorHAnsi"/>
          <w:i/>
        </w:rPr>
      </w:pPr>
      <w:r w:rsidRPr="0074058E">
        <w:rPr>
          <w:rFonts w:asciiTheme="minorHAnsi" w:hAnsiTheme="minorHAnsi"/>
          <w:i/>
        </w:rPr>
        <w:t>For more detail on PBAC’s view, see section 5 PBAC outcome.</w:t>
      </w:r>
    </w:p>
    <w:p w14:paraId="334D1994" w14:textId="77777777" w:rsidR="006D5712" w:rsidRPr="0074058E" w:rsidRDefault="006D5712" w:rsidP="006D5712"/>
    <w:p w14:paraId="4FC52D34" w14:textId="61B3118A" w:rsidR="008F5CD2" w:rsidRPr="0074058E" w:rsidRDefault="00F659ED" w:rsidP="002E358B">
      <w:pPr>
        <w:pStyle w:val="2-SectionHeading"/>
      </w:pPr>
      <w:r w:rsidRPr="0074058E">
        <w:lastRenderedPageBreak/>
        <w:t xml:space="preserve">PBAC Outcome </w:t>
      </w:r>
    </w:p>
    <w:p w14:paraId="7F1FDBA5" w14:textId="6A415616" w:rsidR="005A41F4" w:rsidRPr="0074058E" w:rsidRDefault="005A41F4" w:rsidP="005A41F4">
      <w:pPr>
        <w:pStyle w:val="3-BodyText"/>
        <w:rPr>
          <w:rFonts w:ascii="Calibri" w:hAnsi="Calibri"/>
        </w:rPr>
      </w:pPr>
      <w:bookmarkStart w:id="41" w:name="_Hlk111543188"/>
      <w:bookmarkStart w:id="42" w:name="_Hlk76381249"/>
      <w:r w:rsidRPr="0074058E">
        <w:t xml:space="preserve">The PBAC deferred its decision on whether to recommend olaparib for use in combination with bevacizumab for maintenance therapy in patients with newly diagnosed HRD positive </w:t>
      </w:r>
      <w:r w:rsidRPr="0074058E">
        <w:rPr>
          <w:i/>
          <w:iCs/>
        </w:rPr>
        <w:t>BRCA</w:t>
      </w:r>
      <w:r w:rsidRPr="0074058E">
        <w:t xml:space="preserve"> wild type advanced epithelial ovarian, fallopian tube or primary peritoneal cancer. The PBAC was of a mind to recommend olaparib pending MSAC consideration of HRD testing. The PBAC noted that MSAC did not support public funding of HRD testing for access to olaparib during its consideration in July 2022 and that a resubmission for MBS funding had </w:t>
      </w:r>
      <w:proofErr w:type="gramStart"/>
      <w:r w:rsidRPr="0074058E">
        <w:t>been lodged</w:t>
      </w:r>
      <w:proofErr w:type="gramEnd"/>
      <w:r w:rsidRPr="0074058E">
        <w:t xml:space="preserve"> by the sponsor.</w:t>
      </w:r>
    </w:p>
    <w:bookmarkEnd w:id="41"/>
    <w:p w14:paraId="27503F34" w14:textId="67906DF2" w:rsidR="006972EE" w:rsidRPr="0074058E" w:rsidRDefault="00F659ED" w:rsidP="00490F7E">
      <w:pPr>
        <w:pStyle w:val="3-BodyText"/>
        <w:rPr>
          <w:snapToGrid w:val="0"/>
        </w:rPr>
      </w:pPr>
      <w:r w:rsidRPr="0074058E">
        <w:t xml:space="preserve">The PBAC considered that the resubmission had addressed the substantive outstanding issues identified at the </w:t>
      </w:r>
      <w:r w:rsidR="006972EE" w:rsidRPr="0074058E">
        <w:t>July 2022 PBAC meeting</w:t>
      </w:r>
      <w:r w:rsidRPr="0074058E">
        <w:t xml:space="preserve"> via</w:t>
      </w:r>
      <w:r w:rsidR="006972EE" w:rsidRPr="0074058E">
        <w:t xml:space="preserve"> revised inputs for the economic model</w:t>
      </w:r>
      <w:r w:rsidR="00FB3B00" w:rsidRPr="0074058E">
        <w:t xml:space="preserve"> including</w:t>
      </w:r>
      <w:r w:rsidR="006972EE" w:rsidRPr="0074058E">
        <w:t>:</w:t>
      </w:r>
      <w:r w:rsidR="00FB3B00" w:rsidRPr="0074058E">
        <w:t xml:space="preserve"> use of loglogistic PFS extrapolations, use of a post-progression utility value of 0.557 and a </w:t>
      </w:r>
      <w:r w:rsidR="00FB3B00" w:rsidRPr="0074058E">
        <w:rPr>
          <w:i/>
          <w:iCs/>
        </w:rPr>
        <w:t>BRCA</w:t>
      </w:r>
      <w:r w:rsidR="00FB3B00" w:rsidRPr="0074058E">
        <w:t xml:space="preserve"> testing cost of $1,000. In addition, recalculation of the financial implications </w:t>
      </w:r>
      <w:proofErr w:type="gramStart"/>
      <w:r w:rsidR="00FB3B00" w:rsidRPr="0074058E">
        <w:t>was provided</w:t>
      </w:r>
      <w:proofErr w:type="gramEnd"/>
      <w:r w:rsidR="00FB3B00" w:rsidRPr="0074058E">
        <w:t xml:space="preserve"> as requested. The PBAC noted that although the cure fraction for olaparib + bevacizumab had </w:t>
      </w:r>
      <w:proofErr w:type="gramStart"/>
      <w:r w:rsidR="00FB3B00" w:rsidRPr="0074058E">
        <w:t>been reduced</w:t>
      </w:r>
      <w:proofErr w:type="gramEnd"/>
      <w:r w:rsidR="00FB3B00" w:rsidRPr="0074058E">
        <w:t xml:space="preserve"> to 30% (rather than 25.45% as advised), the cure fractions used in the resubmission were supported by more mature data from the PAOLA-1 and SOLO-1 trials. The PBAC noted that the resubmission did not reduce the price to give an ICER of $50,000/QALY gained</w:t>
      </w:r>
      <w:r w:rsidR="00BE0982" w:rsidRPr="0074058E">
        <w:t xml:space="preserve">. </w:t>
      </w:r>
      <w:r w:rsidR="0063000F" w:rsidRPr="0074058E">
        <w:t>T</w:t>
      </w:r>
      <w:r w:rsidR="00FB3B00" w:rsidRPr="0074058E">
        <w:t xml:space="preserve">he PBAC maintained that </w:t>
      </w:r>
      <w:r w:rsidR="0063000F" w:rsidRPr="0074058E">
        <w:t xml:space="preserve">an ICER of no more than $50,000/QALY was appropriate and that </w:t>
      </w:r>
      <w:r w:rsidR="00111D12" w:rsidRPr="0074058E">
        <w:t xml:space="preserve">a </w:t>
      </w:r>
      <w:r w:rsidR="00FB3B00" w:rsidRPr="0074058E">
        <w:t xml:space="preserve">reduction in price would </w:t>
      </w:r>
      <w:proofErr w:type="gramStart"/>
      <w:r w:rsidR="00FB3B00" w:rsidRPr="0074058E">
        <w:t>be required</w:t>
      </w:r>
      <w:proofErr w:type="gramEnd"/>
      <w:r w:rsidR="00FB3B00" w:rsidRPr="0074058E">
        <w:t xml:space="preserve"> to ensure cost-effectiveness given the remaining uncertainty in the modelled benefit of olaparib in the proposed population.</w:t>
      </w:r>
      <w:r w:rsidR="006972EE" w:rsidRPr="0074058E">
        <w:t xml:space="preserve"> </w:t>
      </w:r>
    </w:p>
    <w:p w14:paraId="54AFE99A" w14:textId="7EE74D34" w:rsidR="00DD798F" w:rsidRPr="0074058E" w:rsidRDefault="00DD798F" w:rsidP="005A41F4">
      <w:pPr>
        <w:pStyle w:val="3-BodyText"/>
        <w:rPr>
          <w:snapToGrid w:val="0"/>
        </w:rPr>
      </w:pPr>
      <w:r w:rsidRPr="0074058E">
        <w:rPr>
          <w:snapToGrid w:val="0"/>
        </w:rPr>
        <w:t xml:space="preserve">The PBAC noted that the proposed clinical place for PARP inhibitors in patients without </w:t>
      </w:r>
      <w:r w:rsidRPr="0074058E">
        <w:rPr>
          <w:i/>
          <w:iCs/>
          <w:snapToGrid w:val="0"/>
        </w:rPr>
        <w:t>BRCA</w:t>
      </w:r>
      <w:r w:rsidRPr="0074058E">
        <w:rPr>
          <w:snapToGrid w:val="0"/>
        </w:rPr>
        <w:t xml:space="preserve">m was reliant on access to an approved HRD test and </w:t>
      </w:r>
      <w:r w:rsidRPr="0074058E">
        <w:t>noted that uncertainties remained with respect to the proposed HRD testing which would require MSAC advice</w:t>
      </w:r>
      <w:r w:rsidR="000744EC" w:rsidRPr="0074058E">
        <w:t xml:space="preserve"> (see paragraph </w:t>
      </w:r>
      <w:r w:rsidR="000744EC" w:rsidRPr="0074058E">
        <w:fldChar w:fldCharType="begin" w:fldLock="1"/>
      </w:r>
      <w:r w:rsidR="000744EC" w:rsidRPr="0074058E">
        <w:instrText xml:space="preserve"> REF _Ref116932452 \r \h </w:instrText>
      </w:r>
      <w:r w:rsidR="000744EC" w:rsidRPr="0074058E">
        <w:fldChar w:fldCharType="separate"/>
      </w:r>
      <w:r w:rsidR="00ED2FAA">
        <w:t>4.32</w:t>
      </w:r>
      <w:r w:rsidR="000744EC" w:rsidRPr="0074058E">
        <w:fldChar w:fldCharType="end"/>
      </w:r>
      <w:r w:rsidR="000744EC" w:rsidRPr="0074058E">
        <w:t>)</w:t>
      </w:r>
      <w:r w:rsidRPr="0074058E">
        <w:t>.</w:t>
      </w:r>
    </w:p>
    <w:p w14:paraId="6E049CCF" w14:textId="5A557884" w:rsidR="00F659ED" w:rsidRPr="0074058E" w:rsidRDefault="006A5571" w:rsidP="0071495A">
      <w:pPr>
        <w:pStyle w:val="3-BodyText"/>
        <w:rPr>
          <w:snapToGrid w:val="0"/>
        </w:rPr>
      </w:pPr>
      <w:r w:rsidRPr="0074058E">
        <w:rPr>
          <w:snapToGrid w:val="0"/>
        </w:rPr>
        <w:t xml:space="preserve">The PBAC noted that the resubmission accepted the recommended changes to the previously considered PBS restriction in terms of the removal of the requirement that olaparib treatment must commence in combination with bevacizumab and amendment of the description for requirements for HRD testing. The PBAC considered that these changes were appropriate, noting that further changes to the wording of HRD </w:t>
      </w:r>
      <w:r w:rsidR="00237D1F" w:rsidRPr="0074058E">
        <w:rPr>
          <w:snapToGrid w:val="0"/>
        </w:rPr>
        <w:t xml:space="preserve">testing </w:t>
      </w:r>
      <w:r w:rsidRPr="0074058E">
        <w:rPr>
          <w:snapToGrid w:val="0"/>
        </w:rPr>
        <w:t xml:space="preserve">requirements may </w:t>
      </w:r>
      <w:proofErr w:type="gramStart"/>
      <w:r w:rsidRPr="0074058E">
        <w:rPr>
          <w:snapToGrid w:val="0"/>
        </w:rPr>
        <w:t>be required</w:t>
      </w:r>
      <w:proofErr w:type="gramEnd"/>
      <w:r w:rsidRPr="0074058E">
        <w:rPr>
          <w:snapToGrid w:val="0"/>
        </w:rPr>
        <w:t>, pending MSAC advice.</w:t>
      </w:r>
      <w:r w:rsidR="00237D1F" w:rsidRPr="0074058E">
        <w:rPr>
          <w:snapToGrid w:val="0"/>
        </w:rPr>
        <w:t xml:space="preserve"> </w:t>
      </w:r>
      <w:r w:rsidRPr="0074058E">
        <w:rPr>
          <w:snapToGrid w:val="0"/>
        </w:rPr>
        <w:t xml:space="preserve">The resubmission </w:t>
      </w:r>
      <w:r w:rsidR="00237D1F" w:rsidRPr="0074058E">
        <w:rPr>
          <w:snapToGrid w:val="0"/>
        </w:rPr>
        <w:t xml:space="preserve">also </w:t>
      </w:r>
      <w:r w:rsidRPr="0074058E">
        <w:rPr>
          <w:snapToGrid w:val="0"/>
        </w:rPr>
        <w:t xml:space="preserve">proposed a restriction for </w:t>
      </w:r>
      <w:r w:rsidR="00237D1F" w:rsidRPr="0074058E">
        <w:rPr>
          <w:snapToGrid w:val="0"/>
        </w:rPr>
        <w:t>transitioning to PBS-funded treatment (grandfather arrangements)</w:t>
      </w:r>
      <w:r w:rsidRPr="0074058E">
        <w:rPr>
          <w:snapToGrid w:val="0"/>
        </w:rPr>
        <w:t xml:space="preserve">, however the proposed restriction did not specify HRD or </w:t>
      </w:r>
      <w:r w:rsidRPr="0074058E">
        <w:rPr>
          <w:i/>
          <w:iCs/>
          <w:snapToGrid w:val="0"/>
        </w:rPr>
        <w:t>BRCA</w:t>
      </w:r>
      <w:r w:rsidRPr="0074058E">
        <w:rPr>
          <w:snapToGrid w:val="0"/>
        </w:rPr>
        <w:t xml:space="preserve"> status nor response to previous platinum-based chemotherapy.</w:t>
      </w:r>
      <w:r w:rsidR="00237D1F" w:rsidRPr="0074058E">
        <w:rPr>
          <w:snapToGrid w:val="0"/>
        </w:rPr>
        <w:t xml:space="preserve"> The PBAC considered that the grandfather restriction should </w:t>
      </w:r>
      <w:proofErr w:type="gramStart"/>
      <w:r w:rsidR="00237D1F" w:rsidRPr="0074058E">
        <w:rPr>
          <w:snapToGrid w:val="0"/>
        </w:rPr>
        <w:t>be amended</w:t>
      </w:r>
      <w:proofErr w:type="gramEnd"/>
      <w:r w:rsidR="00237D1F" w:rsidRPr="0074058E">
        <w:rPr>
          <w:snapToGrid w:val="0"/>
        </w:rPr>
        <w:t xml:space="preserve"> to reflect the clinical criteria in the initial treatment listing to ensure the same population is eligible for treatment under these arrangements.</w:t>
      </w:r>
    </w:p>
    <w:p w14:paraId="34D290C5" w14:textId="4824A67A" w:rsidR="00F659ED" w:rsidRPr="0074058E" w:rsidRDefault="003504D8" w:rsidP="00481B09">
      <w:pPr>
        <w:pStyle w:val="3-BodyText"/>
        <w:rPr>
          <w:snapToGrid w:val="0"/>
        </w:rPr>
      </w:pPr>
      <w:r w:rsidRPr="0074058E">
        <w:t>The resubmission provided outcomes f</w:t>
      </w:r>
      <w:r w:rsidR="00E55AB1" w:rsidRPr="0074058E">
        <w:t>rom</w:t>
      </w:r>
      <w:r w:rsidRPr="0074058E">
        <w:t xml:space="preserve"> an updated data cut (DCO3) </w:t>
      </w:r>
      <w:r w:rsidR="00E55AB1" w:rsidRPr="0074058E">
        <w:t xml:space="preserve">of PAOLA-1 </w:t>
      </w:r>
      <w:r w:rsidR="007F6C39" w:rsidRPr="0074058E">
        <w:t>(the pivotal trial)</w:t>
      </w:r>
      <w:r w:rsidR="00A12C30" w:rsidRPr="0074058E">
        <w:t xml:space="preserve">, noting that </w:t>
      </w:r>
      <w:r w:rsidR="00E55AB1" w:rsidRPr="0074058E">
        <w:t xml:space="preserve">for this data cut </w:t>
      </w:r>
      <w:r w:rsidR="00A12C30" w:rsidRPr="0074058E">
        <w:t xml:space="preserve">more than 40% of </w:t>
      </w:r>
      <w:r w:rsidR="007F6C39" w:rsidRPr="0074058E">
        <w:t xml:space="preserve">HRD+ </w:t>
      </w:r>
      <w:r w:rsidR="007F6C39" w:rsidRPr="0074058E">
        <w:rPr>
          <w:i/>
          <w:iCs/>
        </w:rPr>
        <w:t>BRCA</w:t>
      </w:r>
      <w:r w:rsidR="007F6C39" w:rsidRPr="0074058E">
        <w:t xml:space="preserve">wt patients </w:t>
      </w:r>
      <w:r w:rsidR="00A12C30" w:rsidRPr="0074058E">
        <w:t>in the placebo arm had received subsequent treatment with a PARPi</w:t>
      </w:r>
      <w:r w:rsidRPr="0074058E">
        <w:t xml:space="preserve">. </w:t>
      </w:r>
      <w:r w:rsidR="00A12C30" w:rsidRPr="0074058E">
        <w:t xml:space="preserve">The </w:t>
      </w:r>
      <w:r w:rsidR="00A12C30" w:rsidRPr="0074058E">
        <w:lastRenderedPageBreak/>
        <w:t xml:space="preserve">PBAC noted that the OS </w:t>
      </w:r>
      <w:r w:rsidR="007F6C39" w:rsidRPr="0074058E">
        <w:t xml:space="preserve">HR </w:t>
      </w:r>
      <w:r w:rsidR="00A12C30" w:rsidRPr="0074058E">
        <w:t>improved from 0.84 (95% CI: 0.46, 1.52) in DCO2 to 0.71 (95% CI: 0.45, 1.13)</w:t>
      </w:r>
      <w:r w:rsidR="00E55AB1" w:rsidRPr="0074058E">
        <w:t xml:space="preserve"> </w:t>
      </w:r>
      <w:r w:rsidR="00A12C30" w:rsidRPr="0074058E">
        <w:t xml:space="preserve">in DCO3 for the HRD+ </w:t>
      </w:r>
      <w:r w:rsidR="00A12C30" w:rsidRPr="0074058E">
        <w:rPr>
          <w:i/>
          <w:iCs/>
        </w:rPr>
        <w:t>BRCA</w:t>
      </w:r>
      <w:r w:rsidR="00A12C30" w:rsidRPr="0074058E">
        <w:t>wt population</w:t>
      </w:r>
      <w:r w:rsidR="00E55AB1" w:rsidRPr="0074058E">
        <w:t xml:space="preserve">, while the PFS HR was </w:t>
      </w:r>
      <w:proofErr w:type="gramStart"/>
      <w:r w:rsidR="00E55AB1" w:rsidRPr="0074058E">
        <w:t>largely unchanged</w:t>
      </w:r>
      <w:proofErr w:type="gramEnd"/>
      <w:r w:rsidR="00E55AB1" w:rsidRPr="0074058E">
        <w:t xml:space="preserve"> between DCO2 and DCO3</w:t>
      </w:r>
      <w:r w:rsidR="00A12C30" w:rsidRPr="0074058E">
        <w:t xml:space="preserve">. </w:t>
      </w:r>
      <w:r w:rsidR="00E55AB1" w:rsidRPr="0074058E">
        <w:t>The PBAC noted that at DCO3 the OS HR for the ITT population was not statistically significant</w:t>
      </w:r>
      <w:r w:rsidR="007F6C39" w:rsidRPr="0074058E">
        <w:t xml:space="preserve"> and subgroup analyses (i.e. HRD+ </w:t>
      </w:r>
      <w:r w:rsidR="007F6C39" w:rsidRPr="0074058E">
        <w:rPr>
          <w:i/>
          <w:iCs/>
        </w:rPr>
        <w:t>BRCA</w:t>
      </w:r>
      <w:r w:rsidR="007F6C39" w:rsidRPr="0074058E">
        <w:t>wt) were exploratory in nature, with no alpha assigned</w:t>
      </w:r>
      <w:r w:rsidR="00E55AB1" w:rsidRPr="0074058E">
        <w:t xml:space="preserve">. The submission claimed that if a formal treatment switching analysis </w:t>
      </w:r>
      <w:proofErr w:type="gramStart"/>
      <w:r w:rsidR="00E55AB1" w:rsidRPr="0074058E">
        <w:t>were undertaken</w:t>
      </w:r>
      <w:proofErr w:type="gramEnd"/>
      <w:r w:rsidR="00E55AB1" w:rsidRPr="0074058E">
        <w:t xml:space="preserve">, it is likely to demonstrate statistical significance. </w:t>
      </w:r>
    </w:p>
    <w:p w14:paraId="176726C5" w14:textId="07AE189F" w:rsidR="003504D8" w:rsidRPr="0074058E" w:rsidRDefault="003504D8" w:rsidP="003504D8">
      <w:pPr>
        <w:pStyle w:val="3-BodyText"/>
      </w:pPr>
      <w:r w:rsidRPr="0074058E">
        <w:t xml:space="preserve">The resubmission did not present any additional safety data. </w:t>
      </w:r>
      <w:r w:rsidRPr="0074058E">
        <w:rPr>
          <w:iCs/>
        </w:rPr>
        <w:t>The PBAC previously considered that the combination of olaparib and bevacizumab had inferior safety in comparison with bevacizumab monotherapy (para 7.9, olaparib PSD, July 2022 PBAC meeting).</w:t>
      </w:r>
    </w:p>
    <w:p w14:paraId="616843B6" w14:textId="57C4F309" w:rsidR="00B942CE" w:rsidRPr="0074058E" w:rsidRDefault="00C92726" w:rsidP="005A41F4">
      <w:pPr>
        <w:pStyle w:val="3-BodyText"/>
        <w:rPr>
          <w:snapToGrid w:val="0"/>
        </w:rPr>
      </w:pPr>
      <w:r w:rsidRPr="0074058E">
        <w:rPr>
          <w:rFonts w:eastAsiaTheme="minorEastAsia"/>
        </w:rPr>
        <w:t xml:space="preserve">While the PBAC </w:t>
      </w:r>
      <w:r w:rsidR="007F6C39" w:rsidRPr="0074058E">
        <w:rPr>
          <w:rFonts w:eastAsiaTheme="minorEastAsia"/>
        </w:rPr>
        <w:t xml:space="preserve">recalled it had </w:t>
      </w:r>
      <w:r w:rsidRPr="0074058E">
        <w:rPr>
          <w:rFonts w:eastAsiaTheme="minorEastAsia"/>
        </w:rPr>
        <w:t xml:space="preserve">requested a cure fraction of no more than 25.45%, the model </w:t>
      </w:r>
      <w:r w:rsidR="007F6C39" w:rsidRPr="0074058E">
        <w:rPr>
          <w:rFonts w:eastAsiaTheme="minorEastAsia"/>
        </w:rPr>
        <w:t xml:space="preserve">in the resubmission </w:t>
      </w:r>
      <w:r w:rsidRPr="0074058E">
        <w:rPr>
          <w:rFonts w:eastAsiaTheme="minorEastAsia"/>
        </w:rPr>
        <w:t xml:space="preserve">used a cure fraction of 30% for olaparib plus bevacizumab, claiming that the PAOLA-1 trial DCO3 data </w:t>
      </w:r>
      <w:proofErr w:type="gramStart"/>
      <w:r w:rsidRPr="0074058E">
        <w:rPr>
          <w:rFonts w:eastAsiaTheme="minorEastAsia"/>
        </w:rPr>
        <w:t>were more accurately reflected</w:t>
      </w:r>
      <w:proofErr w:type="gramEnd"/>
      <w:r w:rsidRPr="0074058E">
        <w:rPr>
          <w:rFonts w:eastAsiaTheme="minorEastAsia"/>
        </w:rPr>
        <w:t xml:space="preserve"> by a cure fraction of 30%. </w:t>
      </w:r>
      <w:r w:rsidR="00CB6C04" w:rsidRPr="0074058E">
        <w:rPr>
          <w:snapToGrid w:val="0"/>
        </w:rPr>
        <w:t>The PBAC noted that results from the 7 year follow</w:t>
      </w:r>
      <w:r w:rsidR="007F6C39" w:rsidRPr="0074058E">
        <w:rPr>
          <w:snapToGrid w:val="0"/>
        </w:rPr>
        <w:t>-</w:t>
      </w:r>
      <w:r w:rsidR="00CB6C04" w:rsidRPr="0074058E">
        <w:rPr>
          <w:snapToGrid w:val="0"/>
        </w:rPr>
        <w:t xml:space="preserve">up </w:t>
      </w:r>
      <w:r w:rsidR="00046279" w:rsidRPr="0074058E">
        <w:rPr>
          <w:snapToGrid w:val="0"/>
        </w:rPr>
        <w:t xml:space="preserve">of SOLO-1 indicated that PFS at 5 years was 42% with olaparib in patients with </w:t>
      </w:r>
      <w:proofErr w:type="gramStart"/>
      <w:r w:rsidR="00046279" w:rsidRPr="0074058E">
        <w:rPr>
          <w:snapToGrid w:val="0"/>
        </w:rPr>
        <w:t>high risk</w:t>
      </w:r>
      <w:proofErr w:type="gramEnd"/>
      <w:r w:rsidR="00046279" w:rsidRPr="0074058E">
        <w:rPr>
          <w:snapToGrid w:val="0"/>
        </w:rPr>
        <w:t xml:space="preserve"> disease and 56% for patients with low-risk disease</w:t>
      </w:r>
      <w:r w:rsidR="000744EC" w:rsidRPr="0074058E">
        <w:rPr>
          <w:snapToGrid w:val="0"/>
        </w:rPr>
        <w:t xml:space="preserve"> (DiSilvestro 2022</w:t>
      </w:r>
      <w:r w:rsidR="000744EC" w:rsidRPr="0074058E">
        <w:rPr>
          <w:rStyle w:val="FootnoteReference"/>
          <w:snapToGrid w:val="0"/>
        </w:rPr>
        <w:footnoteReference w:id="4"/>
      </w:r>
      <w:r w:rsidR="000744EC" w:rsidRPr="0074058E">
        <w:rPr>
          <w:snapToGrid w:val="0"/>
        </w:rPr>
        <w:t>)</w:t>
      </w:r>
      <w:r w:rsidR="00046279" w:rsidRPr="0074058E">
        <w:rPr>
          <w:snapToGrid w:val="0"/>
        </w:rPr>
        <w:t>. The PBAC considered that this longer-term follow</w:t>
      </w:r>
      <w:r w:rsidR="00B942CE" w:rsidRPr="0074058E">
        <w:rPr>
          <w:snapToGrid w:val="0"/>
        </w:rPr>
        <w:t>-</w:t>
      </w:r>
      <w:r w:rsidR="00046279" w:rsidRPr="0074058E">
        <w:rPr>
          <w:snapToGrid w:val="0"/>
        </w:rPr>
        <w:t xml:space="preserve">up </w:t>
      </w:r>
      <w:r w:rsidR="00B942CE" w:rsidRPr="0074058E">
        <w:rPr>
          <w:snapToGrid w:val="0"/>
        </w:rPr>
        <w:t xml:space="preserve">data </w:t>
      </w:r>
      <w:r w:rsidR="00046279" w:rsidRPr="0074058E">
        <w:rPr>
          <w:snapToGrid w:val="0"/>
        </w:rPr>
        <w:t xml:space="preserve">suggested that it was plausible that the true cure fraction for olaparib in patients with </w:t>
      </w:r>
      <w:r w:rsidR="00046279" w:rsidRPr="0074058E">
        <w:rPr>
          <w:i/>
          <w:iCs/>
          <w:snapToGrid w:val="0"/>
        </w:rPr>
        <w:t>BRCA</w:t>
      </w:r>
      <w:r w:rsidR="00046279" w:rsidRPr="0074058E">
        <w:rPr>
          <w:snapToGrid w:val="0"/>
        </w:rPr>
        <w:t xml:space="preserve">m was better than the 25.45% estimated in the </w:t>
      </w:r>
      <w:r w:rsidR="00B942CE" w:rsidRPr="0074058E">
        <w:rPr>
          <w:snapToGrid w:val="0"/>
        </w:rPr>
        <w:t>July 2020 submission</w:t>
      </w:r>
      <w:r w:rsidR="00046279" w:rsidRPr="0074058E">
        <w:rPr>
          <w:snapToGrid w:val="0"/>
        </w:rPr>
        <w:t>.</w:t>
      </w:r>
      <w:r w:rsidR="00B942CE" w:rsidRPr="0074058E">
        <w:rPr>
          <w:snapToGrid w:val="0"/>
        </w:rPr>
        <w:t xml:space="preserve"> The PBAC maintained that a lower cure fraction would </w:t>
      </w:r>
      <w:proofErr w:type="gramStart"/>
      <w:r w:rsidR="00B942CE" w:rsidRPr="0074058E">
        <w:rPr>
          <w:snapToGrid w:val="0"/>
        </w:rPr>
        <w:t>be expected</w:t>
      </w:r>
      <w:proofErr w:type="gramEnd"/>
      <w:r w:rsidR="00B942CE" w:rsidRPr="0074058E">
        <w:rPr>
          <w:snapToGrid w:val="0"/>
        </w:rPr>
        <w:t xml:space="preserve"> for the HRD+ </w:t>
      </w:r>
      <w:r w:rsidR="00B942CE" w:rsidRPr="0074058E">
        <w:rPr>
          <w:i/>
          <w:iCs/>
          <w:snapToGrid w:val="0"/>
        </w:rPr>
        <w:t>BRCA</w:t>
      </w:r>
      <w:r w:rsidR="00B942CE" w:rsidRPr="0074058E">
        <w:rPr>
          <w:snapToGrid w:val="0"/>
        </w:rPr>
        <w:t xml:space="preserve">m population but considered that the cure </w:t>
      </w:r>
      <w:r w:rsidR="007F6C39" w:rsidRPr="0074058E">
        <w:rPr>
          <w:snapToGrid w:val="0"/>
        </w:rPr>
        <w:t xml:space="preserve">fraction </w:t>
      </w:r>
      <w:r w:rsidR="00B942CE" w:rsidRPr="0074058E">
        <w:rPr>
          <w:snapToGrid w:val="0"/>
        </w:rPr>
        <w:t xml:space="preserve">estimate of 30% appeared reasonable based on the additional data presented for DCO3 and the longer follow-up from the SOLO-1 trial. </w:t>
      </w:r>
    </w:p>
    <w:p w14:paraId="4AAAF775" w14:textId="12A66CFB" w:rsidR="00C92726" w:rsidRPr="0074058E" w:rsidRDefault="00C92726" w:rsidP="00C92726">
      <w:pPr>
        <w:pStyle w:val="3-BodyText"/>
        <w:rPr>
          <w:rFonts w:eastAsiaTheme="minorEastAsia"/>
        </w:rPr>
      </w:pPr>
      <w:r w:rsidRPr="0074058E">
        <w:rPr>
          <w:rFonts w:eastAsiaTheme="minorEastAsia"/>
        </w:rPr>
        <w:t xml:space="preserve">The PBAC noted the cure fraction used for the comparator arm (6.6%) </w:t>
      </w:r>
      <w:r w:rsidR="007F6C39" w:rsidRPr="0074058E">
        <w:rPr>
          <w:rFonts w:eastAsiaTheme="minorEastAsia"/>
        </w:rPr>
        <w:t xml:space="preserve">in the resubmission model </w:t>
      </w:r>
      <w:r w:rsidRPr="0074058E">
        <w:rPr>
          <w:rFonts w:eastAsiaTheme="minorEastAsia"/>
        </w:rPr>
        <w:t xml:space="preserve">was lower than the value used for the comparator (placebo) in the olaparib </w:t>
      </w:r>
      <w:r w:rsidRPr="0074058E">
        <w:rPr>
          <w:rFonts w:eastAsiaTheme="minorEastAsia"/>
          <w:i/>
          <w:iCs/>
        </w:rPr>
        <w:t>BRCA</w:t>
      </w:r>
      <w:r w:rsidRPr="0074058E">
        <w:rPr>
          <w:rFonts w:eastAsiaTheme="minorEastAsia"/>
        </w:rPr>
        <w:t xml:space="preserve">m model based on SOLO-1 data (18.0%). However, the PBAC noted that the estimated cure fraction for placebo estimated from DCO3 of PAOLA-1 was 12.3% and the PBAC </w:t>
      </w:r>
      <w:r w:rsidRPr="0074058E">
        <w:rPr>
          <w:rFonts w:eastAsiaTheme="minorEastAsia"/>
          <w:iCs/>
        </w:rPr>
        <w:t xml:space="preserve">considered that this may have </w:t>
      </w:r>
      <w:proofErr w:type="gramStart"/>
      <w:r w:rsidRPr="0074058E">
        <w:rPr>
          <w:rFonts w:eastAsiaTheme="minorEastAsia"/>
          <w:iCs/>
        </w:rPr>
        <w:t>been affected</w:t>
      </w:r>
      <w:proofErr w:type="gramEnd"/>
      <w:r w:rsidRPr="0074058E">
        <w:rPr>
          <w:rFonts w:eastAsiaTheme="minorEastAsia"/>
          <w:iCs/>
        </w:rPr>
        <w:t xml:space="preserve"> by the substantial cross-over to PARPi</w:t>
      </w:r>
      <w:r w:rsidR="007F6C39" w:rsidRPr="0074058E">
        <w:rPr>
          <w:rFonts w:eastAsiaTheme="minorEastAsia"/>
          <w:iCs/>
        </w:rPr>
        <w:t xml:space="preserve"> treatment</w:t>
      </w:r>
      <w:r w:rsidRPr="0074058E">
        <w:rPr>
          <w:rFonts w:eastAsiaTheme="minorEastAsia"/>
          <w:iCs/>
        </w:rPr>
        <w:t>.</w:t>
      </w:r>
      <w:r w:rsidR="00F00C28" w:rsidRPr="0074058E">
        <w:rPr>
          <w:rFonts w:eastAsiaTheme="minorEastAsia"/>
          <w:iCs/>
        </w:rPr>
        <w:t xml:space="preserve"> Therefore</w:t>
      </w:r>
      <w:r w:rsidR="007F6C39" w:rsidRPr="0074058E">
        <w:rPr>
          <w:rFonts w:eastAsiaTheme="minorEastAsia"/>
          <w:iCs/>
        </w:rPr>
        <w:t xml:space="preserve">, the PBAC considered that the cure fraction </w:t>
      </w:r>
      <w:r w:rsidR="00F00C28" w:rsidRPr="0074058E">
        <w:rPr>
          <w:rFonts w:eastAsiaTheme="minorEastAsia"/>
          <w:iCs/>
        </w:rPr>
        <w:t>of 6.6% for the comparator arm was acceptable</w:t>
      </w:r>
      <w:r w:rsidR="00A44B90" w:rsidRPr="0074058E">
        <w:rPr>
          <w:rFonts w:eastAsiaTheme="minorEastAsia"/>
          <w:iCs/>
        </w:rPr>
        <w:t>, but noted that this was a source of uncertainty in the modelled outcomes</w:t>
      </w:r>
      <w:r w:rsidR="00F00C28" w:rsidRPr="0074058E">
        <w:rPr>
          <w:rFonts w:eastAsiaTheme="minorEastAsia"/>
          <w:iCs/>
        </w:rPr>
        <w:t>.</w:t>
      </w:r>
    </w:p>
    <w:p w14:paraId="0FC0513C" w14:textId="4AD70B30" w:rsidR="00BE0982" w:rsidRPr="0074058E" w:rsidRDefault="00BE0982" w:rsidP="00197685">
      <w:pPr>
        <w:pStyle w:val="3-BodyText"/>
        <w:rPr>
          <w:rFonts w:eastAsiaTheme="minorEastAsia"/>
        </w:rPr>
      </w:pPr>
      <w:r w:rsidRPr="0074058E">
        <w:rPr>
          <w:rFonts w:eastAsiaTheme="minorEastAsia"/>
        </w:rPr>
        <w:t xml:space="preserve">The PBAC noted that with the </w:t>
      </w:r>
      <w:r w:rsidR="00792569" w:rsidRPr="0074058E">
        <w:rPr>
          <w:rFonts w:eastAsiaTheme="minorEastAsia"/>
        </w:rPr>
        <w:t xml:space="preserve">resubmission’s </w:t>
      </w:r>
      <w:r w:rsidRPr="0074058E">
        <w:rPr>
          <w:rFonts w:eastAsiaTheme="minorEastAsia"/>
        </w:rPr>
        <w:t xml:space="preserve">revisions to the cure fraction, utility values, </w:t>
      </w:r>
      <w:r w:rsidRPr="0074058E">
        <w:rPr>
          <w:rFonts w:eastAsiaTheme="minorEastAsia"/>
          <w:i/>
          <w:iCs/>
        </w:rPr>
        <w:t>BRCA</w:t>
      </w:r>
      <w:r w:rsidRPr="0074058E">
        <w:rPr>
          <w:rFonts w:eastAsiaTheme="minorEastAsia"/>
        </w:rPr>
        <w:t xml:space="preserve"> testing cost and olaparib price the resulting ICER </w:t>
      </w:r>
      <w:proofErr w:type="gramStart"/>
      <w:r w:rsidRPr="0074058E">
        <w:rPr>
          <w:rFonts w:eastAsiaTheme="minorEastAsia"/>
        </w:rPr>
        <w:t xml:space="preserve">was </w:t>
      </w:r>
      <w:r w:rsidR="00792569" w:rsidRPr="0074058E">
        <w:rPr>
          <w:rFonts w:eastAsiaTheme="minorEastAsia"/>
        </w:rPr>
        <w:t>increased</w:t>
      </w:r>
      <w:proofErr w:type="gramEnd"/>
      <w:r w:rsidR="00792569" w:rsidRPr="0074058E">
        <w:rPr>
          <w:rFonts w:eastAsiaTheme="minorEastAsia"/>
        </w:rPr>
        <w:t xml:space="preserve"> to </w:t>
      </w:r>
      <w:r w:rsidR="001A3DAF" w:rsidRPr="001A3DAF">
        <w:rPr>
          <w:rFonts w:eastAsiaTheme="minorEastAsia"/>
        </w:rPr>
        <w:t xml:space="preserve">$55,000 to &lt; $75,000 </w:t>
      </w:r>
      <w:r w:rsidR="001A3DAF">
        <w:rPr>
          <w:rFonts w:eastAsiaTheme="minorEastAsia"/>
        </w:rPr>
        <w:t xml:space="preserve">per </w:t>
      </w:r>
      <w:r w:rsidRPr="0074058E">
        <w:rPr>
          <w:rFonts w:eastAsiaTheme="minorEastAsia"/>
        </w:rPr>
        <w:t>QALY gained.</w:t>
      </w:r>
      <w:r w:rsidR="00792569" w:rsidRPr="0074058E">
        <w:rPr>
          <w:rFonts w:eastAsiaTheme="minorEastAsia"/>
        </w:rPr>
        <w:t xml:space="preserve"> </w:t>
      </w:r>
      <w:r w:rsidRPr="0074058E">
        <w:rPr>
          <w:rFonts w:eastAsiaTheme="minorEastAsia"/>
        </w:rPr>
        <w:t xml:space="preserve">The PBAC recalled </w:t>
      </w:r>
      <w:bookmarkStart w:id="43" w:name="_Ref110607156"/>
      <w:bookmarkStart w:id="44" w:name="_Ref109859550"/>
      <w:r w:rsidR="00792569" w:rsidRPr="0074058E">
        <w:rPr>
          <w:rFonts w:eastAsiaTheme="minorEastAsia"/>
        </w:rPr>
        <w:t xml:space="preserve">its advice that “given the uncertainty regarding the magnitude of benefit for the HRD positive population due to reliance on an exploratory subgroup analysis, uncertain extrapolations, uncertainty </w:t>
      </w:r>
      <w:r w:rsidR="00792569" w:rsidRPr="0074058E">
        <w:rPr>
          <w:rFonts w:eastAsiaTheme="minorEastAsia"/>
        </w:rPr>
        <w:lastRenderedPageBreak/>
        <w:t xml:space="preserve">regarding whether the proposed test will identify an equivalent group of patients as in the PAOLA-1 trial and because the proposed HRD positive </w:t>
      </w:r>
      <w:r w:rsidR="00792569" w:rsidRPr="0074058E">
        <w:rPr>
          <w:rFonts w:eastAsiaTheme="minorEastAsia"/>
          <w:i/>
          <w:iCs/>
        </w:rPr>
        <w:t>BRCA</w:t>
      </w:r>
      <w:r w:rsidR="00792569" w:rsidRPr="0074058E">
        <w:rPr>
          <w:rFonts w:eastAsiaTheme="minorEastAsia"/>
        </w:rPr>
        <w:t xml:space="preserve">wt population are likely to have a reduced PFS benefit compared with the </w:t>
      </w:r>
      <w:r w:rsidR="00792569" w:rsidRPr="0074058E">
        <w:rPr>
          <w:rFonts w:eastAsiaTheme="minorEastAsia"/>
          <w:i/>
          <w:iCs/>
        </w:rPr>
        <w:t>BRCA</w:t>
      </w:r>
      <w:r w:rsidR="00792569" w:rsidRPr="0074058E">
        <w:rPr>
          <w:rFonts w:eastAsiaTheme="minorEastAsia"/>
        </w:rPr>
        <w:t>m population, the PBAC considered that an ICER of less than $50,000/QALY would be considered appropriately cost-effective” (para 7.16, olaparib PSD, July 2022 PBAC meeting).</w:t>
      </w:r>
      <w:bookmarkEnd w:id="43"/>
      <w:bookmarkEnd w:id="44"/>
      <w:r w:rsidR="004E2718" w:rsidRPr="0074058E">
        <w:rPr>
          <w:rFonts w:eastAsiaTheme="minorEastAsia"/>
        </w:rPr>
        <w:t xml:space="preserve"> A further reduction of </w:t>
      </w:r>
      <w:r w:rsidR="00ED35F2" w:rsidRPr="00663A0C">
        <w:rPr>
          <w:rFonts w:eastAsiaTheme="minorEastAsia"/>
          <w:color w:val="000000"/>
          <w:w w:val="15"/>
          <w:shd w:val="solid" w:color="000000" w:fill="000000"/>
          <w:fitText w:val="-20" w:id="-1300508926"/>
          <w14:textFill>
            <w14:solidFill>
              <w14:srgbClr w14:val="000000">
                <w14:alpha w14:val="100000"/>
              </w14:srgbClr>
            </w14:solidFill>
          </w14:textFill>
        </w:rPr>
        <w:t xml:space="preserve">|  </w:t>
      </w:r>
      <w:r w:rsidR="00ED35F2" w:rsidRPr="00663A0C">
        <w:rPr>
          <w:rFonts w:eastAsiaTheme="minorEastAsia"/>
          <w:color w:val="000000"/>
          <w:spacing w:val="-69"/>
          <w:w w:val="15"/>
          <w:shd w:val="solid" w:color="000000" w:fill="000000"/>
          <w:fitText w:val="-20" w:id="-1300508926"/>
          <w14:textFill>
            <w14:solidFill>
              <w14:srgbClr w14:val="000000">
                <w14:alpha w14:val="100000"/>
              </w14:srgbClr>
            </w14:solidFill>
          </w14:textFill>
        </w:rPr>
        <w:t>|</w:t>
      </w:r>
      <w:r w:rsidR="004E2718" w:rsidRPr="0095157E">
        <w:rPr>
          <w:rFonts w:eastAsiaTheme="minorEastAsia"/>
        </w:rPr>
        <w:t xml:space="preserve">% </w:t>
      </w:r>
      <w:r w:rsidR="004E2718" w:rsidRPr="0074058E">
        <w:rPr>
          <w:rFonts w:eastAsiaTheme="minorEastAsia"/>
        </w:rPr>
        <w:t xml:space="preserve">in the proposed effective DPMQ would </w:t>
      </w:r>
      <w:proofErr w:type="gramStart"/>
      <w:r w:rsidR="004E2718" w:rsidRPr="0074058E">
        <w:rPr>
          <w:rFonts w:eastAsiaTheme="minorEastAsia"/>
        </w:rPr>
        <w:t>be required</w:t>
      </w:r>
      <w:proofErr w:type="gramEnd"/>
      <w:r w:rsidR="004E2718" w:rsidRPr="0074058E">
        <w:rPr>
          <w:rFonts w:eastAsiaTheme="minorEastAsia"/>
        </w:rPr>
        <w:t xml:space="preserve"> to achieve an ICER of $50,000/QALY using the revised inputs. T</w:t>
      </w:r>
      <w:r w:rsidRPr="0074058E">
        <w:rPr>
          <w:rFonts w:eastAsiaTheme="minorEastAsia"/>
        </w:rPr>
        <w:t xml:space="preserve">he PBAC maintained that this reduction in price would </w:t>
      </w:r>
      <w:proofErr w:type="gramStart"/>
      <w:r w:rsidRPr="0074058E">
        <w:rPr>
          <w:rFonts w:eastAsiaTheme="minorEastAsia"/>
        </w:rPr>
        <w:t>be required</w:t>
      </w:r>
      <w:proofErr w:type="gramEnd"/>
      <w:r w:rsidRPr="0074058E">
        <w:rPr>
          <w:rFonts w:eastAsiaTheme="minorEastAsia"/>
        </w:rPr>
        <w:t xml:space="preserve"> to ensure cost-effectiveness given the remaining uncertainty in the modelled benefit of olaparib in the proposed population. </w:t>
      </w:r>
    </w:p>
    <w:p w14:paraId="2DBF3DF2" w14:textId="629EF99B" w:rsidR="00197685" w:rsidRPr="0074058E" w:rsidRDefault="00197685" w:rsidP="00197685">
      <w:pPr>
        <w:pStyle w:val="3-BodyText"/>
      </w:pPr>
      <w:r w:rsidRPr="0074058E">
        <w:t xml:space="preserve">The resubmission presented revised financial implications using the </w:t>
      </w:r>
      <w:r w:rsidR="00681414" w:rsidRPr="0074058E">
        <w:t xml:space="preserve">resubmission’s proposed </w:t>
      </w:r>
      <w:r w:rsidRPr="0074058E">
        <w:t>olaparib price and mean treatment duration.</w:t>
      </w:r>
      <w:r w:rsidRPr="0074058E">
        <w:rPr>
          <w:iCs/>
        </w:rPr>
        <w:t xml:space="preserve"> </w:t>
      </w:r>
      <w:r w:rsidR="00681414" w:rsidRPr="0074058E">
        <w:rPr>
          <w:iCs/>
        </w:rPr>
        <w:t xml:space="preserve">The PBAC considered that, after corrections as per paragraph </w:t>
      </w:r>
      <w:r w:rsidR="00681414" w:rsidRPr="0074058E">
        <w:rPr>
          <w:iCs/>
        </w:rPr>
        <w:fldChar w:fldCharType="begin" w:fldLock="1"/>
      </w:r>
      <w:r w:rsidR="00681414" w:rsidRPr="0074058E">
        <w:rPr>
          <w:iCs/>
        </w:rPr>
        <w:instrText xml:space="preserve"> REF _Ref119507139 \r \h </w:instrText>
      </w:r>
      <w:r w:rsidR="00681414" w:rsidRPr="0074058E">
        <w:rPr>
          <w:iCs/>
        </w:rPr>
      </w:r>
      <w:r w:rsidR="00681414" w:rsidRPr="0074058E">
        <w:rPr>
          <w:iCs/>
        </w:rPr>
        <w:fldChar w:fldCharType="separate"/>
      </w:r>
      <w:r w:rsidR="00ED2FAA">
        <w:rPr>
          <w:iCs/>
        </w:rPr>
        <w:t>4.27</w:t>
      </w:r>
      <w:r w:rsidR="00681414" w:rsidRPr="0074058E">
        <w:rPr>
          <w:iCs/>
        </w:rPr>
        <w:fldChar w:fldCharType="end"/>
      </w:r>
      <w:r w:rsidR="00681414" w:rsidRPr="0074058E">
        <w:rPr>
          <w:iCs/>
        </w:rPr>
        <w:t xml:space="preserve">, the revised financial estimates were </w:t>
      </w:r>
      <w:r w:rsidR="00DC73A2" w:rsidRPr="0074058E">
        <w:rPr>
          <w:iCs/>
        </w:rPr>
        <w:t>reasonable</w:t>
      </w:r>
      <w:r w:rsidR="00681414" w:rsidRPr="0074058E">
        <w:rPr>
          <w:iCs/>
        </w:rPr>
        <w:t xml:space="preserve">, but would need to be updated to reflect the olaparib price PBAC </w:t>
      </w:r>
      <w:proofErr w:type="gramStart"/>
      <w:r w:rsidR="00681414" w:rsidRPr="0074058E">
        <w:rPr>
          <w:iCs/>
        </w:rPr>
        <w:t>considered acceptably</w:t>
      </w:r>
      <w:proofErr w:type="gramEnd"/>
      <w:r w:rsidR="00681414" w:rsidRPr="0074058E">
        <w:rPr>
          <w:iCs/>
        </w:rPr>
        <w:t xml:space="preserve"> cost-effective. </w:t>
      </w:r>
    </w:p>
    <w:p w14:paraId="6438396F" w14:textId="21521569" w:rsidR="00E26C66" w:rsidRPr="0074058E" w:rsidRDefault="00B94CDA" w:rsidP="00A93748">
      <w:pPr>
        <w:pStyle w:val="3-BodyText"/>
      </w:pPr>
      <w:r w:rsidRPr="0074058E">
        <w:t xml:space="preserve">The PBAC </w:t>
      </w:r>
      <w:r w:rsidR="00E778C2" w:rsidRPr="0074058E">
        <w:t xml:space="preserve">noted that risk sharing arrangements are currently in place for olaparib and niraparib in the </w:t>
      </w:r>
      <w:r w:rsidR="00E778C2" w:rsidRPr="0074058E">
        <w:rPr>
          <w:i/>
          <w:iCs/>
        </w:rPr>
        <w:t>BRCA</w:t>
      </w:r>
      <w:r w:rsidR="00E778C2" w:rsidRPr="0074058E">
        <w:t xml:space="preserve">m population. </w:t>
      </w:r>
      <w:bookmarkStart w:id="45" w:name="_Hlk120891006"/>
      <w:r w:rsidR="00E26C66" w:rsidRPr="0074058E">
        <w:t xml:space="preserve">If recommended, </w:t>
      </w:r>
      <w:bookmarkStart w:id="46" w:name="_Hlk120890960"/>
      <w:r w:rsidR="00E26C66" w:rsidRPr="0074058E">
        <w:t xml:space="preserve">the PBAC considered that it may be appropriate for the existing </w:t>
      </w:r>
      <w:bookmarkStart w:id="47" w:name="_Hlk120890918"/>
      <w:r w:rsidR="00E26C66" w:rsidRPr="0074058E">
        <w:t xml:space="preserve">olaparib and niraparib </w:t>
      </w:r>
      <w:bookmarkEnd w:id="47"/>
      <w:r w:rsidR="00E26C66" w:rsidRPr="0074058E">
        <w:t xml:space="preserve">caps to </w:t>
      </w:r>
      <w:proofErr w:type="gramStart"/>
      <w:r w:rsidR="00E26C66" w:rsidRPr="0074058E">
        <w:t>be increased</w:t>
      </w:r>
      <w:proofErr w:type="gramEnd"/>
      <w:r w:rsidR="00E26C66" w:rsidRPr="0074058E">
        <w:t xml:space="preserve"> to account for the broader population including HRD positive </w:t>
      </w:r>
      <w:r w:rsidR="00E26C66" w:rsidRPr="0074058E">
        <w:rPr>
          <w:i/>
          <w:iCs/>
        </w:rPr>
        <w:t>BRCA</w:t>
      </w:r>
      <w:r w:rsidR="00E26C66" w:rsidRPr="0074058E">
        <w:t>wt population</w:t>
      </w:r>
      <w:bookmarkEnd w:id="46"/>
      <w:r w:rsidR="00E26C66" w:rsidRPr="0074058E">
        <w:t xml:space="preserve">. </w:t>
      </w:r>
    </w:p>
    <w:bookmarkEnd w:id="45"/>
    <w:p w14:paraId="52355BBE" w14:textId="77777777" w:rsidR="00F659ED" w:rsidRPr="0074058E" w:rsidRDefault="00F659ED" w:rsidP="00F659ED">
      <w:pPr>
        <w:spacing w:before="240"/>
        <w:rPr>
          <w:rFonts w:asciiTheme="minorHAnsi" w:hAnsiTheme="minorHAnsi" w:cs="Arial"/>
          <w:b/>
          <w:bCs/>
          <w:snapToGrid w:val="0"/>
        </w:rPr>
      </w:pPr>
      <w:r w:rsidRPr="0074058E">
        <w:rPr>
          <w:rFonts w:asciiTheme="minorHAnsi" w:hAnsiTheme="minorHAnsi" w:cs="Arial"/>
          <w:b/>
          <w:bCs/>
          <w:snapToGrid w:val="0"/>
        </w:rPr>
        <w:t>Outcome:</w:t>
      </w:r>
    </w:p>
    <w:p w14:paraId="72F40FFC" w14:textId="650C1590" w:rsidR="00F659ED" w:rsidRPr="0074058E" w:rsidRDefault="00F659ED" w:rsidP="00017E19">
      <w:pPr>
        <w:rPr>
          <w:rFonts w:asciiTheme="minorHAnsi" w:hAnsiTheme="minorHAnsi" w:cs="Arial"/>
          <w:b/>
          <w:bCs/>
          <w:snapToGrid w:val="0"/>
        </w:rPr>
      </w:pPr>
      <w:r w:rsidRPr="0074058E">
        <w:rPr>
          <w:rFonts w:asciiTheme="minorHAnsi" w:hAnsiTheme="minorHAnsi" w:cs="Arial"/>
          <w:bCs/>
          <w:snapToGrid w:val="0"/>
        </w:rPr>
        <w:t>Deferred</w:t>
      </w:r>
    </w:p>
    <w:bookmarkEnd w:id="42"/>
    <w:p w14:paraId="4F14F3F3" w14:textId="30F40EA3" w:rsidR="00B81FDE" w:rsidRPr="00B81FDE" w:rsidRDefault="00B81FDE" w:rsidP="00B81FDE">
      <w:pPr>
        <w:pStyle w:val="2-SectionHeading"/>
      </w:pPr>
      <w:r w:rsidRPr="00C07617">
        <w:t>Context for Decision</w:t>
      </w:r>
    </w:p>
    <w:p w14:paraId="71DF8D5D" w14:textId="77777777" w:rsidR="00B81FDE" w:rsidRPr="007129F2" w:rsidRDefault="00B81FDE" w:rsidP="00050EA5">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83F0BB1" w14:textId="6969136E" w:rsidR="00B81FDE" w:rsidRPr="00B81FDE" w:rsidRDefault="00B81FDE" w:rsidP="00B81FDE">
      <w:pPr>
        <w:pStyle w:val="2-SectionHeading"/>
      </w:pPr>
      <w:r>
        <w:t>Sponsor’s Comment</w:t>
      </w:r>
    </w:p>
    <w:p w14:paraId="0FFD5181" w14:textId="1924074F" w:rsidR="00F659ED" w:rsidRDefault="00F5098B" w:rsidP="00050EA5">
      <w:pPr>
        <w:spacing w:after="120"/>
        <w:ind w:firstLine="720"/>
        <w:rPr>
          <w:rFonts w:asciiTheme="minorHAnsi" w:hAnsiTheme="minorHAnsi" w:cs="Arial"/>
          <w:bCs/>
        </w:rPr>
      </w:pPr>
      <w:r w:rsidRPr="00C07617">
        <w:rPr>
          <w:rFonts w:asciiTheme="minorHAnsi" w:hAnsiTheme="minorHAnsi" w:cs="Arial"/>
          <w:bCs/>
        </w:rPr>
        <w:t>The sponsor had no comment.</w:t>
      </w:r>
    </w:p>
    <w:p w14:paraId="16390E49" w14:textId="25E5BCEB" w:rsidR="00845C4D" w:rsidRDefault="00845C4D">
      <w:pPr>
        <w:jc w:val="left"/>
        <w:rPr>
          <w:rFonts w:asciiTheme="minorHAnsi" w:hAnsiTheme="minorHAnsi" w:cs="Arial"/>
          <w:bCs/>
        </w:rPr>
      </w:pPr>
      <w:r>
        <w:rPr>
          <w:rFonts w:asciiTheme="minorHAnsi" w:hAnsiTheme="minorHAnsi" w:cs="Arial"/>
          <w:bCs/>
        </w:rPr>
        <w:br w:type="page"/>
      </w:r>
    </w:p>
    <w:p w14:paraId="4EC64D7D" w14:textId="05FF6E1F" w:rsidR="00845C4D" w:rsidRPr="008C4198" w:rsidRDefault="00845C4D" w:rsidP="00845C4D">
      <w:pPr>
        <w:pStyle w:val="1MainTitle"/>
        <w:pageBreakBefore/>
        <w:ind w:left="1134" w:hanging="1134"/>
        <w:jc w:val="left"/>
        <w:rPr>
          <w:rFonts w:eastAsia="Calibri"/>
          <w:color w:val="FF0000"/>
          <w:sz w:val="28"/>
          <w:szCs w:val="28"/>
        </w:rPr>
      </w:pPr>
      <w:r w:rsidRPr="008C4198">
        <w:rPr>
          <w:rFonts w:eastAsia="Calibri"/>
          <w:color w:val="FF0000"/>
          <w:sz w:val="28"/>
          <w:szCs w:val="28"/>
        </w:rPr>
        <w:lastRenderedPageBreak/>
        <w:t xml:space="preserve">Addendum to the November 2022 PBAC </w:t>
      </w:r>
      <w:r>
        <w:rPr>
          <w:rFonts w:eastAsia="Calibri"/>
          <w:color w:val="FF0000"/>
          <w:sz w:val="28"/>
          <w:szCs w:val="28"/>
        </w:rPr>
        <w:t>Public Summary Document</w:t>
      </w:r>
      <w:r w:rsidRPr="008C4198">
        <w:rPr>
          <w:rFonts w:eastAsia="Calibri"/>
          <w:color w:val="FF0000"/>
          <w:sz w:val="28"/>
          <w:szCs w:val="28"/>
        </w:rPr>
        <w:t>:</w:t>
      </w:r>
    </w:p>
    <w:p w14:paraId="29DEFE38" w14:textId="77777777" w:rsidR="00845C4D" w:rsidRPr="008C4198" w:rsidRDefault="00845C4D" w:rsidP="00BD0FF1">
      <w:pPr>
        <w:pStyle w:val="1-MainHeading"/>
        <w:ind w:left="851" w:hanging="851"/>
        <w:rPr>
          <w:rFonts w:eastAsia="Calibri"/>
          <w:lang w:eastAsia="en-US"/>
        </w:rPr>
      </w:pPr>
      <w:r w:rsidRPr="008C4198">
        <w:t>4.06</w:t>
      </w:r>
      <w:r w:rsidRPr="008C4198">
        <w:tab/>
        <w:t>OLAPARIB,</w:t>
      </w:r>
      <w:r w:rsidRPr="008C4198">
        <w:br/>
      </w:r>
      <w:r w:rsidRPr="008C4198">
        <w:rPr>
          <w:rFonts w:cstheme="minorHAnsi"/>
        </w:rPr>
        <w:t>Tablet 100 mg,</w:t>
      </w:r>
      <w:r w:rsidRPr="008C4198">
        <w:t xml:space="preserve"> </w:t>
      </w:r>
      <w:r w:rsidRPr="008C4198">
        <w:br/>
      </w:r>
      <w:r w:rsidRPr="008C4198">
        <w:rPr>
          <w:rFonts w:cstheme="minorHAnsi"/>
        </w:rPr>
        <w:t>Tablet 150 mg</w:t>
      </w:r>
      <w:r w:rsidRPr="008C4198">
        <w:t>,</w:t>
      </w:r>
      <w:r w:rsidRPr="008C4198">
        <w:br/>
      </w:r>
      <w:r w:rsidRPr="008C4198" w:rsidDel="00971E91">
        <w:rPr>
          <w:rFonts w:cstheme="minorHAnsi"/>
        </w:rPr>
        <w:t>Lynparza®</w:t>
      </w:r>
      <w:r w:rsidRPr="008C4198">
        <w:t>,</w:t>
      </w:r>
      <w:r w:rsidRPr="008C4198">
        <w:br/>
        <w:t>AstraZeneca Pty Ltd</w:t>
      </w:r>
    </w:p>
    <w:p w14:paraId="6ACB7439" w14:textId="77777777" w:rsidR="00845C4D" w:rsidRPr="008C4198" w:rsidRDefault="00845C4D" w:rsidP="00845C4D">
      <w:pPr>
        <w:pStyle w:val="2-SectionHeading"/>
      </w:pPr>
      <w:r w:rsidRPr="008C4198">
        <w:t xml:space="preserve">Background </w:t>
      </w:r>
    </w:p>
    <w:p w14:paraId="1A368C4C" w14:textId="77777777" w:rsidR="00845C4D" w:rsidRPr="008C4198" w:rsidRDefault="00845C4D" w:rsidP="00845C4D">
      <w:pPr>
        <w:pStyle w:val="3-BodyText"/>
        <w:rPr>
          <w:iCs/>
        </w:rPr>
      </w:pPr>
      <w:r w:rsidRPr="008C4198">
        <w:rPr>
          <w:iCs/>
        </w:rPr>
        <w:t xml:space="preserve">In November 2022, the PBAC deferred its decision on whether to recommend olaparib for use in combination with bevacizumab for maintenance therapy in patients with newly diagnosed HRD positive </w:t>
      </w:r>
      <w:r w:rsidRPr="001F04E0">
        <w:rPr>
          <w:i/>
          <w:iCs/>
        </w:rPr>
        <w:t>BRCA</w:t>
      </w:r>
      <w:r w:rsidRPr="008C4198">
        <w:rPr>
          <w:iCs/>
        </w:rPr>
        <w:t xml:space="preserve"> wild type advanced epithelial ovarian, fallopian tube or primary peritoneal cancer. The PBAC was of a mind to recommend olaparib pending MSAC consideration of HRD testing (see paragraph </w:t>
      </w:r>
      <w:r w:rsidRPr="00FB2FC3">
        <w:rPr>
          <w:iCs/>
        </w:rPr>
        <w:fldChar w:fldCharType="begin" w:fldLock="1"/>
      </w:r>
      <w:r w:rsidRPr="008C4198">
        <w:rPr>
          <w:iCs/>
        </w:rPr>
        <w:instrText xml:space="preserve"> REF _Ref140240774 \r \h </w:instrText>
      </w:r>
      <w:r w:rsidRPr="00FB2FC3">
        <w:rPr>
          <w:iCs/>
        </w:rPr>
      </w:r>
      <w:r w:rsidRPr="00FB2FC3">
        <w:rPr>
          <w:iCs/>
        </w:rPr>
        <w:fldChar w:fldCharType="separate"/>
      </w:r>
      <w:r>
        <w:rPr>
          <w:iCs/>
        </w:rPr>
        <w:t>5.1</w:t>
      </w:r>
      <w:r w:rsidRPr="00FB2FC3">
        <w:rPr>
          <w:iCs/>
        </w:rPr>
        <w:fldChar w:fldCharType="end"/>
      </w:r>
      <w:r w:rsidRPr="008C4198">
        <w:rPr>
          <w:iCs/>
        </w:rPr>
        <w:t xml:space="preserve">). </w:t>
      </w:r>
    </w:p>
    <w:p w14:paraId="39B0EE24" w14:textId="77777777" w:rsidR="00845C4D" w:rsidRPr="008C4198" w:rsidRDefault="00845C4D" w:rsidP="00845C4D">
      <w:pPr>
        <w:pStyle w:val="3-BodyText"/>
        <w:rPr>
          <w:szCs w:val="24"/>
        </w:rPr>
      </w:pPr>
      <w:r w:rsidRPr="008C4198">
        <w:rPr>
          <w:szCs w:val="24"/>
        </w:rPr>
        <w:t xml:space="preserve">In March 2023, the Medical Services Advisory Committee (MSAC) supported the creation of a new Medicare Benefits Schedule (MBS) item to test tumour tissue for genomic instability (GI) to determine homologous recombination deficiency (HRD) status (including </w:t>
      </w:r>
      <w:r w:rsidRPr="001F04E0">
        <w:rPr>
          <w:i/>
          <w:iCs/>
          <w:szCs w:val="24"/>
        </w:rPr>
        <w:t>BRCA1/2</w:t>
      </w:r>
      <w:r w:rsidRPr="008C4198">
        <w:rPr>
          <w:szCs w:val="24"/>
        </w:rPr>
        <w:t xml:space="preserve"> status) to define eligibility for treatment with a poly-ADP ribose polymerase (PARP) inhibitor for patients with advanced (FIGO stage III-IV), high grade serous or other non-mucinous high grade ovarian, fallopian tube or primary peritoneal </w:t>
      </w:r>
      <w:r w:rsidRPr="008C4198">
        <w:rPr>
          <w:rFonts w:cstheme="minorHAnsi"/>
          <w:szCs w:val="24"/>
        </w:rPr>
        <w:t xml:space="preserve">carcinoma (see </w:t>
      </w:r>
      <w:r w:rsidRPr="00FB2FC3">
        <w:rPr>
          <w:rFonts w:cstheme="minorHAnsi"/>
          <w:szCs w:val="24"/>
        </w:rPr>
        <w:fldChar w:fldCharType="begin" w:fldLock="1"/>
      </w:r>
      <w:r w:rsidRPr="008C4198">
        <w:rPr>
          <w:rFonts w:cstheme="minorHAnsi"/>
          <w:szCs w:val="24"/>
        </w:rPr>
        <w:instrText xml:space="preserve"> REF _Ref140245867 \h  \* MERGEFORMAT </w:instrText>
      </w:r>
      <w:r w:rsidRPr="00FB2FC3">
        <w:rPr>
          <w:rFonts w:cstheme="minorHAnsi"/>
          <w:szCs w:val="24"/>
        </w:rPr>
      </w:r>
      <w:r w:rsidRPr="00FB2FC3">
        <w:rPr>
          <w:rFonts w:cstheme="minorHAnsi"/>
          <w:szCs w:val="24"/>
        </w:rPr>
        <w:fldChar w:fldCharType="separate"/>
      </w:r>
      <w:r w:rsidRPr="00ED2799">
        <w:rPr>
          <w:rFonts w:cstheme="minorHAnsi"/>
          <w:szCs w:val="24"/>
        </w:rPr>
        <w:t>Table 11</w:t>
      </w:r>
      <w:r w:rsidRPr="00FB2FC3">
        <w:rPr>
          <w:rFonts w:cstheme="minorHAnsi"/>
          <w:szCs w:val="24"/>
        </w:rPr>
        <w:fldChar w:fldCharType="end"/>
      </w:r>
      <w:r w:rsidRPr="008C4198">
        <w:rPr>
          <w:rFonts w:cstheme="minorHAnsi"/>
          <w:szCs w:val="24"/>
        </w:rPr>
        <w:t>). The</w:t>
      </w:r>
      <w:r w:rsidRPr="008C4198">
        <w:t xml:space="preserve"> sponsor had proposed a fee of $2,500 for the proposed MBS item for HRD testing, however the MSAC considered that a fee of $3,000 would be appropriate due to the complexity of the test. </w:t>
      </w:r>
      <w:r>
        <w:t>The sponsor stated</w:t>
      </w:r>
      <w:r w:rsidRPr="008C4198">
        <w:t xml:space="preserve"> that NATA accreditation has </w:t>
      </w:r>
      <w:proofErr w:type="gramStart"/>
      <w:r w:rsidRPr="008C4198">
        <w:t>been granted</w:t>
      </w:r>
      <w:proofErr w:type="gramEnd"/>
      <w:r w:rsidRPr="008C4198">
        <w:t xml:space="preserve"> to the Peter MacCallum Cancer Centre for the SOPHIA HRD assay.</w:t>
      </w:r>
    </w:p>
    <w:p w14:paraId="53ACAD33" w14:textId="77777777" w:rsidR="00845C4D" w:rsidRPr="008C4198" w:rsidRDefault="00845C4D" w:rsidP="00845C4D">
      <w:bookmarkStart w:id="48" w:name="_Ref140245867"/>
      <w:r w:rsidRPr="008C4198">
        <w:rPr>
          <w:rFonts w:ascii="Arial Narrow" w:hAnsi="Arial Narrow"/>
          <w:b/>
          <w:bCs/>
          <w:sz w:val="20"/>
          <w:szCs w:val="20"/>
        </w:rPr>
        <w:t xml:space="preserve">Table </w:t>
      </w:r>
      <w:r w:rsidRPr="00FB2FC3">
        <w:rPr>
          <w:rFonts w:ascii="Arial Narrow" w:hAnsi="Arial Narrow"/>
          <w:b/>
          <w:bCs/>
          <w:i/>
          <w:iCs/>
          <w:sz w:val="20"/>
          <w:szCs w:val="20"/>
        </w:rPr>
        <w:fldChar w:fldCharType="begin" w:fldLock="1"/>
      </w:r>
      <w:r w:rsidRPr="008C4198">
        <w:rPr>
          <w:rFonts w:ascii="Arial Narrow" w:hAnsi="Arial Narrow"/>
          <w:b/>
          <w:bCs/>
          <w:sz w:val="20"/>
          <w:szCs w:val="20"/>
        </w:rPr>
        <w:instrText xml:space="preserve"> SEQ Table \* ARABIC </w:instrText>
      </w:r>
      <w:r w:rsidRPr="00FB2FC3">
        <w:rPr>
          <w:rFonts w:ascii="Arial Narrow" w:hAnsi="Arial Narrow"/>
          <w:b/>
          <w:bCs/>
          <w:i/>
          <w:iCs/>
          <w:sz w:val="20"/>
          <w:szCs w:val="20"/>
        </w:rPr>
        <w:fldChar w:fldCharType="separate"/>
      </w:r>
      <w:r>
        <w:rPr>
          <w:rFonts w:ascii="Arial Narrow" w:hAnsi="Arial Narrow"/>
          <w:b/>
          <w:bCs/>
          <w:noProof/>
          <w:sz w:val="20"/>
          <w:szCs w:val="20"/>
        </w:rPr>
        <w:t>11</w:t>
      </w:r>
      <w:r w:rsidRPr="00FB2FC3">
        <w:rPr>
          <w:rFonts w:ascii="Arial Narrow" w:hAnsi="Arial Narrow"/>
          <w:b/>
          <w:bCs/>
          <w:i/>
          <w:iCs/>
          <w:sz w:val="20"/>
          <w:szCs w:val="20"/>
        </w:rPr>
        <w:fldChar w:fldCharType="end"/>
      </w:r>
      <w:bookmarkEnd w:id="48"/>
      <w:r w:rsidRPr="008C4198">
        <w:rPr>
          <w:rFonts w:ascii="Arial Narrow" w:hAnsi="Arial Narrow"/>
          <w:b/>
          <w:bCs/>
          <w:sz w:val="20"/>
          <w:szCs w:val="20"/>
        </w:rPr>
        <w:t xml:space="preserve">: MSAC’s supported </w:t>
      </w:r>
      <w:r w:rsidRPr="006114C1">
        <w:rPr>
          <w:rFonts w:ascii="Arial Narrow" w:hAnsi="Arial Narrow"/>
          <w:b/>
          <w:bCs/>
          <w:sz w:val="20"/>
          <w:szCs w:val="20"/>
        </w:rPr>
        <w:t>item descriptor (applies to MSAC Application 1658.1)</w:t>
      </w:r>
    </w:p>
    <w:tbl>
      <w:tblPr>
        <w:tblStyle w:val="TableGrid"/>
        <w:tblW w:w="9020" w:type="dxa"/>
        <w:tblLook w:val="04A0" w:firstRow="1" w:lastRow="0" w:firstColumn="1" w:lastColumn="0" w:noHBand="0" w:noVBand="1"/>
        <w:tblCaption w:val="Table 11: MSAC’s supported item descriptor (applies to MSAC Application 1658.1)"/>
        <w:tblDescription w:val="Consumer summary of MSAC consideration"/>
      </w:tblPr>
      <w:tblGrid>
        <w:gridCol w:w="9020"/>
      </w:tblGrid>
      <w:tr w:rsidR="00845C4D" w:rsidRPr="008C4198" w14:paraId="3E007DA6" w14:textId="77777777" w:rsidTr="003370CF">
        <w:tc>
          <w:tcPr>
            <w:tcW w:w="9020" w:type="dxa"/>
            <w:tcBorders>
              <w:top w:val="single" w:sz="4" w:space="0" w:color="auto"/>
              <w:left w:val="single" w:sz="4" w:space="0" w:color="auto"/>
              <w:bottom w:val="single" w:sz="4" w:space="0" w:color="auto"/>
              <w:right w:val="single" w:sz="4" w:space="0" w:color="auto"/>
            </w:tcBorders>
            <w:hideMark/>
          </w:tcPr>
          <w:p w14:paraId="227D5A5E" w14:textId="77777777" w:rsidR="00845C4D" w:rsidRPr="008C4198" w:rsidRDefault="00845C4D" w:rsidP="003370CF">
            <w:pPr>
              <w:jc w:val="right"/>
              <w:rPr>
                <w:rFonts w:ascii="Arial Narrow" w:hAnsi="Arial Narrow"/>
                <w:sz w:val="20"/>
                <w:szCs w:val="20"/>
              </w:rPr>
            </w:pPr>
            <w:r w:rsidRPr="008C4198">
              <w:rPr>
                <w:rFonts w:ascii="Arial Narrow" w:hAnsi="Arial Narrow"/>
                <w:sz w:val="20"/>
                <w:szCs w:val="20"/>
              </w:rPr>
              <w:t>Category 6 – Pathology Services   Group P7 - Genetics</w:t>
            </w:r>
          </w:p>
        </w:tc>
      </w:tr>
      <w:tr w:rsidR="00845C4D" w:rsidRPr="008C4198" w14:paraId="5D47E88C" w14:textId="77777777" w:rsidTr="003370CF">
        <w:tc>
          <w:tcPr>
            <w:tcW w:w="9020" w:type="dxa"/>
            <w:tcBorders>
              <w:top w:val="single" w:sz="4" w:space="0" w:color="auto"/>
              <w:left w:val="single" w:sz="4" w:space="0" w:color="auto"/>
              <w:bottom w:val="single" w:sz="4" w:space="0" w:color="auto"/>
              <w:right w:val="single" w:sz="4" w:space="0" w:color="auto"/>
            </w:tcBorders>
            <w:hideMark/>
          </w:tcPr>
          <w:p w14:paraId="33E1174E" w14:textId="77777777" w:rsidR="00845C4D" w:rsidRPr="008C4198" w:rsidRDefault="00845C4D" w:rsidP="003370CF">
            <w:pPr>
              <w:rPr>
                <w:rFonts w:ascii="Arial Narrow" w:hAnsi="Arial Narrow"/>
                <w:sz w:val="20"/>
                <w:szCs w:val="20"/>
              </w:rPr>
            </w:pPr>
            <w:r w:rsidRPr="008C4198">
              <w:rPr>
                <w:rFonts w:ascii="Arial Narrow" w:hAnsi="Arial Narrow"/>
                <w:sz w:val="20"/>
                <w:szCs w:val="20"/>
              </w:rPr>
              <w:t>MBS item XXXXX </w:t>
            </w:r>
          </w:p>
        </w:tc>
      </w:tr>
      <w:tr w:rsidR="00845C4D" w:rsidRPr="008C4198" w14:paraId="70C7EE74" w14:textId="77777777" w:rsidTr="003370CF">
        <w:tc>
          <w:tcPr>
            <w:tcW w:w="9020" w:type="dxa"/>
            <w:tcBorders>
              <w:top w:val="single" w:sz="4" w:space="0" w:color="auto"/>
              <w:left w:val="single" w:sz="4" w:space="0" w:color="auto"/>
              <w:bottom w:val="single" w:sz="4" w:space="0" w:color="auto"/>
              <w:right w:val="single" w:sz="4" w:space="0" w:color="auto"/>
            </w:tcBorders>
            <w:hideMark/>
          </w:tcPr>
          <w:p w14:paraId="2AB11B34" w14:textId="77777777" w:rsidR="00845C4D" w:rsidRPr="008C4198" w:rsidRDefault="00845C4D" w:rsidP="003370CF">
            <w:pPr>
              <w:rPr>
                <w:rFonts w:ascii="Arial Narrow" w:hAnsi="Arial Narrow"/>
                <w:sz w:val="20"/>
                <w:szCs w:val="20"/>
              </w:rPr>
            </w:pPr>
            <w:r w:rsidRPr="008C4198">
              <w:rPr>
                <w:rFonts w:ascii="Arial Narrow" w:hAnsi="Arial Narrow"/>
                <w:sz w:val="20"/>
                <w:szCs w:val="20"/>
              </w:rPr>
              <w:t xml:space="preserve">A test of tumour tissue from a patient with advanced (FIGO III–IV), high-grade serous or other high-grade ovarian, fallopian tube or primary peritoneal carcinoma, requested by a specialist or consultant physician, to determine eligibility with respect to homologous recombination deficiency (HRD) status, including </w:t>
            </w:r>
            <w:r w:rsidRPr="008C4198">
              <w:rPr>
                <w:rFonts w:ascii="Arial Narrow" w:hAnsi="Arial Narrow"/>
                <w:i/>
                <w:iCs/>
                <w:sz w:val="20"/>
                <w:szCs w:val="20"/>
              </w:rPr>
              <w:t>BRCA1/2</w:t>
            </w:r>
            <w:r w:rsidRPr="008C4198">
              <w:rPr>
                <w:rFonts w:ascii="Arial Narrow" w:hAnsi="Arial Narrow"/>
                <w:sz w:val="20"/>
                <w:szCs w:val="20"/>
              </w:rPr>
              <w:t xml:space="preserve"> status, for access to PARP inhibitor therapy under the Pharmaceutical Benefits Scheme (PBS).</w:t>
            </w:r>
          </w:p>
          <w:p w14:paraId="676D5349" w14:textId="77777777" w:rsidR="00845C4D" w:rsidRPr="008C4198" w:rsidRDefault="00845C4D" w:rsidP="003370CF">
            <w:pPr>
              <w:rPr>
                <w:rFonts w:ascii="Arial Narrow" w:hAnsi="Arial Narrow"/>
                <w:sz w:val="20"/>
                <w:szCs w:val="20"/>
              </w:rPr>
            </w:pPr>
            <w:r w:rsidRPr="008C4198">
              <w:rPr>
                <w:rFonts w:ascii="Arial Narrow" w:hAnsi="Arial Narrow"/>
                <w:sz w:val="20"/>
                <w:szCs w:val="20"/>
              </w:rPr>
              <w:t xml:space="preserve">Evidence of homologous recombination deficiency must </w:t>
            </w:r>
            <w:proofErr w:type="gramStart"/>
            <w:r w:rsidRPr="008C4198">
              <w:rPr>
                <w:rFonts w:ascii="Arial Narrow" w:hAnsi="Arial Narrow"/>
                <w:sz w:val="20"/>
                <w:szCs w:val="20"/>
              </w:rPr>
              <w:t>be derived</w:t>
            </w:r>
            <w:proofErr w:type="gramEnd"/>
            <w:r w:rsidRPr="008C4198">
              <w:rPr>
                <w:rFonts w:ascii="Arial Narrow" w:hAnsi="Arial Narrow"/>
                <w:sz w:val="20"/>
                <w:szCs w:val="20"/>
              </w:rPr>
              <w:t xml:space="preserve"> through a test that has been validated against the Myriad MyChoice</w:t>
            </w:r>
            <w:r w:rsidRPr="008C4198">
              <w:rPr>
                <w:rFonts w:ascii="Arial Narrow" w:hAnsi="Arial Narrow"/>
                <w:sz w:val="20"/>
                <w:szCs w:val="20"/>
                <w:vertAlign w:val="superscript"/>
              </w:rPr>
              <w:t>®</w:t>
            </w:r>
            <w:r w:rsidRPr="008C4198">
              <w:rPr>
                <w:rFonts w:ascii="Arial Narrow" w:hAnsi="Arial Narrow"/>
                <w:sz w:val="20"/>
                <w:szCs w:val="20"/>
              </w:rPr>
              <w:t xml:space="preserve"> HRD assay.</w:t>
            </w:r>
          </w:p>
          <w:p w14:paraId="6820F69A" w14:textId="77777777" w:rsidR="00845C4D" w:rsidRPr="008C4198" w:rsidRDefault="00845C4D" w:rsidP="003370CF">
            <w:pPr>
              <w:rPr>
                <w:rFonts w:ascii="Arial Narrow" w:hAnsi="Arial Narrow"/>
                <w:sz w:val="20"/>
                <w:szCs w:val="20"/>
              </w:rPr>
            </w:pPr>
            <w:r w:rsidRPr="008C4198">
              <w:rPr>
                <w:rFonts w:ascii="Arial Narrow" w:hAnsi="Arial Narrow"/>
                <w:sz w:val="20"/>
                <w:szCs w:val="20"/>
              </w:rPr>
              <w:t>Applicable once per primary tumour diagnosis. Not applicable to a service to which 73295 or 73301 applies.</w:t>
            </w:r>
          </w:p>
          <w:p w14:paraId="53A15F0A" w14:textId="77777777" w:rsidR="00845C4D" w:rsidRPr="008C4198" w:rsidRDefault="00845C4D" w:rsidP="003370CF">
            <w:pPr>
              <w:rPr>
                <w:rFonts w:ascii="Arial Narrow" w:hAnsi="Arial Narrow"/>
                <w:sz w:val="20"/>
                <w:szCs w:val="20"/>
              </w:rPr>
            </w:pPr>
            <w:r w:rsidRPr="008C4198">
              <w:rPr>
                <w:rFonts w:ascii="Arial Narrow" w:hAnsi="Arial Narrow"/>
                <w:sz w:val="20"/>
                <w:szCs w:val="20"/>
              </w:rPr>
              <w:t>Fee: $3,000.00 Benefit: 75% = $2,250.00 85% = $2,906.80</w:t>
            </w:r>
          </w:p>
        </w:tc>
      </w:tr>
      <w:tr w:rsidR="00845C4D" w:rsidRPr="008C4198" w14:paraId="2DD042CA" w14:textId="77777777" w:rsidTr="00BD0FF1">
        <w:trPr>
          <w:trHeight w:val="538"/>
        </w:trPr>
        <w:tc>
          <w:tcPr>
            <w:tcW w:w="9020" w:type="dxa"/>
            <w:tcBorders>
              <w:top w:val="single" w:sz="4" w:space="0" w:color="auto"/>
              <w:left w:val="single" w:sz="4" w:space="0" w:color="auto"/>
              <w:bottom w:val="single" w:sz="4" w:space="0" w:color="auto"/>
              <w:right w:val="single" w:sz="4" w:space="0" w:color="auto"/>
            </w:tcBorders>
            <w:hideMark/>
          </w:tcPr>
          <w:p w14:paraId="4113C097" w14:textId="77777777" w:rsidR="00845C4D" w:rsidRPr="008C4198" w:rsidRDefault="00845C4D" w:rsidP="003370CF">
            <w:pPr>
              <w:rPr>
                <w:rFonts w:ascii="Arial Narrow" w:hAnsi="Arial Narrow"/>
                <w:sz w:val="20"/>
                <w:szCs w:val="20"/>
              </w:rPr>
            </w:pPr>
            <w:r w:rsidRPr="008C4198">
              <w:rPr>
                <w:rFonts w:ascii="Arial Narrow" w:hAnsi="Arial Narrow"/>
                <w:sz w:val="20"/>
                <w:szCs w:val="20"/>
              </w:rPr>
              <w:t>Practice note: Validation against the Myriad MyChoice</w:t>
            </w:r>
            <w:r w:rsidRPr="008C4198">
              <w:rPr>
                <w:rFonts w:ascii="Arial Narrow" w:hAnsi="Arial Narrow"/>
                <w:sz w:val="20"/>
                <w:szCs w:val="20"/>
                <w:vertAlign w:val="superscript"/>
              </w:rPr>
              <w:t>®</w:t>
            </w:r>
            <w:r w:rsidRPr="008C4198">
              <w:rPr>
                <w:rFonts w:ascii="Arial Narrow" w:hAnsi="Arial Narrow"/>
                <w:sz w:val="20"/>
                <w:szCs w:val="20"/>
              </w:rPr>
              <w:t xml:space="preserve"> HRD assay should use a score of 42 o</w:t>
            </w:r>
            <w:r>
              <w:rPr>
                <w:rFonts w:ascii="Arial Narrow" w:hAnsi="Arial Narrow"/>
                <w:sz w:val="20"/>
                <w:szCs w:val="20"/>
              </w:rPr>
              <w:t>r</w:t>
            </w:r>
            <w:r w:rsidRPr="008C4198">
              <w:rPr>
                <w:rFonts w:ascii="Arial Narrow" w:hAnsi="Arial Narrow"/>
                <w:sz w:val="20"/>
                <w:szCs w:val="20"/>
              </w:rPr>
              <w:t xml:space="preserve"> greater as the threshold for HRD (genomic instability) positivity.</w:t>
            </w:r>
          </w:p>
        </w:tc>
      </w:tr>
    </w:tbl>
    <w:p w14:paraId="299F025F" w14:textId="77777777" w:rsidR="00845C4D" w:rsidRPr="008C4198" w:rsidRDefault="00845C4D" w:rsidP="00845C4D">
      <w:pPr>
        <w:rPr>
          <w:rFonts w:ascii="Arial Narrow" w:eastAsia="Arial Narrow" w:hAnsi="Arial Narrow" w:cs="Arial Narrow"/>
          <w:sz w:val="18"/>
          <w:szCs w:val="18"/>
          <w:lang w:eastAsia="en-US"/>
        </w:rPr>
      </w:pPr>
      <w:proofErr w:type="gramStart"/>
      <w:r w:rsidRPr="008C4198">
        <w:rPr>
          <w:rFonts w:ascii="Arial Narrow" w:eastAsia="Arial Narrow" w:hAnsi="Arial Narrow" w:cs="Arial Narrow"/>
          <w:sz w:val="18"/>
          <w:szCs w:val="18"/>
        </w:rPr>
        <w:t>85%</w:t>
      </w:r>
      <w:proofErr w:type="gramEnd"/>
      <w:r w:rsidRPr="008C4198">
        <w:rPr>
          <w:rFonts w:ascii="Arial Narrow" w:eastAsia="Arial Narrow" w:hAnsi="Arial Narrow" w:cs="Arial Narrow"/>
          <w:sz w:val="18"/>
          <w:szCs w:val="18"/>
        </w:rPr>
        <w:t xml:space="preserve"> benefit reflects the 1 November 2022 Greatest Permissible Gap (GPG) of $93.20. All out-of-hospital Medicare services that have an MBS fee of $621.50 or more will attract a benefit that is greater than 85% of the MBS fee – being the schedule fee less the GPG amount. The GPG amount </w:t>
      </w:r>
      <w:proofErr w:type="gramStart"/>
      <w:r w:rsidRPr="008C4198">
        <w:rPr>
          <w:rFonts w:ascii="Arial Narrow" w:eastAsia="Arial Narrow" w:hAnsi="Arial Narrow" w:cs="Arial Narrow"/>
          <w:sz w:val="18"/>
          <w:szCs w:val="18"/>
        </w:rPr>
        <w:t>is indexed</w:t>
      </w:r>
      <w:proofErr w:type="gramEnd"/>
      <w:r w:rsidRPr="008C4198">
        <w:rPr>
          <w:rFonts w:ascii="Arial Narrow" w:eastAsia="Arial Narrow" w:hAnsi="Arial Narrow" w:cs="Arial Narrow"/>
          <w:sz w:val="18"/>
          <w:szCs w:val="18"/>
        </w:rPr>
        <w:t xml:space="preserve"> annually on 1 November in line with the Consumer Price Index (CPI) (June quarter).</w:t>
      </w:r>
    </w:p>
    <w:p w14:paraId="542AB8D3" w14:textId="77777777" w:rsidR="00845C4D" w:rsidRPr="008C4198" w:rsidRDefault="00845C4D" w:rsidP="00845C4D">
      <w:pPr>
        <w:rPr>
          <w:rFonts w:asciiTheme="minorHAnsi" w:eastAsiaTheme="minorHAnsi" w:hAnsiTheme="minorHAnsi" w:cstheme="minorBidi"/>
          <w:sz w:val="22"/>
          <w:szCs w:val="22"/>
        </w:rPr>
      </w:pPr>
    </w:p>
    <w:p w14:paraId="060146FB" w14:textId="4BED98B5" w:rsidR="00845C4D" w:rsidRPr="004C7A86" w:rsidRDefault="00845C4D" w:rsidP="00845C4D">
      <w:pPr>
        <w:pStyle w:val="3-BodyText"/>
        <w:rPr>
          <w:szCs w:val="24"/>
        </w:rPr>
      </w:pPr>
      <w:r w:rsidRPr="008C4198">
        <w:t>The sponsor provided additional information for PBAC consideration after receipt of the MSAC Public Summary Document for Application No. 1658.1. A summary of the</w:t>
      </w:r>
      <w:r>
        <w:t xml:space="preserve"> additional information and</w:t>
      </w:r>
      <w:r w:rsidRPr="008C4198">
        <w:t xml:space="preserve"> issues addressed </w:t>
      </w:r>
      <w:proofErr w:type="gramStart"/>
      <w:r w:rsidRPr="008C4198">
        <w:t>is provided</w:t>
      </w:r>
      <w:proofErr w:type="gramEnd"/>
      <w:r w:rsidRPr="008C4198">
        <w:t xml:space="preserve"> in </w:t>
      </w:r>
      <w:r w:rsidRPr="00FB2FC3">
        <w:fldChar w:fldCharType="begin" w:fldLock="1"/>
      </w:r>
      <w:r w:rsidRPr="008C4198">
        <w:instrText xml:space="preserve"> REF _Ref140245977 \h </w:instrText>
      </w:r>
      <w:r w:rsidR="00435C19">
        <w:instrText xml:space="preserve"> \* MERGEFORMAT </w:instrText>
      </w:r>
      <w:r w:rsidRPr="00FB2FC3">
        <w:fldChar w:fldCharType="separate"/>
      </w:r>
      <w:r w:rsidRPr="00BD0FF1">
        <w:t>Table 12</w:t>
      </w:r>
      <w:r w:rsidRPr="00FB2FC3">
        <w:fldChar w:fldCharType="end"/>
      </w:r>
      <w:r>
        <w:t xml:space="preserve">. </w:t>
      </w:r>
    </w:p>
    <w:p w14:paraId="7A0CB3DE" w14:textId="77777777" w:rsidR="00845C4D" w:rsidRPr="008C4198" w:rsidRDefault="00845C4D" w:rsidP="00845C4D">
      <w:pPr>
        <w:keepNext/>
      </w:pPr>
      <w:bookmarkStart w:id="49" w:name="_Ref140245977"/>
      <w:r w:rsidRPr="008C4198">
        <w:rPr>
          <w:rFonts w:ascii="Arial Narrow" w:hAnsi="Arial Narrow"/>
          <w:b/>
          <w:bCs/>
          <w:sz w:val="20"/>
          <w:szCs w:val="20"/>
        </w:rPr>
        <w:t xml:space="preserve">Table </w:t>
      </w:r>
      <w:r w:rsidRPr="00FB2FC3">
        <w:rPr>
          <w:rFonts w:ascii="Arial Narrow" w:hAnsi="Arial Narrow"/>
          <w:b/>
          <w:bCs/>
          <w:i/>
          <w:iCs/>
          <w:sz w:val="20"/>
          <w:szCs w:val="20"/>
        </w:rPr>
        <w:fldChar w:fldCharType="begin" w:fldLock="1"/>
      </w:r>
      <w:r w:rsidRPr="008C4198">
        <w:rPr>
          <w:rFonts w:ascii="Arial Narrow" w:hAnsi="Arial Narrow"/>
          <w:b/>
          <w:bCs/>
          <w:sz w:val="20"/>
          <w:szCs w:val="20"/>
        </w:rPr>
        <w:instrText xml:space="preserve"> SEQ Table \* ARABIC </w:instrText>
      </w:r>
      <w:r w:rsidRPr="00FB2FC3">
        <w:rPr>
          <w:rFonts w:ascii="Arial Narrow" w:hAnsi="Arial Narrow"/>
          <w:b/>
          <w:bCs/>
          <w:i/>
          <w:iCs/>
          <w:sz w:val="20"/>
          <w:szCs w:val="20"/>
        </w:rPr>
        <w:fldChar w:fldCharType="separate"/>
      </w:r>
      <w:r>
        <w:rPr>
          <w:rFonts w:ascii="Arial Narrow" w:hAnsi="Arial Narrow"/>
          <w:b/>
          <w:bCs/>
          <w:noProof/>
          <w:sz w:val="20"/>
          <w:szCs w:val="20"/>
        </w:rPr>
        <w:t>12</w:t>
      </w:r>
      <w:r w:rsidRPr="00FB2FC3">
        <w:rPr>
          <w:rFonts w:ascii="Arial Narrow" w:hAnsi="Arial Narrow"/>
          <w:b/>
          <w:bCs/>
          <w:i/>
          <w:iCs/>
          <w:sz w:val="20"/>
          <w:szCs w:val="20"/>
        </w:rPr>
        <w:fldChar w:fldCharType="end"/>
      </w:r>
      <w:bookmarkEnd w:id="49"/>
      <w:r w:rsidRPr="008C4198">
        <w:rPr>
          <w:rFonts w:ascii="Arial Narrow" w:hAnsi="Arial Narrow"/>
          <w:b/>
          <w:bCs/>
          <w:sz w:val="20"/>
          <w:szCs w:val="20"/>
        </w:rPr>
        <w:t xml:space="preserve">: Issues to </w:t>
      </w:r>
      <w:proofErr w:type="gramStart"/>
      <w:r w:rsidRPr="008C4198">
        <w:rPr>
          <w:rFonts w:ascii="Arial Narrow" w:hAnsi="Arial Narrow"/>
          <w:b/>
          <w:bCs/>
          <w:sz w:val="20"/>
          <w:szCs w:val="20"/>
        </w:rPr>
        <w:t>be addressed</w:t>
      </w:r>
      <w:proofErr w:type="gramEnd"/>
    </w:p>
    <w:tbl>
      <w:tblPr>
        <w:tblStyle w:val="TableGrid"/>
        <w:tblW w:w="0" w:type="auto"/>
        <w:tblLook w:val="04A0" w:firstRow="1" w:lastRow="0" w:firstColumn="1" w:lastColumn="0" w:noHBand="0" w:noVBand="1"/>
        <w:tblCaption w:val="Table 12: Issues to be addressed"/>
      </w:tblPr>
      <w:tblGrid>
        <w:gridCol w:w="308"/>
        <w:gridCol w:w="4082"/>
        <w:gridCol w:w="4626"/>
      </w:tblGrid>
      <w:tr w:rsidR="00845C4D" w:rsidRPr="008C4198" w14:paraId="63C49F71" w14:textId="77777777" w:rsidTr="003370CF">
        <w:trPr>
          <w:trHeight w:val="20"/>
        </w:trPr>
        <w:tc>
          <w:tcPr>
            <w:tcW w:w="4390" w:type="dxa"/>
            <w:gridSpan w:val="2"/>
            <w:tcBorders>
              <w:top w:val="single" w:sz="4" w:space="0" w:color="auto"/>
              <w:left w:val="single" w:sz="4" w:space="0" w:color="auto"/>
              <w:bottom w:val="single" w:sz="4" w:space="0" w:color="auto"/>
              <w:right w:val="single" w:sz="4" w:space="0" w:color="auto"/>
            </w:tcBorders>
            <w:hideMark/>
          </w:tcPr>
          <w:p w14:paraId="545D3DB0" w14:textId="77777777" w:rsidR="00845C4D" w:rsidRPr="008C4198" w:rsidRDefault="00845C4D" w:rsidP="003370CF">
            <w:pPr>
              <w:pStyle w:val="COMtablefigcaption"/>
            </w:pPr>
            <w:r w:rsidRPr="008C4198">
              <w:t>Matter of Concern</w:t>
            </w:r>
          </w:p>
        </w:tc>
        <w:tc>
          <w:tcPr>
            <w:tcW w:w="4626" w:type="dxa"/>
            <w:tcBorders>
              <w:top w:val="single" w:sz="4" w:space="0" w:color="auto"/>
              <w:left w:val="single" w:sz="4" w:space="0" w:color="auto"/>
              <w:bottom w:val="single" w:sz="4" w:space="0" w:color="auto"/>
              <w:right w:val="single" w:sz="4" w:space="0" w:color="auto"/>
            </w:tcBorders>
            <w:hideMark/>
          </w:tcPr>
          <w:p w14:paraId="18147476" w14:textId="77777777" w:rsidR="00845C4D" w:rsidRPr="008C4198" w:rsidRDefault="00845C4D" w:rsidP="003370CF">
            <w:pPr>
              <w:pStyle w:val="COMtablefigcaption"/>
            </w:pPr>
            <w:r w:rsidRPr="008C4198">
              <w:t>Information from sponsor (June 2023)</w:t>
            </w:r>
          </w:p>
        </w:tc>
      </w:tr>
      <w:tr w:rsidR="00845C4D" w:rsidRPr="008C4198" w14:paraId="21F3E78D" w14:textId="77777777" w:rsidTr="003370CF">
        <w:trPr>
          <w:trHeight w:val="20"/>
        </w:trPr>
        <w:tc>
          <w:tcPr>
            <w:tcW w:w="0" w:type="auto"/>
            <w:tcBorders>
              <w:top w:val="single" w:sz="4" w:space="0" w:color="auto"/>
              <w:left w:val="single" w:sz="4" w:space="0" w:color="auto"/>
              <w:bottom w:val="single" w:sz="4" w:space="0" w:color="auto"/>
              <w:right w:val="single" w:sz="4" w:space="0" w:color="auto"/>
            </w:tcBorders>
          </w:tcPr>
          <w:p w14:paraId="0925A452" w14:textId="77777777" w:rsidR="00845C4D" w:rsidRPr="008C4198" w:rsidRDefault="00845C4D" w:rsidP="003370CF">
            <w:pPr>
              <w:pStyle w:val="COMTabletext"/>
            </w:pPr>
            <w:r w:rsidRPr="008C4198">
              <w:t>1</w:t>
            </w:r>
          </w:p>
        </w:tc>
        <w:tc>
          <w:tcPr>
            <w:tcW w:w="4082" w:type="dxa"/>
            <w:tcBorders>
              <w:top w:val="single" w:sz="4" w:space="0" w:color="auto"/>
              <w:left w:val="single" w:sz="4" w:space="0" w:color="auto"/>
              <w:bottom w:val="single" w:sz="4" w:space="0" w:color="auto"/>
              <w:right w:val="single" w:sz="4" w:space="0" w:color="auto"/>
            </w:tcBorders>
          </w:tcPr>
          <w:p w14:paraId="7D5D8F3E" w14:textId="750845D2" w:rsidR="00845C4D" w:rsidRPr="008C4198" w:rsidRDefault="00845C4D" w:rsidP="003370CF">
            <w:pPr>
              <w:pStyle w:val="COMTabletext"/>
            </w:pPr>
            <w:r w:rsidRPr="008C4198">
              <w:t xml:space="preserve">The PBAC maintained that an ICER of no more than $50,000/QALY was appropriate and that a reduction in price would </w:t>
            </w:r>
            <w:proofErr w:type="gramStart"/>
            <w:r w:rsidRPr="008C4198">
              <w:t>be required</w:t>
            </w:r>
            <w:proofErr w:type="gramEnd"/>
            <w:r w:rsidRPr="008C4198">
              <w:t xml:space="preserve"> to ensure cost</w:t>
            </w:r>
            <w:r w:rsidRPr="008C4198">
              <w:noBreakHyphen/>
              <w:t>effectiveness given the remaining uncertainty in the modelled benefit of olaparib in the proposed population (paragraph 5.2, November 2022 PSD).</w:t>
            </w:r>
          </w:p>
        </w:tc>
        <w:tc>
          <w:tcPr>
            <w:tcW w:w="4626" w:type="dxa"/>
            <w:tcBorders>
              <w:top w:val="single" w:sz="4" w:space="0" w:color="auto"/>
              <w:left w:val="single" w:sz="4" w:space="0" w:color="auto"/>
              <w:bottom w:val="single" w:sz="4" w:space="0" w:color="auto"/>
              <w:right w:val="single" w:sz="4" w:space="0" w:color="auto"/>
            </w:tcBorders>
          </w:tcPr>
          <w:p w14:paraId="094D3929" w14:textId="77777777" w:rsidR="00845C4D" w:rsidRPr="008C4198" w:rsidRDefault="00845C4D" w:rsidP="003370CF">
            <w:pPr>
              <w:pStyle w:val="COMTabletext"/>
            </w:pPr>
            <w:r w:rsidRPr="008C4198">
              <w:t xml:space="preserve">The sponsor proposed a reduced effective price for olaparib: </w:t>
            </w:r>
          </w:p>
          <w:p w14:paraId="72968247" w14:textId="3D113356" w:rsidR="00845C4D" w:rsidRPr="008C4198" w:rsidRDefault="00845C4D" w:rsidP="003370CF">
            <w:pPr>
              <w:pStyle w:val="COMTabletext"/>
            </w:pPr>
            <w:bookmarkStart w:id="50" w:name="_Hlk140483498"/>
            <w:r w:rsidRPr="008C4198">
              <w:rPr>
                <w:szCs w:val="20"/>
              </w:rPr>
              <w:t>Effective AEMP: $</w:t>
            </w:r>
            <w:r w:rsidR="00AE45EC" w:rsidRPr="00AE45EC">
              <w:rPr>
                <w:color w:val="000000"/>
                <w:spacing w:val="50"/>
                <w:szCs w:val="20"/>
                <w:shd w:val="solid" w:color="000000" w:fill="000000"/>
                <w:fitText w:val="338" w:id="-1167912960"/>
                <w14:textFill>
                  <w14:solidFill>
                    <w14:srgbClr w14:val="000000">
                      <w14:alpha w14:val="100000"/>
                    </w14:srgbClr>
                  </w14:solidFill>
                </w14:textFill>
              </w:rPr>
              <w:t>|||</w:t>
            </w:r>
            <w:r w:rsidR="00AE45EC" w:rsidRPr="00AE45EC">
              <w:rPr>
                <w:color w:val="000000"/>
                <w:spacing w:val="25"/>
                <w:szCs w:val="20"/>
                <w:shd w:val="solid" w:color="000000" w:fill="000000"/>
                <w:fitText w:val="338" w:id="-1167912960"/>
                <w14:textFill>
                  <w14:solidFill>
                    <w14:srgbClr w14:val="000000">
                      <w14:alpha w14:val="100000"/>
                    </w14:srgbClr>
                  </w14:solidFill>
                </w14:textFill>
              </w:rPr>
              <w:t>|</w:t>
            </w:r>
            <w:r w:rsidRPr="008C4198">
              <w:rPr>
                <w:szCs w:val="20"/>
              </w:rPr>
              <w:t xml:space="preserve"> per pack (56 tablets).</w:t>
            </w:r>
          </w:p>
          <w:bookmarkEnd w:id="50"/>
          <w:p w14:paraId="1310DA54" w14:textId="0875A8FA" w:rsidR="00845C4D" w:rsidRPr="008C4198" w:rsidRDefault="00845C4D" w:rsidP="003370CF">
            <w:pPr>
              <w:pStyle w:val="COMTabletext"/>
              <w:tabs>
                <w:tab w:val="left" w:pos="720"/>
                <w:tab w:val="left" w:pos="1440"/>
                <w:tab w:val="left" w:pos="2570"/>
              </w:tabs>
            </w:pPr>
            <w:r w:rsidRPr="008C4198">
              <w:t>Effective DPMQ: $</w:t>
            </w:r>
            <w:r w:rsidR="00AE45EC" w:rsidRPr="00AE45EC">
              <w:rPr>
                <w:color w:val="000000"/>
                <w:spacing w:val="50"/>
                <w:shd w:val="solid" w:color="000000" w:fill="000000"/>
                <w:fitText w:val="338" w:id="-1167912959"/>
                <w14:textFill>
                  <w14:solidFill>
                    <w14:srgbClr w14:val="000000">
                      <w14:alpha w14:val="100000"/>
                    </w14:srgbClr>
                  </w14:solidFill>
                </w14:textFill>
              </w:rPr>
              <w:t>|||</w:t>
            </w:r>
            <w:r w:rsidR="00AE45EC" w:rsidRPr="00AE45EC">
              <w:rPr>
                <w:color w:val="000000"/>
                <w:spacing w:val="25"/>
                <w:shd w:val="solid" w:color="000000" w:fill="000000"/>
                <w:fitText w:val="338" w:id="-1167912959"/>
                <w14:textFill>
                  <w14:solidFill>
                    <w14:srgbClr w14:val="000000">
                      <w14:alpha w14:val="100000"/>
                    </w14:srgbClr>
                  </w14:solidFill>
                </w14:textFill>
              </w:rPr>
              <w:t>|</w:t>
            </w:r>
            <w:r w:rsidRPr="008C4198">
              <w:t xml:space="preserve"> (112 tablets)</w:t>
            </w:r>
          </w:p>
          <w:p w14:paraId="089477CD" w14:textId="77777777" w:rsidR="00845C4D" w:rsidRPr="008C4198" w:rsidRDefault="00845C4D" w:rsidP="003370CF">
            <w:pPr>
              <w:pStyle w:val="COMTabletext"/>
            </w:pPr>
          </w:p>
          <w:p w14:paraId="42C49830" w14:textId="77777777" w:rsidR="00845C4D" w:rsidRPr="008C4198" w:rsidRDefault="00845C4D" w:rsidP="003370CF">
            <w:pPr>
              <w:pStyle w:val="COMTabletext"/>
            </w:pPr>
            <w:r w:rsidRPr="008C4198">
              <w:t>The corresponding ICER is:</w:t>
            </w:r>
          </w:p>
          <w:p w14:paraId="0B0F436E" w14:textId="5D67FD96" w:rsidR="00845C4D" w:rsidRPr="008C4198" w:rsidRDefault="00845C4D" w:rsidP="00845C4D">
            <w:pPr>
              <w:pStyle w:val="COMTabletext"/>
              <w:numPr>
                <w:ilvl w:val="0"/>
                <w:numId w:val="46"/>
              </w:numPr>
            </w:pPr>
            <w:r w:rsidRPr="008C4198">
              <w:t>$</w:t>
            </w:r>
            <w:r w:rsidR="00AE45EC" w:rsidRPr="00AE45EC">
              <w:rPr>
                <w:color w:val="000000"/>
                <w:shd w:val="solid" w:color="000000" w:fill="000000"/>
                <w14:textFill>
                  <w14:solidFill>
                    <w14:srgbClr w14:val="000000">
                      <w14:alpha w14:val="100000"/>
                    </w14:srgbClr>
                  </w14:solidFill>
                </w14:textFill>
              </w:rPr>
              <w:t>|</w:t>
            </w:r>
            <w:r w:rsidR="00435C19">
              <w:rPr>
                <w:vertAlign w:val="superscript"/>
              </w:rPr>
              <w:t>1</w:t>
            </w:r>
            <w:r w:rsidRPr="008C4198">
              <w:t xml:space="preserve">/QALY (HRD </w:t>
            </w:r>
            <w:proofErr w:type="gramStart"/>
            <w:r w:rsidRPr="008C4198">
              <w:t>test</w:t>
            </w:r>
            <w:proofErr w:type="gramEnd"/>
            <w:r w:rsidRPr="008C4198">
              <w:t xml:space="preserve"> $2,500)</w:t>
            </w:r>
          </w:p>
          <w:p w14:paraId="639A8C34" w14:textId="285B7706" w:rsidR="00845C4D" w:rsidRPr="008C4198" w:rsidRDefault="00845C4D" w:rsidP="00845C4D">
            <w:pPr>
              <w:pStyle w:val="COMTabletext"/>
              <w:numPr>
                <w:ilvl w:val="0"/>
                <w:numId w:val="46"/>
              </w:numPr>
            </w:pPr>
            <w:r w:rsidRPr="008C4198">
              <w:t>$</w:t>
            </w:r>
            <w:r w:rsidR="00AE45EC" w:rsidRPr="00AE45EC">
              <w:rPr>
                <w:color w:val="000000"/>
                <w:shd w:val="solid" w:color="000000" w:fill="000000"/>
                <w14:textFill>
                  <w14:solidFill>
                    <w14:srgbClr w14:val="000000">
                      <w14:alpha w14:val="100000"/>
                    </w14:srgbClr>
                  </w14:solidFill>
                </w14:textFill>
              </w:rPr>
              <w:t>|</w:t>
            </w:r>
            <w:r w:rsidR="00435C19">
              <w:rPr>
                <w:vertAlign w:val="superscript"/>
              </w:rPr>
              <w:t>1</w:t>
            </w:r>
            <w:r w:rsidRPr="008C4198">
              <w:t>/QALY (HRD test cost $3,000)</w:t>
            </w:r>
          </w:p>
          <w:p w14:paraId="3B019E67" w14:textId="2B59DEA9" w:rsidR="00845C4D" w:rsidRPr="008C4198" w:rsidRDefault="00845C4D" w:rsidP="00845C4D">
            <w:pPr>
              <w:pStyle w:val="COMTabletext"/>
              <w:numPr>
                <w:ilvl w:val="0"/>
                <w:numId w:val="46"/>
              </w:numPr>
            </w:pPr>
            <w:r w:rsidRPr="008C4198">
              <w:t>$</w:t>
            </w:r>
            <w:r w:rsidR="00AE45EC" w:rsidRPr="00AE45EC">
              <w:rPr>
                <w:color w:val="000000"/>
                <w:shd w:val="solid" w:color="000000" w:fill="000000"/>
                <w14:textFill>
                  <w14:solidFill>
                    <w14:srgbClr w14:val="000000">
                      <w14:alpha w14:val="100000"/>
                    </w14:srgbClr>
                  </w14:solidFill>
                </w14:textFill>
              </w:rPr>
              <w:t>|</w:t>
            </w:r>
            <w:r w:rsidR="00435C19">
              <w:rPr>
                <w:vertAlign w:val="superscript"/>
              </w:rPr>
              <w:t>1</w:t>
            </w:r>
            <w:r w:rsidRPr="008C4198">
              <w:t>/QALY to $</w:t>
            </w:r>
            <w:r w:rsidR="00AE45EC" w:rsidRPr="00AE45EC">
              <w:rPr>
                <w:color w:val="000000"/>
                <w:shd w:val="solid" w:color="000000" w:fill="000000"/>
                <w14:textFill>
                  <w14:solidFill>
                    <w14:srgbClr w14:val="000000">
                      <w14:alpha w14:val="100000"/>
                    </w14:srgbClr>
                  </w14:solidFill>
                </w14:textFill>
              </w:rPr>
              <w:t>|</w:t>
            </w:r>
            <w:r w:rsidR="0038413E">
              <w:rPr>
                <w:vertAlign w:val="superscript"/>
              </w:rPr>
              <w:t>1</w:t>
            </w:r>
            <w:r w:rsidRPr="008C4198">
              <w:t>/QALY (HRD test cost $3,000, and revised palliative care costs).</w:t>
            </w:r>
          </w:p>
          <w:p w14:paraId="4826A464" w14:textId="77777777" w:rsidR="00845C4D" w:rsidRPr="008C4198" w:rsidRDefault="00845C4D" w:rsidP="003370CF">
            <w:pPr>
              <w:pStyle w:val="COMTabletext"/>
            </w:pPr>
          </w:p>
          <w:p w14:paraId="0D7D7B67" w14:textId="590881FF" w:rsidR="00845C4D" w:rsidRPr="008C4198" w:rsidRDefault="00845C4D" w:rsidP="003370CF">
            <w:pPr>
              <w:pStyle w:val="COMTabletext"/>
            </w:pPr>
            <w:r w:rsidRPr="008C4198">
              <w:t xml:space="preserve">The proposed price was </w:t>
            </w:r>
            <w:r w:rsidR="00AE45EC" w:rsidRPr="00AE45EC">
              <w:rPr>
                <w:color w:val="000000"/>
                <w:spacing w:val="51"/>
                <w:shd w:val="solid" w:color="000000" w:fill="000000"/>
                <w:fitText w:val="326" w:id="-1167912704"/>
                <w14:textFill>
                  <w14:solidFill>
                    <w14:srgbClr w14:val="000000">
                      <w14:alpha w14:val="100000"/>
                    </w14:srgbClr>
                  </w14:solidFill>
                </w14:textFill>
              </w:rPr>
              <w:t>|||</w:t>
            </w:r>
            <w:r w:rsidR="00AE45EC" w:rsidRPr="00AE45EC">
              <w:rPr>
                <w:color w:val="000000"/>
                <w:spacing w:val="1"/>
                <w:shd w:val="solid" w:color="000000" w:fill="000000"/>
                <w:fitText w:val="326" w:id="-1167912704"/>
                <w14:textFill>
                  <w14:solidFill>
                    <w14:srgbClr w14:val="000000">
                      <w14:alpha w14:val="100000"/>
                    </w14:srgbClr>
                  </w14:solidFill>
                </w14:textFill>
              </w:rPr>
              <w:t>|</w:t>
            </w:r>
            <w:r w:rsidRPr="008C4198">
              <w:t xml:space="preserve"> </w:t>
            </w:r>
          </w:p>
        </w:tc>
      </w:tr>
      <w:tr w:rsidR="00845C4D" w:rsidRPr="008C4198" w14:paraId="1488EF4C" w14:textId="77777777" w:rsidTr="003370CF">
        <w:trPr>
          <w:trHeight w:val="921"/>
        </w:trPr>
        <w:tc>
          <w:tcPr>
            <w:tcW w:w="0" w:type="auto"/>
            <w:tcBorders>
              <w:top w:val="single" w:sz="4" w:space="0" w:color="auto"/>
              <w:left w:val="single" w:sz="4" w:space="0" w:color="auto"/>
              <w:bottom w:val="single" w:sz="4" w:space="0" w:color="auto"/>
              <w:right w:val="single" w:sz="4" w:space="0" w:color="auto"/>
            </w:tcBorders>
          </w:tcPr>
          <w:p w14:paraId="2506CA7D" w14:textId="77777777" w:rsidR="00845C4D" w:rsidRPr="008C4198" w:rsidRDefault="00845C4D" w:rsidP="003370CF">
            <w:pPr>
              <w:pStyle w:val="COMTabletext"/>
            </w:pPr>
            <w:r w:rsidRPr="008C4198">
              <w:t>2</w:t>
            </w:r>
          </w:p>
        </w:tc>
        <w:tc>
          <w:tcPr>
            <w:tcW w:w="4082" w:type="dxa"/>
            <w:tcBorders>
              <w:top w:val="single" w:sz="4" w:space="0" w:color="auto"/>
              <w:left w:val="single" w:sz="4" w:space="0" w:color="auto"/>
              <w:bottom w:val="single" w:sz="4" w:space="0" w:color="auto"/>
              <w:right w:val="single" w:sz="4" w:space="0" w:color="auto"/>
            </w:tcBorders>
          </w:tcPr>
          <w:p w14:paraId="1092F514" w14:textId="77777777" w:rsidR="00845C4D" w:rsidRPr="008C4198" w:rsidRDefault="00845C4D" w:rsidP="003370CF">
            <w:pPr>
              <w:pStyle w:val="COMTabletext"/>
            </w:pPr>
            <w:r w:rsidRPr="008C4198">
              <w:t xml:space="preserve">The PBAC noted that further changes to the wording of HRD testing requirements may </w:t>
            </w:r>
            <w:proofErr w:type="gramStart"/>
            <w:r w:rsidRPr="008C4198">
              <w:t>be required</w:t>
            </w:r>
            <w:proofErr w:type="gramEnd"/>
            <w:r w:rsidRPr="008C4198">
              <w:t xml:space="preserve"> in the proposed PBS restriction, pending MSAC advice (paragraph 5.4, November 2022 PSD). </w:t>
            </w:r>
          </w:p>
        </w:tc>
        <w:tc>
          <w:tcPr>
            <w:tcW w:w="4626" w:type="dxa"/>
            <w:tcBorders>
              <w:top w:val="single" w:sz="4" w:space="0" w:color="auto"/>
              <w:left w:val="single" w:sz="4" w:space="0" w:color="auto"/>
              <w:bottom w:val="single" w:sz="4" w:space="0" w:color="auto"/>
              <w:right w:val="single" w:sz="4" w:space="0" w:color="auto"/>
            </w:tcBorders>
          </w:tcPr>
          <w:p w14:paraId="70D0C7AB" w14:textId="77777777" w:rsidR="00845C4D" w:rsidRPr="008C4198" w:rsidRDefault="00845C4D" w:rsidP="003370CF">
            <w:pPr>
              <w:pStyle w:val="COMTabletext"/>
            </w:pPr>
            <w:r w:rsidRPr="008C4198">
              <w:t xml:space="preserve">The proposed restriction </w:t>
            </w:r>
            <w:proofErr w:type="gramStart"/>
            <w:r w:rsidRPr="008C4198">
              <w:t>was updated</w:t>
            </w:r>
            <w:proofErr w:type="gramEnd"/>
            <w:r w:rsidRPr="008C4198">
              <w:t xml:space="preserve"> after receipt of the MSAC PSD.</w:t>
            </w:r>
          </w:p>
        </w:tc>
      </w:tr>
      <w:tr w:rsidR="00845C4D" w:rsidRPr="008C4198" w14:paraId="35F76904" w14:textId="77777777" w:rsidTr="003370CF">
        <w:trPr>
          <w:trHeight w:val="836"/>
        </w:trPr>
        <w:tc>
          <w:tcPr>
            <w:tcW w:w="0" w:type="auto"/>
            <w:tcBorders>
              <w:top w:val="single" w:sz="4" w:space="0" w:color="auto"/>
              <w:left w:val="single" w:sz="4" w:space="0" w:color="auto"/>
              <w:bottom w:val="single" w:sz="4" w:space="0" w:color="auto"/>
              <w:right w:val="single" w:sz="4" w:space="0" w:color="auto"/>
            </w:tcBorders>
          </w:tcPr>
          <w:p w14:paraId="6450F9F8" w14:textId="77777777" w:rsidR="00845C4D" w:rsidRPr="008C4198" w:rsidRDefault="00845C4D" w:rsidP="003370CF">
            <w:pPr>
              <w:pStyle w:val="COMTabletext"/>
            </w:pPr>
            <w:r w:rsidRPr="008C4198">
              <w:t>3</w:t>
            </w:r>
          </w:p>
        </w:tc>
        <w:tc>
          <w:tcPr>
            <w:tcW w:w="4082" w:type="dxa"/>
            <w:tcBorders>
              <w:top w:val="single" w:sz="4" w:space="0" w:color="auto"/>
              <w:left w:val="single" w:sz="4" w:space="0" w:color="auto"/>
              <w:bottom w:val="single" w:sz="4" w:space="0" w:color="auto"/>
              <w:right w:val="single" w:sz="4" w:space="0" w:color="auto"/>
            </w:tcBorders>
          </w:tcPr>
          <w:p w14:paraId="11928440" w14:textId="77777777" w:rsidR="00845C4D" w:rsidRPr="008C4198" w:rsidRDefault="00845C4D" w:rsidP="003370CF">
            <w:pPr>
              <w:pStyle w:val="COMTabletext"/>
            </w:pPr>
            <w:r w:rsidRPr="008C4198">
              <w:t xml:space="preserve">The PBAC noted that revised financial implications would be required to reflect the olaparib price PBAC </w:t>
            </w:r>
            <w:proofErr w:type="gramStart"/>
            <w:r w:rsidRPr="008C4198">
              <w:t>considered acceptably</w:t>
            </w:r>
            <w:proofErr w:type="gramEnd"/>
            <w:r w:rsidRPr="008C4198">
              <w:t xml:space="preserve"> cost-effective (paragraph 5.4, November 2022 PSD).</w:t>
            </w:r>
          </w:p>
        </w:tc>
        <w:tc>
          <w:tcPr>
            <w:tcW w:w="4626" w:type="dxa"/>
            <w:tcBorders>
              <w:top w:val="single" w:sz="4" w:space="0" w:color="auto"/>
              <w:left w:val="single" w:sz="4" w:space="0" w:color="auto"/>
              <w:bottom w:val="single" w:sz="4" w:space="0" w:color="auto"/>
              <w:right w:val="single" w:sz="4" w:space="0" w:color="auto"/>
            </w:tcBorders>
          </w:tcPr>
          <w:p w14:paraId="3CE846F8" w14:textId="77777777" w:rsidR="00845C4D" w:rsidRPr="008C4198" w:rsidRDefault="00845C4D" w:rsidP="003370CF">
            <w:pPr>
              <w:pStyle w:val="COMTabletext"/>
            </w:pPr>
            <w:r w:rsidRPr="008C4198">
              <w:t xml:space="preserve">The sponsor provided revised estimates, see </w:t>
            </w:r>
            <w:r w:rsidRPr="00FB2FC3">
              <w:fldChar w:fldCharType="begin" w:fldLock="1"/>
            </w:r>
            <w:r w:rsidRPr="008C4198">
              <w:instrText xml:space="preserve"> REF _Ref140490423 \h </w:instrText>
            </w:r>
            <w:r w:rsidRPr="006114C1">
              <w:instrText xml:space="preserve"> \* MERGEFORMAT </w:instrText>
            </w:r>
            <w:r w:rsidRPr="00FB2FC3">
              <w:fldChar w:fldCharType="separate"/>
            </w:r>
            <w:r w:rsidRPr="00ED2799">
              <w:rPr>
                <w:szCs w:val="20"/>
              </w:rPr>
              <w:t>Table 14</w:t>
            </w:r>
            <w:r w:rsidRPr="00FB2FC3">
              <w:fldChar w:fldCharType="end"/>
            </w:r>
            <w:r w:rsidRPr="008C4198">
              <w:t>.</w:t>
            </w:r>
          </w:p>
        </w:tc>
      </w:tr>
    </w:tbl>
    <w:p w14:paraId="1344096B" w14:textId="77777777" w:rsidR="00435C19" w:rsidRPr="009A6D58" w:rsidRDefault="00435C19" w:rsidP="00435C19">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42A046C" w14:textId="5A2B918A" w:rsidR="00435C19" w:rsidRPr="009A6D58" w:rsidRDefault="00435C19" w:rsidP="00BD0FF1">
      <w:pPr>
        <w:spacing w:after="120"/>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435C19">
        <w:rPr>
          <w:rFonts w:ascii="Arial Narrow" w:hAnsi="Arial Narrow" w:cs="Arial"/>
          <w:i/>
          <w:sz w:val="18"/>
          <w:szCs w:val="18"/>
        </w:rPr>
        <w:t>$45,000 to &lt; $55,000</w:t>
      </w:r>
    </w:p>
    <w:p w14:paraId="4DD03B89" w14:textId="343918D5" w:rsidR="00845C4D" w:rsidRPr="00FB2FC3" w:rsidRDefault="00845C4D" w:rsidP="00845C4D">
      <w:pPr>
        <w:pStyle w:val="3-BodyText"/>
      </w:pPr>
      <w:bookmarkStart w:id="51" w:name="_Hlk140492957"/>
      <w:r w:rsidRPr="00FB2FC3">
        <w:t xml:space="preserve">The results of the revised economic evaluation </w:t>
      </w:r>
      <w:proofErr w:type="gramStart"/>
      <w:r w:rsidRPr="00FB2FC3">
        <w:t>are provided</w:t>
      </w:r>
      <w:proofErr w:type="gramEnd"/>
      <w:r w:rsidRPr="00FB2FC3">
        <w:t xml:space="preserve"> in </w:t>
      </w:r>
      <w:r w:rsidRPr="00FB2FC3">
        <w:fldChar w:fldCharType="begin" w:fldLock="1"/>
      </w:r>
      <w:r w:rsidRPr="006114C1">
        <w:instrText xml:space="preserve"> REF _Ref140492901 \h </w:instrText>
      </w:r>
      <w:r w:rsidR="00435C19">
        <w:instrText xml:space="preserve"> \* MERGEFORMAT </w:instrText>
      </w:r>
      <w:r w:rsidRPr="00FB2FC3">
        <w:fldChar w:fldCharType="separate"/>
      </w:r>
      <w:r w:rsidRPr="00BD0FF1">
        <w:t>Table 13</w:t>
      </w:r>
      <w:r w:rsidRPr="00FB2FC3">
        <w:fldChar w:fldCharType="end"/>
      </w:r>
      <w:r w:rsidRPr="00FB2FC3">
        <w:t>.</w:t>
      </w:r>
    </w:p>
    <w:p w14:paraId="4888E54A" w14:textId="678FBA04" w:rsidR="00845C4D" w:rsidRPr="008C4198" w:rsidRDefault="00845C4D" w:rsidP="00845C4D">
      <w:pPr>
        <w:keepNext/>
      </w:pPr>
      <w:bookmarkStart w:id="52" w:name="_Ref140492901"/>
      <w:bookmarkEnd w:id="51"/>
      <w:r w:rsidRPr="008C4198">
        <w:rPr>
          <w:rFonts w:ascii="Arial Narrow" w:hAnsi="Arial Narrow"/>
          <w:b/>
          <w:bCs/>
          <w:sz w:val="20"/>
          <w:szCs w:val="20"/>
        </w:rPr>
        <w:lastRenderedPageBreak/>
        <w:t xml:space="preserve">Table </w:t>
      </w:r>
      <w:r w:rsidRPr="00FB2FC3">
        <w:rPr>
          <w:rFonts w:ascii="Arial Narrow" w:hAnsi="Arial Narrow"/>
          <w:b/>
          <w:bCs/>
          <w:i/>
          <w:iCs/>
          <w:sz w:val="20"/>
          <w:szCs w:val="20"/>
        </w:rPr>
        <w:fldChar w:fldCharType="begin" w:fldLock="1"/>
      </w:r>
      <w:r w:rsidRPr="008C4198">
        <w:rPr>
          <w:rFonts w:ascii="Arial Narrow" w:hAnsi="Arial Narrow"/>
          <w:b/>
          <w:bCs/>
          <w:sz w:val="20"/>
          <w:szCs w:val="20"/>
        </w:rPr>
        <w:instrText xml:space="preserve"> SEQ Table \* ARABIC </w:instrText>
      </w:r>
      <w:r w:rsidRPr="00FB2FC3">
        <w:rPr>
          <w:rFonts w:ascii="Arial Narrow" w:hAnsi="Arial Narrow"/>
          <w:b/>
          <w:bCs/>
          <w:i/>
          <w:iCs/>
          <w:sz w:val="20"/>
          <w:szCs w:val="20"/>
        </w:rPr>
        <w:fldChar w:fldCharType="separate"/>
      </w:r>
      <w:r>
        <w:rPr>
          <w:rFonts w:ascii="Arial Narrow" w:hAnsi="Arial Narrow"/>
          <w:b/>
          <w:bCs/>
          <w:noProof/>
          <w:sz w:val="20"/>
          <w:szCs w:val="20"/>
        </w:rPr>
        <w:t>13</w:t>
      </w:r>
      <w:r w:rsidRPr="00FB2FC3">
        <w:rPr>
          <w:rFonts w:ascii="Arial Narrow" w:hAnsi="Arial Narrow"/>
          <w:b/>
          <w:bCs/>
          <w:i/>
          <w:iCs/>
          <w:sz w:val="20"/>
          <w:szCs w:val="20"/>
        </w:rPr>
        <w:fldChar w:fldCharType="end"/>
      </w:r>
      <w:bookmarkEnd w:id="52"/>
      <w:r w:rsidRPr="008C4198">
        <w:rPr>
          <w:rFonts w:ascii="Arial Narrow" w:hAnsi="Arial Narrow"/>
          <w:b/>
          <w:bCs/>
          <w:sz w:val="20"/>
          <w:szCs w:val="20"/>
        </w:rPr>
        <w:t>: Results of the revised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the revised economic evaluation"/>
      </w:tblPr>
      <w:tblGrid>
        <w:gridCol w:w="2549"/>
        <w:gridCol w:w="1561"/>
        <w:gridCol w:w="1422"/>
        <w:gridCol w:w="869"/>
        <w:gridCol w:w="846"/>
        <w:gridCol w:w="851"/>
        <w:gridCol w:w="918"/>
      </w:tblGrid>
      <w:tr w:rsidR="00845C4D" w:rsidRPr="008C4198" w14:paraId="2DCF66AE" w14:textId="77777777" w:rsidTr="003370CF">
        <w:trPr>
          <w:trHeight w:val="20"/>
        </w:trPr>
        <w:tc>
          <w:tcPr>
            <w:tcW w:w="1414" w:type="pct"/>
            <w:tcBorders>
              <w:top w:val="single" w:sz="4" w:space="0" w:color="auto"/>
              <w:left w:val="single" w:sz="4" w:space="0" w:color="auto"/>
              <w:bottom w:val="single" w:sz="4" w:space="0" w:color="auto"/>
              <w:right w:val="single" w:sz="4" w:space="0" w:color="auto"/>
            </w:tcBorders>
            <w:hideMark/>
          </w:tcPr>
          <w:p w14:paraId="46D11EA6" w14:textId="77777777" w:rsidR="00845C4D" w:rsidRPr="008C4198" w:rsidRDefault="00845C4D" w:rsidP="003370CF">
            <w:pPr>
              <w:pStyle w:val="TableText"/>
              <w:spacing w:line="256" w:lineRule="auto"/>
              <w:rPr>
                <w:b/>
                <w:bCs w:val="0"/>
                <w:lang w:eastAsia="en-US"/>
              </w:rPr>
            </w:pPr>
            <w:r w:rsidRPr="008C4198">
              <w:rPr>
                <w:b/>
                <w:bCs w:val="0"/>
                <w:lang w:eastAsia="en-US"/>
              </w:rPr>
              <w:t>Scenario</w:t>
            </w:r>
          </w:p>
        </w:tc>
        <w:tc>
          <w:tcPr>
            <w:tcW w:w="866" w:type="pct"/>
            <w:tcBorders>
              <w:top w:val="single" w:sz="4" w:space="0" w:color="auto"/>
              <w:left w:val="single" w:sz="4" w:space="0" w:color="auto"/>
              <w:bottom w:val="single" w:sz="4" w:space="0" w:color="auto"/>
              <w:right w:val="single" w:sz="4" w:space="0" w:color="auto"/>
            </w:tcBorders>
            <w:hideMark/>
          </w:tcPr>
          <w:p w14:paraId="5F91AD2E" w14:textId="77777777" w:rsidR="00845C4D" w:rsidRPr="008C4198" w:rsidRDefault="00845C4D" w:rsidP="003370CF">
            <w:pPr>
              <w:pStyle w:val="TableText"/>
              <w:spacing w:line="256" w:lineRule="auto"/>
              <w:rPr>
                <w:b/>
                <w:bCs w:val="0"/>
                <w:lang w:eastAsia="en-US"/>
              </w:rPr>
            </w:pPr>
            <w:r w:rsidRPr="008C4198">
              <w:rPr>
                <w:b/>
                <w:bCs w:val="0"/>
                <w:lang w:eastAsia="en-US"/>
              </w:rPr>
              <w:t xml:space="preserve">Olaparib DPMQ </w:t>
            </w:r>
            <w:r w:rsidRPr="008C4198">
              <w:rPr>
                <w:b/>
                <w:bCs w:val="0"/>
                <w:lang w:eastAsia="en-US"/>
              </w:rPr>
              <w:br/>
              <w:t>(112 tabs)</w:t>
            </w:r>
          </w:p>
        </w:tc>
        <w:tc>
          <w:tcPr>
            <w:tcW w:w="789" w:type="pct"/>
            <w:tcBorders>
              <w:top w:val="single" w:sz="4" w:space="0" w:color="auto"/>
              <w:left w:val="single" w:sz="4" w:space="0" w:color="auto"/>
              <w:bottom w:val="single" w:sz="4" w:space="0" w:color="auto"/>
              <w:right w:val="single" w:sz="4" w:space="0" w:color="auto"/>
            </w:tcBorders>
            <w:hideMark/>
          </w:tcPr>
          <w:p w14:paraId="72ADA69C" w14:textId="77777777" w:rsidR="00845C4D" w:rsidRPr="008C4198" w:rsidRDefault="00845C4D" w:rsidP="003370CF">
            <w:pPr>
              <w:pStyle w:val="TableText"/>
              <w:spacing w:line="256" w:lineRule="auto"/>
              <w:rPr>
                <w:b/>
                <w:bCs w:val="0"/>
                <w:lang w:eastAsia="en-US"/>
              </w:rPr>
            </w:pPr>
            <w:r w:rsidRPr="008C4198">
              <w:rPr>
                <w:b/>
                <w:bCs w:val="0"/>
                <w:lang w:eastAsia="en-US"/>
              </w:rPr>
              <w:t>Cost of palliative care</w:t>
            </w:r>
          </w:p>
        </w:tc>
        <w:tc>
          <w:tcPr>
            <w:tcW w:w="482" w:type="pct"/>
            <w:tcBorders>
              <w:top w:val="single" w:sz="4" w:space="0" w:color="auto"/>
              <w:left w:val="single" w:sz="4" w:space="0" w:color="auto"/>
              <w:bottom w:val="single" w:sz="4" w:space="0" w:color="auto"/>
              <w:right w:val="single" w:sz="4" w:space="0" w:color="auto"/>
            </w:tcBorders>
            <w:hideMark/>
          </w:tcPr>
          <w:p w14:paraId="0ADD93E7" w14:textId="34FB17D2" w:rsidR="00845C4D" w:rsidRPr="008C4198" w:rsidRDefault="00845C4D" w:rsidP="003370CF">
            <w:pPr>
              <w:pStyle w:val="TableText"/>
              <w:spacing w:line="256" w:lineRule="auto"/>
              <w:rPr>
                <w:b/>
                <w:bCs w:val="0"/>
                <w:lang w:eastAsia="en-US"/>
              </w:rPr>
            </w:pPr>
            <w:r w:rsidRPr="008C4198">
              <w:rPr>
                <w:b/>
                <w:bCs w:val="0"/>
                <w:lang w:eastAsia="en-US"/>
              </w:rPr>
              <w:t>Incr. cost</w:t>
            </w:r>
            <w:r w:rsidR="00435C19">
              <w:rPr>
                <w:b/>
                <w:bCs w:val="0"/>
                <w:lang w:eastAsia="en-US"/>
              </w:rPr>
              <w:t xml:space="preserve"> ($)</w:t>
            </w:r>
          </w:p>
        </w:tc>
        <w:tc>
          <w:tcPr>
            <w:tcW w:w="469" w:type="pct"/>
            <w:tcBorders>
              <w:top w:val="single" w:sz="4" w:space="0" w:color="auto"/>
              <w:left w:val="single" w:sz="4" w:space="0" w:color="auto"/>
              <w:bottom w:val="single" w:sz="4" w:space="0" w:color="auto"/>
              <w:right w:val="single" w:sz="4" w:space="0" w:color="auto"/>
            </w:tcBorders>
            <w:hideMark/>
          </w:tcPr>
          <w:p w14:paraId="717FC7AD" w14:textId="77777777" w:rsidR="00845C4D" w:rsidRPr="008C4198" w:rsidRDefault="00845C4D" w:rsidP="003370CF">
            <w:pPr>
              <w:pStyle w:val="TableText"/>
              <w:spacing w:line="256" w:lineRule="auto"/>
              <w:rPr>
                <w:b/>
                <w:bCs w:val="0"/>
                <w:lang w:eastAsia="en-US"/>
              </w:rPr>
            </w:pPr>
            <w:r w:rsidRPr="008C4198">
              <w:rPr>
                <w:b/>
                <w:bCs w:val="0"/>
                <w:lang w:eastAsia="en-US"/>
              </w:rPr>
              <w:t>Inc. LY</w:t>
            </w:r>
          </w:p>
        </w:tc>
        <w:tc>
          <w:tcPr>
            <w:tcW w:w="472" w:type="pct"/>
            <w:tcBorders>
              <w:top w:val="single" w:sz="4" w:space="0" w:color="auto"/>
              <w:left w:val="single" w:sz="4" w:space="0" w:color="auto"/>
              <w:bottom w:val="single" w:sz="4" w:space="0" w:color="auto"/>
              <w:right w:val="single" w:sz="4" w:space="0" w:color="auto"/>
            </w:tcBorders>
            <w:hideMark/>
          </w:tcPr>
          <w:p w14:paraId="4E1C31FB" w14:textId="77777777" w:rsidR="00845C4D" w:rsidRPr="008C4198" w:rsidRDefault="00845C4D" w:rsidP="003370CF">
            <w:pPr>
              <w:pStyle w:val="TableText"/>
              <w:spacing w:line="256" w:lineRule="auto"/>
              <w:rPr>
                <w:b/>
                <w:bCs w:val="0"/>
                <w:lang w:eastAsia="en-US"/>
              </w:rPr>
            </w:pPr>
            <w:r w:rsidRPr="008C4198">
              <w:rPr>
                <w:b/>
                <w:bCs w:val="0"/>
                <w:lang w:eastAsia="en-US"/>
              </w:rPr>
              <w:t>Inc. QALY</w:t>
            </w:r>
          </w:p>
        </w:tc>
        <w:tc>
          <w:tcPr>
            <w:tcW w:w="510" w:type="pct"/>
            <w:tcBorders>
              <w:top w:val="single" w:sz="4" w:space="0" w:color="auto"/>
              <w:left w:val="single" w:sz="4" w:space="0" w:color="auto"/>
              <w:bottom w:val="single" w:sz="4" w:space="0" w:color="auto"/>
              <w:right w:val="single" w:sz="4" w:space="0" w:color="auto"/>
            </w:tcBorders>
            <w:hideMark/>
          </w:tcPr>
          <w:p w14:paraId="2AB64705" w14:textId="77777777" w:rsidR="00845C4D" w:rsidRPr="008C4198" w:rsidRDefault="00845C4D" w:rsidP="003370CF">
            <w:pPr>
              <w:pStyle w:val="TableText"/>
              <w:spacing w:line="256" w:lineRule="auto"/>
              <w:rPr>
                <w:b/>
                <w:bCs w:val="0"/>
                <w:lang w:eastAsia="en-US"/>
              </w:rPr>
            </w:pPr>
            <w:r w:rsidRPr="008C4198">
              <w:rPr>
                <w:b/>
                <w:bCs w:val="0"/>
                <w:lang w:eastAsia="en-US"/>
              </w:rPr>
              <w:t>ICER ($/QALY)</w:t>
            </w:r>
          </w:p>
        </w:tc>
      </w:tr>
      <w:tr w:rsidR="00845C4D" w:rsidRPr="008C4198" w14:paraId="2C883632" w14:textId="77777777" w:rsidTr="003370CF">
        <w:trPr>
          <w:trHeight w:val="20"/>
        </w:trPr>
        <w:tc>
          <w:tcPr>
            <w:tcW w:w="1414" w:type="pct"/>
            <w:tcBorders>
              <w:top w:val="single" w:sz="4" w:space="0" w:color="auto"/>
              <w:left w:val="single" w:sz="4" w:space="0" w:color="auto"/>
              <w:bottom w:val="single" w:sz="4" w:space="0" w:color="auto"/>
              <w:right w:val="single" w:sz="4" w:space="0" w:color="auto"/>
            </w:tcBorders>
            <w:hideMark/>
          </w:tcPr>
          <w:p w14:paraId="08A2EF37" w14:textId="77777777" w:rsidR="00845C4D" w:rsidRPr="008C4198" w:rsidRDefault="00845C4D" w:rsidP="003370CF">
            <w:pPr>
              <w:pStyle w:val="TableText"/>
              <w:spacing w:line="256" w:lineRule="auto"/>
              <w:rPr>
                <w:lang w:eastAsia="en-US"/>
              </w:rPr>
            </w:pPr>
            <w:r w:rsidRPr="008C4198">
              <w:rPr>
                <w:lang w:eastAsia="en-US"/>
              </w:rPr>
              <w:t>(A) July 2022 submission</w:t>
            </w:r>
          </w:p>
        </w:tc>
        <w:tc>
          <w:tcPr>
            <w:tcW w:w="866" w:type="pct"/>
            <w:tcBorders>
              <w:top w:val="single" w:sz="4" w:space="0" w:color="auto"/>
              <w:left w:val="single" w:sz="4" w:space="0" w:color="auto"/>
              <w:bottom w:val="single" w:sz="4" w:space="0" w:color="auto"/>
              <w:right w:val="single" w:sz="4" w:space="0" w:color="auto"/>
            </w:tcBorders>
            <w:hideMark/>
          </w:tcPr>
          <w:p w14:paraId="6DBFC7D3" w14:textId="6E900AF8"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6" w:id="-1167912703"/>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703"/>
                <w:lang w:eastAsia="en-US"/>
                <w14:textFill>
                  <w14:solidFill>
                    <w14:srgbClr w14:val="000000">
                      <w14:alpha w14:val="100000"/>
                    </w14:srgbClr>
                  </w14:solidFill>
                </w14:textFill>
              </w:rPr>
              <w:t>|</w:t>
            </w:r>
          </w:p>
        </w:tc>
        <w:tc>
          <w:tcPr>
            <w:tcW w:w="789" w:type="pct"/>
            <w:tcBorders>
              <w:top w:val="single" w:sz="4" w:space="0" w:color="auto"/>
              <w:left w:val="single" w:sz="4" w:space="0" w:color="auto"/>
              <w:bottom w:val="single" w:sz="4" w:space="0" w:color="auto"/>
              <w:right w:val="single" w:sz="4" w:space="0" w:color="auto"/>
            </w:tcBorders>
            <w:hideMark/>
          </w:tcPr>
          <w:p w14:paraId="7161E85A" w14:textId="77777777" w:rsidR="00845C4D" w:rsidRPr="008C4198" w:rsidRDefault="00845C4D" w:rsidP="003370CF">
            <w:pPr>
              <w:pStyle w:val="TableText"/>
              <w:spacing w:line="256" w:lineRule="auto"/>
              <w:rPr>
                <w:lang w:eastAsia="en-US"/>
              </w:rPr>
            </w:pPr>
            <w:r w:rsidRPr="008C4198">
              <w:rPr>
                <w:lang w:eastAsia="en-US"/>
              </w:rPr>
              <w:t>$16,301 (Kardamanidis 2007 inflated to 2021 dollars)</w:t>
            </w:r>
          </w:p>
        </w:tc>
        <w:tc>
          <w:tcPr>
            <w:tcW w:w="482" w:type="pct"/>
            <w:tcBorders>
              <w:top w:val="single" w:sz="4" w:space="0" w:color="auto"/>
              <w:left w:val="single" w:sz="4" w:space="0" w:color="auto"/>
              <w:bottom w:val="single" w:sz="4" w:space="0" w:color="auto"/>
              <w:right w:val="single" w:sz="4" w:space="0" w:color="auto"/>
            </w:tcBorders>
            <w:hideMark/>
          </w:tcPr>
          <w:p w14:paraId="541BCAE4" w14:textId="10F7EE68"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702"/>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702"/>
                <w:lang w:eastAsia="en-US"/>
                <w14:textFill>
                  <w14:solidFill>
                    <w14:srgbClr w14:val="000000">
                      <w14:alpha w14:val="100000"/>
                    </w14:srgbClr>
                  </w14:solidFill>
                </w14:textFill>
              </w:rPr>
              <w:t>|</w:t>
            </w:r>
          </w:p>
        </w:tc>
        <w:tc>
          <w:tcPr>
            <w:tcW w:w="469" w:type="pct"/>
            <w:tcBorders>
              <w:top w:val="single" w:sz="4" w:space="0" w:color="auto"/>
              <w:left w:val="single" w:sz="4" w:space="0" w:color="auto"/>
              <w:bottom w:val="single" w:sz="4" w:space="0" w:color="auto"/>
              <w:right w:val="single" w:sz="4" w:space="0" w:color="auto"/>
            </w:tcBorders>
            <w:hideMark/>
          </w:tcPr>
          <w:p w14:paraId="494372F5" w14:textId="77777777" w:rsidR="00845C4D" w:rsidRPr="008C4198" w:rsidRDefault="00845C4D" w:rsidP="003370CF">
            <w:pPr>
              <w:pStyle w:val="TableText"/>
              <w:spacing w:line="256" w:lineRule="auto"/>
              <w:rPr>
                <w:lang w:eastAsia="en-US"/>
              </w:rPr>
            </w:pPr>
            <w:r w:rsidRPr="008C4198">
              <w:rPr>
                <w:lang w:eastAsia="en-US"/>
              </w:rPr>
              <w:t>0.52</w:t>
            </w:r>
          </w:p>
        </w:tc>
        <w:tc>
          <w:tcPr>
            <w:tcW w:w="472" w:type="pct"/>
            <w:tcBorders>
              <w:top w:val="single" w:sz="4" w:space="0" w:color="auto"/>
              <w:left w:val="single" w:sz="4" w:space="0" w:color="auto"/>
              <w:bottom w:val="single" w:sz="4" w:space="0" w:color="auto"/>
              <w:right w:val="single" w:sz="4" w:space="0" w:color="auto"/>
            </w:tcBorders>
            <w:hideMark/>
          </w:tcPr>
          <w:p w14:paraId="3B9DEA96" w14:textId="77777777" w:rsidR="00845C4D" w:rsidRPr="008C4198" w:rsidRDefault="00845C4D" w:rsidP="003370CF">
            <w:pPr>
              <w:pStyle w:val="TableText"/>
              <w:spacing w:line="256" w:lineRule="auto"/>
              <w:rPr>
                <w:lang w:eastAsia="en-US"/>
              </w:rPr>
            </w:pPr>
            <w:r w:rsidRPr="008C4198">
              <w:rPr>
                <w:lang w:eastAsia="en-US"/>
              </w:rPr>
              <w:t>0.46</w:t>
            </w:r>
          </w:p>
        </w:tc>
        <w:tc>
          <w:tcPr>
            <w:tcW w:w="510" w:type="pct"/>
            <w:tcBorders>
              <w:top w:val="single" w:sz="4" w:space="0" w:color="auto"/>
              <w:left w:val="single" w:sz="4" w:space="0" w:color="auto"/>
              <w:bottom w:val="single" w:sz="4" w:space="0" w:color="auto"/>
              <w:right w:val="single" w:sz="4" w:space="0" w:color="auto"/>
            </w:tcBorders>
            <w:hideMark/>
          </w:tcPr>
          <w:p w14:paraId="343D3E35" w14:textId="5534E8F8" w:rsidR="00845C4D" w:rsidRPr="00BD0FF1" w:rsidRDefault="00845C4D" w:rsidP="003370CF">
            <w:pPr>
              <w:pStyle w:val="TableText"/>
              <w:spacing w:line="256" w:lineRule="auto"/>
              <w:rPr>
                <w:vertAlign w:val="superscript"/>
                <w:lang w:eastAsia="en-US"/>
              </w:rPr>
            </w:pPr>
            <w:r w:rsidRPr="008C4198">
              <w:rPr>
                <w:lang w:eastAsia="en-US"/>
              </w:rPr>
              <w:t>$</w:t>
            </w:r>
            <w:r w:rsidR="00AE45EC" w:rsidRPr="00AE45EC">
              <w:rPr>
                <w:color w:val="000000"/>
                <w:spacing w:val="51"/>
                <w:shd w:val="solid" w:color="000000" w:fill="000000"/>
                <w:fitText w:val="325" w:id="-1167912701"/>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701"/>
                <w:lang w:eastAsia="en-US"/>
                <w14:textFill>
                  <w14:solidFill>
                    <w14:srgbClr w14:val="000000">
                      <w14:alpha w14:val="100000"/>
                    </w14:srgbClr>
                  </w14:solidFill>
                </w14:textFill>
              </w:rPr>
              <w:t>|</w:t>
            </w:r>
            <w:r w:rsidR="00435C19">
              <w:rPr>
                <w:lang w:eastAsia="en-US"/>
              </w:rPr>
              <w:t xml:space="preserve"> </w:t>
            </w:r>
            <w:r w:rsidR="00435C19">
              <w:rPr>
                <w:vertAlign w:val="superscript"/>
                <w:lang w:eastAsia="en-US"/>
              </w:rPr>
              <w:t>1</w:t>
            </w:r>
          </w:p>
        </w:tc>
      </w:tr>
      <w:tr w:rsidR="00845C4D" w:rsidRPr="008C4198" w14:paraId="59647A8D" w14:textId="77777777" w:rsidTr="003370CF">
        <w:trPr>
          <w:trHeight w:val="20"/>
        </w:trPr>
        <w:tc>
          <w:tcPr>
            <w:tcW w:w="1414" w:type="pct"/>
            <w:tcBorders>
              <w:top w:val="single" w:sz="4" w:space="0" w:color="auto"/>
              <w:left w:val="single" w:sz="4" w:space="0" w:color="auto"/>
              <w:bottom w:val="single" w:sz="4" w:space="0" w:color="auto"/>
              <w:right w:val="single" w:sz="4" w:space="0" w:color="auto"/>
            </w:tcBorders>
            <w:hideMark/>
          </w:tcPr>
          <w:p w14:paraId="0093E5D3" w14:textId="77777777" w:rsidR="00845C4D" w:rsidRPr="008C4198" w:rsidRDefault="00845C4D" w:rsidP="003370CF">
            <w:pPr>
              <w:pStyle w:val="TableText"/>
              <w:spacing w:line="256" w:lineRule="auto"/>
              <w:rPr>
                <w:lang w:eastAsia="en-US"/>
              </w:rPr>
            </w:pPr>
            <w:r w:rsidRPr="008C4198">
              <w:rPr>
                <w:lang w:eastAsia="en-US"/>
              </w:rPr>
              <w:t>(B) November 2022 resubmission</w:t>
            </w:r>
          </w:p>
        </w:tc>
        <w:tc>
          <w:tcPr>
            <w:tcW w:w="866" w:type="pct"/>
            <w:tcBorders>
              <w:top w:val="single" w:sz="4" w:space="0" w:color="auto"/>
              <w:left w:val="single" w:sz="4" w:space="0" w:color="auto"/>
              <w:bottom w:val="single" w:sz="4" w:space="0" w:color="auto"/>
              <w:right w:val="single" w:sz="4" w:space="0" w:color="auto"/>
            </w:tcBorders>
            <w:hideMark/>
          </w:tcPr>
          <w:p w14:paraId="44E471F8" w14:textId="6A6D47FF"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6" w:id="-1167912700"/>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700"/>
                <w:lang w:eastAsia="en-US"/>
                <w14:textFill>
                  <w14:solidFill>
                    <w14:srgbClr w14:val="000000">
                      <w14:alpha w14:val="100000"/>
                    </w14:srgbClr>
                  </w14:solidFill>
                </w14:textFill>
              </w:rPr>
              <w:t>|</w:t>
            </w:r>
          </w:p>
        </w:tc>
        <w:tc>
          <w:tcPr>
            <w:tcW w:w="789" w:type="pct"/>
            <w:tcBorders>
              <w:top w:val="single" w:sz="4" w:space="0" w:color="auto"/>
              <w:left w:val="single" w:sz="4" w:space="0" w:color="auto"/>
              <w:bottom w:val="single" w:sz="4" w:space="0" w:color="auto"/>
              <w:right w:val="single" w:sz="4" w:space="0" w:color="auto"/>
            </w:tcBorders>
            <w:hideMark/>
          </w:tcPr>
          <w:p w14:paraId="0AF51848" w14:textId="77777777" w:rsidR="00845C4D" w:rsidRPr="008C4198" w:rsidRDefault="00845C4D" w:rsidP="003370CF">
            <w:pPr>
              <w:pStyle w:val="TableText"/>
              <w:spacing w:line="256" w:lineRule="auto"/>
              <w:rPr>
                <w:lang w:eastAsia="en-US"/>
              </w:rPr>
            </w:pPr>
            <w:r w:rsidRPr="008C4198">
              <w:rPr>
                <w:lang w:eastAsia="en-US"/>
              </w:rPr>
              <w:t>$17,051 (Kardamanidis 2007 inflated to 2022 dollars)</w:t>
            </w:r>
          </w:p>
        </w:tc>
        <w:tc>
          <w:tcPr>
            <w:tcW w:w="482" w:type="pct"/>
            <w:tcBorders>
              <w:top w:val="single" w:sz="4" w:space="0" w:color="auto"/>
              <w:left w:val="single" w:sz="4" w:space="0" w:color="auto"/>
              <w:bottom w:val="single" w:sz="4" w:space="0" w:color="auto"/>
              <w:right w:val="single" w:sz="4" w:space="0" w:color="auto"/>
            </w:tcBorders>
            <w:hideMark/>
          </w:tcPr>
          <w:p w14:paraId="77B13148" w14:textId="777CE50E"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699"/>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699"/>
                <w:lang w:eastAsia="en-US"/>
                <w14:textFill>
                  <w14:solidFill>
                    <w14:srgbClr w14:val="000000">
                      <w14:alpha w14:val="100000"/>
                    </w14:srgbClr>
                  </w14:solidFill>
                </w14:textFill>
              </w:rPr>
              <w:t>|</w:t>
            </w:r>
          </w:p>
        </w:tc>
        <w:tc>
          <w:tcPr>
            <w:tcW w:w="469" w:type="pct"/>
            <w:tcBorders>
              <w:top w:val="single" w:sz="4" w:space="0" w:color="auto"/>
              <w:left w:val="single" w:sz="4" w:space="0" w:color="auto"/>
              <w:bottom w:val="single" w:sz="4" w:space="0" w:color="auto"/>
              <w:right w:val="single" w:sz="4" w:space="0" w:color="auto"/>
            </w:tcBorders>
            <w:hideMark/>
          </w:tcPr>
          <w:p w14:paraId="63BCA106" w14:textId="77777777" w:rsidR="00845C4D" w:rsidRPr="008C4198" w:rsidRDefault="00845C4D" w:rsidP="003370CF">
            <w:pPr>
              <w:pStyle w:val="TableText"/>
              <w:spacing w:line="256" w:lineRule="auto"/>
              <w:rPr>
                <w:lang w:eastAsia="en-US"/>
              </w:rPr>
            </w:pPr>
            <w:r w:rsidRPr="008C4198">
              <w:rPr>
                <w:lang w:eastAsia="en-US"/>
              </w:rPr>
              <w:t>0.40</w:t>
            </w:r>
          </w:p>
        </w:tc>
        <w:tc>
          <w:tcPr>
            <w:tcW w:w="472" w:type="pct"/>
            <w:tcBorders>
              <w:top w:val="single" w:sz="4" w:space="0" w:color="auto"/>
              <w:left w:val="single" w:sz="4" w:space="0" w:color="auto"/>
              <w:bottom w:val="single" w:sz="4" w:space="0" w:color="auto"/>
              <w:right w:val="single" w:sz="4" w:space="0" w:color="auto"/>
            </w:tcBorders>
            <w:hideMark/>
          </w:tcPr>
          <w:p w14:paraId="567A4569" w14:textId="77777777" w:rsidR="00845C4D" w:rsidRPr="008C4198" w:rsidRDefault="00845C4D" w:rsidP="003370CF">
            <w:pPr>
              <w:pStyle w:val="TableText"/>
              <w:spacing w:line="256" w:lineRule="auto"/>
              <w:rPr>
                <w:lang w:eastAsia="en-US"/>
              </w:rPr>
            </w:pPr>
            <w:r w:rsidRPr="008C4198">
              <w:rPr>
                <w:lang w:eastAsia="en-US"/>
              </w:rPr>
              <w:t>0.36</w:t>
            </w:r>
          </w:p>
        </w:tc>
        <w:tc>
          <w:tcPr>
            <w:tcW w:w="510" w:type="pct"/>
            <w:tcBorders>
              <w:top w:val="single" w:sz="4" w:space="0" w:color="auto"/>
              <w:left w:val="single" w:sz="4" w:space="0" w:color="auto"/>
              <w:bottom w:val="single" w:sz="4" w:space="0" w:color="auto"/>
              <w:right w:val="single" w:sz="4" w:space="0" w:color="auto"/>
            </w:tcBorders>
            <w:hideMark/>
          </w:tcPr>
          <w:p w14:paraId="2BC5AC01" w14:textId="1033A599"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698"/>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698"/>
                <w:lang w:eastAsia="en-US"/>
                <w14:textFill>
                  <w14:solidFill>
                    <w14:srgbClr w14:val="000000">
                      <w14:alpha w14:val="100000"/>
                    </w14:srgbClr>
                  </w14:solidFill>
                </w14:textFill>
              </w:rPr>
              <w:t>|</w:t>
            </w:r>
            <w:r w:rsidR="00435C19">
              <w:rPr>
                <w:lang w:eastAsia="en-US"/>
              </w:rPr>
              <w:t xml:space="preserve"> </w:t>
            </w:r>
            <w:r w:rsidR="00435C19">
              <w:rPr>
                <w:vertAlign w:val="superscript"/>
                <w:lang w:eastAsia="en-US"/>
              </w:rPr>
              <w:t>2</w:t>
            </w:r>
          </w:p>
        </w:tc>
      </w:tr>
      <w:tr w:rsidR="00845C4D" w:rsidRPr="008C4198" w14:paraId="78A757F6" w14:textId="77777777" w:rsidTr="003370CF">
        <w:trPr>
          <w:trHeight w:val="20"/>
        </w:trPr>
        <w:tc>
          <w:tcPr>
            <w:tcW w:w="1414" w:type="pct"/>
            <w:tcBorders>
              <w:top w:val="single" w:sz="4" w:space="0" w:color="auto"/>
              <w:left w:val="single" w:sz="4" w:space="0" w:color="auto"/>
              <w:bottom w:val="single" w:sz="4" w:space="0" w:color="auto"/>
              <w:right w:val="single" w:sz="4" w:space="0" w:color="auto"/>
            </w:tcBorders>
            <w:hideMark/>
          </w:tcPr>
          <w:p w14:paraId="7EBE6B67" w14:textId="728E3FBF" w:rsidR="00845C4D" w:rsidRPr="008C4198" w:rsidRDefault="00845C4D" w:rsidP="003370CF">
            <w:pPr>
              <w:pStyle w:val="TableText"/>
              <w:spacing w:line="256" w:lineRule="auto"/>
              <w:rPr>
                <w:lang w:eastAsia="en-US"/>
              </w:rPr>
            </w:pPr>
            <w:r w:rsidRPr="008C4198">
              <w:rPr>
                <w:lang w:eastAsia="en-US"/>
              </w:rPr>
              <w:t xml:space="preserve">(C) Economic model corresponding to November 2022 PBAC recommendation (same model inputs as row B, and further price reduction of </w:t>
            </w:r>
            <w:r w:rsidR="00AE45EC" w:rsidRPr="00AE45EC">
              <w:rPr>
                <w:color w:val="000000"/>
                <w:spacing w:val="51"/>
                <w:shd w:val="solid" w:color="000000" w:fill="000000"/>
                <w:fitText w:val="326" w:id="-1167912697"/>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697"/>
                <w:lang w:eastAsia="en-US"/>
                <w14:textFill>
                  <w14:solidFill>
                    <w14:srgbClr w14:val="000000">
                      <w14:alpha w14:val="100000"/>
                    </w14:srgbClr>
                  </w14:solidFill>
                </w14:textFill>
              </w:rPr>
              <w:t>|</w:t>
            </w:r>
            <w:r w:rsidRPr="008C4198">
              <w:rPr>
                <w:lang w:eastAsia="en-US"/>
              </w:rPr>
              <w:t>% on dispensed price)</w:t>
            </w:r>
          </w:p>
        </w:tc>
        <w:tc>
          <w:tcPr>
            <w:tcW w:w="866" w:type="pct"/>
            <w:tcBorders>
              <w:top w:val="single" w:sz="4" w:space="0" w:color="auto"/>
              <w:left w:val="single" w:sz="4" w:space="0" w:color="auto"/>
              <w:bottom w:val="single" w:sz="4" w:space="0" w:color="auto"/>
              <w:right w:val="single" w:sz="4" w:space="0" w:color="auto"/>
            </w:tcBorders>
            <w:hideMark/>
          </w:tcPr>
          <w:p w14:paraId="6A2B5C1B" w14:textId="6EC7B6B6"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6" w:id="-1167912696"/>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696"/>
                <w:lang w:eastAsia="en-US"/>
                <w14:textFill>
                  <w14:solidFill>
                    <w14:srgbClr w14:val="000000">
                      <w14:alpha w14:val="100000"/>
                    </w14:srgbClr>
                  </w14:solidFill>
                </w14:textFill>
              </w:rPr>
              <w:t>|</w:t>
            </w:r>
          </w:p>
          <w:p w14:paraId="1C79643B" w14:textId="73B1AAAA" w:rsidR="00845C4D" w:rsidRPr="008C4198" w:rsidRDefault="00845C4D" w:rsidP="003370CF">
            <w:pPr>
              <w:pStyle w:val="TableText"/>
              <w:spacing w:line="256" w:lineRule="auto"/>
              <w:rPr>
                <w:lang w:eastAsia="en-US"/>
              </w:rPr>
            </w:pPr>
            <w:r w:rsidRPr="008C4198">
              <w:rPr>
                <w:lang w:eastAsia="en-US"/>
              </w:rPr>
              <w:t>(AEMP=$</w:t>
            </w:r>
            <w:r w:rsidR="00AE45EC" w:rsidRPr="00AE45EC">
              <w:rPr>
                <w:color w:val="000000"/>
                <w:spacing w:val="51"/>
                <w:shd w:val="solid" w:color="000000" w:fill="000000"/>
                <w:fitText w:val="326" w:id="-1167912695"/>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695"/>
                <w:lang w:eastAsia="en-US"/>
                <w14:textFill>
                  <w14:solidFill>
                    <w14:srgbClr w14:val="000000">
                      <w14:alpha w14:val="100000"/>
                    </w14:srgbClr>
                  </w14:solidFill>
                </w14:textFill>
              </w:rPr>
              <w:t>|</w:t>
            </w:r>
            <w:r w:rsidRPr="008C4198">
              <w:rPr>
                <w:lang w:eastAsia="en-US"/>
              </w:rPr>
              <w:t xml:space="preserve"> per pack)</w:t>
            </w:r>
          </w:p>
        </w:tc>
        <w:tc>
          <w:tcPr>
            <w:tcW w:w="789" w:type="pct"/>
            <w:tcBorders>
              <w:top w:val="single" w:sz="4" w:space="0" w:color="auto"/>
              <w:left w:val="single" w:sz="4" w:space="0" w:color="auto"/>
              <w:bottom w:val="single" w:sz="4" w:space="0" w:color="auto"/>
              <w:right w:val="single" w:sz="4" w:space="0" w:color="auto"/>
            </w:tcBorders>
            <w:hideMark/>
          </w:tcPr>
          <w:p w14:paraId="7806FEE7" w14:textId="77777777" w:rsidR="00845C4D" w:rsidRPr="008C4198" w:rsidRDefault="00845C4D" w:rsidP="003370CF">
            <w:pPr>
              <w:pStyle w:val="TableText"/>
              <w:spacing w:line="256" w:lineRule="auto"/>
              <w:rPr>
                <w:lang w:eastAsia="en-US"/>
              </w:rPr>
            </w:pPr>
            <w:r w:rsidRPr="008C4198">
              <w:rPr>
                <w:lang w:eastAsia="en-US"/>
              </w:rPr>
              <w:t>$17,051</w:t>
            </w:r>
          </w:p>
        </w:tc>
        <w:tc>
          <w:tcPr>
            <w:tcW w:w="482" w:type="pct"/>
            <w:tcBorders>
              <w:top w:val="single" w:sz="4" w:space="0" w:color="auto"/>
              <w:left w:val="single" w:sz="4" w:space="0" w:color="auto"/>
              <w:bottom w:val="single" w:sz="4" w:space="0" w:color="auto"/>
              <w:right w:val="single" w:sz="4" w:space="0" w:color="auto"/>
            </w:tcBorders>
            <w:hideMark/>
          </w:tcPr>
          <w:p w14:paraId="3F6DCB18" w14:textId="695B8291"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694"/>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694"/>
                <w:lang w:eastAsia="en-US"/>
                <w14:textFill>
                  <w14:solidFill>
                    <w14:srgbClr w14:val="000000">
                      <w14:alpha w14:val="100000"/>
                    </w14:srgbClr>
                  </w14:solidFill>
                </w14:textFill>
              </w:rPr>
              <w:t>|</w:t>
            </w:r>
          </w:p>
        </w:tc>
        <w:tc>
          <w:tcPr>
            <w:tcW w:w="469" w:type="pct"/>
            <w:tcBorders>
              <w:top w:val="single" w:sz="4" w:space="0" w:color="auto"/>
              <w:left w:val="single" w:sz="4" w:space="0" w:color="auto"/>
              <w:bottom w:val="single" w:sz="4" w:space="0" w:color="auto"/>
              <w:right w:val="single" w:sz="4" w:space="0" w:color="auto"/>
            </w:tcBorders>
            <w:hideMark/>
          </w:tcPr>
          <w:p w14:paraId="72153633" w14:textId="77777777" w:rsidR="00845C4D" w:rsidRPr="008C4198" w:rsidRDefault="00845C4D" w:rsidP="003370CF">
            <w:pPr>
              <w:pStyle w:val="TableText"/>
              <w:spacing w:line="256" w:lineRule="auto"/>
              <w:rPr>
                <w:lang w:eastAsia="en-US"/>
              </w:rPr>
            </w:pPr>
            <w:r w:rsidRPr="008C4198">
              <w:rPr>
                <w:lang w:eastAsia="en-US"/>
              </w:rPr>
              <w:t>0.40</w:t>
            </w:r>
          </w:p>
        </w:tc>
        <w:tc>
          <w:tcPr>
            <w:tcW w:w="472" w:type="pct"/>
            <w:tcBorders>
              <w:top w:val="single" w:sz="4" w:space="0" w:color="auto"/>
              <w:left w:val="single" w:sz="4" w:space="0" w:color="auto"/>
              <w:bottom w:val="single" w:sz="4" w:space="0" w:color="auto"/>
              <w:right w:val="single" w:sz="4" w:space="0" w:color="auto"/>
            </w:tcBorders>
            <w:hideMark/>
          </w:tcPr>
          <w:p w14:paraId="32CD449B" w14:textId="77777777" w:rsidR="00845C4D" w:rsidRPr="008C4198" w:rsidRDefault="00845C4D" w:rsidP="003370CF">
            <w:pPr>
              <w:pStyle w:val="TableText"/>
              <w:spacing w:line="256" w:lineRule="auto"/>
              <w:rPr>
                <w:lang w:eastAsia="en-US"/>
              </w:rPr>
            </w:pPr>
            <w:r w:rsidRPr="008C4198">
              <w:rPr>
                <w:lang w:eastAsia="en-US"/>
              </w:rPr>
              <w:t>0.36</w:t>
            </w:r>
          </w:p>
        </w:tc>
        <w:tc>
          <w:tcPr>
            <w:tcW w:w="510" w:type="pct"/>
            <w:tcBorders>
              <w:top w:val="single" w:sz="4" w:space="0" w:color="auto"/>
              <w:left w:val="single" w:sz="4" w:space="0" w:color="auto"/>
              <w:bottom w:val="single" w:sz="4" w:space="0" w:color="auto"/>
              <w:right w:val="single" w:sz="4" w:space="0" w:color="auto"/>
            </w:tcBorders>
            <w:hideMark/>
          </w:tcPr>
          <w:p w14:paraId="07CDAE60" w14:textId="123C54CE"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6" w:id="-1167912693"/>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693"/>
                <w:lang w:eastAsia="en-US"/>
                <w14:textFill>
                  <w14:solidFill>
                    <w14:srgbClr w14:val="000000">
                      <w14:alpha w14:val="100000"/>
                    </w14:srgbClr>
                  </w14:solidFill>
                </w14:textFill>
              </w:rPr>
              <w:t>|</w:t>
            </w:r>
            <w:r w:rsidR="00435C19">
              <w:rPr>
                <w:lang w:eastAsia="en-US"/>
              </w:rPr>
              <w:t xml:space="preserve"> </w:t>
            </w:r>
            <w:r w:rsidR="00435C19">
              <w:rPr>
                <w:vertAlign w:val="superscript"/>
                <w:lang w:eastAsia="en-US"/>
              </w:rPr>
              <w:t>1</w:t>
            </w:r>
          </w:p>
        </w:tc>
      </w:tr>
      <w:tr w:rsidR="00845C4D" w:rsidRPr="008C4198" w14:paraId="12560EAB" w14:textId="77777777" w:rsidTr="003370CF">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14:paraId="46E67652" w14:textId="77777777" w:rsidR="00845C4D" w:rsidRPr="008C4198" w:rsidRDefault="00845C4D" w:rsidP="003370CF">
            <w:pPr>
              <w:pStyle w:val="TableText"/>
              <w:spacing w:line="256" w:lineRule="auto"/>
              <w:rPr>
                <w:b/>
                <w:bCs w:val="0"/>
                <w:lang w:eastAsia="en-US"/>
              </w:rPr>
            </w:pPr>
            <w:r w:rsidRPr="008C4198">
              <w:rPr>
                <w:b/>
                <w:bCs w:val="0"/>
                <w:lang w:eastAsia="en-US"/>
              </w:rPr>
              <w:t>July 2023 scenarios</w:t>
            </w:r>
          </w:p>
        </w:tc>
      </w:tr>
      <w:tr w:rsidR="00845C4D" w:rsidRPr="008C4198" w14:paraId="269ED381" w14:textId="77777777" w:rsidTr="003370CF">
        <w:trPr>
          <w:trHeight w:val="20"/>
        </w:trPr>
        <w:tc>
          <w:tcPr>
            <w:tcW w:w="1414" w:type="pct"/>
            <w:tcBorders>
              <w:top w:val="single" w:sz="4" w:space="0" w:color="auto"/>
              <w:left w:val="single" w:sz="4" w:space="0" w:color="auto"/>
              <w:bottom w:val="single" w:sz="4" w:space="0" w:color="auto"/>
              <w:right w:val="single" w:sz="4" w:space="0" w:color="auto"/>
            </w:tcBorders>
            <w:hideMark/>
          </w:tcPr>
          <w:p w14:paraId="0A7D78A9" w14:textId="77777777" w:rsidR="00845C4D" w:rsidRPr="008C4198" w:rsidRDefault="00845C4D" w:rsidP="003370CF">
            <w:pPr>
              <w:pStyle w:val="TableText"/>
              <w:spacing w:line="256" w:lineRule="auto"/>
              <w:rPr>
                <w:lang w:eastAsia="en-US"/>
              </w:rPr>
            </w:pPr>
            <w:r w:rsidRPr="008C4198">
              <w:rPr>
                <w:lang w:eastAsia="en-US"/>
              </w:rPr>
              <w:t>(D) Apply resubmission price to November 2022 model (same model inputs as row B, with proposed price)</w:t>
            </w:r>
          </w:p>
        </w:tc>
        <w:tc>
          <w:tcPr>
            <w:tcW w:w="866" w:type="pct"/>
            <w:tcBorders>
              <w:top w:val="single" w:sz="4" w:space="0" w:color="auto"/>
              <w:left w:val="single" w:sz="4" w:space="0" w:color="auto"/>
              <w:bottom w:val="single" w:sz="4" w:space="0" w:color="auto"/>
              <w:right w:val="single" w:sz="4" w:space="0" w:color="auto"/>
            </w:tcBorders>
            <w:hideMark/>
          </w:tcPr>
          <w:p w14:paraId="0A8AAA43" w14:textId="61B87A6E"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6" w:id="-1167912692"/>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692"/>
                <w:lang w:eastAsia="en-US"/>
                <w14:textFill>
                  <w14:solidFill>
                    <w14:srgbClr w14:val="000000">
                      <w14:alpha w14:val="100000"/>
                    </w14:srgbClr>
                  </w14:solidFill>
                </w14:textFill>
              </w:rPr>
              <w:t>|</w:t>
            </w:r>
            <w:r w:rsidRPr="008C4198">
              <w:rPr>
                <w:lang w:eastAsia="en-US"/>
              </w:rPr>
              <w:t xml:space="preserve"> (AEMP=$</w:t>
            </w:r>
            <w:r w:rsidR="00AE45EC" w:rsidRPr="00AE45EC">
              <w:rPr>
                <w:color w:val="000000"/>
                <w:spacing w:val="51"/>
                <w:shd w:val="solid" w:color="000000" w:fill="000000"/>
                <w:fitText w:val="326" w:id="-1167912691"/>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691"/>
                <w:lang w:eastAsia="en-US"/>
                <w14:textFill>
                  <w14:solidFill>
                    <w14:srgbClr w14:val="000000">
                      <w14:alpha w14:val="100000"/>
                    </w14:srgbClr>
                  </w14:solidFill>
                </w14:textFill>
              </w:rPr>
              <w:t>|</w:t>
            </w:r>
            <w:r w:rsidRPr="008C4198">
              <w:rPr>
                <w:lang w:eastAsia="en-US"/>
              </w:rPr>
              <w:t xml:space="preserve"> per pack)</w:t>
            </w:r>
          </w:p>
        </w:tc>
        <w:tc>
          <w:tcPr>
            <w:tcW w:w="789" w:type="pct"/>
            <w:tcBorders>
              <w:top w:val="single" w:sz="4" w:space="0" w:color="auto"/>
              <w:left w:val="single" w:sz="4" w:space="0" w:color="auto"/>
              <w:bottom w:val="single" w:sz="4" w:space="0" w:color="auto"/>
              <w:right w:val="single" w:sz="4" w:space="0" w:color="auto"/>
            </w:tcBorders>
            <w:hideMark/>
          </w:tcPr>
          <w:p w14:paraId="04B28F08" w14:textId="77777777" w:rsidR="00845C4D" w:rsidRPr="008C4198" w:rsidRDefault="00845C4D" w:rsidP="003370CF">
            <w:pPr>
              <w:pStyle w:val="TableText"/>
              <w:spacing w:line="256" w:lineRule="auto"/>
              <w:rPr>
                <w:lang w:eastAsia="en-US"/>
              </w:rPr>
            </w:pPr>
            <w:r w:rsidRPr="008C4198">
              <w:rPr>
                <w:lang w:eastAsia="en-US"/>
              </w:rPr>
              <w:t>$17,051</w:t>
            </w:r>
          </w:p>
        </w:tc>
        <w:tc>
          <w:tcPr>
            <w:tcW w:w="482" w:type="pct"/>
            <w:tcBorders>
              <w:top w:val="single" w:sz="4" w:space="0" w:color="auto"/>
              <w:left w:val="single" w:sz="4" w:space="0" w:color="auto"/>
              <w:bottom w:val="single" w:sz="4" w:space="0" w:color="auto"/>
              <w:right w:val="single" w:sz="4" w:space="0" w:color="auto"/>
            </w:tcBorders>
            <w:hideMark/>
          </w:tcPr>
          <w:p w14:paraId="5125CC58" w14:textId="1BC014F8"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690"/>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690"/>
                <w:lang w:eastAsia="en-US"/>
                <w14:textFill>
                  <w14:solidFill>
                    <w14:srgbClr w14:val="000000">
                      <w14:alpha w14:val="100000"/>
                    </w14:srgbClr>
                  </w14:solidFill>
                </w14:textFill>
              </w:rPr>
              <w:t>|</w:t>
            </w:r>
            <w:r w:rsidRPr="008C4198">
              <w:rPr>
                <w:vertAlign w:val="superscript"/>
                <w:lang w:eastAsia="en-US"/>
              </w:rPr>
              <w:t>a</w:t>
            </w:r>
          </w:p>
        </w:tc>
        <w:tc>
          <w:tcPr>
            <w:tcW w:w="469" w:type="pct"/>
            <w:tcBorders>
              <w:top w:val="single" w:sz="4" w:space="0" w:color="auto"/>
              <w:left w:val="single" w:sz="4" w:space="0" w:color="auto"/>
              <w:bottom w:val="single" w:sz="4" w:space="0" w:color="auto"/>
              <w:right w:val="single" w:sz="4" w:space="0" w:color="auto"/>
            </w:tcBorders>
            <w:hideMark/>
          </w:tcPr>
          <w:p w14:paraId="321D2CC7" w14:textId="77777777" w:rsidR="00845C4D" w:rsidRPr="008C4198" w:rsidRDefault="00845C4D" w:rsidP="003370CF">
            <w:pPr>
              <w:pStyle w:val="TableText"/>
              <w:spacing w:line="256" w:lineRule="auto"/>
              <w:rPr>
                <w:lang w:eastAsia="en-US"/>
              </w:rPr>
            </w:pPr>
            <w:r w:rsidRPr="008C4198">
              <w:rPr>
                <w:lang w:eastAsia="en-US"/>
              </w:rPr>
              <w:t>0.40</w:t>
            </w:r>
          </w:p>
        </w:tc>
        <w:tc>
          <w:tcPr>
            <w:tcW w:w="472" w:type="pct"/>
            <w:tcBorders>
              <w:top w:val="single" w:sz="4" w:space="0" w:color="auto"/>
              <w:left w:val="single" w:sz="4" w:space="0" w:color="auto"/>
              <w:bottom w:val="single" w:sz="4" w:space="0" w:color="auto"/>
              <w:right w:val="single" w:sz="4" w:space="0" w:color="auto"/>
            </w:tcBorders>
            <w:hideMark/>
          </w:tcPr>
          <w:p w14:paraId="244B9BD9" w14:textId="77777777" w:rsidR="00845C4D" w:rsidRPr="008C4198" w:rsidRDefault="00845C4D" w:rsidP="003370CF">
            <w:pPr>
              <w:pStyle w:val="TableText"/>
              <w:spacing w:line="256" w:lineRule="auto"/>
              <w:rPr>
                <w:lang w:eastAsia="en-US"/>
              </w:rPr>
            </w:pPr>
            <w:r w:rsidRPr="008C4198">
              <w:rPr>
                <w:lang w:eastAsia="en-US"/>
              </w:rPr>
              <w:t>0.36</w:t>
            </w:r>
          </w:p>
        </w:tc>
        <w:tc>
          <w:tcPr>
            <w:tcW w:w="510" w:type="pct"/>
            <w:tcBorders>
              <w:top w:val="single" w:sz="4" w:space="0" w:color="auto"/>
              <w:left w:val="single" w:sz="4" w:space="0" w:color="auto"/>
              <w:bottom w:val="single" w:sz="4" w:space="0" w:color="auto"/>
              <w:right w:val="single" w:sz="4" w:space="0" w:color="auto"/>
            </w:tcBorders>
            <w:hideMark/>
          </w:tcPr>
          <w:p w14:paraId="03A6873D" w14:textId="49B5AA09"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689"/>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689"/>
                <w:lang w:eastAsia="en-US"/>
                <w14:textFill>
                  <w14:solidFill>
                    <w14:srgbClr w14:val="000000">
                      <w14:alpha w14:val="100000"/>
                    </w14:srgbClr>
                  </w14:solidFill>
                </w14:textFill>
              </w:rPr>
              <w:t>|</w:t>
            </w:r>
            <w:r w:rsidR="00435C19">
              <w:rPr>
                <w:lang w:eastAsia="en-US"/>
              </w:rPr>
              <w:t xml:space="preserve"> </w:t>
            </w:r>
            <w:r w:rsidR="00435C19">
              <w:rPr>
                <w:vertAlign w:val="superscript"/>
                <w:lang w:eastAsia="en-US"/>
              </w:rPr>
              <w:t>1</w:t>
            </w:r>
          </w:p>
        </w:tc>
      </w:tr>
      <w:tr w:rsidR="00845C4D" w:rsidRPr="008C4198" w14:paraId="158E81C7" w14:textId="77777777" w:rsidTr="003370CF">
        <w:trPr>
          <w:trHeight w:val="20"/>
        </w:trPr>
        <w:tc>
          <w:tcPr>
            <w:tcW w:w="1414" w:type="pct"/>
            <w:tcBorders>
              <w:top w:val="single" w:sz="4" w:space="0" w:color="auto"/>
              <w:left w:val="single" w:sz="4" w:space="0" w:color="auto"/>
              <w:bottom w:val="single" w:sz="4" w:space="0" w:color="auto"/>
              <w:right w:val="single" w:sz="4" w:space="0" w:color="auto"/>
            </w:tcBorders>
            <w:hideMark/>
          </w:tcPr>
          <w:p w14:paraId="3624B303" w14:textId="77777777" w:rsidR="00845C4D" w:rsidRPr="008C4198" w:rsidRDefault="00845C4D" w:rsidP="003370CF">
            <w:pPr>
              <w:pStyle w:val="TableText"/>
              <w:spacing w:line="256" w:lineRule="auto"/>
              <w:rPr>
                <w:lang w:eastAsia="en-US"/>
              </w:rPr>
            </w:pPr>
            <w:r w:rsidRPr="008C4198">
              <w:rPr>
                <w:lang w:eastAsia="en-US"/>
              </w:rPr>
              <w:t>(E) Increase test cost to $3,000 (reflects MSAC advice)</w:t>
            </w:r>
          </w:p>
        </w:tc>
        <w:tc>
          <w:tcPr>
            <w:tcW w:w="866" w:type="pct"/>
            <w:tcBorders>
              <w:top w:val="single" w:sz="4" w:space="0" w:color="auto"/>
              <w:left w:val="single" w:sz="4" w:space="0" w:color="auto"/>
              <w:bottom w:val="single" w:sz="4" w:space="0" w:color="auto"/>
              <w:right w:val="single" w:sz="4" w:space="0" w:color="auto"/>
            </w:tcBorders>
            <w:hideMark/>
          </w:tcPr>
          <w:p w14:paraId="38F447F1" w14:textId="563BDEF4"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6" w:id="-1167912688"/>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688"/>
                <w:lang w:eastAsia="en-US"/>
                <w14:textFill>
                  <w14:solidFill>
                    <w14:srgbClr w14:val="000000">
                      <w14:alpha w14:val="100000"/>
                    </w14:srgbClr>
                  </w14:solidFill>
                </w14:textFill>
              </w:rPr>
              <w:t>|</w:t>
            </w:r>
          </w:p>
        </w:tc>
        <w:tc>
          <w:tcPr>
            <w:tcW w:w="789" w:type="pct"/>
            <w:tcBorders>
              <w:top w:val="single" w:sz="4" w:space="0" w:color="auto"/>
              <w:left w:val="single" w:sz="4" w:space="0" w:color="auto"/>
              <w:bottom w:val="single" w:sz="4" w:space="0" w:color="auto"/>
              <w:right w:val="single" w:sz="4" w:space="0" w:color="auto"/>
            </w:tcBorders>
            <w:hideMark/>
          </w:tcPr>
          <w:p w14:paraId="0E78B7D4" w14:textId="77777777" w:rsidR="00845C4D" w:rsidRPr="008C4198" w:rsidRDefault="00845C4D" w:rsidP="003370CF">
            <w:pPr>
              <w:pStyle w:val="TableText"/>
              <w:spacing w:line="256" w:lineRule="auto"/>
              <w:rPr>
                <w:lang w:eastAsia="en-US"/>
              </w:rPr>
            </w:pPr>
            <w:r w:rsidRPr="008C4198">
              <w:rPr>
                <w:lang w:eastAsia="en-US"/>
              </w:rPr>
              <w:t>$17,051</w:t>
            </w:r>
          </w:p>
        </w:tc>
        <w:tc>
          <w:tcPr>
            <w:tcW w:w="482" w:type="pct"/>
            <w:tcBorders>
              <w:top w:val="single" w:sz="4" w:space="0" w:color="auto"/>
              <w:left w:val="single" w:sz="4" w:space="0" w:color="auto"/>
              <w:bottom w:val="single" w:sz="4" w:space="0" w:color="auto"/>
              <w:right w:val="single" w:sz="4" w:space="0" w:color="auto"/>
            </w:tcBorders>
            <w:hideMark/>
          </w:tcPr>
          <w:p w14:paraId="4830FA3C" w14:textId="51D844A7"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704"/>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704"/>
                <w:lang w:eastAsia="en-US"/>
                <w14:textFill>
                  <w14:solidFill>
                    <w14:srgbClr w14:val="000000">
                      <w14:alpha w14:val="100000"/>
                    </w14:srgbClr>
                  </w14:solidFill>
                </w14:textFill>
              </w:rPr>
              <w:t>|</w:t>
            </w:r>
          </w:p>
        </w:tc>
        <w:tc>
          <w:tcPr>
            <w:tcW w:w="469" w:type="pct"/>
            <w:tcBorders>
              <w:top w:val="single" w:sz="4" w:space="0" w:color="auto"/>
              <w:left w:val="single" w:sz="4" w:space="0" w:color="auto"/>
              <w:bottom w:val="single" w:sz="4" w:space="0" w:color="auto"/>
              <w:right w:val="single" w:sz="4" w:space="0" w:color="auto"/>
            </w:tcBorders>
            <w:hideMark/>
          </w:tcPr>
          <w:p w14:paraId="19FCAECF" w14:textId="77777777" w:rsidR="00845C4D" w:rsidRPr="008C4198" w:rsidRDefault="00845C4D" w:rsidP="003370CF">
            <w:pPr>
              <w:pStyle w:val="TableText"/>
              <w:spacing w:line="256" w:lineRule="auto"/>
              <w:rPr>
                <w:lang w:eastAsia="en-US"/>
              </w:rPr>
            </w:pPr>
            <w:r w:rsidRPr="008C4198">
              <w:rPr>
                <w:lang w:eastAsia="en-US"/>
              </w:rPr>
              <w:t>0.40</w:t>
            </w:r>
          </w:p>
        </w:tc>
        <w:tc>
          <w:tcPr>
            <w:tcW w:w="472" w:type="pct"/>
            <w:tcBorders>
              <w:top w:val="single" w:sz="4" w:space="0" w:color="auto"/>
              <w:left w:val="single" w:sz="4" w:space="0" w:color="auto"/>
              <w:bottom w:val="single" w:sz="4" w:space="0" w:color="auto"/>
              <w:right w:val="single" w:sz="4" w:space="0" w:color="auto"/>
            </w:tcBorders>
            <w:hideMark/>
          </w:tcPr>
          <w:p w14:paraId="0DCAFAF7" w14:textId="77777777" w:rsidR="00845C4D" w:rsidRPr="008C4198" w:rsidRDefault="00845C4D" w:rsidP="003370CF">
            <w:pPr>
              <w:pStyle w:val="TableText"/>
              <w:spacing w:line="256" w:lineRule="auto"/>
              <w:rPr>
                <w:lang w:eastAsia="en-US"/>
              </w:rPr>
            </w:pPr>
            <w:r w:rsidRPr="008C4198">
              <w:rPr>
                <w:lang w:eastAsia="en-US"/>
              </w:rPr>
              <w:t>0.36</w:t>
            </w:r>
          </w:p>
        </w:tc>
        <w:tc>
          <w:tcPr>
            <w:tcW w:w="510" w:type="pct"/>
            <w:tcBorders>
              <w:top w:val="single" w:sz="4" w:space="0" w:color="auto"/>
              <w:left w:val="single" w:sz="4" w:space="0" w:color="auto"/>
              <w:bottom w:val="single" w:sz="4" w:space="0" w:color="auto"/>
              <w:right w:val="single" w:sz="4" w:space="0" w:color="auto"/>
            </w:tcBorders>
            <w:hideMark/>
          </w:tcPr>
          <w:p w14:paraId="3F0A9F4F" w14:textId="1FDBEE6E"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703"/>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703"/>
                <w:lang w:eastAsia="en-US"/>
                <w14:textFill>
                  <w14:solidFill>
                    <w14:srgbClr w14:val="000000">
                      <w14:alpha w14:val="100000"/>
                    </w14:srgbClr>
                  </w14:solidFill>
                </w14:textFill>
              </w:rPr>
              <w:t>|</w:t>
            </w:r>
            <w:r w:rsidR="00435C19">
              <w:rPr>
                <w:lang w:eastAsia="en-US"/>
              </w:rPr>
              <w:t xml:space="preserve"> </w:t>
            </w:r>
            <w:r w:rsidR="00435C19">
              <w:rPr>
                <w:vertAlign w:val="superscript"/>
                <w:lang w:eastAsia="en-US"/>
              </w:rPr>
              <w:t>1</w:t>
            </w:r>
          </w:p>
        </w:tc>
      </w:tr>
      <w:tr w:rsidR="00845C4D" w:rsidRPr="008C4198" w14:paraId="240A6BCE" w14:textId="77777777" w:rsidTr="003370CF">
        <w:trPr>
          <w:trHeight w:val="20"/>
        </w:trPr>
        <w:tc>
          <w:tcPr>
            <w:tcW w:w="1414" w:type="pct"/>
            <w:tcBorders>
              <w:top w:val="single" w:sz="4" w:space="0" w:color="auto"/>
              <w:left w:val="single" w:sz="4" w:space="0" w:color="auto"/>
              <w:bottom w:val="single" w:sz="4" w:space="0" w:color="auto"/>
              <w:right w:val="single" w:sz="4" w:space="0" w:color="auto"/>
            </w:tcBorders>
            <w:hideMark/>
          </w:tcPr>
          <w:p w14:paraId="17156E3C" w14:textId="77777777" w:rsidR="00845C4D" w:rsidRPr="008C4198" w:rsidRDefault="00845C4D" w:rsidP="003370CF">
            <w:pPr>
              <w:pStyle w:val="TableText"/>
              <w:spacing w:line="256" w:lineRule="auto"/>
              <w:rPr>
                <w:lang w:eastAsia="en-US"/>
              </w:rPr>
            </w:pPr>
            <w:r w:rsidRPr="008C4198">
              <w:rPr>
                <w:lang w:eastAsia="en-US"/>
              </w:rPr>
              <w:t>(F) Increase test cost to $3,000 and revise palliative care costs to Reeve 2018</w:t>
            </w:r>
          </w:p>
        </w:tc>
        <w:tc>
          <w:tcPr>
            <w:tcW w:w="866" w:type="pct"/>
            <w:tcBorders>
              <w:top w:val="single" w:sz="4" w:space="0" w:color="auto"/>
              <w:left w:val="single" w:sz="4" w:space="0" w:color="auto"/>
              <w:bottom w:val="single" w:sz="4" w:space="0" w:color="auto"/>
              <w:right w:val="single" w:sz="4" w:space="0" w:color="auto"/>
            </w:tcBorders>
          </w:tcPr>
          <w:p w14:paraId="2C32BD74" w14:textId="36DA88A6"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6" w:id="-1167912702"/>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702"/>
                <w:lang w:eastAsia="en-US"/>
                <w14:textFill>
                  <w14:solidFill>
                    <w14:srgbClr w14:val="000000">
                      <w14:alpha w14:val="100000"/>
                    </w14:srgbClr>
                  </w14:solidFill>
                </w14:textFill>
              </w:rPr>
              <w:t>|</w:t>
            </w:r>
          </w:p>
        </w:tc>
        <w:tc>
          <w:tcPr>
            <w:tcW w:w="789" w:type="pct"/>
            <w:tcBorders>
              <w:top w:val="single" w:sz="4" w:space="0" w:color="auto"/>
              <w:left w:val="single" w:sz="4" w:space="0" w:color="auto"/>
              <w:bottom w:val="single" w:sz="4" w:space="0" w:color="auto"/>
              <w:right w:val="single" w:sz="4" w:space="0" w:color="auto"/>
            </w:tcBorders>
            <w:hideMark/>
          </w:tcPr>
          <w:p w14:paraId="319AD3D3" w14:textId="77777777" w:rsidR="00845C4D" w:rsidRPr="008C4198" w:rsidRDefault="00845C4D" w:rsidP="003370CF">
            <w:pPr>
              <w:pStyle w:val="TableText"/>
              <w:spacing w:line="256" w:lineRule="auto"/>
              <w:rPr>
                <w:lang w:eastAsia="en-US"/>
              </w:rPr>
            </w:pPr>
            <w:r w:rsidRPr="008C4198">
              <w:rPr>
                <w:lang w:eastAsia="en-US"/>
              </w:rPr>
              <w:t xml:space="preserve">$27,107 </w:t>
            </w:r>
            <w:r w:rsidRPr="008C4198">
              <w:rPr>
                <w:lang w:eastAsia="en-US"/>
              </w:rPr>
              <w:br/>
              <w:t>(Reeve 2018</w:t>
            </w:r>
            <w:r w:rsidRPr="008C4198">
              <w:rPr>
                <w:vertAlign w:val="superscript"/>
                <w:lang w:eastAsia="en-US"/>
              </w:rPr>
              <w:t>b</w:t>
            </w:r>
            <w:r w:rsidRPr="008C4198">
              <w:rPr>
                <w:lang w:eastAsia="en-US"/>
              </w:rPr>
              <w:t>; Secretariat unable to verify costs)</w:t>
            </w:r>
          </w:p>
        </w:tc>
        <w:tc>
          <w:tcPr>
            <w:tcW w:w="482" w:type="pct"/>
            <w:tcBorders>
              <w:top w:val="single" w:sz="4" w:space="0" w:color="auto"/>
              <w:left w:val="single" w:sz="4" w:space="0" w:color="auto"/>
              <w:bottom w:val="single" w:sz="4" w:space="0" w:color="auto"/>
              <w:right w:val="single" w:sz="4" w:space="0" w:color="auto"/>
            </w:tcBorders>
            <w:hideMark/>
          </w:tcPr>
          <w:p w14:paraId="1BBD0079" w14:textId="62D5891D"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701"/>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701"/>
                <w:lang w:eastAsia="en-US"/>
                <w14:textFill>
                  <w14:solidFill>
                    <w14:srgbClr w14:val="000000">
                      <w14:alpha w14:val="100000"/>
                    </w14:srgbClr>
                  </w14:solidFill>
                </w14:textFill>
              </w:rPr>
              <w:t>|</w:t>
            </w:r>
          </w:p>
        </w:tc>
        <w:tc>
          <w:tcPr>
            <w:tcW w:w="469" w:type="pct"/>
            <w:tcBorders>
              <w:top w:val="single" w:sz="4" w:space="0" w:color="auto"/>
              <w:left w:val="single" w:sz="4" w:space="0" w:color="auto"/>
              <w:bottom w:val="single" w:sz="4" w:space="0" w:color="auto"/>
              <w:right w:val="single" w:sz="4" w:space="0" w:color="auto"/>
            </w:tcBorders>
            <w:hideMark/>
          </w:tcPr>
          <w:p w14:paraId="3CC7EBFD" w14:textId="77777777" w:rsidR="00845C4D" w:rsidRPr="008C4198" w:rsidRDefault="00845C4D" w:rsidP="003370CF">
            <w:pPr>
              <w:pStyle w:val="TableText"/>
              <w:spacing w:line="256" w:lineRule="auto"/>
              <w:rPr>
                <w:lang w:eastAsia="en-US"/>
              </w:rPr>
            </w:pPr>
            <w:r w:rsidRPr="008C4198">
              <w:rPr>
                <w:lang w:eastAsia="en-US"/>
              </w:rPr>
              <w:t>0.40</w:t>
            </w:r>
          </w:p>
        </w:tc>
        <w:tc>
          <w:tcPr>
            <w:tcW w:w="472" w:type="pct"/>
            <w:tcBorders>
              <w:top w:val="single" w:sz="4" w:space="0" w:color="auto"/>
              <w:left w:val="single" w:sz="4" w:space="0" w:color="auto"/>
              <w:bottom w:val="single" w:sz="4" w:space="0" w:color="auto"/>
              <w:right w:val="single" w:sz="4" w:space="0" w:color="auto"/>
            </w:tcBorders>
            <w:hideMark/>
          </w:tcPr>
          <w:p w14:paraId="5CB50E11" w14:textId="77777777" w:rsidR="00845C4D" w:rsidRPr="008C4198" w:rsidRDefault="00845C4D" w:rsidP="003370CF">
            <w:pPr>
              <w:pStyle w:val="TableText"/>
              <w:spacing w:line="256" w:lineRule="auto"/>
              <w:rPr>
                <w:lang w:eastAsia="en-US"/>
              </w:rPr>
            </w:pPr>
            <w:r w:rsidRPr="008C4198">
              <w:rPr>
                <w:lang w:eastAsia="en-US"/>
              </w:rPr>
              <w:t>0.36</w:t>
            </w:r>
          </w:p>
        </w:tc>
        <w:tc>
          <w:tcPr>
            <w:tcW w:w="510" w:type="pct"/>
            <w:tcBorders>
              <w:top w:val="single" w:sz="4" w:space="0" w:color="auto"/>
              <w:left w:val="single" w:sz="4" w:space="0" w:color="auto"/>
              <w:bottom w:val="single" w:sz="4" w:space="0" w:color="auto"/>
              <w:right w:val="single" w:sz="4" w:space="0" w:color="auto"/>
            </w:tcBorders>
            <w:hideMark/>
          </w:tcPr>
          <w:p w14:paraId="28E9951E" w14:textId="45B4605D"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700"/>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700"/>
                <w:lang w:eastAsia="en-US"/>
                <w14:textFill>
                  <w14:solidFill>
                    <w14:srgbClr w14:val="000000">
                      <w14:alpha w14:val="100000"/>
                    </w14:srgbClr>
                  </w14:solidFill>
                </w14:textFill>
              </w:rPr>
              <w:t>|</w:t>
            </w:r>
            <w:r w:rsidR="00435C19">
              <w:rPr>
                <w:lang w:eastAsia="en-US"/>
              </w:rPr>
              <w:t xml:space="preserve"> </w:t>
            </w:r>
            <w:r w:rsidR="00435C19">
              <w:rPr>
                <w:vertAlign w:val="superscript"/>
                <w:lang w:eastAsia="en-US"/>
              </w:rPr>
              <w:t>1</w:t>
            </w:r>
          </w:p>
        </w:tc>
      </w:tr>
      <w:tr w:rsidR="00845C4D" w:rsidRPr="008C4198" w14:paraId="718ED5E4" w14:textId="77777777" w:rsidTr="003370CF">
        <w:trPr>
          <w:trHeight w:val="20"/>
        </w:trPr>
        <w:tc>
          <w:tcPr>
            <w:tcW w:w="1414" w:type="pct"/>
            <w:tcBorders>
              <w:top w:val="single" w:sz="4" w:space="0" w:color="auto"/>
              <w:left w:val="single" w:sz="4" w:space="0" w:color="auto"/>
              <w:bottom w:val="single" w:sz="4" w:space="0" w:color="auto"/>
              <w:right w:val="single" w:sz="4" w:space="0" w:color="auto"/>
            </w:tcBorders>
          </w:tcPr>
          <w:p w14:paraId="3ED67163" w14:textId="77777777" w:rsidR="00845C4D" w:rsidRPr="008C4198" w:rsidRDefault="00845C4D" w:rsidP="003370CF">
            <w:pPr>
              <w:pStyle w:val="TableText"/>
              <w:spacing w:line="256" w:lineRule="auto"/>
              <w:rPr>
                <w:lang w:eastAsia="en-US"/>
              </w:rPr>
            </w:pPr>
            <w:r w:rsidRPr="008C4198">
              <w:rPr>
                <w:lang w:eastAsia="en-US"/>
              </w:rPr>
              <w:t>(G) Increase test cost to $3,000 and revise palliative care costs to Reeve 2018 (inflation-adjusted)</w:t>
            </w:r>
          </w:p>
        </w:tc>
        <w:tc>
          <w:tcPr>
            <w:tcW w:w="866" w:type="pct"/>
            <w:tcBorders>
              <w:top w:val="single" w:sz="4" w:space="0" w:color="auto"/>
              <w:left w:val="single" w:sz="4" w:space="0" w:color="auto"/>
              <w:bottom w:val="single" w:sz="4" w:space="0" w:color="auto"/>
              <w:right w:val="single" w:sz="4" w:space="0" w:color="auto"/>
            </w:tcBorders>
          </w:tcPr>
          <w:p w14:paraId="43C8BB9B" w14:textId="3EE4F92B"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6" w:id="-1167912699"/>
                <w:lang w:eastAsia="en-US"/>
                <w14:textFill>
                  <w14:solidFill>
                    <w14:srgbClr w14:val="000000">
                      <w14:alpha w14:val="100000"/>
                    </w14:srgbClr>
                  </w14:solidFill>
                </w14:textFill>
              </w:rPr>
              <w:t>|||</w:t>
            </w:r>
            <w:r w:rsidR="00AE45EC" w:rsidRPr="00AE45EC">
              <w:rPr>
                <w:color w:val="000000"/>
                <w:spacing w:val="3"/>
                <w:shd w:val="solid" w:color="000000" w:fill="000000"/>
                <w:fitText w:val="326" w:id="-1167912699"/>
                <w:lang w:eastAsia="en-US"/>
                <w14:textFill>
                  <w14:solidFill>
                    <w14:srgbClr w14:val="000000">
                      <w14:alpha w14:val="100000"/>
                    </w14:srgbClr>
                  </w14:solidFill>
                </w14:textFill>
              </w:rPr>
              <w:t>|</w:t>
            </w:r>
          </w:p>
        </w:tc>
        <w:tc>
          <w:tcPr>
            <w:tcW w:w="789" w:type="pct"/>
            <w:tcBorders>
              <w:top w:val="single" w:sz="4" w:space="0" w:color="auto"/>
              <w:left w:val="single" w:sz="4" w:space="0" w:color="auto"/>
              <w:bottom w:val="single" w:sz="4" w:space="0" w:color="auto"/>
              <w:right w:val="single" w:sz="4" w:space="0" w:color="auto"/>
            </w:tcBorders>
          </w:tcPr>
          <w:p w14:paraId="06D1FE95" w14:textId="77777777" w:rsidR="00845C4D" w:rsidRPr="008C4198" w:rsidRDefault="00845C4D" w:rsidP="003370CF">
            <w:pPr>
              <w:pStyle w:val="TableText"/>
              <w:spacing w:line="256" w:lineRule="auto"/>
              <w:rPr>
                <w:lang w:eastAsia="en-US"/>
              </w:rPr>
            </w:pPr>
            <w:r w:rsidRPr="008C4198">
              <w:rPr>
                <w:lang w:eastAsia="en-US"/>
              </w:rPr>
              <w:t>$40,283</w:t>
            </w:r>
            <w:r w:rsidRPr="008C4198">
              <w:rPr>
                <w:lang w:eastAsia="en-US"/>
              </w:rPr>
              <w:br/>
              <w:t xml:space="preserve">(Reeve 2018, </w:t>
            </w:r>
            <w:r w:rsidRPr="008C4198">
              <w:t>inflation-adjusted).</w:t>
            </w:r>
          </w:p>
        </w:tc>
        <w:tc>
          <w:tcPr>
            <w:tcW w:w="482" w:type="pct"/>
            <w:tcBorders>
              <w:top w:val="single" w:sz="4" w:space="0" w:color="auto"/>
              <w:left w:val="single" w:sz="4" w:space="0" w:color="auto"/>
              <w:bottom w:val="single" w:sz="4" w:space="0" w:color="auto"/>
              <w:right w:val="single" w:sz="4" w:space="0" w:color="auto"/>
            </w:tcBorders>
          </w:tcPr>
          <w:p w14:paraId="4120425E" w14:textId="7E3F1B67" w:rsidR="00845C4D" w:rsidRPr="008C4198" w:rsidRDefault="00845C4D" w:rsidP="003370CF">
            <w:pPr>
              <w:pStyle w:val="TableText"/>
              <w:spacing w:line="256" w:lineRule="auto"/>
              <w:rPr>
                <w:lang w:eastAsia="en-US"/>
              </w:rPr>
            </w:pPr>
            <w:r>
              <w:rPr>
                <w:lang w:eastAsia="en-US"/>
              </w:rPr>
              <w:t>$</w:t>
            </w:r>
            <w:r w:rsidR="00AE45EC" w:rsidRPr="00AE45EC">
              <w:rPr>
                <w:color w:val="000000"/>
                <w:spacing w:val="51"/>
                <w:shd w:val="solid" w:color="000000" w:fill="000000"/>
                <w:fitText w:val="325" w:id="-1167912698"/>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698"/>
                <w:lang w:eastAsia="en-US"/>
                <w14:textFill>
                  <w14:solidFill>
                    <w14:srgbClr w14:val="000000">
                      <w14:alpha w14:val="100000"/>
                    </w14:srgbClr>
                  </w14:solidFill>
                </w14:textFill>
              </w:rPr>
              <w:t>|</w:t>
            </w:r>
          </w:p>
        </w:tc>
        <w:tc>
          <w:tcPr>
            <w:tcW w:w="469" w:type="pct"/>
            <w:tcBorders>
              <w:top w:val="single" w:sz="4" w:space="0" w:color="auto"/>
              <w:left w:val="single" w:sz="4" w:space="0" w:color="auto"/>
              <w:bottom w:val="single" w:sz="4" w:space="0" w:color="auto"/>
              <w:right w:val="single" w:sz="4" w:space="0" w:color="auto"/>
            </w:tcBorders>
          </w:tcPr>
          <w:p w14:paraId="0D9ED862" w14:textId="77777777" w:rsidR="00845C4D" w:rsidRPr="008C4198" w:rsidRDefault="00845C4D" w:rsidP="003370CF">
            <w:pPr>
              <w:pStyle w:val="TableText"/>
              <w:spacing w:line="256" w:lineRule="auto"/>
              <w:rPr>
                <w:lang w:eastAsia="en-US"/>
              </w:rPr>
            </w:pPr>
            <w:r w:rsidRPr="008C4198">
              <w:rPr>
                <w:lang w:eastAsia="en-US"/>
              </w:rPr>
              <w:t>0.40</w:t>
            </w:r>
          </w:p>
        </w:tc>
        <w:tc>
          <w:tcPr>
            <w:tcW w:w="472" w:type="pct"/>
            <w:tcBorders>
              <w:top w:val="single" w:sz="4" w:space="0" w:color="auto"/>
              <w:left w:val="single" w:sz="4" w:space="0" w:color="auto"/>
              <w:bottom w:val="single" w:sz="4" w:space="0" w:color="auto"/>
              <w:right w:val="single" w:sz="4" w:space="0" w:color="auto"/>
            </w:tcBorders>
          </w:tcPr>
          <w:p w14:paraId="21DFDEFA" w14:textId="77777777" w:rsidR="00845C4D" w:rsidRPr="008C4198" w:rsidRDefault="00845C4D" w:rsidP="003370CF">
            <w:pPr>
              <w:pStyle w:val="TableText"/>
              <w:spacing w:line="256" w:lineRule="auto"/>
              <w:rPr>
                <w:lang w:eastAsia="en-US"/>
              </w:rPr>
            </w:pPr>
            <w:r w:rsidRPr="008C4198">
              <w:rPr>
                <w:lang w:eastAsia="en-US"/>
              </w:rPr>
              <w:t>0.36</w:t>
            </w:r>
          </w:p>
        </w:tc>
        <w:tc>
          <w:tcPr>
            <w:tcW w:w="510" w:type="pct"/>
            <w:tcBorders>
              <w:top w:val="single" w:sz="4" w:space="0" w:color="auto"/>
              <w:left w:val="single" w:sz="4" w:space="0" w:color="auto"/>
              <w:bottom w:val="single" w:sz="4" w:space="0" w:color="auto"/>
              <w:right w:val="single" w:sz="4" w:space="0" w:color="auto"/>
            </w:tcBorders>
          </w:tcPr>
          <w:p w14:paraId="2479D937" w14:textId="62297D7B" w:rsidR="00845C4D" w:rsidRPr="008C4198" w:rsidRDefault="00845C4D" w:rsidP="003370CF">
            <w:pPr>
              <w:pStyle w:val="TableText"/>
              <w:spacing w:line="256" w:lineRule="auto"/>
              <w:rPr>
                <w:lang w:eastAsia="en-US"/>
              </w:rPr>
            </w:pPr>
            <w:r w:rsidRPr="008C4198">
              <w:rPr>
                <w:lang w:eastAsia="en-US"/>
              </w:rPr>
              <w:t>$</w:t>
            </w:r>
            <w:r w:rsidR="00AE45EC" w:rsidRPr="00AE45EC">
              <w:rPr>
                <w:color w:val="000000"/>
                <w:spacing w:val="51"/>
                <w:shd w:val="solid" w:color="000000" w:fill="000000"/>
                <w:fitText w:val="325" w:id="-1167912697"/>
                <w:lang w:eastAsia="en-US"/>
                <w14:textFill>
                  <w14:solidFill>
                    <w14:srgbClr w14:val="000000">
                      <w14:alpha w14:val="100000"/>
                    </w14:srgbClr>
                  </w14:solidFill>
                </w14:textFill>
              </w:rPr>
              <w:t>|||</w:t>
            </w:r>
            <w:r w:rsidR="00AE45EC" w:rsidRPr="00AE45EC">
              <w:rPr>
                <w:color w:val="000000"/>
                <w:spacing w:val="2"/>
                <w:shd w:val="solid" w:color="000000" w:fill="000000"/>
                <w:fitText w:val="325" w:id="-1167912697"/>
                <w:lang w:eastAsia="en-US"/>
                <w14:textFill>
                  <w14:solidFill>
                    <w14:srgbClr w14:val="000000">
                      <w14:alpha w14:val="100000"/>
                    </w14:srgbClr>
                  </w14:solidFill>
                </w14:textFill>
              </w:rPr>
              <w:t>|</w:t>
            </w:r>
            <w:r w:rsidR="00435C19">
              <w:rPr>
                <w:lang w:eastAsia="en-US"/>
              </w:rPr>
              <w:t xml:space="preserve"> </w:t>
            </w:r>
            <w:r w:rsidR="00435C19">
              <w:rPr>
                <w:vertAlign w:val="superscript"/>
                <w:lang w:eastAsia="en-US"/>
              </w:rPr>
              <w:t>1</w:t>
            </w:r>
          </w:p>
        </w:tc>
      </w:tr>
    </w:tbl>
    <w:p w14:paraId="0FB06D8A" w14:textId="04C2091D" w:rsidR="00845C4D" w:rsidRPr="008C4198" w:rsidRDefault="00845C4D" w:rsidP="00845C4D">
      <w:pPr>
        <w:pStyle w:val="ListParagraph"/>
        <w:numPr>
          <w:ilvl w:val="0"/>
          <w:numId w:val="47"/>
        </w:numPr>
        <w:spacing w:after="0" w:line="256" w:lineRule="auto"/>
        <w:contextualSpacing/>
        <w:rPr>
          <w:rFonts w:ascii="Arial Narrow" w:eastAsia="Arial Narrow" w:hAnsi="Arial Narrow" w:cs="Arial Narrow"/>
          <w:sz w:val="18"/>
          <w:szCs w:val="18"/>
          <w:lang w:eastAsia="en-US"/>
        </w:rPr>
      </w:pPr>
      <w:r w:rsidRPr="008C4198">
        <w:rPr>
          <w:rFonts w:ascii="Arial Narrow" w:eastAsia="Arial Narrow" w:hAnsi="Arial Narrow" w:cs="Arial Narrow"/>
          <w:sz w:val="18"/>
          <w:szCs w:val="18"/>
        </w:rPr>
        <w:t>corrected by Secretariat, resubmission incorrectly reported cost of $</w:t>
      </w:r>
      <w:r w:rsidR="00AE45EC" w:rsidRPr="00AE45EC">
        <w:rPr>
          <w:rFonts w:ascii="Arial Narrow" w:eastAsia="Arial Narrow" w:hAnsi="Arial Narrow" w:cs="Arial Narrow"/>
          <w:color w:val="000000"/>
          <w:spacing w:val="211"/>
          <w:sz w:val="18"/>
          <w:szCs w:val="18"/>
          <w:shd w:val="solid" w:color="000000" w:fill="000000"/>
          <w:fitText w:val="288" w:id="-1167912696"/>
          <w14:textFill>
            <w14:solidFill>
              <w14:srgbClr w14:val="000000">
                <w14:alpha w14:val="100000"/>
              </w14:srgbClr>
            </w14:solidFill>
          </w14:textFill>
        </w:rPr>
        <w:t>|</w:t>
      </w:r>
      <w:r w:rsidR="00AE45EC" w:rsidRPr="00AE45EC">
        <w:rPr>
          <w:rFonts w:ascii="Arial Narrow" w:eastAsia="Arial Narrow" w:hAnsi="Arial Narrow" w:cs="Arial Narrow"/>
          <w:color w:val="000000"/>
          <w:spacing w:val="1"/>
          <w:sz w:val="18"/>
          <w:szCs w:val="18"/>
          <w:shd w:val="solid" w:color="000000" w:fill="000000"/>
          <w:fitText w:val="288" w:id="-1167912696"/>
          <w14:textFill>
            <w14:solidFill>
              <w14:srgbClr w14:val="000000">
                <w14:alpha w14:val="100000"/>
              </w14:srgbClr>
            </w14:solidFill>
          </w14:textFill>
        </w:rPr>
        <w:t>|</w:t>
      </w:r>
    </w:p>
    <w:p w14:paraId="7E66F536" w14:textId="77777777" w:rsidR="00845C4D" w:rsidRPr="008C4198" w:rsidRDefault="00845C4D" w:rsidP="00845C4D">
      <w:pPr>
        <w:pStyle w:val="ListParagraph"/>
        <w:numPr>
          <w:ilvl w:val="0"/>
          <w:numId w:val="47"/>
        </w:numPr>
        <w:spacing w:after="0" w:line="256" w:lineRule="auto"/>
        <w:contextualSpacing/>
        <w:rPr>
          <w:rFonts w:ascii="Arial Narrow" w:eastAsia="Arial Narrow" w:hAnsi="Arial Narrow" w:cs="Arial Narrow"/>
          <w:sz w:val="18"/>
          <w:szCs w:val="18"/>
        </w:rPr>
      </w:pPr>
      <w:r w:rsidRPr="008C4198">
        <w:rPr>
          <w:rFonts w:ascii="Arial Narrow" w:eastAsia="Arial Narrow" w:hAnsi="Arial Narrow" w:cs="Arial Narrow"/>
          <w:sz w:val="18"/>
          <w:szCs w:val="18"/>
        </w:rPr>
        <w:t>https://bmcpalliatcare.biomedcentral.com/articles/10.1186/s12904-017-0213-0#Sec18</w:t>
      </w:r>
    </w:p>
    <w:p w14:paraId="4EDA0DA8" w14:textId="77777777" w:rsidR="00845C4D" w:rsidRPr="008C4198" w:rsidRDefault="00845C4D" w:rsidP="00845C4D">
      <w:pPr>
        <w:rPr>
          <w:rFonts w:ascii="Arial Narrow" w:eastAsia="Arial Narrow" w:hAnsi="Arial Narrow" w:cs="Arial Narrow"/>
          <w:sz w:val="18"/>
          <w:szCs w:val="18"/>
        </w:rPr>
      </w:pPr>
      <w:r w:rsidRPr="008C4198">
        <w:rPr>
          <w:rFonts w:ascii="Arial Narrow" w:eastAsia="Arial Narrow" w:hAnsi="Arial Narrow" w:cs="Arial Narrow"/>
          <w:sz w:val="18"/>
          <w:szCs w:val="18"/>
        </w:rPr>
        <w:t>Abbreviations: DPMQ, dispensed price maximum quantity; ICER, incremental cost-effectiveness ratio; LY, life-year; QALY, quality-adjusted life-year</w:t>
      </w:r>
    </w:p>
    <w:p w14:paraId="12BA690E" w14:textId="77777777" w:rsidR="00435C19" w:rsidRPr="009A6D58" w:rsidRDefault="00435C19" w:rsidP="00435C19">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45CF6F6" w14:textId="47C29283" w:rsidR="00435C19" w:rsidRPr="009A6D58" w:rsidRDefault="00435C19" w:rsidP="00435C19">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435C19">
        <w:rPr>
          <w:rFonts w:ascii="Arial Narrow" w:hAnsi="Arial Narrow" w:cs="Arial"/>
          <w:i/>
          <w:sz w:val="18"/>
          <w:szCs w:val="18"/>
        </w:rPr>
        <w:t>$45,000 to &lt; $55,000</w:t>
      </w:r>
    </w:p>
    <w:p w14:paraId="4D7AE9AC" w14:textId="617A4ACA" w:rsidR="00435C19" w:rsidRPr="009A6D58" w:rsidRDefault="00435C19" w:rsidP="00BD0FF1">
      <w:pPr>
        <w:spacing w:after="120"/>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435C19">
        <w:rPr>
          <w:rFonts w:ascii="Arial Narrow" w:hAnsi="Arial Narrow" w:cs="Arial"/>
          <w:i/>
          <w:sz w:val="18"/>
          <w:szCs w:val="18"/>
        </w:rPr>
        <w:t>$</w:t>
      </w:r>
      <w:r>
        <w:rPr>
          <w:rFonts w:ascii="Arial Narrow" w:hAnsi="Arial Narrow" w:cs="Arial"/>
          <w:i/>
          <w:sz w:val="18"/>
          <w:szCs w:val="18"/>
        </w:rPr>
        <w:t>5</w:t>
      </w:r>
      <w:r w:rsidRPr="00435C19">
        <w:rPr>
          <w:rFonts w:ascii="Arial Narrow" w:hAnsi="Arial Narrow" w:cs="Arial"/>
          <w:i/>
          <w:sz w:val="18"/>
          <w:szCs w:val="18"/>
        </w:rPr>
        <w:t>5,000 to &lt; $</w:t>
      </w:r>
      <w:r>
        <w:rPr>
          <w:rFonts w:ascii="Arial Narrow" w:hAnsi="Arial Narrow" w:cs="Arial"/>
          <w:i/>
          <w:sz w:val="18"/>
          <w:szCs w:val="18"/>
        </w:rPr>
        <w:t>7</w:t>
      </w:r>
      <w:r w:rsidRPr="00435C19">
        <w:rPr>
          <w:rFonts w:ascii="Arial Narrow" w:hAnsi="Arial Narrow" w:cs="Arial"/>
          <w:i/>
          <w:sz w:val="18"/>
          <w:szCs w:val="18"/>
        </w:rPr>
        <w:t>5,000</w:t>
      </w:r>
    </w:p>
    <w:p w14:paraId="331D31CA" w14:textId="30333371" w:rsidR="00845C4D" w:rsidRPr="008C4198" w:rsidRDefault="00845C4D" w:rsidP="00845C4D">
      <w:pPr>
        <w:pStyle w:val="3-BodyText"/>
      </w:pPr>
      <w:r w:rsidRPr="008C4198">
        <w:t xml:space="preserve">The estimated use and financial implications </w:t>
      </w:r>
      <w:proofErr w:type="gramStart"/>
      <w:r w:rsidRPr="008C4198">
        <w:t>are provided</w:t>
      </w:r>
      <w:proofErr w:type="gramEnd"/>
      <w:r w:rsidRPr="008C4198">
        <w:t xml:space="preserve"> in </w:t>
      </w:r>
      <w:r w:rsidRPr="00FB2FC3">
        <w:fldChar w:fldCharType="begin" w:fldLock="1"/>
      </w:r>
      <w:r w:rsidRPr="008C4198">
        <w:instrText xml:space="preserve"> REF _Ref140490423 \h </w:instrText>
      </w:r>
      <w:r w:rsidR="00435C19">
        <w:instrText xml:space="preserve"> \* MERGEFORMAT </w:instrText>
      </w:r>
      <w:r w:rsidRPr="00FB2FC3">
        <w:fldChar w:fldCharType="separate"/>
      </w:r>
      <w:r w:rsidRPr="00BD0FF1">
        <w:t>Table 14</w:t>
      </w:r>
      <w:r w:rsidRPr="00FB2FC3">
        <w:fldChar w:fldCharType="end"/>
      </w:r>
      <w:r w:rsidRPr="008C4198">
        <w:t>.</w:t>
      </w:r>
    </w:p>
    <w:p w14:paraId="020BED46" w14:textId="77777777" w:rsidR="00845C4D" w:rsidRPr="008C4198" w:rsidRDefault="00845C4D" w:rsidP="00845C4D">
      <w:pPr>
        <w:rPr>
          <w:rFonts w:ascii="Arial Narrow" w:eastAsia="Arial Narrow" w:hAnsi="Arial Narrow" w:cs="Arial Narrow"/>
          <w:sz w:val="18"/>
          <w:szCs w:val="18"/>
        </w:rPr>
      </w:pPr>
    </w:p>
    <w:p w14:paraId="1E9A5692" w14:textId="0FE0236B" w:rsidR="00845C4D" w:rsidRPr="008C4198" w:rsidRDefault="00845C4D" w:rsidP="00845C4D">
      <w:pPr>
        <w:keepNext/>
      </w:pPr>
      <w:bookmarkStart w:id="53" w:name="_Ref140490423"/>
      <w:r w:rsidRPr="008C4198">
        <w:rPr>
          <w:rFonts w:ascii="Arial Narrow" w:hAnsi="Arial Narrow"/>
          <w:b/>
          <w:bCs/>
          <w:sz w:val="20"/>
          <w:szCs w:val="20"/>
        </w:rPr>
        <w:lastRenderedPageBreak/>
        <w:t xml:space="preserve">Table </w:t>
      </w:r>
      <w:r w:rsidRPr="00FB2FC3">
        <w:rPr>
          <w:rFonts w:ascii="Arial Narrow" w:hAnsi="Arial Narrow"/>
          <w:b/>
          <w:bCs/>
          <w:i/>
          <w:iCs/>
          <w:sz w:val="20"/>
          <w:szCs w:val="20"/>
        </w:rPr>
        <w:fldChar w:fldCharType="begin" w:fldLock="1"/>
      </w:r>
      <w:r w:rsidRPr="008C4198">
        <w:rPr>
          <w:rFonts w:ascii="Arial Narrow" w:hAnsi="Arial Narrow"/>
          <w:b/>
          <w:bCs/>
          <w:sz w:val="20"/>
          <w:szCs w:val="20"/>
        </w:rPr>
        <w:instrText xml:space="preserve"> SEQ Table \* ARABIC </w:instrText>
      </w:r>
      <w:r w:rsidRPr="00FB2FC3">
        <w:rPr>
          <w:rFonts w:ascii="Arial Narrow" w:hAnsi="Arial Narrow"/>
          <w:b/>
          <w:bCs/>
          <w:i/>
          <w:iCs/>
          <w:sz w:val="20"/>
          <w:szCs w:val="20"/>
        </w:rPr>
        <w:fldChar w:fldCharType="separate"/>
      </w:r>
      <w:r>
        <w:rPr>
          <w:rFonts w:ascii="Arial Narrow" w:hAnsi="Arial Narrow"/>
          <w:b/>
          <w:bCs/>
          <w:noProof/>
          <w:sz w:val="20"/>
          <w:szCs w:val="20"/>
        </w:rPr>
        <w:t>14</w:t>
      </w:r>
      <w:r w:rsidRPr="00FB2FC3">
        <w:rPr>
          <w:rFonts w:ascii="Arial Narrow" w:hAnsi="Arial Narrow"/>
          <w:b/>
          <w:bCs/>
          <w:i/>
          <w:iCs/>
          <w:sz w:val="20"/>
          <w:szCs w:val="20"/>
        </w:rPr>
        <w:fldChar w:fldCharType="end"/>
      </w:r>
      <w:bookmarkEnd w:id="53"/>
      <w:r w:rsidRPr="008C4198">
        <w:rPr>
          <w:rFonts w:ascii="Arial Narrow" w:hAnsi="Arial Narrow"/>
          <w:b/>
          <w:bCs/>
          <w:sz w:val="20"/>
          <w:szCs w:val="20"/>
        </w:rPr>
        <w:t>: Estimated use and financial implications</w:t>
      </w:r>
    </w:p>
    <w:tbl>
      <w:tblPr>
        <w:tblStyle w:val="TableGrid"/>
        <w:tblW w:w="9067" w:type="dxa"/>
        <w:tblLayout w:type="fixed"/>
        <w:tblCellMar>
          <w:left w:w="85" w:type="dxa"/>
          <w:right w:w="85" w:type="dxa"/>
        </w:tblCellMar>
        <w:tblLook w:val="04A0" w:firstRow="1" w:lastRow="0" w:firstColumn="1" w:lastColumn="0" w:noHBand="0" w:noVBand="1"/>
        <w:tblCaption w:val="Table 14: Estimated use and financial implications"/>
      </w:tblPr>
      <w:tblGrid>
        <w:gridCol w:w="1555"/>
        <w:gridCol w:w="1134"/>
        <w:gridCol w:w="1275"/>
        <w:gridCol w:w="1276"/>
        <w:gridCol w:w="1276"/>
        <w:gridCol w:w="1276"/>
        <w:gridCol w:w="1275"/>
      </w:tblGrid>
      <w:tr w:rsidR="00637846" w:rsidRPr="00637846" w14:paraId="579972DC" w14:textId="77777777" w:rsidTr="00BD0FF1">
        <w:trPr>
          <w:trHeight w:val="227"/>
        </w:trPr>
        <w:tc>
          <w:tcPr>
            <w:tcW w:w="1555" w:type="dxa"/>
            <w:tcBorders>
              <w:top w:val="single" w:sz="4" w:space="0" w:color="auto"/>
              <w:left w:val="single" w:sz="4" w:space="0" w:color="auto"/>
              <w:bottom w:val="single" w:sz="4" w:space="0" w:color="auto"/>
              <w:right w:val="single" w:sz="4" w:space="0" w:color="auto"/>
            </w:tcBorders>
          </w:tcPr>
          <w:p w14:paraId="21F7E51A" w14:textId="77777777" w:rsidR="00845C4D" w:rsidRPr="00435C19" w:rsidRDefault="00845C4D" w:rsidP="003370CF">
            <w:pPr>
              <w:pStyle w:val="TableText"/>
              <w:rPr>
                <w:b/>
                <w:bCs w:val="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1CDA8E" w14:textId="77777777" w:rsidR="00845C4D" w:rsidRPr="00435C19" w:rsidRDefault="00845C4D" w:rsidP="00BD0FF1">
            <w:pPr>
              <w:pStyle w:val="TableText"/>
              <w:jc w:val="center"/>
              <w:rPr>
                <w:b/>
                <w:bCs w:val="0"/>
                <w:szCs w:val="20"/>
                <w:lang w:eastAsia="en-US"/>
              </w:rPr>
            </w:pPr>
            <w:r w:rsidRPr="00435C19">
              <w:rPr>
                <w:b/>
                <w:bCs w:val="0"/>
                <w:szCs w:val="20"/>
                <w:lang w:eastAsia="en-US"/>
              </w:rPr>
              <w:t>Year 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F957B1" w14:textId="7D922BF1" w:rsidR="00845C4D" w:rsidRPr="00435C19" w:rsidRDefault="00845C4D" w:rsidP="00BD0FF1">
            <w:pPr>
              <w:pStyle w:val="TableText"/>
              <w:jc w:val="center"/>
              <w:rPr>
                <w:b/>
                <w:bCs w:val="0"/>
                <w:szCs w:val="20"/>
                <w:lang w:eastAsia="en-US"/>
              </w:rPr>
            </w:pPr>
            <w:r w:rsidRPr="00435C19">
              <w:rPr>
                <w:b/>
                <w:bCs w:val="0"/>
                <w:szCs w:val="20"/>
                <w:lang w:eastAsia="en-US"/>
              </w:rPr>
              <w:t>Year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A626E6" w14:textId="6BACAF90" w:rsidR="00845C4D" w:rsidRPr="00435C19" w:rsidRDefault="00845C4D" w:rsidP="00BD0FF1">
            <w:pPr>
              <w:pStyle w:val="TableText"/>
              <w:jc w:val="center"/>
              <w:rPr>
                <w:b/>
                <w:bCs w:val="0"/>
                <w:szCs w:val="20"/>
                <w:lang w:eastAsia="en-US"/>
              </w:rPr>
            </w:pPr>
            <w:r w:rsidRPr="00435C19">
              <w:rPr>
                <w:b/>
                <w:bCs w:val="0"/>
                <w:szCs w:val="20"/>
                <w:lang w:eastAsia="en-US"/>
              </w:rPr>
              <w:t>Year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2F1A4C" w14:textId="5AD8209F" w:rsidR="00845C4D" w:rsidRPr="00435C19" w:rsidRDefault="00845C4D" w:rsidP="00BD0FF1">
            <w:pPr>
              <w:pStyle w:val="TableText"/>
              <w:jc w:val="center"/>
              <w:rPr>
                <w:b/>
                <w:bCs w:val="0"/>
                <w:szCs w:val="20"/>
                <w:lang w:eastAsia="en-US"/>
              </w:rPr>
            </w:pPr>
            <w:r w:rsidRPr="00435C19">
              <w:rPr>
                <w:b/>
                <w:bCs w:val="0"/>
                <w:szCs w:val="20"/>
                <w:lang w:eastAsia="en-US"/>
              </w:rPr>
              <w:t>Year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10C027" w14:textId="30685099" w:rsidR="00845C4D" w:rsidRPr="00435C19" w:rsidRDefault="00845C4D" w:rsidP="00BD0FF1">
            <w:pPr>
              <w:pStyle w:val="TableText"/>
              <w:jc w:val="center"/>
              <w:rPr>
                <w:b/>
                <w:bCs w:val="0"/>
                <w:szCs w:val="20"/>
                <w:lang w:eastAsia="en-US"/>
              </w:rPr>
            </w:pPr>
            <w:r w:rsidRPr="00435C19">
              <w:rPr>
                <w:b/>
                <w:bCs w:val="0"/>
                <w:szCs w:val="20"/>
                <w:lang w:eastAsia="en-US"/>
              </w:rPr>
              <w:t>Year 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A8A39C" w14:textId="2CE8D972" w:rsidR="00845C4D" w:rsidRPr="00435C19" w:rsidRDefault="00845C4D" w:rsidP="00BD0FF1">
            <w:pPr>
              <w:pStyle w:val="TableText"/>
              <w:jc w:val="center"/>
              <w:rPr>
                <w:b/>
                <w:bCs w:val="0"/>
                <w:szCs w:val="20"/>
                <w:lang w:eastAsia="en-US"/>
              </w:rPr>
            </w:pPr>
            <w:r w:rsidRPr="00435C19">
              <w:rPr>
                <w:b/>
                <w:bCs w:val="0"/>
                <w:szCs w:val="20"/>
                <w:lang w:eastAsia="en-US"/>
              </w:rPr>
              <w:t>Year 6</w:t>
            </w:r>
          </w:p>
        </w:tc>
      </w:tr>
      <w:tr w:rsidR="00845C4D" w:rsidRPr="009F3B1C" w14:paraId="66CCD5C2" w14:textId="77777777" w:rsidTr="00BD0FF1">
        <w:trPr>
          <w:trHeight w:val="227"/>
        </w:trPr>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34D83DEF" w14:textId="77777777" w:rsidR="00845C4D" w:rsidRPr="00435C19" w:rsidRDefault="00845C4D" w:rsidP="00435C19">
            <w:pPr>
              <w:pStyle w:val="TableText"/>
              <w:rPr>
                <w:b/>
                <w:bCs w:val="0"/>
                <w:szCs w:val="20"/>
                <w:lang w:eastAsia="en-US"/>
              </w:rPr>
            </w:pPr>
            <w:r w:rsidRPr="00435C19">
              <w:rPr>
                <w:b/>
                <w:bCs w:val="0"/>
                <w:szCs w:val="20"/>
                <w:lang w:eastAsia="en-US"/>
              </w:rPr>
              <w:t>Revised estimated extent of use</w:t>
            </w:r>
          </w:p>
        </w:tc>
      </w:tr>
      <w:tr w:rsidR="00637846" w:rsidRPr="00637846" w14:paraId="3DB674AE" w14:textId="77777777" w:rsidTr="00BD0FF1">
        <w:trPr>
          <w:trHeight w:val="227"/>
        </w:trPr>
        <w:tc>
          <w:tcPr>
            <w:tcW w:w="1555" w:type="dxa"/>
            <w:tcBorders>
              <w:top w:val="single" w:sz="4" w:space="0" w:color="auto"/>
              <w:left w:val="single" w:sz="4" w:space="0" w:color="auto"/>
              <w:bottom w:val="single" w:sz="4" w:space="0" w:color="auto"/>
              <w:right w:val="single" w:sz="4" w:space="0" w:color="auto"/>
            </w:tcBorders>
            <w:vAlign w:val="center"/>
            <w:hideMark/>
          </w:tcPr>
          <w:p w14:paraId="5B316ECF" w14:textId="77777777" w:rsidR="00845C4D" w:rsidRPr="00435C19" w:rsidRDefault="00845C4D" w:rsidP="00435C19">
            <w:pPr>
              <w:pStyle w:val="TableText"/>
              <w:rPr>
                <w:szCs w:val="20"/>
                <w:lang w:eastAsia="en-US"/>
              </w:rPr>
            </w:pPr>
            <w:r w:rsidRPr="00435C19">
              <w:rPr>
                <w:szCs w:val="20"/>
                <w:lang w:eastAsia="en-US"/>
              </w:rPr>
              <w:t xml:space="preserve">Number of patients treated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74D44B" w14:textId="4533E87E" w:rsidR="00845C4D" w:rsidRPr="00435C19" w:rsidRDefault="00AE45EC" w:rsidP="00BD0FF1">
            <w:pPr>
              <w:pStyle w:val="TableText"/>
              <w:jc w:val="center"/>
              <w:rPr>
                <w:szCs w:val="20"/>
                <w:lang w:eastAsia="en-US"/>
              </w:rPr>
            </w:pPr>
            <w:r w:rsidRPr="00AE45EC">
              <w:rPr>
                <w:color w:val="000000"/>
                <w:spacing w:val="65"/>
                <w:szCs w:val="20"/>
                <w:shd w:val="solid" w:color="000000" w:fill="000000"/>
                <w:fitText w:val="151" w:id="-1167912695"/>
                <w:lang w:eastAsia="en-US"/>
                <w14:textFill>
                  <w14:solidFill>
                    <w14:srgbClr w14:val="000000">
                      <w14:alpha w14:val="100000"/>
                    </w14:srgbClr>
                  </w14:solidFill>
                </w14:textFill>
              </w:rPr>
              <w:t>|</w:t>
            </w:r>
            <w:r w:rsidRPr="00AE45EC">
              <w:rPr>
                <w:color w:val="000000"/>
                <w:spacing w:val="1"/>
                <w:szCs w:val="20"/>
                <w:shd w:val="solid" w:color="000000" w:fill="000000"/>
                <w:fitText w:val="151" w:id="-1167912695"/>
                <w:lang w:eastAsia="en-US"/>
                <w14:textFill>
                  <w14:solidFill>
                    <w14:srgbClr w14:val="000000">
                      <w14:alpha w14:val="100000"/>
                    </w14:srgbClr>
                  </w14:solidFill>
                </w14:textFill>
              </w:rPr>
              <w:t>|</w:t>
            </w:r>
            <w:r w:rsidR="00435C19">
              <w:rPr>
                <w:szCs w:val="20"/>
                <w:lang w:eastAsia="en-US"/>
              </w:rPr>
              <w:t xml:space="preserve"> </w:t>
            </w:r>
            <w:r w:rsidR="00845C4D" w:rsidRPr="00435C19">
              <w:rPr>
                <w:szCs w:val="20"/>
                <w:vertAlign w:val="superscript"/>
                <w:lang w:eastAsia="en-US"/>
              </w:rPr>
              <w:t>a</w:t>
            </w:r>
            <w:r w:rsidR="00435C19">
              <w:rPr>
                <w:szCs w:val="20"/>
                <w:vertAlign w:val="superscript"/>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00F39A" w14:textId="409C6C10" w:rsidR="00845C4D" w:rsidRPr="00BD0FF1" w:rsidRDefault="00AE45EC" w:rsidP="00BD0FF1">
            <w:pPr>
              <w:pStyle w:val="TableText"/>
              <w:jc w:val="center"/>
              <w:rPr>
                <w:szCs w:val="20"/>
                <w:vertAlign w:val="superscript"/>
                <w:lang w:eastAsia="en-US"/>
              </w:rPr>
            </w:pPr>
            <w:r w:rsidRPr="00AE45EC">
              <w:rPr>
                <w:rFonts w:hint="eastAsia"/>
                <w:color w:val="000000"/>
                <w:w w:val="15"/>
                <w:szCs w:val="20"/>
                <w:shd w:val="solid" w:color="000000" w:fill="000000"/>
                <w:fitText w:val="50" w:id="-1167912694"/>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94"/>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94"/>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8E10D1" w14:textId="40362F63"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693"/>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693"/>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693"/>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2812C4" w14:textId="1D853F19"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692"/>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692"/>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692"/>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64D82D" w14:textId="61F04B51"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7" w:id="-1167912691"/>
                <w:lang w:eastAsia="en-US"/>
                <w14:textFill>
                  <w14:solidFill>
                    <w14:srgbClr w14:val="000000">
                      <w14:alpha w14:val="100000"/>
                    </w14:srgbClr>
                  </w14:solidFill>
                </w14:textFill>
              </w:rPr>
              <w:t xml:space="preserve">　</w:t>
            </w:r>
            <w:r w:rsidRPr="00AE45EC">
              <w:rPr>
                <w:color w:val="000000"/>
                <w:w w:val="15"/>
                <w:szCs w:val="20"/>
                <w:shd w:val="solid" w:color="000000" w:fill="000000"/>
                <w:fitText w:val="37" w:id="-1167912691"/>
                <w:lang w:eastAsia="en-US"/>
                <w14:textFill>
                  <w14:solidFill>
                    <w14:srgbClr w14:val="000000">
                      <w14:alpha w14:val="100000"/>
                    </w14:srgbClr>
                  </w14:solidFill>
                </w14:textFill>
              </w:rPr>
              <w:t>|</w:t>
            </w:r>
            <w:r w:rsidRPr="00AE45EC">
              <w:rPr>
                <w:rFonts w:hint="eastAsia"/>
                <w:color w:val="000000"/>
                <w:spacing w:val="-28"/>
                <w:w w:val="15"/>
                <w:szCs w:val="20"/>
                <w:shd w:val="solid" w:color="000000" w:fill="000000"/>
                <w:fitText w:val="37" w:id="-1167912691"/>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C5EA33" w14:textId="62CD2AD8"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690"/>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90"/>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90"/>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1</w:t>
            </w:r>
          </w:p>
        </w:tc>
      </w:tr>
      <w:tr w:rsidR="00637846" w:rsidRPr="00637846" w14:paraId="40BF9ADD" w14:textId="77777777" w:rsidTr="00BD0FF1">
        <w:trPr>
          <w:trHeight w:val="227"/>
        </w:trPr>
        <w:tc>
          <w:tcPr>
            <w:tcW w:w="1555" w:type="dxa"/>
            <w:tcBorders>
              <w:top w:val="single" w:sz="4" w:space="0" w:color="auto"/>
              <w:left w:val="single" w:sz="4" w:space="0" w:color="auto"/>
              <w:bottom w:val="single" w:sz="4" w:space="0" w:color="auto"/>
              <w:right w:val="single" w:sz="4" w:space="0" w:color="auto"/>
            </w:tcBorders>
            <w:vAlign w:val="center"/>
            <w:hideMark/>
          </w:tcPr>
          <w:p w14:paraId="1BA6FBFF" w14:textId="24BB6BEE" w:rsidR="00845C4D" w:rsidRPr="00435C19" w:rsidRDefault="00845C4D" w:rsidP="00435C19">
            <w:pPr>
              <w:pStyle w:val="TableText"/>
              <w:rPr>
                <w:szCs w:val="20"/>
                <w:lang w:eastAsia="en-US"/>
              </w:rPr>
            </w:pPr>
            <w:r w:rsidRPr="00435C19">
              <w:rPr>
                <w:szCs w:val="20"/>
                <w:lang w:eastAsia="en-US"/>
              </w:rPr>
              <w:t>Number of scripts dispensed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1E35BC" w14:textId="44520BD2" w:rsidR="00845C4D" w:rsidRPr="00BD0FF1" w:rsidRDefault="00AE45EC" w:rsidP="00BD0FF1">
            <w:pPr>
              <w:pStyle w:val="TableText"/>
              <w:jc w:val="center"/>
              <w:rPr>
                <w:szCs w:val="20"/>
                <w:highlight w:val="darkGray"/>
                <w:lang w:eastAsia="en-US"/>
              </w:rPr>
            </w:pPr>
            <w:r w:rsidRPr="00AE45EC">
              <w:rPr>
                <w:rFonts w:hint="eastAsia"/>
                <w:color w:val="000000"/>
                <w:w w:val="25"/>
                <w:szCs w:val="20"/>
                <w:shd w:val="solid" w:color="000000" w:fill="000000"/>
                <w:fitText w:val="113" w:id="-1167912689"/>
                <w:lang w:eastAsia="en-US"/>
                <w14:textFill>
                  <w14:solidFill>
                    <w14:srgbClr w14:val="000000">
                      <w14:alpha w14:val="100000"/>
                    </w14:srgbClr>
                  </w14:solidFill>
                </w14:textFill>
              </w:rPr>
              <w:t xml:space="preserve">　</w:t>
            </w:r>
            <w:r w:rsidRPr="00AE45EC">
              <w:rPr>
                <w:color w:val="000000"/>
                <w:w w:val="25"/>
                <w:szCs w:val="20"/>
                <w:shd w:val="solid" w:color="000000" w:fill="000000"/>
                <w:fitText w:val="113" w:id="-1167912689"/>
                <w:lang w:eastAsia="en-US"/>
                <w14:textFill>
                  <w14:solidFill>
                    <w14:srgbClr w14:val="000000">
                      <w14:alpha w14:val="100000"/>
                    </w14:srgbClr>
                  </w14:solidFill>
                </w14:textFill>
              </w:rPr>
              <w:t>|</w:t>
            </w:r>
            <w:r w:rsidRPr="00AE45EC">
              <w:rPr>
                <w:rFonts w:hint="eastAsia"/>
                <w:color w:val="000000"/>
                <w:spacing w:val="2"/>
                <w:w w:val="25"/>
                <w:szCs w:val="20"/>
                <w:shd w:val="solid" w:color="000000" w:fill="000000"/>
                <w:fitText w:val="113" w:id="-1167912689"/>
                <w:lang w:eastAsia="en-US"/>
                <w14:textFill>
                  <w14:solidFill>
                    <w14:srgbClr w14:val="000000">
                      <w14:alpha w14:val="100000"/>
                    </w14:srgbClr>
                  </w14:solidFill>
                </w14:textFill>
              </w:rPr>
              <w:t xml:space="preserve">　</w:t>
            </w:r>
            <w:r w:rsidR="00435C19" w:rsidRPr="001D4A3E">
              <w:rPr>
                <w:szCs w:val="20"/>
                <w:lang w:eastAsia="en-US"/>
              </w:rPr>
              <w:t xml:space="preserve"> </w:t>
            </w:r>
            <w:r w:rsidR="00435C19" w:rsidRPr="001D4A3E">
              <w:rPr>
                <w:szCs w:val="20"/>
                <w:vertAlign w:val="superscript"/>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004DCE" w14:textId="14A6FF62"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688"/>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88"/>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88"/>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B5AFE0" w14:textId="642F8DE2"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704"/>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704"/>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704"/>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290EA1" w14:textId="62FDDF07"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703"/>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703"/>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703"/>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22D97C" w14:textId="6B0327D2"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7" w:id="-1167912702"/>
                <w:lang w:eastAsia="en-US"/>
                <w14:textFill>
                  <w14:solidFill>
                    <w14:srgbClr w14:val="000000">
                      <w14:alpha w14:val="100000"/>
                    </w14:srgbClr>
                  </w14:solidFill>
                </w14:textFill>
              </w:rPr>
              <w:t xml:space="preserve">　</w:t>
            </w:r>
            <w:r w:rsidRPr="00AE45EC">
              <w:rPr>
                <w:color w:val="000000"/>
                <w:w w:val="15"/>
                <w:szCs w:val="20"/>
                <w:shd w:val="solid" w:color="000000" w:fill="000000"/>
                <w:fitText w:val="37" w:id="-1167912702"/>
                <w:lang w:eastAsia="en-US"/>
                <w14:textFill>
                  <w14:solidFill>
                    <w14:srgbClr w14:val="000000">
                      <w14:alpha w14:val="100000"/>
                    </w14:srgbClr>
                  </w14:solidFill>
                </w14:textFill>
              </w:rPr>
              <w:t>|</w:t>
            </w:r>
            <w:r w:rsidRPr="00AE45EC">
              <w:rPr>
                <w:rFonts w:hint="eastAsia"/>
                <w:color w:val="000000"/>
                <w:spacing w:val="-28"/>
                <w:w w:val="15"/>
                <w:szCs w:val="20"/>
                <w:shd w:val="solid" w:color="000000" w:fill="000000"/>
                <w:fitText w:val="37" w:id="-1167912702"/>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FE16DB" w14:textId="1A462418"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701"/>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701"/>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701"/>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2</w:t>
            </w:r>
          </w:p>
        </w:tc>
      </w:tr>
      <w:tr w:rsidR="00845C4D" w:rsidRPr="009F3B1C" w14:paraId="7C1E9D2B" w14:textId="77777777" w:rsidTr="00BD0FF1">
        <w:trPr>
          <w:trHeight w:val="227"/>
        </w:trPr>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11A4D8D2" w14:textId="2CE8B784" w:rsidR="00845C4D" w:rsidRPr="00435C19" w:rsidRDefault="00845C4D" w:rsidP="00435C19">
            <w:pPr>
              <w:pStyle w:val="TableText"/>
              <w:rPr>
                <w:b/>
                <w:bCs w:val="0"/>
                <w:szCs w:val="20"/>
                <w:lang w:eastAsia="en-US"/>
              </w:rPr>
            </w:pPr>
            <w:r w:rsidRPr="00435C19">
              <w:rPr>
                <w:b/>
                <w:bCs w:val="0"/>
                <w:szCs w:val="20"/>
                <w:lang w:eastAsia="en-US"/>
              </w:rPr>
              <w:t>Revised estimated financial implications (DPMQ=$</w:t>
            </w:r>
            <w:r w:rsidR="00AE45EC" w:rsidRPr="00AE45EC">
              <w:rPr>
                <w:b/>
                <w:bCs w:val="0"/>
                <w:color w:val="000000"/>
                <w:spacing w:val="55"/>
                <w:szCs w:val="20"/>
                <w:shd w:val="solid" w:color="000000" w:fill="000000"/>
                <w:fitText w:val="350" w:id="-1167912700"/>
                <w:lang w:eastAsia="en-US"/>
                <w14:textFill>
                  <w14:solidFill>
                    <w14:srgbClr w14:val="000000">
                      <w14:alpha w14:val="100000"/>
                    </w14:srgbClr>
                  </w14:solidFill>
                </w14:textFill>
              </w:rPr>
              <w:t>|||</w:t>
            </w:r>
            <w:r w:rsidR="00AE45EC" w:rsidRPr="00AE45EC">
              <w:rPr>
                <w:b/>
                <w:bCs w:val="0"/>
                <w:color w:val="000000"/>
                <w:spacing w:val="2"/>
                <w:szCs w:val="20"/>
                <w:shd w:val="solid" w:color="000000" w:fill="000000"/>
                <w:fitText w:val="350" w:id="-1167912700"/>
                <w:lang w:eastAsia="en-US"/>
                <w14:textFill>
                  <w14:solidFill>
                    <w14:srgbClr w14:val="000000">
                      <w14:alpha w14:val="100000"/>
                    </w14:srgbClr>
                  </w14:solidFill>
                </w14:textFill>
              </w:rPr>
              <w:t>|</w:t>
            </w:r>
            <w:r w:rsidRPr="00435C19">
              <w:rPr>
                <w:b/>
                <w:bCs w:val="0"/>
                <w:szCs w:val="20"/>
                <w:lang w:eastAsia="en-US"/>
              </w:rPr>
              <w:t>)</w:t>
            </w:r>
          </w:p>
        </w:tc>
      </w:tr>
      <w:tr w:rsidR="00637846" w:rsidRPr="00637846" w14:paraId="18DE84AA" w14:textId="77777777" w:rsidTr="00BD0FF1">
        <w:trPr>
          <w:trHeight w:val="227"/>
        </w:trPr>
        <w:tc>
          <w:tcPr>
            <w:tcW w:w="1555" w:type="dxa"/>
            <w:tcBorders>
              <w:top w:val="single" w:sz="4" w:space="0" w:color="auto"/>
              <w:left w:val="single" w:sz="4" w:space="0" w:color="auto"/>
              <w:bottom w:val="single" w:sz="4" w:space="0" w:color="auto"/>
              <w:right w:val="single" w:sz="4" w:space="0" w:color="auto"/>
            </w:tcBorders>
            <w:vAlign w:val="center"/>
            <w:hideMark/>
          </w:tcPr>
          <w:p w14:paraId="3D807342" w14:textId="77777777" w:rsidR="00845C4D" w:rsidRPr="00435C19" w:rsidRDefault="00845C4D" w:rsidP="00435C19">
            <w:pPr>
              <w:pStyle w:val="TableText"/>
              <w:rPr>
                <w:szCs w:val="20"/>
                <w:lang w:eastAsia="en-US"/>
              </w:rPr>
            </w:pPr>
            <w:r w:rsidRPr="00435C19">
              <w:rPr>
                <w:szCs w:val="20"/>
                <w:lang w:eastAsia="en-US"/>
              </w:rPr>
              <w:t xml:space="preserve">Net Cost to PBS/RPBS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D26F8A" w14:textId="19E7CC77" w:rsidR="00845C4D" w:rsidRPr="00435C19" w:rsidRDefault="00AE45EC" w:rsidP="00BD0FF1">
            <w:pPr>
              <w:pStyle w:val="TableText"/>
              <w:jc w:val="center"/>
              <w:rPr>
                <w:szCs w:val="20"/>
                <w:lang w:eastAsia="en-US"/>
              </w:rPr>
            </w:pPr>
            <w:r w:rsidRPr="00AE45EC">
              <w:rPr>
                <w:rFonts w:hint="eastAsia"/>
                <w:color w:val="000000"/>
                <w:w w:val="25"/>
                <w:szCs w:val="20"/>
                <w:shd w:val="solid" w:color="000000" w:fill="000000"/>
                <w:fitText w:val="113" w:id="-1167912699"/>
                <w:lang w:eastAsia="en-US"/>
                <w14:textFill>
                  <w14:solidFill>
                    <w14:srgbClr w14:val="000000">
                      <w14:alpha w14:val="100000"/>
                    </w14:srgbClr>
                  </w14:solidFill>
                </w14:textFill>
              </w:rPr>
              <w:t xml:space="preserve">　</w:t>
            </w:r>
            <w:r w:rsidRPr="00AE45EC">
              <w:rPr>
                <w:color w:val="000000"/>
                <w:w w:val="25"/>
                <w:szCs w:val="20"/>
                <w:shd w:val="solid" w:color="000000" w:fill="000000"/>
                <w:fitText w:val="113" w:id="-1167912699"/>
                <w:lang w:eastAsia="en-US"/>
                <w14:textFill>
                  <w14:solidFill>
                    <w14:srgbClr w14:val="000000">
                      <w14:alpha w14:val="100000"/>
                    </w14:srgbClr>
                  </w14:solidFill>
                </w14:textFill>
              </w:rPr>
              <w:t>|</w:t>
            </w:r>
            <w:r w:rsidRPr="00AE45EC">
              <w:rPr>
                <w:rFonts w:hint="eastAsia"/>
                <w:color w:val="000000"/>
                <w:spacing w:val="2"/>
                <w:w w:val="25"/>
                <w:szCs w:val="20"/>
                <w:shd w:val="solid" w:color="000000" w:fill="000000"/>
                <w:fitText w:val="113" w:id="-1167912699"/>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0DBC54" w14:textId="1DD1F3C6"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698"/>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98"/>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98"/>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FEA907" w14:textId="144B507F"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697"/>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697"/>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697"/>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A72218" w14:textId="4EE1FFF9"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696"/>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696"/>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696"/>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D3E788" w14:textId="7C991591"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7" w:id="-1167912695"/>
                <w:lang w:eastAsia="en-US"/>
                <w14:textFill>
                  <w14:solidFill>
                    <w14:srgbClr w14:val="000000">
                      <w14:alpha w14:val="100000"/>
                    </w14:srgbClr>
                  </w14:solidFill>
                </w14:textFill>
              </w:rPr>
              <w:t xml:space="preserve">　</w:t>
            </w:r>
            <w:r w:rsidRPr="00AE45EC">
              <w:rPr>
                <w:color w:val="000000"/>
                <w:w w:val="15"/>
                <w:szCs w:val="20"/>
                <w:shd w:val="solid" w:color="000000" w:fill="000000"/>
                <w:fitText w:val="37" w:id="-1167912695"/>
                <w:lang w:eastAsia="en-US"/>
                <w14:textFill>
                  <w14:solidFill>
                    <w14:srgbClr w14:val="000000">
                      <w14:alpha w14:val="100000"/>
                    </w14:srgbClr>
                  </w14:solidFill>
                </w14:textFill>
              </w:rPr>
              <w:t>|</w:t>
            </w:r>
            <w:r w:rsidRPr="00AE45EC">
              <w:rPr>
                <w:rFonts w:hint="eastAsia"/>
                <w:color w:val="000000"/>
                <w:spacing w:val="-28"/>
                <w:w w:val="15"/>
                <w:szCs w:val="20"/>
                <w:shd w:val="solid" w:color="000000" w:fill="000000"/>
                <w:fitText w:val="37" w:id="-1167912695"/>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662D24" w14:textId="54B6BF99"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694"/>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94"/>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94"/>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r>
      <w:tr w:rsidR="00637846" w:rsidRPr="00637846" w14:paraId="3947BC8C" w14:textId="77777777" w:rsidTr="00BD0FF1">
        <w:trPr>
          <w:trHeight w:val="227"/>
        </w:trPr>
        <w:tc>
          <w:tcPr>
            <w:tcW w:w="1555" w:type="dxa"/>
            <w:tcBorders>
              <w:top w:val="single" w:sz="4" w:space="0" w:color="auto"/>
              <w:left w:val="single" w:sz="4" w:space="0" w:color="auto"/>
              <w:bottom w:val="single" w:sz="4" w:space="0" w:color="auto"/>
              <w:right w:val="single" w:sz="4" w:space="0" w:color="auto"/>
            </w:tcBorders>
            <w:vAlign w:val="center"/>
            <w:hideMark/>
          </w:tcPr>
          <w:p w14:paraId="2B942548" w14:textId="77777777" w:rsidR="00845C4D" w:rsidRPr="00435C19" w:rsidRDefault="00845C4D" w:rsidP="00435C19">
            <w:pPr>
              <w:pStyle w:val="TableText"/>
              <w:rPr>
                <w:szCs w:val="20"/>
                <w:lang w:eastAsia="en-US"/>
              </w:rPr>
            </w:pPr>
            <w:r w:rsidRPr="00435C19">
              <w:rPr>
                <w:szCs w:val="20"/>
                <w:lang w:eastAsia="en-US"/>
              </w:rPr>
              <w:t xml:space="preserve">Cost to MBS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67057C" w14:textId="1EA10D3F" w:rsidR="00845C4D" w:rsidRPr="00435C19" w:rsidRDefault="00AE45EC" w:rsidP="00BD0FF1">
            <w:pPr>
              <w:pStyle w:val="TableText"/>
              <w:jc w:val="center"/>
              <w:rPr>
                <w:szCs w:val="20"/>
                <w:lang w:eastAsia="en-US"/>
              </w:rPr>
            </w:pPr>
            <w:r w:rsidRPr="00AE45EC">
              <w:rPr>
                <w:rFonts w:hint="eastAsia"/>
                <w:color w:val="000000"/>
                <w:w w:val="25"/>
                <w:szCs w:val="20"/>
                <w:shd w:val="solid" w:color="000000" w:fill="000000"/>
                <w:fitText w:val="113" w:id="-1167912693"/>
                <w:lang w:eastAsia="en-US"/>
                <w14:textFill>
                  <w14:solidFill>
                    <w14:srgbClr w14:val="000000">
                      <w14:alpha w14:val="100000"/>
                    </w14:srgbClr>
                  </w14:solidFill>
                </w14:textFill>
              </w:rPr>
              <w:t xml:space="preserve">　</w:t>
            </w:r>
            <w:r w:rsidRPr="00AE45EC">
              <w:rPr>
                <w:color w:val="000000"/>
                <w:w w:val="25"/>
                <w:szCs w:val="20"/>
                <w:shd w:val="solid" w:color="000000" w:fill="000000"/>
                <w:fitText w:val="113" w:id="-1167912693"/>
                <w:lang w:eastAsia="en-US"/>
                <w14:textFill>
                  <w14:solidFill>
                    <w14:srgbClr w14:val="000000">
                      <w14:alpha w14:val="100000"/>
                    </w14:srgbClr>
                  </w14:solidFill>
                </w14:textFill>
              </w:rPr>
              <w:t>|</w:t>
            </w:r>
            <w:r w:rsidRPr="00AE45EC">
              <w:rPr>
                <w:rFonts w:hint="eastAsia"/>
                <w:color w:val="000000"/>
                <w:spacing w:val="2"/>
                <w:w w:val="25"/>
                <w:szCs w:val="20"/>
                <w:shd w:val="solid" w:color="000000" w:fill="000000"/>
                <w:fitText w:val="113" w:id="-1167912693"/>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4A4715" w14:textId="1557CA58"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692"/>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92"/>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92"/>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95ACCC" w14:textId="52FE586C"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691"/>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691"/>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691"/>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12E27B" w14:textId="5251B138"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690"/>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690"/>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690"/>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875065" w14:textId="6A7A7143"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7" w:id="-1167912689"/>
                <w:lang w:eastAsia="en-US"/>
                <w14:textFill>
                  <w14:solidFill>
                    <w14:srgbClr w14:val="000000">
                      <w14:alpha w14:val="100000"/>
                    </w14:srgbClr>
                  </w14:solidFill>
                </w14:textFill>
              </w:rPr>
              <w:t xml:space="preserve">　</w:t>
            </w:r>
            <w:r w:rsidRPr="00AE45EC">
              <w:rPr>
                <w:color w:val="000000"/>
                <w:w w:val="15"/>
                <w:szCs w:val="20"/>
                <w:shd w:val="solid" w:color="000000" w:fill="000000"/>
                <w:fitText w:val="37" w:id="-1167912689"/>
                <w:lang w:eastAsia="en-US"/>
                <w14:textFill>
                  <w14:solidFill>
                    <w14:srgbClr w14:val="000000">
                      <w14:alpha w14:val="100000"/>
                    </w14:srgbClr>
                  </w14:solidFill>
                </w14:textFill>
              </w:rPr>
              <w:t>|</w:t>
            </w:r>
            <w:r w:rsidRPr="00AE45EC">
              <w:rPr>
                <w:rFonts w:hint="eastAsia"/>
                <w:color w:val="000000"/>
                <w:spacing w:val="-28"/>
                <w:w w:val="15"/>
                <w:szCs w:val="20"/>
                <w:shd w:val="solid" w:color="000000" w:fill="000000"/>
                <w:fitText w:val="37" w:id="-1167912689"/>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23DFA6" w14:textId="19D0C817"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688"/>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88"/>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88"/>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4</w:t>
            </w:r>
          </w:p>
        </w:tc>
      </w:tr>
      <w:tr w:rsidR="00637846" w:rsidRPr="00637846" w14:paraId="75B5C24F" w14:textId="77777777" w:rsidTr="00BD0FF1">
        <w:trPr>
          <w:trHeight w:val="227"/>
        </w:trPr>
        <w:tc>
          <w:tcPr>
            <w:tcW w:w="1555" w:type="dxa"/>
            <w:tcBorders>
              <w:top w:val="single" w:sz="4" w:space="0" w:color="auto"/>
              <w:left w:val="single" w:sz="4" w:space="0" w:color="auto"/>
              <w:bottom w:val="single" w:sz="4" w:space="0" w:color="auto"/>
              <w:right w:val="single" w:sz="4" w:space="0" w:color="auto"/>
            </w:tcBorders>
            <w:vAlign w:val="center"/>
            <w:hideMark/>
          </w:tcPr>
          <w:p w14:paraId="10190727" w14:textId="77777777" w:rsidR="00845C4D" w:rsidRPr="00435C19" w:rsidRDefault="00845C4D" w:rsidP="00435C19">
            <w:pPr>
              <w:pStyle w:val="TableText"/>
              <w:rPr>
                <w:szCs w:val="20"/>
                <w:lang w:eastAsia="en-US"/>
              </w:rPr>
            </w:pPr>
            <w:r w:rsidRPr="00435C19">
              <w:rPr>
                <w:szCs w:val="20"/>
                <w:lang w:eastAsia="en-US"/>
              </w:rPr>
              <w:t xml:space="preserve">Net cost to health budget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410CD" w14:textId="1BEAC345" w:rsidR="00845C4D" w:rsidRPr="00435C19" w:rsidRDefault="00AE45EC" w:rsidP="00BD0FF1">
            <w:pPr>
              <w:pStyle w:val="TableText"/>
              <w:jc w:val="center"/>
              <w:rPr>
                <w:szCs w:val="20"/>
                <w:lang w:eastAsia="en-US"/>
              </w:rPr>
            </w:pPr>
            <w:r w:rsidRPr="00AE45EC">
              <w:rPr>
                <w:rFonts w:hint="eastAsia"/>
                <w:color w:val="000000"/>
                <w:w w:val="25"/>
                <w:szCs w:val="20"/>
                <w:shd w:val="solid" w:color="000000" w:fill="000000"/>
                <w:fitText w:val="113" w:id="-1167912704"/>
                <w:lang w:eastAsia="en-US"/>
                <w14:textFill>
                  <w14:solidFill>
                    <w14:srgbClr w14:val="000000">
                      <w14:alpha w14:val="100000"/>
                    </w14:srgbClr>
                  </w14:solidFill>
                </w14:textFill>
              </w:rPr>
              <w:t xml:space="preserve">　</w:t>
            </w:r>
            <w:r w:rsidRPr="00AE45EC">
              <w:rPr>
                <w:color w:val="000000"/>
                <w:w w:val="25"/>
                <w:szCs w:val="20"/>
                <w:shd w:val="solid" w:color="000000" w:fill="000000"/>
                <w:fitText w:val="113" w:id="-1167912704"/>
                <w:lang w:eastAsia="en-US"/>
                <w14:textFill>
                  <w14:solidFill>
                    <w14:srgbClr w14:val="000000">
                      <w14:alpha w14:val="100000"/>
                    </w14:srgbClr>
                  </w14:solidFill>
                </w14:textFill>
              </w:rPr>
              <w:t>|</w:t>
            </w:r>
            <w:r w:rsidRPr="00AE45EC">
              <w:rPr>
                <w:rFonts w:hint="eastAsia"/>
                <w:color w:val="000000"/>
                <w:spacing w:val="2"/>
                <w:w w:val="25"/>
                <w:szCs w:val="20"/>
                <w:shd w:val="solid" w:color="000000" w:fill="000000"/>
                <w:fitText w:val="113" w:id="-1167912704"/>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553B4" w14:textId="18B26531"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703"/>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703"/>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703"/>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18E1F4" w14:textId="2AE5283D"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702"/>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702"/>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702"/>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A12502" w14:textId="50F89552"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701"/>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701"/>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701"/>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158F9F" w14:textId="5E55625B"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7" w:id="-1167912700"/>
                <w:lang w:eastAsia="en-US"/>
                <w14:textFill>
                  <w14:solidFill>
                    <w14:srgbClr w14:val="000000">
                      <w14:alpha w14:val="100000"/>
                    </w14:srgbClr>
                  </w14:solidFill>
                </w14:textFill>
              </w:rPr>
              <w:t xml:space="preserve">　</w:t>
            </w:r>
            <w:r w:rsidRPr="00AE45EC">
              <w:rPr>
                <w:color w:val="000000"/>
                <w:w w:val="15"/>
                <w:szCs w:val="20"/>
                <w:shd w:val="solid" w:color="000000" w:fill="000000"/>
                <w:fitText w:val="37" w:id="-1167912700"/>
                <w:lang w:eastAsia="en-US"/>
                <w14:textFill>
                  <w14:solidFill>
                    <w14:srgbClr w14:val="000000">
                      <w14:alpha w14:val="100000"/>
                    </w14:srgbClr>
                  </w14:solidFill>
                </w14:textFill>
              </w:rPr>
              <w:t>|</w:t>
            </w:r>
            <w:r w:rsidRPr="00AE45EC">
              <w:rPr>
                <w:rFonts w:hint="eastAsia"/>
                <w:color w:val="000000"/>
                <w:spacing w:val="-28"/>
                <w:w w:val="15"/>
                <w:szCs w:val="20"/>
                <w:shd w:val="solid" w:color="000000" w:fill="000000"/>
                <w:fitText w:val="37" w:id="-1167912700"/>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33B50E" w14:textId="53DB33F8"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699"/>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99"/>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99"/>
                <w:lang w:eastAsia="en-US"/>
                <w14:textFill>
                  <w14:solidFill>
                    <w14:srgbClr w14:val="000000">
                      <w14:alpha w14:val="100000"/>
                    </w14:srgbClr>
                  </w14:solidFill>
                </w14:textFill>
              </w:rPr>
              <w:t xml:space="preserve">　</w:t>
            </w:r>
            <w:r w:rsidR="00435C19">
              <w:rPr>
                <w:szCs w:val="20"/>
                <w:lang w:eastAsia="en-US"/>
              </w:rPr>
              <w:t xml:space="preserve"> </w:t>
            </w:r>
            <w:r w:rsidR="00435C19">
              <w:rPr>
                <w:szCs w:val="20"/>
                <w:vertAlign w:val="superscript"/>
                <w:lang w:eastAsia="en-US"/>
              </w:rPr>
              <w:t>3</w:t>
            </w:r>
          </w:p>
        </w:tc>
      </w:tr>
      <w:tr w:rsidR="00845C4D" w:rsidRPr="009F3B1C" w14:paraId="7AF7361C" w14:textId="77777777" w:rsidTr="00BD0FF1">
        <w:trPr>
          <w:trHeight w:val="227"/>
        </w:trPr>
        <w:tc>
          <w:tcPr>
            <w:tcW w:w="906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EC43F0" w14:textId="77777777" w:rsidR="00845C4D" w:rsidRPr="00435C19" w:rsidRDefault="00845C4D" w:rsidP="00435C19">
            <w:pPr>
              <w:pStyle w:val="TableText"/>
              <w:rPr>
                <w:b/>
                <w:bCs w:val="0"/>
                <w:szCs w:val="20"/>
                <w:lang w:eastAsia="en-US"/>
              </w:rPr>
            </w:pPr>
            <w:r w:rsidRPr="00435C19">
              <w:rPr>
                <w:b/>
                <w:bCs w:val="0"/>
                <w:szCs w:val="20"/>
                <w:lang w:eastAsia="en-US"/>
              </w:rPr>
              <w:t xml:space="preserve">Previous resubmission (November 2022) </w:t>
            </w:r>
          </w:p>
        </w:tc>
      </w:tr>
      <w:tr w:rsidR="00435C19" w:rsidRPr="00435C19" w14:paraId="33785E09" w14:textId="77777777" w:rsidTr="00BD0FF1">
        <w:trPr>
          <w:trHeight w:val="227"/>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E3CDE6" w14:textId="77777777" w:rsidR="00845C4D" w:rsidRPr="00435C19" w:rsidRDefault="00845C4D" w:rsidP="00435C19">
            <w:pPr>
              <w:pStyle w:val="TableText"/>
              <w:rPr>
                <w:szCs w:val="20"/>
                <w:lang w:eastAsia="en-US"/>
              </w:rPr>
            </w:pPr>
            <w:r w:rsidRPr="00435C19">
              <w:rPr>
                <w:szCs w:val="20"/>
                <w:lang w:eastAsia="en-US"/>
              </w:rPr>
              <w:t xml:space="preserve">Net cost to PBS/RPBS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5EE8F7" w14:textId="333E7830" w:rsidR="00845C4D" w:rsidRPr="00435C19" w:rsidRDefault="00AE45EC" w:rsidP="00BD0FF1">
            <w:pPr>
              <w:pStyle w:val="TableText"/>
              <w:jc w:val="center"/>
              <w:rPr>
                <w:szCs w:val="20"/>
                <w:lang w:eastAsia="en-US"/>
              </w:rPr>
            </w:pPr>
            <w:r w:rsidRPr="00AE45EC">
              <w:rPr>
                <w:rFonts w:hint="eastAsia"/>
                <w:color w:val="000000"/>
                <w:w w:val="25"/>
                <w:szCs w:val="20"/>
                <w:shd w:val="solid" w:color="000000" w:fill="000000"/>
                <w:fitText w:val="113" w:id="-1167912698"/>
                <w:lang w:eastAsia="en-US"/>
                <w14:textFill>
                  <w14:solidFill>
                    <w14:srgbClr w14:val="000000">
                      <w14:alpha w14:val="100000"/>
                    </w14:srgbClr>
                  </w14:solidFill>
                </w14:textFill>
              </w:rPr>
              <w:t xml:space="preserve">　</w:t>
            </w:r>
            <w:r w:rsidRPr="00AE45EC">
              <w:rPr>
                <w:color w:val="000000"/>
                <w:w w:val="25"/>
                <w:szCs w:val="20"/>
                <w:shd w:val="solid" w:color="000000" w:fill="000000"/>
                <w:fitText w:val="113" w:id="-1167912698"/>
                <w:lang w:eastAsia="en-US"/>
                <w14:textFill>
                  <w14:solidFill>
                    <w14:srgbClr w14:val="000000">
                      <w14:alpha w14:val="100000"/>
                    </w14:srgbClr>
                  </w14:solidFill>
                </w14:textFill>
              </w:rPr>
              <w:t>|</w:t>
            </w:r>
            <w:r w:rsidRPr="00AE45EC">
              <w:rPr>
                <w:rFonts w:hint="eastAsia"/>
                <w:color w:val="000000"/>
                <w:spacing w:val="2"/>
                <w:w w:val="25"/>
                <w:szCs w:val="20"/>
                <w:shd w:val="solid" w:color="000000" w:fill="000000"/>
                <w:fitText w:val="113" w:id="-1167912698"/>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C21AD" w14:textId="1C922381"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697"/>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97"/>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97"/>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44AA6F" w14:textId="71DDF909"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696"/>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696"/>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696"/>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4B5431" w14:textId="7DF0F8AB"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695"/>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695"/>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695"/>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E9BCE8" w14:textId="12C2A6D8"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7" w:id="-1167912694"/>
                <w:lang w:eastAsia="en-US"/>
                <w14:textFill>
                  <w14:solidFill>
                    <w14:srgbClr w14:val="000000">
                      <w14:alpha w14:val="100000"/>
                    </w14:srgbClr>
                  </w14:solidFill>
                </w14:textFill>
              </w:rPr>
              <w:t xml:space="preserve">　</w:t>
            </w:r>
            <w:r w:rsidRPr="00AE45EC">
              <w:rPr>
                <w:color w:val="000000"/>
                <w:w w:val="15"/>
                <w:szCs w:val="20"/>
                <w:shd w:val="solid" w:color="000000" w:fill="000000"/>
                <w:fitText w:val="37" w:id="-1167912694"/>
                <w:lang w:eastAsia="en-US"/>
                <w14:textFill>
                  <w14:solidFill>
                    <w14:srgbClr w14:val="000000">
                      <w14:alpha w14:val="100000"/>
                    </w14:srgbClr>
                  </w14:solidFill>
                </w14:textFill>
              </w:rPr>
              <w:t>|</w:t>
            </w:r>
            <w:r w:rsidRPr="00AE45EC">
              <w:rPr>
                <w:rFonts w:hint="eastAsia"/>
                <w:color w:val="000000"/>
                <w:spacing w:val="-28"/>
                <w:w w:val="15"/>
                <w:szCs w:val="20"/>
                <w:shd w:val="solid" w:color="000000" w:fill="000000"/>
                <w:fitText w:val="37" w:id="-1167912694"/>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00F9B5" w14:textId="42AB67CA"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693"/>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93"/>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93"/>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r>
      <w:tr w:rsidR="00845C4D" w:rsidRPr="009F3B1C" w14:paraId="71A83061" w14:textId="77777777" w:rsidTr="00BD0FF1">
        <w:trPr>
          <w:trHeight w:val="227"/>
        </w:trPr>
        <w:tc>
          <w:tcPr>
            <w:tcW w:w="906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BC4B79" w14:textId="77777777" w:rsidR="00845C4D" w:rsidRPr="00435C19" w:rsidRDefault="00845C4D" w:rsidP="00435C19">
            <w:pPr>
              <w:pStyle w:val="TableText"/>
              <w:rPr>
                <w:b/>
                <w:bCs w:val="0"/>
                <w:szCs w:val="20"/>
                <w:lang w:eastAsia="en-US"/>
              </w:rPr>
            </w:pPr>
            <w:r w:rsidRPr="00435C19">
              <w:rPr>
                <w:b/>
                <w:bCs w:val="0"/>
                <w:szCs w:val="20"/>
                <w:lang w:eastAsia="en-US"/>
              </w:rPr>
              <w:t xml:space="preserve">Previous submission (July 2022) </w:t>
            </w:r>
          </w:p>
        </w:tc>
      </w:tr>
      <w:tr w:rsidR="00435C19" w:rsidRPr="00435C19" w14:paraId="4003D8FA" w14:textId="77777777" w:rsidTr="00BD0FF1">
        <w:trPr>
          <w:trHeight w:val="227"/>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4E7C2" w14:textId="77777777" w:rsidR="00845C4D" w:rsidRPr="00435C19" w:rsidRDefault="00845C4D" w:rsidP="00435C19">
            <w:pPr>
              <w:pStyle w:val="TableText"/>
              <w:rPr>
                <w:szCs w:val="20"/>
                <w:lang w:eastAsia="en-US"/>
              </w:rPr>
            </w:pPr>
            <w:r w:rsidRPr="00435C19">
              <w:rPr>
                <w:szCs w:val="20"/>
                <w:lang w:eastAsia="en-US"/>
              </w:rPr>
              <w:t xml:space="preserve">Net cost to PBS/RPBS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4BD452" w14:textId="2C98E58A" w:rsidR="00845C4D" w:rsidRPr="00435C19" w:rsidRDefault="00AE45EC" w:rsidP="00BD0FF1">
            <w:pPr>
              <w:pStyle w:val="TableText"/>
              <w:jc w:val="center"/>
              <w:rPr>
                <w:szCs w:val="20"/>
                <w:lang w:eastAsia="en-US"/>
              </w:rPr>
            </w:pPr>
            <w:r w:rsidRPr="00AE45EC">
              <w:rPr>
                <w:rFonts w:hint="eastAsia"/>
                <w:color w:val="000000"/>
                <w:w w:val="25"/>
                <w:szCs w:val="20"/>
                <w:shd w:val="solid" w:color="000000" w:fill="000000"/>
                <w:fitText w:val="113" w:id="-1167912692"/>
                <w:lang w:eastAsia="en-US"/>
                <w14:textFill>
                  <w14:solidFill>
                    <w14:srgbClr w14:val="000000">
                      <w14:alpha w14:val="100000"/>
                    </w14:srgbClr>
                  </w14:solidFill>
                </w14:textFill>
              </w:rPr>
              <w:t xml:space="preserve">　</w:t>
            </w:r>
            <w:r w:rsidRPr="00AE45EC">
              <w:rPr>
                <w:color w:val="000000"/>
                <w:w w:val="25"/>
                <w:szCs w:val="20"/>
                <w:shd w:val="solid" w:color="000000" w:fill="000000"/>
                <w:fitText w:val="113" w:id="-1167912692"/>
                <w:lang w:eastAsia="en-US"/>
                <w14:textFill>
                  <w14:solidFill>
                    <w14:srgbClr w14:val="000000">
                      <w14:alpha w14:val="100000"/>
                    </w14:srgbClr>
                  </w14:solidFill>
                </w14:textFill>
              </w:rPr>
              <w:t>|</w:t>
            </w:r>
            <w:r w:rsidRPr="00AE45EC">
              <w:rPr>
                <w:rFonts w:hint="eastAsia"/>
                <w:color w:val="000000"/>
                <w:spacing w:val="2"/>
                <w:w w:val="25"/>
                <w:szCs w:val="20"/>
                <w:shd w:val="solid" w:color="000000" w:fill="000000"/>
                <w:fitText w:val="113" w:id="-1167912692"/>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1D1545" w14:textId="53C4733F"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691"/>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691"/>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691"/>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5DCD8" w14:textId="6D925B5C" w:rsidR="00845C4D" w:rsidRPr="00BD0FF1" w:rsidRDefault="00AE45EC" w:rsidP="00BD0FF1">
            <w:pPr>
              <w:pStyle w:val="TableText"/>
              <w:jc w:val="center"/>
              <w:rPr>
                <w:szCs w:val="20"/>
                <w:highlight w:val="darkGray"/>
                <w:lang w:eastAsia="en-US"/>
              </w:rPr>
            </w:pPr>
            <w:r w:rsidRPr="00AE45EC">
              <w:rPr>
                <w:rFonts w:hint="eastAsia"/>
                <w:color w:val="000000"/>
                <w:w w:val="15"/>
                <w:szCs w:val="20"/>
                <w:shd w:val="solid" w:color="000000" w:fill="000000"/>
                <w:fitText w:val="38" w:id="-1167912690"/>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690"/>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690"/>
                <w:lang w:eastAsia="en-US"/>
                <w14:textFill>
                  <w14:solidFill>
                    <w14:srgbClr w14:val="000000">
                      <w14:alpha w14:val="100000"/>
                    </w14:srgbClr>
                  </w14:solidFill>
                </w14:textFill>
              </w:rPr>
              <w:t xml:space="preserve">　</w:t>
            </w:r>
            <w:r w:rsidR="00637846" w:rsidRPr="001D4A3E">
              <w:rPr>
                <w:szCs w:val="20"/>
                <w:lang w:eastAsia="en-US"/>
              </w:rPr>
              <w:t xml:space="preserve"> </w:t>
            </w:r>
            <w:r w:rsidR="00637846" w:rsidRPr="001D4A3E">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B63013" w14:textId="3A0BE287"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8" w:id="-1167912689"/>
                <w:lang w:eastAsia="en-US"/>
                <w14:textFill>
                  <w14:solidFill>
                    <w14:srgbClr w14:val="000000">
                      <w14:alpha w14:val="100000"/>
                    </w14:srgbClr>
                  </w14:solidFill>
                </w14:textFill>
              </w:rPr>
              <w:t xml:space="preserve">　</w:t>
            </w:r>
            <w:r w:rsidRPr="00AE45EC">
              <w:rPr>
                <w:color w:val="000000"/>
                <w:w w:val="15"/>
                <w:szCs w:val="20"/>
                <w:shd w:val="solid" w:color="000000" w:fill="000000"/>
                <w:fitText w:val="38" w:id="-1167912689"/>
                <w:lang w:eastAsia="en-US"/>
                <w14:textFill>
                  <w14:solidFill>
                    <w14:srgbClr w14:val="000000">
                      <w14:alpha w14:val="100000"/>
                    </w14:srgbClr>
                  </w14:solidFill>
                </w14:textFill>
              </w:rPr>
              <w:t>|</w:t>
            </w:r>
            <w:r w:rsidRPr="00AE45EC">
              <w:rPr>
                <w:rFonts w:hint="eastAsia"/>
                <w:color w:val="000000"/>
                <w:spacing w:val="-27"/>
                <w:w w:val="15"/>
                <w:szCs w:val="20"/>
                <w:shd w:val="solid" w:color="000000" w:fill="000000"/>
                <w:fitText w:val="38" w:id="-1167912689"/>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5F0811" w14:textId="509823D3"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37" w:id="-1167912688"/>
                <w:lang w:eastAsia="en-US"/>
                <w14:textFill>
                  <w14:solidFill>
                    <w14:srgbClr w14:val="000000">
                      <w14:alpha w14:val="100000"/>
                    </w14:srgbClr>
                  </w14:solidFill>
                </w14:textFill>
              </w:rPr>
              <w:t xml:space="preserve">　</w:t>
            </w:r>
            <w:r w:rsidRPr="00AE45EC">
              <w:rPr>
                <w:color w:val="000000"/>
                <w:w w:val="15"/>
                <w:szCs w:val="20"/>
                <w:shd w:val="solid" w:color="000000" w:fill="000000"/>
                <w:fitText w:val="37" w:id="-1167912688"/>
                <w:lang w:eastAsia="en-US"/>
                <w14:textFill>
                  <w14:solidFill>
                    <w14:srgbClr w14:val="000000">
                      <w14:alpha w14:val="100000"/>
                    </w14:srgbClr>
                  </w14:solidFill>
                </w14:textFill>
              </w:rPr>
              <w:t>|</w:t>
            </w:r>
            <w:r w:rsidRPr="00AE45EC">
              <w:rPr>
                <w:rFonts w:hint="eastAsia"/>
                <w:color w:val="000000"/>
                <w:spacing w:val="-28"/>
                <w:w w:val="15"/>
                <w:szCs w:val="20"/>
                <w:shd w:val="solid" w:color="000000" w:fill="000000"/>
                <w:fitText w:val="37" w:id="-1167912688"/>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C552BD" w14:textId="259A6D34" w:rsidR="00845C4D" w:rsidRPr="00435C19" w:rsidRDefault="00AE45EC" w:rsidP="00BD0FF1">
            <w:pPr>
              <w:pStyle w:val="TableText"/>
              <w:jc w:val="center"/>
              <w:rPr>
                <w:szCs w:val="20"/>
                <w:lang w:eastAsia="en-US"/>
              </w:rPr>
            </w:pPr>
            <w:r w:rsidRPr="00AE45EC">
              <w:rPr>
                <w:rFonts w:hint="eastAsia"/>
                <w:color w:val="000000"/>
                <w:w w:val="15"/>
                <w:szCs w:val="20"/>
                <w:shd w:val="solid" w:color="000000" w:fill="000000"/>
                <w:fitText w:val="50" w:id="-1167912704"/>
                <w:lang w:eastAsia="en-US"/>
                <w14:textFill>
                  <w14:solidFill>
                    <w14:srgbClr w14:val="000000">
                      <w14:alpha w14:val="100000"/>
                    </w14:srgbClr>
                  </w14:solidFill>
                </w14:textFill>
              </w:rPr>
              <w:t xml:space="preserve">　</w:t>
            </w:r>
            <w:r w:rsidRPr="00AE45EC">
              <w:rPr>
                <w:color w:val="000000"/>
                <w:w w:val="15"/>
                <w:szCs w:val="20"/>
                <w:shd w:val="solid" w:color="000000" w:fill="000000"/>
                <w:fitText w:val="50" w:id="-1167912704"/>
                <w:lang w:eastAsia="en-US"/>
                <w14:textFill>
                  <w14:solidFill>
                    <w14:srgbClr w14:val="000000">
                      <w14:alpha w14:val="100000"/>
                    </w14:srgbClr>
                  </w14:solidFill>
                </w14:textFill>
              </w:rPr>
              <w:t>|</w:t>
            </w:r>
            <w:r w:rsidRPr="00AE45EC">
              <w:rPr>
                <w:rFonts w:hint="eastAsia"/>
                <w:color w:val="000000"/>
                <w:spacing w:val="-15"/>
                <w:w w:val="15"/>
                <w:szCs w:val="20"/>
                <w:shd w:val="solid" w:color="000000" w:fill="000000"/>
                <w:fitText w:val="50" w:id="-1167912704"/>
                <w:lang w:eastAsia="en-US"/>
                <w14:textFill>
                  <w14:solidFill>
                    <w14:srgbClr w14:val="000000">
                      <w14:alpha w14:val="100000"/>
                    </w14:srgbClr>
                  </w14:solidFill>
                </w14:textFill>
              </w:rPr>
              <w:t xml:space="preserve">　</w:t>
            </w:r>
            <w:r w:rsidR="00637846">
              <w:rPr>
                <w:szCs w:val="20"/>
                <w:lang w:eastAsia="en-US"/>
              </w:rPr>
              <w:t xml:space="preserve"> </w:t>
            </w:r>
            <w:r w:rsidR="00637846">
              <w:rPr>
                <w:szCs w:val="20"/>
                <w:vertAlign w:val="superscript"/>
                <w:lang w:eastAsia="en-US"/>
              </w:rPr>
              <w:t>3</w:t>
            </w:r>
          </w:p>
        </w:tc>
      </w:tr>
    </w:tbl>
    <w:p w14:paraId="6EA7D120" w14:textId="45285BCF" w:rsidR="00845C4D" w:rsidRPr="006114C1" w:rsidRDefault="00845C4D" w:rsidP="00845C4D">
      <w:pPr>
        <w:pStyle w:val="ListParagraph"/>
        <w:numPr>
          <w:ilvl w:val="0"/>
          <w:numId w:val="48"/>
        </w:numPr>
        <w:spacing w:after="0" w:line="256" w:lineRule="auto"/>
        <w:contextualSpacing/>
        <w:rPr>
          <w:rFonts w:ascii="Arial Narrow" w:eastAsia="Arial Narrow" w:hAnsi="Arial Narrow" w:cs="Arial Narrow"/>
          <w:sz w:val="18"/>
          <w:szCs w:val="18"/>
        </w:rPr>
      </w:pPr>
      <w:r w:rsidRPr="006114C1">
        <w:rPr>
          <w:rFonts w:ascii="Arial Narrow" w:eastAsia="Arial Narrow" w:hAnsi="Arial Narrow" w:cs="Arial Narrow"/>
          <w:sz w:val="18"/>
          <w:szCs w:val="18"/>
        </w:rPr>
        <w:t xml:space="preserve">Includes </w:t>
      </w:r>
      <w:r w:rsidR="001D4A3E" w:rsidRPr="00BD0FF1">
        <w:rPr>
          <w:rFonts w:ascii="Arial Narrow" w:eastAsia="Arial Narrow" w:hAnsi="Arial Narrow" w:cs="Arial Narrow"/>
          <w:iCs/>
          <w:sz w:val="18"/>
          <w:szCs w:val="18"/>
        </w:rPr>
        <w:t>&lt; 500</w:t>
      </w:r>
      <w:r w:rsidRPr="006114C1">
        <w:rPr>
          <w:rFonts w:ascii="Arial Narrow" w:eastAsia="Arial Narrow" w:hAnsi="Arial Narrow" w:cs="Arial Narrow"/>
          <w:sz w:val="18"/>
          <w:szCs w:val="18"/>
        </w:rPr>
        <w:t xml:space="preserve"> grandfathered patients in Year 1 of listing. </w:t>
      </w:r>
    </w:p>
    <w:p w14:paraId="370E9E74" w14:textId="77777777" w:rsidR="00845C4D" w:rsidRDefault="00845C4D" w:rsidP="00845C4D">
      <w:pPr>
        <w:spacing w:line="256" w:lineRule="auto"/>
        <w:contextualSpacing/>
        <w:rPr>
          <w:rFonts w:ascii="Arial Narrow" w:eastAsia="Arial Narrow" w:hAnsi="Arial Narrow" w:cs="Arial Narrow"/>
          <w:sz w:val="18"/>
          <w:szCs w:val="18"/>
        </w:rPr>
      </w:pPr>
      <w:r w:rsidRPr="006114C1">
        <w:rPr>
          <w:rFonts w:ascii="Arial Narrow" w:eastAsia="Arial Narrow" w:hAnsi="Arial Narrow" w:cs="Arial Narrow"/>
          <w:sz w:val="18"/>
          <w:szCs w:val="18"/>
        </w:rPr>
        <w:t>Source: Sponsor document, Table 4.</w:t>
      </w:r>
    </w:p>
    <w:p w14:paraId="2C7335BB" w14:textId="77777777" w:rsidR="001D4A3E" w:rsidRPr="009A6D58" w:rsidRDefault="001D4A3E" w:rsidP="001D4A3E">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5AE124AB" w14:textId="3B4BE52B" w:rsidR="001D4A3E" w:rsidRPr="009A6D58" w:rsidRDefault="001D4A3E" w:rsidP="001D4A3E">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bookmarkStart w:id="54" w:name="_Hlk145065851"/>
      <w:r w:rsidRPr="001D4A3E">
        <w:rPr>
          <w:rFonts w:ascii="Arial Narrow" w:hAnsi="Arial Narrow" w:cs="Arial"/>
          <w:i/>
          <w:sz w:val="18"/>
          <w:szCs w:val="18"/>
        </w:rPr>
        <w:t>&lt; 500</w:t>
      </w:r>
      <w:bookmarkEnd w:id="54"/>
    </w:p>
    <w:p w14:paraId="0A4896E1" w14:textId="3574FFD3" w:rsidR="001D4A3E" w:rsidRPr="009A6D58" w:rsidRDefault="001D4A3E" w:rsidP="001D4A3E">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1D4A3E">
        <w:rPr>
          <w:rFonts w:ascii="Arial Narrow" w:hAnsi="Arial Narrow" w:cs="Arial"/>
          <w:i/>
          <w:sz w:val="18"/>
          <w:szCs w:val="18"/>
        </w:rPr>
        <w:t>500 to &lt; 5,000</w:t>
      </w:r>
    </w:p>
    <w:p w14:paraId="1DD0F8A7" w14:textId="1FD4F661" w:rsidR="001D4A3E" w:rsidRDefault="001D4A3E" w:rsidP="001D4A3E">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1D4A3E">
        <w:rPr>
          <w:rFonts w:ascii="Arial Narrow" w:hAnsi="Arial Narrow" w:cs="Arial"/>
          <w:i/>
          <w:sz w:val="18"/>
          <w:szCs w:val="18"/>
        </w:rPr>
        <w:t>$10 million to &lt; $20 million</w:t>
      </w:r>
    </w:p>
    <w:p w14:paraId="46E19C49" w14:textId="55728867" w:rsidR="00845C4D" w:rsidRPr="00BD0FF1" w:rsidRDefault="001D4A3E" w:rsidP="00BD0FF1">
      <w:pPr>
        <w:spacing w:after="120"/>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1D4A3E">
        <w:rPr>
          <w:rFonts w:ascii="Arial Narrow" w:hAnsi="Arial Narrow" w:cs="Arial"/>
          <w:i/>
          <w:sz w:val="18"/>
          <w:szCs w:val="18"/>
        </w:rPr>
        <w:t>$0 to &lt; $10 million</w:t>
      </w:r>
    </w:p>
    <w:p w14:paraId="583575AF" w14:textId="1CD6DA6E" w:rsidR="00845C4D" w:rsidRPr="008C4198" w:rsidRDefault="00845C4D" w:rsidP="00845C4D">
      <w:pPr>
        <w:ind w:firstLine="709"/>
        <w:rPr>
          <w:rFonts w:asciiTheme="minorHAnsi" w:hAnsiTheme="minorHAnsi"/>
          <w:i/>
        </w:rPr>
      </w:pPr>
      <w:r w:rsidRPr="008C4198">
        <w:rPr>
          <w:rFonts w:asciiTheme="minorHAnsi" w:hAnsiTheme="minorHAnsi"/>
          <w:i/>
        </w:rPr>
        <w:t xml:space="preserve">For more detail on PBAC’s view, see section </w:t>
      </w:r>
      <w:r w:rsidR="00B80215">
        <w:rPr>
          <w:rFonts w:asciiTheme="minorHAnsi" w:hAnsiTheme="minorHAnsi"/>
          <w:i/>
        </w:rPr>
        <w:t>9</w:t>
      </w:r>
      <w:r w:rsidR="00B80215" w:rsidRPr="008C4198">
        <w:rPr>
          <w:rFonts w:asciiTheme="minorHAnsi" w:hAnsiTheme="minorHAnsi"/>
          <w:i/>
        </w:rPr>
        <w:t xml:space="preserve"> </w:t>
      </w:r>
      <w:r w:rsidRPr="008C4198">
        <w:rPr>
          <w:rFonts w:asciiTheme="minorHAnsi" w:hAnsiTheme="minorHAnsi"/>
          <w:i/>
        </w:rPr>
        <w:t>PBAC outcome.</w:t>
      </w:r>
    </w:p>
    <w:p w14:paraId="15F09A43" w14:textId="77777777" w:rsidR="00845C4D" w:rsidRPr="008C4198" w:rsidRDefault="00845C4D" w:rsidP="00845C4D">
      <w:pPr>
        <w:pStyle w:val="2-SectionHeading"/>
      </w:pPr>
      <w:bookmarkStart w:id="55" w:name="_Hlk76377955"/>
      <w:r w:rsidRPr="008C4198">
        <w:t>PBAC Outcome</w:t>
      </w:r>
    </w:p>
    <w:p w14:paraId="4A5AAE18" w14:textId="798675F7" w:rsidR="00845C4D" w:rsidRPr="006114C1" w:rsidRDefault="00845C4D" w:rsidP="00845C4D">
      <w:pPr>
        <w:pStyle w:val="3-BodyText"/>
      </w:pPr>
      <w:bookmarkStart w:id="56" w:name="_Hlk140493158"/>
      <w:r w:rsidRPr="006114C1">
        <w:t xml:space="preserve">The PBAC recommended olaparib for use in combination with bevacizumab for maintenance therapy in patients with newly diagnosed homologous recombination deficiency (HRD) positive </w:t>
      </w:r>
      <w:r w:rsidRPr="001F04E0">
        <w:rPr>
          <w:i/>
        </w:rPr>
        <w:t>BRCA</w:t>
      </w:r>
      <w:r w:rsidRPr="006114C1">
        <w:t xml:space="preserve"> wild type advanced epithelial ovarian, fallopian tube or primary peritoneal cancer. The PBAC noted that it had deferred its decision on whether to recommend the proposed listing at the November 2022 PBAC meeting, pending MSAC consideration of HRD testing. The PBAC noted that the MSAC had recommended HRD testing for determination of eligibility for PARPi for this indication at </w:t>
      </w:r>
      <w:r>
        <w:t>its</w:t>
      </w:r>
      <w:r w:rsidRPr="006114C1">
        <w:t xml:space="preserve"> March 2023 meeting. The PBAC considered that the outstanding issues </w:t>
      </w:r>
      <w:proofErr w:type="gramStart"/>
      <w:r w:rsidRPr="006114C1">
        <w:t>were satisfactorily resolved</w:t>
      </w:r>
      <w:proofErr w:type="gramEnd"/>
      <w:r w:rsidRPr="006114C1">
        <w:t xml:space="preserve"> by the revised economic evaluation which included a price reduction to account for remaining uncertainty in the modelled benefit of olaparib, as requested by the PBAC in November 2022. The PBAC noted the revised financial estimates appropriately incorporated the reduced olaparib price.</w:t>
      </w:r>
    </w:p>
    <w:bookmarkEnd w:id="56"/>
    <w:p w14:paraId="13D59993" w14:textId="77777777" w:rsidR="00845C4D" w:rsidRPr="006114C1" w:rsidRDefault="00845C4D" w:rsidP="00BD0FF1">
      <w:pPr>
        <w:pStyle w:val="3-BodyText"/>
      </w:pPr>
      <w:r w:rsidRPr="006114C1">
        <w:t xml:space="preserve">The PBAC was satisfied that olaparib in combination with bevacizumab provides, for </w:t>
      </w:r>
      <w:proofErr w:type="gramStart"/>
      <w:r w:rsidRPr="006114C1">
        <w:t>some</w:t>
      </w:r>
      <w:proofErr w:type="gramEnd"/>
      <w:r w:rsidRPr="006114C1">
        <w:t xml:space="preserve"> patients, a significant improvement in efficacy over bevacizumab alone, based on the results of the PAOLA-1 study. </w:t>
      </w:r>
      <w:r w:rsidRPr="00DE1668">
        <w:rPr>
          <w:snapToGrid w:val="0"/>
          <w:lang w:val="en-GB" w:eastAsia="en-US"/>
        </w:rPr>
        <w:t xml:space="preserve">The PBAC’s recommendation for listing was based on, among other matters, its assessment, that the cost-effectiveness of olaparib would be acceptable at the proposed price. </w:t>
      </w:r>
    </w:p>
    <w:p w14:paraId="0471617D" w14:textId="77777777" w:rsidR="00845C4D" w:rsidRPr="006114C1" w:rsidRDefault="00845C4D" w:rsidP="00845C4D">
      <w:pPr>
        <w:pStyle w:val="3-BodyText"/>
      </w:pPr>
      <w:bookmarkStart w:id="57" w:name="_Hlk140497416"/>
      <w:r w:rsidRPr="006114C1">
        <w:lastRenderedPageBreak/>
        <w:t xml:space="preserve">The PBAC noted the MSAC advice that confirmed support for the proposed MBS item that would enable determination of HRD status for access to PARP inhibitor therapy under the PBS. The PBAC noted that MSAC’s supported item descriptor (see </w:t>
      </w:r>
      <w:r w:rsidRPr="006114C1">
        <w:fldChar w:fldCharType="begin" w:fldLock="1"/>
      </w:r>
      <w:r w:rsidRPr="006114C1">
        <w:instrText xml:space="preserve"> REF _Ref140245867 \h  \* MERGEFORMAT </w:instrText>
      </w:r>
      <w:r w:rsidRPr="006114C1">
        <w:fldChar w:fldCharType="separate"/>
      </w:r>
      <w:r w:rsidRPr="00ED2799">
        <w:t>Table 11</w:t>
      </w:r>
      <w:r w:rsidRPr="006114C1">
        <w:fldChar w:fldCharType="end"/>
      </w:r>
      <w:r w:rsidRPr="006114C1">
        <w:t>), includes a practice note stating that “Validation against the Myriad MyChoice® HRD assay should use a score of 42 o</w:t>
      </w:r>
      <w:r>
        <w:t>r</w:t>
      </w:r>
      <w:r w:rsidRPr="006114C1">
        <w:t xml:space="preserve"> greater as the threshold for HRD (genomic instability) positivity”.</w:t>
      </w:r>
    </w:p>
    <w:bookmarkEnd w:id="57"/>
    <w:p w14:paraId="0CB5BE06" w14:textId="603413DA" w:rsidR="00845C4D" w:rsidRPr="006114C1" w:rsidRDefault="00845C4D" w:rsidP="00845C4D">
      <w:pPr>
        <w:pStyle w:val="3-BodyText"/>
      </w:pPr>
      <w:r w:rsidRPr="00FB2FC3">
        <w:t xml:space="preserve">The PBAC considered there was a high clinical need for olaparib in the proposed population of patients with HRD positive </w:t>
      </w:r>
      <w:r w:rsidRPr="001F04E0">
        <w:rPr>
          <w:i/>
        </w:rPr>
        <w:t>BRCA</w:t>
      </w:r>
      <w:r w:rsidRPr="00FB2FC3">
        <w:t xml:space="preserve">wt tumours. The PBAC recalled the </w:t>
      </w:r>
      <w:r w:rsidRPr="006114C1">
        <w:t xml:space="preserve">input from individuals and organisations </w:t>
      </w:r>
      <w:r w:rsidRPr="00FB2FC3">
        <w:t xml:space="preserve">received previously in support of the proposed </w:t>
      </w:r>
      <w:r w:rsidRPr="00E01D9A">
        <w:t xml:space="preserve">listing. The comments had noted that </w:t>
      </w:r>
      <w:proofErr w:type="gramStart"/>
      <w:r w:rsidRPr="00E01D9A">
        <w:t>many</w:t>
      </w:r>
      <w:proofErr w:type="gramEnd"/>
      <w:r w:rsidRPr="00E01D9A">
        <w:t xml:space="preserve"> young women and their families are impacted by ovarian cancer and </w:t>
      </w:r>
      <w:r w:rsidRPr="006114C1">
        <w:t xml:space="preserve">that effective treatment may delay or prevent recurrence and has potential to prolong life. The PBAC noted that the </w:t>
      </w:r>
      <w:r w:rsidRPr="00FB2FC3">
        <w:t xml:space="preserve">Medical Oncology Group of </w:t>
      </w:r>
      <w:r w:rsidRPr="00E01D9A">
        <w:t xml:space="preserve">Australia (MOGA) had expressed its </w:t>
      </w:r>
      <w:proofErr w:type="gramStart"/>
      <w:r w:rsidRPr="00E01D9A">
        <w:t>strong support</w:t>
      </w:r>
      <w:proofErr w:type="gramEnd"/>
      <w:r w:rsidRPr="00E01D9A">
        <w:t xml:space="preserve"> for olaparib, categorising it as </w:t>
      </w:r>
      <w:r w:rsidRPr="006114C1">
        <w:t>a “high priority for PBS listing” on the basis of the PAOLA-1 trial.</w:t>
      </w:r>
    </w:p>
    <w:p w14:paraId="334795D7" w14:textId="77777777" w:rsidR="00845C4D" w:rsidRDefault="00845C4D" w:rsidP="00845C4D">
      <w:pPr>
        <w:pStyle w:val="3-BodyText"/>
      </w:pPr>
      <w:r w:rsidRPr="006114C1">
        <w:t xml:space="preserve">Consistent with its November 2022 advice, the PBAC considered that a clinical claim of superior efficacy </w:t>
      </w:r>
      <w:proofErr w:type="gramStart"/>
      <w:r w:rsidRPr="006114C1">
        <w:t>was supported</w:t>
      </w:r>
      <w:proofErr w:type="gramEnd"/>
      <w:r w:rsidRPr="006114C1">
        <w:t xml:space="preserve"> for olaparib with bevacizumab in the HRD positive group, compared with bevacizumab alone. The PBAC considered that olaparib with bevacizumab was inferior compared with bevacizumab alone in terms of safety. </w:t>
      </w:r>
    </w:p>
    <w:p w14:paraId="5C4C32A5" w14:textId="498FC89B" w:rsidR="00845C4D" w:rsidRPr="008C4198" w:rsidRDefault="00845C4D" w:rsidP="00845C4D">
      <w:pPr>
        <w:pStyle w:val="3-BodyText"/>
      </w:pPr>
      <w:r w:rsidRPr="008C4198">
        <w:t xml:space="preserve">The PBAC noted that in comparison with the evaluation considered in November 2022, the sponsor’s revised economic evaluation included increased HRD testing costs consistent with MSAC advice, and increased palliative care costs due to inclusion of a more recent estimate derived from an Australian study of health care costs at the end of life published by Reeve et al (2018). The PBAC noted that the sponsor’s proposed base case was approximately </w:t>
      </w:r>
      <w:r w:rsidR="00B2508B" w:rsidRPr="00B2508B">
        <w:t>$45,000 to &lt; $55,000</w:t>
      </w:r>
      <w:r w:rsidRPr="008C4198">
        <w:t xml:space="preserve">/QALY and the </w:t>
      </w:r>
      <w:proofErr w:type="gramStart"/>
      <w:r w:rsidRPr="008C4198">
        <w:t>likely range</w:t>
      </w:r>
      <w:proofErr w:type="gramEnd"/>
      <w:r w:rsidRPr="008C4198">
        <w:t xml:space="preserve"> of the ICER was between approximately </w:t>
      </w:r>
      <w:r w:rsidR="00B2508B" w:rsidRPr="00B2508B">
        <w:t>$45,000 to &lt; $55,000</w:t>
      </w:r>
      <w:r w:rsidR="00B2508B">
        <w:t xml:space="preserve"> </w:t>
      </w:r>
      <w:r w:rsidRPr="008C4198">
        <w:t xml:space="preserve">to </w:t>
      </w:r>
      <w:r w:rsidR="00B2508B" w:rsidRPr="00B2508B">
        <w:t>$45,000 to &lt; $55,000</w:t>
      </w:r>
      <w:r w:rsidR="00B2508B">
        <w:t xml:space="preserve"> </w:t>
      </w:r>
      <w:r w:rsidRPr="008C4198">
        <w:t>pe</w:t>
      </w:r>
      <w:r w:rsidRPr="004C7A86">
        <w:t>r QALY (</w:t>
      </w:r>
      <w:r w:rsidRPr="004C7A86">
        <w:fldChar w:fldCharType="begin" w:fldLock="1"/>
      </w:r>
      <w:r w:rsidRPr="004C7A86">
        <w:instrText xml:space="preserve"> REF _Ref140492901 \h </w:instrText>
      </w:r>
      <w:r w:rsidR="00B2508B">
        <w:instrText xml:space="preserve"> \* MERGEFORMAT </w:instrText>
      </w:r>
      <w:r w:rsidRPr="004C7A86">
        <w:fldChar w:fldCharType="separate"/>
      </w:r>
      <w:r w:rsidRPr="00BD0FF1">
        <w:t>Table 13</w:t>
      </w:r>
      <w:r w:rsidRPr="004C7A86">
        <w:fldChar w:fldCharType="end"/>
      </w:r>
      <w:r w:rsidRPr="004C7A86">
        <w:t>). The PBAC considered the cost effectiveness of olaparib to be acceptable when the revised</w:t>
      </w:r>
      <w:r w:rsidRPr="008C4198">
        <w:t xml:space="preserve"> price of $</w:t>
      </w:r>
      <w:r w:rsidR="00AE45EC" w:rsidRPr="00663A0C">
        <w:rPr>
          <w:color w:val="000000"/>
          <w:w w:val="15"/>
          <w:shd w:val="solid" w:color="000000" w:fill="000000"/>
          <w:fitText w:val="-20" w:id="-1167912703"/>
          <w14:textFill>
            <w14:solidFill>
              <w14:srgbClr w14:val="000000">
                <w14:alpha w14:val="100000"/>
              </w14:srgbClr>
            </w14:solidFill>
          </w14:textFill>
        </w:rPr>
        <w:t xml:space="preserve">|  </w:t>
      </w:r>
      <w:r w:rsidR="00AE45EC" w:rsidRPr="00663A0C">
        <w:rPr>
          <w:color w:val="000000"/>
          <w:spacing w:val="-69"/>
          <w:w w:val="15"/>
          <w:shd w:val="solid" w:color="000000" w:fill="000000"/>
          <w:fitText w:val="-20" w:id="-1167912703"/>
          <w14:textFill>
            <w14:solidFill>
              <w14:srgbClr w14:val="000000">
                <w14:alpha w14:val="100000"/>
              </w14:srgbClr>
            </w14:solidFill>
          </w14:textFill>
        </w:rPr>
        <w:t>|</w:t>
      </w:r>
      <w:r w:rsidRPr="008C4198">
        <w:t xml:space="preserve"> </w:t>
      </w:r>
      <w:proofErr w:type="gramStart"/>
      <w:r w:rsidRPr="008C4198">
        <w:t>was applied</w:t>
      </w:r>
      <w:proofErr w:type="gramEnd"/>
      <w:r w:rsidRPr="008C4198">
        <w:t xml:space="preserve"> (effective AEMP per pack of 56 tablets, with the same price applying for olapa</w:t>
      </w:r>
      <w:r>
        <w:t>r</w:t>
      </w:r>
      <w:r w:rsidRPr="008C4198">
        <w:t>ib 150 mg tablets and 100 mg tablets).</w:t>
      </w:r>
    </w:p>
    <w:p w14:paraId="723FC01A" w14:textId="77777777" w:rsidR="00845C4D" w:rsidRPr="008C4198" w:rsidRDefault="00845C4D" w:rsidP="00845C4D">
      <w:pPr>
        <w:pStyle w:val="3-BodyText"/>
      </w:pPr>
      <w:bookmarkStart w:id="58" w:name="_Hlk140497481"/>
      <w:bookmarkStart w:id="59" w:name="_Hlk140497734"/>
      <w:r w:rsidRPr="008C4198">
        <w:t>With regard to the proposed restriction, the PBAC provided the following advice:</w:t>
      </w:r>
    </w:p>
    <w:p w14:paraId="12B98F52" w14:textId="77777777" w:rsidR="00845C4D" w:rsidRPr="006114C1" w:rsidRDefault="00845C4D" w:rsidP="00BD0FF1">
      <w:pPr>
        <w:pStyle w:val="ListParagraph"/>
        <w:widowControl w:val="0"/>
        <w:numPr>
          <w:ilvl w:val="0"/>
          <w:numId w:val="24"/>
        </w:numPr>
        <w:ind w:left="1077" w:hanging="357"/>
        <w:jc w:val="both"/>
      </w:pPr>
      <w:bookmarkStart w:id="60" w:name="_Hlk140691290"/>
      <w:r w:rsidRPr="008C4198">
        <w:t xml:space="preserve">The PBAC noted that testing of tumour tissue to determine HRD status (i.e. both </w:t>
      </w:r>
      <w:r w:rsidRPr="001F04E0">
        <w:rPr>
          <w:i/>
        </w:rPr>
        <w:t>BRCA</w:t>
      </w:r>
      <w:r w:rsidRPr="008C4198">
        <w:t xml:space="preserve"> status and genomic instability status) would be enabled by the MBS item that </w:t>
      </w:r>
      <w:proofErr w:type="gramStart"/>
      <w:r w:rsidRPr="008C4198">
        <w:t>was supported</w:t>
      </w:r>
      <w:proofErr w:type="gramEnd"/>
      <w:r w:rsidRPr="008C4198">
        <w:t xml:space="preserve"> by the MSAC at its March 2023 meeting. </w:t>
      </w:r>
    </w:p>
    <w:bookmarkEnd w:id="60"/>
    <w:p w14:paraId="73BC0996" w14:textId="77777777" w:rsidR="00845C4D" w:rsidRPr="006114C1" w:rsidRDefault="00845C4D" w:rsidP="00BD0FF1">
      <w:pPr>
        <w:pStyle w:val="ListParagraph"/>
        <w:widowControl w:val="0"/>
        <w:numPr>
          <w:ilvl w:val="0"/>
          <w:numId w:val="24"/>
        </w:numPr>
        <w:ind w:left="1077" w:hanging="357"/>
        <w:jc w:val="both"/>
      </w:pPr>
      <w:r>
        <w:t>The PBAC’s preference was for a</w:t>
      </w:r>
      <w:r w:rsidRPr="006114C1">
        <w:t xml:space="preserve"> combined first line </w:t>
      </w:r>
      <w:r>
        <w:t xml:space="preserve">listing for the </w:t>
      </w:r>
      <w:r w:rsidRPr="006114C1">
        <w:t>maintenance population, including the population currently eligible for olaparib under the existing</w:t>
      </w:r>
      <w:r>
        <w:t xml:space="preserve"> first line</w:t>
      </w:r>
      <w:r w:rsidRPr="006114C1">
        <w:t xml:space="preserve"> item codes for </w:t>
      </w:r>
      <w:r w:rsidRPr="001F04E0">
        <w:rPr>
          <w:i/>
        </w:rPr>
        <w:t>BRCA</w:t>
      </w:r>
      <w:r w:rsidRPr="006114C1">
        <w:t xml:space="preserve">m patients and the new population of </w:t>
      </w:r>
      <w:r w:rsidRPr="008C4198">
        <w:t xml:space="preserve">HRD positive </w:t>
      </w:r>
      <w:r w:rsidRPr="008C4198">
        <w:rPr>
          <w:i/>
          <w:iCs/>
        </w:rPr>
        <w:t>BRCA</w:t>
      </w:r>
      <w:r w:rsidRPr="008C4198">
        <w:t xml:space="preserve">wt patients. The PBAC considered a combined restriction would </w:t>
      </w:r>
      <w:proofErr w:type="gramStart"/>
      <w:r w:rsidRPr="008C4198">
        <w:t>be preferred</w:t>
      </w:r>
      <w:proofErr w:type="gramEnd"/>
      <w:r w:rsidRPr="008C4198">
        <w:t xml:space="preserve"> because this would be simpler for prescribers, especially if there was a time lag between reporting of HRD and </w:t>
      </w:r>
      <w:r w:rsidRPr="001F04E0">
        <w:rPr>
          <w:i/>
        </w:rPr>
        <w:t>BRCA</w:t>
      </w:r>
      <w:r w:rsidRPr="008C4198">
        <w:t xml:space="preserve"> status by test providers. </w:t>
      </w:r>
      <w:r>
        <w:t>T</w:t>
      </w:r>
      <w:r w:rsidRPr="008C4198">
        <w:t xml:space="preserve">he PBAC considered that separate restrictions </w:t>
      </w:r>
      <w:r>
        <w:t xml:space="preserve">would be </w:t>
      </w:r>
      <w:r w:rsidRPr="008C4198">
        <w:t xml:space="preserve">acceptable if </w:t>
      </w:r>
      <w:r>
        <w:t>defined</w:t>
      </w:r>
      <w:r w:rsidRPr="008C4198">
        <w:t xml:space="preserve"> </w:t>
      </w:r>
      <w:r>
        <w:t>in a way that</w:t>
      </w:r>
      <w:r w:rsidRPr="008C4198">
        <w:t xml:space="preserve"> </w:t>
      </w:r>
      <w:proofErr w:type="gramStart"/>
      <w:r>
        <w:lastRenderedPageBreak/>
        <w:t>is easily understood</w:t>
      </w:r>
      <w:proofErr w:type="gramEnd"/>
      <w:r>
        <w:t xml:space="preserve"> by prescribers</w:t>
      </w:r>
      <w:r w:rsidRPr="008C4198">
        <w:t>.</w:t>
      </w:r>
    </w:p>
    <w:p w14:paraId="0FC8C6AB" w14:textId="77777777" w:rsidR="00845C4D" w:rsidRPr="008C4198" w:rsidRDefault="00845C4D" w:rsidP="00BD0FF1">
      <w:pPr>
        <w:pStyle w:val="ListParagraph"/>
        <w:widowControl w:val="0"/>
        <w:numPr>
          <w:ilvl w:val="0"/>
          <w:numId w:val="24"/>
        </w:numPr>
        <w:ind w:left="1077" w:hanging="357"/>
        <w:jc w:val="both"/>
      </w:pPr>
      <w:r w:rsidRPr="006114C1">
        <w:t xml:space="preserve">A weighted price will </w:t>
      </w:r>
      <w:proofErr w:type="gramStart"/>
      <w:r w:rsidRPr="006114C1">
        <w:t>be required</w:t>
      </w:r>
      <w:proofErr w:type="gramEnd"/>
      <w:r w:rsidRPr="006114C1">
        <w:t xml:space="preserve"> to implement </w:t>
      </w:r>
      <w:r>
        <w:t>a</w:t>
      </w:r>
      <w:r w:rsidRPr="006114C1">
        <w:t xml:space="preserve"> combined restriction, given that the recommended price for </w:t>
      </w:r>
      <w:r w:rsidRPr="008C4198">
        <w:t xml:space="preserve">HRD positive </w:t>
      </w:r>
      <w:r w:rsidRPr="008C4198">
        <w:rPr>
          <w:i/>
          <w:iCs/>
        </w:rPr>
        <w:t>BRCA</w:t>
      </w:r>
      <w:r w:rsidRPr="008C4198">
        <w:t xml:space="preserve">wt patients is </w:t>
      </w:r>
      <w:r>
        <w:t>different</w:t>
      </w:r>
      <w:r w:rsidRPr="008C4198">
        <w:t xml:space="preserve"> </w:t>
      </w:r>
      <w:r>
        <w:t xml:space="preserve">to that </w:t>
      </w:r>
      <w:r w:rsidRPr="008C4198">
        <w:t xml:space="preserve">for </w:t>
      </w:r>
      <w:r w:rsidRPr="001F04E0">
        <w:rPr>
          <w:i/>
        </w:rPr>
        <w:t>BRCA</w:t>
      </w:r>
      <w:r w:rsidRPr="008C4198">
        <w:t>m patients which reflects the clinical efficacy observed in the different patient subgroups.</w:t>
      </w:r>
    </w:p>
    <w:p w14:paraId="247A3550" w14:textId="63A742A0" w:rsidR="00845C4D" w:rsidRPr="006114C1" w:rsidRDefault="00845C4D" w:rsidP="00BD0FF1">
      <w:pPr>
        <w:pStyle w:val="ListParagraph"/>
        <w:numPr>
          <w:ilvl w:val="0"/>
          <w:numId w:val="24"/>
        </w:numPr>
        <w:ind w:left="1077" w:hanging="357"/>
        <w:jc w:val="both"/>
      </w:pPr>
      <w:bookmarkStart w:id="61" w:name="_Hlk140691315"/>
      <w:r>
        <w:t xml:space="preserve">Ongoing </w:t>
      </w:r>
      <w:r w:rsidRPr="006114C1">
        <w:t xml:space="preserve">PBS supply of olaparib would be appropriate for patients </w:t>
      </w:r>
      <w:r>
        <w:t>commencing treatment before the effective date of the PBS listing, for patients f</w:t>
      </w:r>
      <w:r w:rsidRPr="006114C1">
        <w:t>ulfilling the eligibility criteria before commencing olaparib</w:t>
      </w:r>
      <w:r>
        <w:t>. A</w:t>
      </w:r>
      <w:r w:rsidRPr="006114C1">
        <w:t xml:space="preserve"> separate grandfather restriction </w:t>
      </w:r>
      <w:proofErr w:type="gramStart"/>
      <w:r>
        <w:t>is not</w:t>
      </w:r>
      <w:r w:rsidRPr="006114C1">
        <w:t xml:space="preserve"> required</w:t>
      </w:r>
      <w:proofErr w:type="gramEnd"/>
      <w:r>
        <w:t xml:space="preserve"> for these patients, as the restriction would be worded so as to not inadvertently exclude such situations.</w:t>
      </w:r>
      <w:r w:rsidRPr="006114C1">
        <w:t xml:space="preserve"> The sponsor has estimated </w:t>
      </w:r>
      <w:r w:rsidR="00B2508B">
        <w:t>&lt; 500</w:t>
      </w:r>
      <w:r w:rsidR="00B2508B" w:rsidRPr="006114C1">
        <w:t xml:space="preserve"> </w:t>
      </w:r>
      <w:r w:rsidRPr="006114C1">
        <w:t xml:space="preserve">grandfathered patients in Year 1 of listing. </w:t>
      </w:r>
    </w:p>
    <w:bookmarkEnd w:id="58"/>
    <w:bookmarkEnd w:id="61"/>
    <w:p w14:paraId="7F5BF176" w14:textId="6810C178" w:rsidR="00845C4D" w:rsidRPr="008C4198" w:rsidRDefault="00845C4D" w:rsidP="00845C4D">
      <w:pPr>
        <w:pStyle w:val="3-BodyText"/>
      </w:pPr>
      <w:r w:rsidRPr="008C4198">
        <w:t>The PBAC noted the revised financial estimates using the proposed olaparib price (</w:t>
      </w:r>
      <w:r w:rsidRPr="00FB2FC3">
        <w:fldChar w:fldCharType="begin" w:fldLock="1"/>
      </w:r>
      <w:r w:rsidRPr="008C4198">
        <w:instrText xml:space="preserve"> REF _Ref140490423 \h  \* MERGEFORMAT </w:instrText>
      </w:r>
      <w:r w:rsidRPr="00FB2FC3">
        <w:fldChar w:fldCharType="separate"/>
      </w:r>
      <w:r w:rsidRPr="00ED2799">
        <w:t>Table 14</w:t>
      </w:r>
      <w:r w:rsidRPr="00FB2FC3">
        <w:fldChar w:fldCharType="end"/>
      </w:r>
      <w:r w:rsidRPr="008C4198">
        <w:t xml:space="preserve">) and considered </w:t>
      </w:r>
      <w:r w:rsidRPr="00FB2FC3">
        <w:t xml:space="preserve">these were reasonable. The PBAC noted the findings of the DUSC analysis reviewing the utilisation of olaparib for ovarian, fallopian tube and primary peritoneal cancer that </w:t>
      </w:r>
      <w:proofErr w:type="gramStart"/>
      <w:r>
        <w:t>was</w:t>
      </w:r>
      <w:r w:rsidRPr="00FB2FC3">
        <w:t xml:space="preserve"> considered</w:t>
      </w:r>
      <w:proofErr w:type="gramEnd"/>
      <w:r w:rsidRPr="00FB2FC3">
        <w:t xml:space="preserve"> at the July 2023 P</w:t>
      </w:r>
      <w:r w:rsidRPr="008C4198">
        <w:t>B</w:t>
      </w:r>
      <w:r w:rsidRPr="00FB2FC3">
        <w:t>AC meeting</w:t>
      </w:r>
      <w:r>
        <w:t xml:space="preserve">. The DUSC analysis suggested a shorter treatment duration for olaparib in the PBS population compared with the key clinical trial (SOLO1) in the first-line </w:t>
      </w:r>
      <w:r w:rsidRPr="00C93EB1">
        <w:rPr>
          <w:i/>
          <w:iCs/>
        </w:rPr>
        <w:t>BCRA</w:t>
      </w:r>
      <w:r>
        <w:t xml:space="preserve">m population. The PBAC </w:t>
      </w:r>
      <w:r w:rsidRPr="00FB2FC3">
        <w:t xml:space="preserve">did not </w:t>
      </w:r>
      <w:r w:rsidRPr="00E01D9A">
        <w:t>recommend any changes to the sponsor’s financial estimates at this time.</w:t>
      </w:r>
    </w:p>
    <w:p w14:paraId="054B2CF0" w14:textId="77777777" w:rsidR="00845C4D" w:rsidRPr="008C4198" w:rsidRDefault="00845C4D" w:rsidP="00845C4D">
      <w:pPr>
        <w:pStyle w:val="3-BodyText"/>
      </w:pPr>
      <w:bookmarkStart w:id="62" w:name="_Hlk140498567"/>
      <w:bookmarkEnd w:id="59"/>
      <w:r w:rsidRPr="008C4198">
        <w:t xml:space="preserve">The PBAC noted that risk sharing arrangements are currently in place for olaparib and niraparib in the </w:t>
      </w:r>
      <w:r w:rsidRPr="001F04E0">
        <w:rPr>
          <w:i/>
        </w:rPr>
        <w:t>BRCA</w:t>
      </w:r>
      <w:r w:rsidRPr="008C4198">
        <w:t xml:space="preserve">m population. </w:t>
      </w:r>
      <w:r>
        <w:t xml:space="preserve">Where a combined listing </w:t>
      </w:r>
      <w:proofErr w:type="gramStart"/>
      <w:r>
        <w:t>is implemented</w:t>
      </w:r>
      <w:proofErr w:type="gramEnd"/>
      <w:r w:rsidRPr="008C4198">
        <w:t xml:space="preserve">, the PBAC considered it was appropriate for the existing olaparib and niraparib caps to be increased to account for the broader population including HRD positive </w:t>
      </w:r>
      <w:r w:rsidRPr="001F04E0">
        <w:rPr>
          <w:i/>
        </w:rPr>
        <w:t>BRCA</w:t>
      </w:r>
      <w:r w:rsidRPr="008C4198">
        <w:t xml:space="preserve">wt population. </w:t>
      </w:r>
    </w:p>
    <w:p w14:paraId="3007AA69" w14:textId="1CFD8DB4" w:rsidR="00845C4D" w:rsidRPr="00B23CB0" w:rsidRDefault="00845C4D" w:rsidP="00845C4D">
      <w:pPr>
        <w:pStyle w:val="3-BodyText"/>
      </w:pPr>
      <w:bookmarkStart w:id="63" w:name="_Ref140856237"/>
      <w:bookmarkStart w:id="64" w:name="_Hlk140498783"/>
      <w:bookmarkEnd w:id="62"/>
      <w:r w:rsidRPr="00C409E2">
        <w:rPr>
          <w:snapToGrid w:val="0"/>
        </w:rPr>
        <w:t xml:space="preserve">The PBAC noted that editorial changes have </w:t>
      </w:r>
      <w:proofErr w:type="gramStart"/>
      <w:r w:rsidRPr="00C409E2">
        <w:rPr>
          <w:snapToGrid w:val="0"/>
        </w:rPr>
        <w:t>been proposed</w:t>
      </w:r>
      <w:proofErr w:type="gramEnd"/>
      <w:r w:rsidRPr="00C409E2">
        <w:rPr>
          <w:snapToGrid w:val="0"/>
        </w:rPr>
        <w:t xml:space="preserve"> for the new restrictions based on more recent terminology. The PBAC noted that flow-on restriction changes should </w:t>
      </w:r>
      <w:proofErr w:type="gramStart"/>
      <w:r w:rsidRPr="00C409E2">
        <w:rPr>
          <w:snapToGrid w:val="0"/>
        </w:rPr>
        <w:t>be applied</w:t>
      </w:r>
      <w:proofErr w:type="gramEnd"/>
      <w:r w:rsidRPr="00C409E2">
        <w:rPr>
          <w:snapToGrid w:val="0"/>
        </w:rPr>
        <w:t xml:space="preserve"> to the olaparib second-line restrictions, to ensure consistent use of terminology across first-line and second-line restrictions. </w:t>
      </w:r>
      <w:r w:rsidRPr="00C73ABE">
        <w:rPr>
          <w:snapToGrid w:val="0"/>
        </w:rPr>
        <w:t xml:space="preserve">This includes use of 1) italics for </w:t>
      </w:r>
      <w:r w:rsidRPr="00C73ABE">
        <w:rPr>
          <w:i/>
          <w:iCs/>
          <w:snapToGrid w:val="0"/>
        </w:rPr>
        <w:t>BRCA1</w:t>
      </w:r>
      <w:r w:rsidRPr="00C73ABE">
        <w:rPr>
          <w:snapToGrid w:val="0"/>
        </w:rPr>
        <w:t xml:space="preserve"> and </w:t>
      </w:r>
      <w:r w:rsidRPr="00C73ABE">
        <w:rPr>
          <w:i/>
          <w:iCs/>
          <w:snapToGrid w:val="0"/>
        </w:rPr>
        <w:t>BRCA2</w:t>
      </w:r>
      <w:r w:rsidRPr="00C73ABE">
        <w:rPr>
          <w:snapToGrid w:val="0"/>
        </w:rPr>
        <w:t>; 2) inclusion of the term “maintenance therapy” in the description of the treatment phase (for initial and continuing) and deletion of the clinical criterion “The treatment must be maintenance therapy” from initial and continuing restrictions because it is captured in the description of the treatment phase; 3) delete the words “</w:t>
      </w:r>
      <w:r w:rsidRPr="00C73ABE">
        <w:rPr>
          <w:rFonts w:cs="Arial"/>
          <w:snapToGrid w:val="0"/>
        </w:rPr>
        <w:t xml:space="preserve">The condition must be associated with a class 4 or 5 </w:t>
      </w:r>
      <w:r w:rsidRPr="00C73ABE">
        <w:rPr>
          <w:rFonts w:cs="Arial"/>
          <w:i/>
          <w:iCs/>
          <w:snapToGrid w:val="0"/>
        </w:rPr>
        <w:t xml:space="preserve">BRCA1 </w:t>
      </w:r>
      <w:r w:rsidRPr="00C73ABE">
        <w:rPr>
          <w:rFonts w:cs="Arial"/>
          <w:snapToGrid w:val="0"/>
        </w:rPr>
        <w:t xml:space="preserve">or </w:t>
      </w:r>
      <w:r w:rsidRPr="00C73ABE">
        <w:rPr>
          <w:rFonts w:cs="Arial"/>
          <w:i/>
          <w:iCs/>
          <w:snapToGrid w:val="0"/>
        </w:rPr>
        <w:t>BRCA</w:t>
      </w:r>
      <w:r w:rsidRPr="00C73ABE">
        <w:rPr>
          <w:rFonts w:cs="Arial"/>
          <w:snapToGrid w:val="0"/>
        </w:rPr>
        <w:t xml:space="preserve">2 gene mutation” and replace with “The condition must be associated with </w:t>
      </w:r>
      <w:r w:rsidRPr="00C73ABE">
        <w:rPr>
          <w:rFonts w:cs="Arial"/>
          <w:i/>
          <w:iCs/>
          <w:snapToGrid w:val="0"/>
        </w:rPr>
        <w:t>BRCA1</w:t>
      </w:r>
      <w:r w:rsidRPr="00C73ABE">
        <w:rPr>
          <w:rFonts w:cs="Arial"/>
          <w:snapToGrid w:val="0"/>
        </w:rPr>
        <w:t xml:space="preserve"> or </w:t>
      </w:r>
      <w:r w:rsidRPr="00C73ABE">
        <w:rPr>
          <w:rFonts w:cs="Arial"/>
          <w:i/>
          <w:iCs/>
          <w:snapToGrid w:val="0"/>
        </w:rPr>
        <w:t>BRCA2</w:t>
      </w:r>
      <w:r w:rsidRPr="00C73ABE">
        <w:rPr>
          <w:rFonts w:cs="Arial"/>
          <w:snapToGrid w:val="0"/>
        </w:rPr>
        <w:t xml:space="preserve"> positive status” so that it will be the same as shown in Section </w:t>
      </w:r>
      <w:r w:rsidR="00B2508B">
        <w:rPr>
          <w:rFonts w:cs="Arial"/>
          <w:snapToGrid w:val="0"/>
        </w:rPr>
        <w:t>10</w:t>
      </w:r>
      <w:r w:rsidR="00B2508B" w:rsidRPr="00C73ABE">
        <w:rPr>
          <w:rFonts w:cs="Arial"/>
          <w:snapToGrid w:val="0"/>
        </w:rPr>
        <w:t xml:space="preserve"> </w:t>
      </w:r>
      <w:r w:rsidRPr="00C73ABE">
        <w:rPr>
          <w:rFonts w:cs="Arial"/>
          <w:snapToGrid w:val="0"/>
        </w:rPr>
        <w:t xml:space="preserve">below; and 4) modification of the prescribing instruction in relation to </w:t>
      </w:r>
      <w:r w:rsidRPr="00C73ABE">
        <w:rPr>
          <w:rFonts w:cs="Arial"/>
          <w:i/>
          <w:iCs/>
          <w:snapToGrid w:val="0"/>
        </w:rPr>
        <w:t>BRCA1</w:t>
      </w:r>
      <w:r w:rsidRPr="00C73ABE">
        <w:rPr>
          <w:rFonts w:cs="Arial"/>
          <w:snapToGrid w:val="0"/>
        </w:rPr>
        <w:t xml:space="preserve"> or </w:t>
      </w:r>
      <w:r w:rsidRPr="00C73ABE">
        <w:rPr>
          <w:rFonts w:cs="Arial"/>
          <w:i/>
          <w:iCs/>
          <w:snapToGrid w:val="0"/>
        </w:rPr>
        <w:t>BRCA2</w:t>
      </w:r>
      <w:r w:rsidRPr="00C73ABE">
        <w:rPr>
          <w:rFonts w:cs="Arial"/>
          <w:snapToGrid w:val="0"/>
        </w:rPr>
        <w:t xml:space="preserve"> positive status so that it will be the same as shown in Section 8 below.</w:t>
      </w:r>
      <w:r w:rsidRPr="00C409E2">
        <w:rPr>
          <w:rFonts w:cs="Arial"/>
          <w:snapToGrid w:val="0"/>
        </w:rPr>
        <w:t xml:space="preserve"> </w:t>
      </w:r>
      <w:bookmarkEnd w:id="63"/>
    </w:p>
    <w:bookmarkEnd w:id="64"/>
    <w:p w14:paraId="312152F7" w14:textId="77777777" w:rsidR="00845C4D" w:rsidRPr="00FB2FC3" w:rsidRDefault="00845C4D" w:rsidP="00845C4D">
      <w:pPr>
        <w:pStyle w:val="3-BodyText"/>
      </w:pPr>
      <w:r w:rsidRPr="00FB2FC3">
        <w:t>T</w:t>
      </w:r>
      <w:r w:rsidRPr="006114C1">
        <w:rPr>
          <w:rFonts w:cs="Arial"/>
          <w:bCs/>
          <w:snapToGrid w:val="0"/>
        </w:rPr>
        <w:t xml:space="preserve">he PBAC </w:t>
      </w:r>
      <w:r w:rsidRPr="006114C1">
        <w:rPr>
          <w:rFonts w:cstheme="minorHAnsi"/>
        </w:rPr>
        <w:t xml:space="preserve">found that the criteria prescribed by the </w:t>
      </w:r>
      <w:r w:rsidRPr="006114C1">
        <w:rPr>
          <w:rFonts w:cstheme="minorHAnsi"/>
          <w:i/>
        </w:rPr>
        <w:t>National Health (Pharmaceuticals and Vaccines – Cost Recovery) Regulations 2022</w:t>
      </w:r>
      <w:r w:rsidRPr="006114C1">
        <w:rPr>
          <w:rFonts w:cstheme="minorHAnsi"/>
        </w:rPr>
        <w:t xml:space="preserve"> for Pricing Pathway A </w:t>
      </w:r>
      <w:proofErr w:type="gramStart"/>
      <w:r w:rsidRPr="006114C1">
        <w:rPr>
          <w:rFonts w:cstheme="minorHAnsi"/>
        </w:rPr>
        <w:t>were met</w:t>
      </w:r>
      <w:proofErr w:type="gramEnd"/>
      <w:r w:rsidRPr="006114C1">
        <w:rPr>
          <w:rFonts w:cstheme="minorHAnsi"/>
        </w:rPr>
        <w:t xml:space="preserve">. </w:t>
      </w:r>
      <w:r w:rsidRPr="006114C1">
        <w:rPr>
          <w:rFonts w:cstheme="minorHAnsi"/>
        </w:rPr>
        <w:lastRenderedPageBreak/>
        <w:t>Specifically the PBAC found that in the circumstances of its recommendation for olaparib:</w:t>
      </w:r>
    </w:p>
    <w:p w14:paraId="667898E2" w14:textId="77777777" w:rsidR="00845C4D" w:rsidRPr="006114C1" w:rsidRDefault="00845C4D" w:rsidP="00845C4D">
      <w:pPr>
        <w:widowControl w:val="0"/>
        <w:numPr>
          <w:ilvl w:val="1"/>
          <w:numId w:val="27"/>
        </w:numPr>
        <w:spacing w:after="120"/>
        <w:ind w:left="1080"/>
        <w:rPr>
          <w:rFonts w:asciiTheme="minorHAnsi" w:hAnsiTheme="minorHAnsi" w:cstheme="minorHAnsi"/>
        </w:rPr>
      </w:pPr>
      <w:r w:rsidRPr="006114C1">
        <w:rPr>
          <w:rFonts w:asciiTheme="minorHAnsi" w:hAnsiTheme="minorHAnsi" w:cstheme="minorHAnsi"/>
        </w:rPr>
        <w:t xml:space="preserve">The treatment is expected to provide a substantial and clinically relevant improvement in efficacy, over alternative therapies, on the basis of the </w:t>
      </w:r>
      <w:r w:rsidRPr="008C4198">
        <w:t>PAOLA</w:t>
      </w:r>
      <w:r w:rsidRPr="008C4198">
        <w:noBreakHyphen/>
      </w:r>
      <w:proofErr w:type="gramStart"/>
      <w:r w:rsidRPr="008C4198">
        <w:t>1</w:t>
      </w:r>
      <w:proofErr w:type="gramEnd"/>
      <w:r w:rsidRPr="008C4198">
        <w:t xml:space="preserve"> trial</w:t>
      </w:r>
      <w:r w:rsidRPr="006114C1">
        <w:rPr>
          <w:rFonts w:asciiTheme="minorHAnsi" w:hAnsiTheme="minorHAnsi" w:cstheme="minorHAnsi"/>
        </w:rPr>
        <w:t xml:space="preserve">; </w:t>
      </w:r>
    </w:p>
    <w:p w14:paraId="3B8DF70F" w14:textId="77777777" w:rsidR="00845C4D" w:rsidRPr="006114C1" w:rsidRDefault="00845C4D" w:rsidP="00845C4D">
      <w:pPr>
        <w:widowControl w:val="0"/>
        <w:numPr>
          <w:ilvl w:val="1"/>
          <w:numId w:val="27"/>
        </w:numPr>
        <w:spacing w:after="120"/>
        <w:ind w:left="1080"/>
        <w:rPr>
          <w:rFonts w:asciiTheme="minorHAnsi" w:hAnsiTheme="minorHAnsi" w:cstheme="minorHAnsi"/>
        </w:rPr>
      </w:pPr>
      <w:r w:rsidRPr="006114C1">
        <w:rPr>
          <w:rFonts w:asciiTheme="minorHAnsi" w:hAnsiTheme="minorHAnsi" w:cstheme="minorHAnsi"/>
        </w:rPr>
        <w:t xml:space="preserve">The treatment </w:t>
      </w:r>
      <w:proofErr w:type="gramStart"/>
      <w:r w:rsidRPr="006114C1">
        <w:rPr>
          <w:rFonts w:asciiTheme="minorHAnsi" w:hAnsiTheme="minorHAnsi" w:cstheme="minorHAnsi"/>
        </w:rPr>
        <w:t>is expected</w:t>
      </w:r>
      <w:proofErr w:type="gramEnd"/>
      <w:r w:rsidRPr="006114C1">
        <w:rPr>
          <w:rFonts w:asciiTheme="minorHAnsi" w:hAnsiTheme="minorHAnsi" w:cstheme="minorHAnsi"/>
        </w:rPr>
        <w:t xml:space="preserve"> to address a high and urgent unmet clinical need because of the risks of progression and mortality associated with the condition and the limited treatment options available for these patients;</w:t>
      </w:r>
    </w:p>
    <w:p w14:paraId="504BD5F0" w14:textId="77777777" w:rsidR="00845C4D" w:rsidRPr="006114C1" w:rsidRDefault="00845C4D" w:rsidP="00845C4D">
      <w:pPr>
        <w:widowControl w:val="0"/>
        <w:numPr>
          <w:ilvl w:val="1"/>
          <w:numId w:val="27"/>
        </w:numPr>
        <w:spacing w:after="120"/>
        <w:ind w:left="1080"/>
        <w:rPr>
          <w:rFonts w:asciiTheme="minorHAnsi" w:hAnsiTheme="minorHAnsi" w:cstheme="minorHAnsi"/>
        </w:rPr>
      </w:pPr>
      <w:r w:rsidRPr="006114C1">
        <w:rPr>
          <w:rFonts w:asciiTheme="minorHAnsi" w:hAnsiTheme="minorHAnsi" w:cstheme="minorHAnsi"/>
        </w:rPr>
        <w:t>It would be in the public interest for the subsequent pricing application to be progressed under Pricing Pathway A on the basis of the preceding findings.</w:t>
      </w:r>
    </w:p>
    <w:p w14:paraId="085B29B7" w14:textId="77777777" w:rsidR="00845C4D" w:rsidRPr="006114C1" w:rsidRDefault="00845C4D" w:rsidP="00845C4D">
      <w:pPr>
        <w:pStyle w:val="3-BodyText"/>
        <w:rPr>
          <w:rFonts w:cs="Arial"/>
          <w:snapToGrid w:val="0"/>
        </w:rPr>
      </w:pPr>
      <w:r w:rsidRPr="006114C1">
        <w:rPr>
          <w:rFonts w:cs="Arial"/>
          <w:snapToGrid w:val="0"/>
        </w:rPr>
        <w:t>The PBAC noted that this submission is not eligible for an Independent Review as it received a positive recommendation.</w:t>
      </w:r>
    </w:p>
    <w:p w14:paraId="2C5BF692" w14:textId="77777777" w:rsidR="00845C4D" w:rsidRPr="006114C1" w:rsidRDefault="00845C4D" w:rsidP="00845C4D">
      <w:pPr>
        <w:spacing w:before="240"/>
        <w:rPr>
          <w:rFonts w:asciiTheme="minorHAnsi" w:hAnsiTheme="minorHAnsi" w:cs="Arial"/>
          <w:b/>
          <w:bCs/>
          <w:snapToGrid w:val="0"/>
        </w:rPr>
      </w:pPr>
      <w:r w:rsidRPr="006114C1">
        <w:rPr>
          <w:rFonts w:asciiTheme="minorHAnsi" w:hAnsiTheme="minorHAnsi" w:cs="Arial"/>
          <w:b/>
          <w:bCs/>
          <w:snapToGrid w:val="0"/>
        </w:rPr>
        <w:t>Outcome:</w:t>
      </w:r>
    </w:p>
    <w:p w14:paraId="5F0F1581" w14:textId="77777777" w:rsidR="00845C4D" w:rsidRPr="00223DB9" w:rsidRDefault="00845C4D" w:rsidP="00845C4D">
      <w:pPr>
        <w:rPr>
          <w:rFonts w:asciiTheme="minorHAnsi" w:hAnsiTheme="minorHAnsi" w:cs="Arial"/>
          <w:bCs/>
          <w:snapToGrid w:val="0"/>
        </w:rPr>
      </w:pPr>
      <w:r w:rsidRPr="006114C1">
        <w:rPr>
          <w:rFonts w:asciiTheme="minorHAnsi" w:hAnsiTheme="minorHAnsi" w:cs="Arial"/>
          <w:bCs/>
          <w:snapToGrid w:val="0"/>
        </w:rPr>
        <w:t xml:space="preserve">Recommended </w:t>
      </w:r>
    </w:p>
    <w:p w14:paraId="60B8E73A" w14:textId="77777777" w:rsidR="00845C4D" w:rsidRPr="008C4198" w:rsidRDefault="00845C4D" w:rsidP="00845C4D">
      <w:pPr>
        <w:pStyle w:val="2-SectionHeading"/>
      </w:pPr>
      <w:bookmarkStart w:id="65" w:name="_Ref118728963"/>
      <w:r w:rsidRPr="008C4198">
        <w:t>Recommended listing</w:t>
      </w:r>
      <w:bookmarkEnd w:id="65"/>
    </w:p>
    <w:p w14:paraId="308B9575" w14:textId="4631F740" w:rsidR="00845C4D" w:rsidRDefault="00845C4D" w:rsidP="00845C4D">
      <w:pPr>
        <w:pStyle w:val="3-BodyText"/>
        <w:rPr>
          <w:rFonts w:cs="Arial"/>
          <w:snapToGrid w:val="0"/>
        </w:rPr>
      </w:pPr>
      <w:bookmarkStart w:id="66" w:name="_Hlk140500726"/>
      <w:r w:rsidRPr="006114C1">
        <w:rPr>
          <w:rFonts w:cs="Arial"/>
          <w:snapToGrid w:val="0"/>
        </w:rPr>
        <w:t xml:space="preserve">The recommended listing </w:t>
      </w:r>
      <w:proofErr w:type="gramStart"/>
      <w:r w:rsidRPr="006114C1">
        <w:rPr>
          <w:rFonts w:cs="Arial"/>
          <w:snapToGrid w:val="0"/>
        </w:rPr>
        <w:t>is shown</w:t>
      </w:r>
      <w:proofErr w:type="gramEnd"/>
      <w:r w:rsidRPr="006114C1">
        <w:rPr>
          <w:rFonts w:cs="Arial"/>
          <w:snapToGrid w:val="0"/>
        </w:rPr>
        <w:t xml:space="preserve"> below, reflecting the combined first-line maintenance population, including the population currently eligible for olaparib under the existing item codes for </w:t>
      </w:r>
      <w:r w:rsidRPr="001F04E0">
        <w:rPr>
          <w:rFonts w:cs="Arial"/>
          <w:i/>
          <w:snapToGrid w:val="0"/>
        </w:rPr>
        <w:t>BRCA</w:t>
      </w:r>
      <w:r w:rsidRPr="006114C1">
        <w:rPr>
          <w:rFonts w:cs="Arial"/>
          <w:snapToGrid w:val="0"/>
        </w:rPr>
        <w:t xml:space="preserve">m patients and the newly recommended population of HRD positive </w:t>
      </w:r>
      <w:r w:rsidRPr="001F04E0">
        <w:rPr>
          <w:rFonts w:cs="Arial"/>
          <w:i/>
          <w:snapToGrid w:val="0"/>
        </w:rPr>
        <w:t>BRCA</w:t>
      </w:r>
      <w:r w:rsidRPr="006114C1">
        <w:rPr>
          <w:rFonts w:cs="Arial"/>
          <w:snapToGrid w:val="0"/>
        </w:rPr>
        <w:t>wt patients.</w:t>
      </w:r>
    </w:p>
    <w:p w14:paraId="75F166DE" w14:textId="1028E4D1" w:rsidR="00845C4D" w:rsidRPr="00E320B4" w:rsidRDefault="00845C4D" w:rsidP="00845C4D">
      <w:pPr>
        <w:pStyle w:val="3-BodyText"/>
        <w:rPr>
          <w:rFonts w:cs="Arial"/>
          <w:snapToGrid w:val="0"/>
        </w:rPr>
      </w:pPr>
      <w:r w:rsidRPr="00E320B4">
        <w:rPr>
          <w:rFonts w:cs="Arial"/>
          <w:snapToGrid w:val="0"/>
        </w:rPr>
        <w:t xml:space="preserve">Amend the existing PBS listings relating to first-line use in ovarian cancer to include the new HRD+ </w:t>
      </w:r>
      <w:r w:rsidRPr="00314A5F">
        <w:rPr>
          <w:rFonts w:cs="Arial"/>
          <w:i/>
          <w:iCs/>
          <w:snapToGrid w:val="0"/>
        </w:rPr>
        <w:t>BRCA</w:t>
      </w:r>
      <w:r w:rsidRPr="00E320B4">
        <w:rPr>
          <w:rFonts w:cs="Arial"/>
          <w:snapToGrid w:val="0"/>
        </w:rPr>
        <w:t xml:space="preserve">wt population whilst retaining the existing </w:t>
      </w:r>
      <w:r w:rsidRPr="00314A5F">
        <w:rPr>
          <w:rFonts w:cs="Arial"/>
          <w:i/>
          <w:iCs/>
          <w:snapToGrid w:val="0"/>
        </w:rPr>
        <w:t>BRCA</w:t>
      </w:r>
      <w:r w:rsidRPr="00E320B4">
        <w:rPr>
          <w:rFonts w:cs="Arial"/>
          <w:snapToGrid w:val="0"/>
        </w:rPr>
        <w:t xml:space="preserve">m population. </w:t>
      </w:r>
      <w:r>
        <w:rPr>
          <w:rFonts w:cs="Arial"/>
          <w:snapToGrid w:val="0"/>
        </w:rPr>
        <w:t>A</w:t>
      </w:r>
      <w:r w:rsidRPr="00E320B4">
        <w:rPr>
          <w:rFonts w:cs="Arial"/>
          <w:snapToGrid w:val="0"/>
        </w:rPr>
        <w:t xml:space="preserve">mend items: 12170M, 12157W, 12169L, 12161C (current item codes for olaparib as first-line ovarian cancer treatment for </w:t>
      </w:r>
      <w:r w:rsidRPr="00E320B4">
        <w:rPr>
          <w:rFonts w:cs="Arial"/>
          <w:i/>
          <w:snapToGrid w:val="0"/>
        </w:rPr>
        <w:t>BRCA</w:t>
      </w:r>
      <w:r w:rsidRPr="00E320B4">
        <w:rPr>
          <w:rFonts w:cs="Arial"/>
          <w:snapToGrid w:val="0"/>
        </w:rPr>
        <w:t>m population).</w:t>
      </w:r>
    </w:p>
    <w:p w14:paraId="448F76AA" w14:textId="7F10788B" w:rsidR="00845C4D" w:rsidRDefault="00845C4D" w:rsidP="00BD0FF1">
      <w:pPr>
        <w:pStyle w:val="3-BodyText"/>
      </w:pPr>
      <w:r>
        <w:rPr>
          <w:rFonts w:cs="Arial"/>
          <w:snapToGrid w:val="0"/>
        </w:rPr>
        <w:t xml:space="preserve">Flow-on changes to items: </w:t>
      </w:r>
      <w:r w:rsidRPr="008C4198">
        <w:t>11522K</w:t>
      </w:r>
      <w:r>
        <w:t xml:space="preserve">, </w:t>
      </w:r>
      <w:r w:rsidRPr="008C4198">
        <w:t>11528R</w:t>
      </w:r>
      <w:r>
        <w:t xml:space="preserve">, </w:t>
      </w:r>
      <w:r w:rsidRPr="008C4198">
        <w:t>11503K</w:t>
      </w:r>
      <w:r>
        <w:t xml:space="preserve">, </w:t>
      </w:r>
      <w:r w:rsidRPr="00FB2FC3">
        <w:t>11539H</w:t>
      </w:r>
      <w:r>
        <w:t xml:space="preserve"> (</w:t>
      </w:r>
      <w:r w:rsidRPr="006114C1">
        <w:rPr>
          <w:rFonts w:cs="Arial"/>
          <w:snapToGrid w:val="0"/>
        </w:rPr>
        <w:t xml:space="preserve">current item codes for olaparib as </w:t>
      </w:r>
      <w:r>
        <w:rPr>
          <w:rFonts w:cs="Arial"/>
          <w:snapToGrid w:val="0"/>
        </w:rPr>
        <w:t>second</w:t>
      </w:r>
      <w:r w:rsidRPr="006114C1">
        <w:rPr>
          <w:rFonts w:cs="Arial"/>
          <w:snapToGrid w:val="0"/>
        </w:rPr>
        <w:t xml:space="preserve">-line ovarian cancer treatment for </w:t>
      </w:r>
      <w:r w:rsidRPr="001F04E0">
        <w:rPr>
          <w:rFonts w:cs="Arial"/>
          <w:i/>
          <w:snapToGrid w:val="0"/>
        </w:rPr>
        <w:t>BRCA</w:t>
      </w:r>
      <w:r w:rsidRPr="006114C1">
        <w:rPr>
          <w:rFonts w:cs="Arial"/>
          <w:snapToGrid w:val="0"/>
        </w:rPr>
        <w:t>m population)</w:t>
      </w:r>
      <w:r>
        <w:rPr>
          <w:rFonts w:cs="Arial"/>
          <w:snapToGrid w:val="0"/>
        </w:rPr>
        <w:t xml:space="preserve">, for consistent use of terminology as outlined in paragraph </w:t>
      </w:r>
      <w:r>
        <w:rPr>
          <w:rFonts w:cs="Arial"/>
          <w:snapToGrid w:val="0"/>
        </w:rPr>
        <w:fldChar w:fldCharType="begin" w:fldLock="1"/>
      </w:r>
      <w:r>
        <w:rPr>
          <w:rFonts w:cs="Arial"/>
          <w:snapToGrid w:val="0"/>
        </w:rPr>
        <w:instrText xml:space="preserve"> REF _Ref140856237 \r \h </w:instrText>
      </w:r>
      <w:r>
        <w:rPr>
          <w:rFonts w:cs="Arial"/>
          <w:snapToGrid w:val="0"/>
        </w:rPr>
      </w:r>
      <w:r>
        <w:rPr>
          <w:rFonts w:cs="Arial"/>
          <w:snapToGrid w:val="0"/>
        </w:rPr>
        <w:fldChar w:fldCharType="separate"/>
      </w:r>
      <w:r w:rsidR="00B2508B">
        <w:rPr>
          <w:rFonts w:cs="Arial"/>
          <w:snapToGrid w:val="0"/>
        </w:rPr>
        <w:t>9.10</w:t>
      </w:r>
      <w:r>
        <w:rPr>
          <w:rFonts w:cs="Arial"/>
          <w:snapToGrid w:val="0"/>
        </w:rPr>
        <w:fldChar w:fldCharType="end"/>
      </w:r>
      <w:r>
        <w:rPr>
          <w:rFonts w:cs="Arial"/>
          <w:snapToGrid w:val="0"/>
        </w:rPr>
        <w:t>.</w:t>
      </w:r>
      <w:bookmarkStart w:id="67" w:name="_Hlk140844436"/>
      <w:bookmarkEnd w:id="55"/>
      <w:bookmarkEnd w:id="66"/>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6"/>
        <w:gridCol w:w="1241"/>
        <w:gridCol w:w="1761"/>
        <w:gridCol w:w="1172"/>
        <w:gridCol w:w="1205"/>
        <w:gridCol w:w="1523"/>
        <w:gridCol w:w="985"/>
      </w:tblGrid>
      <w:tr w:rsidR="00845C4D" w:rsidRPr="00C64218" w14:paraId="61233F23" w14:textId="77777777" w:rsidTr="003370CF">
        <w:trPr>
          <w:cantSplit/>
          <w:trHeight w:val="471"/>
        </w:trPr>
        <w:tc>
          <w:tcPr>
            <w:tcW w:w="1394" w:type="pct"/>
            <w:gridSpan w:val="2"/>
          </w:tcPr>
          <w:p w14:paraId="4EC83F02" w14:textId="77777777" w:rsidR="00845C4D" w:rsidRPr="00C64218" w:rsidRDefault="00845C4D" w:rsidP="00BD0FF1">
            <w:pPr>
              <w:keepLines/>
              <w:rPr>
                <w:rFonts w:ascii="Arial Narrow" w:eastAsia="Calibri" w:hAnsi="Arial Narrow"/>
                <w:b/>
                <w:bCs/>
                <w:sz w:val="20"/>
                <w:szCs w:val="20"/>
              </w:rPr>
            </w:pPr>
            <w:r w:rsidRPr="00C64218">
              <w:rPr>
                <w:rFonts w:ascii="Arial Narrow" w:eastAsia="Calibri" w:hAnsi="Arial Narrow"/>
                <w:b/>
                <w:bCs/>
                <w:sz w:val="20"/>
                <w:szCs w:val="20"/>
              </w:rPr>
              <w:t>MEDICINAL PRODUCT</w:t>
            </w:r>
          </w:p>
          <w:p w14:paraId="7326151A" w14:textId="77777777" w:rsidR="00845C4D" w:rsidRPr="00C64218" w:rsidRDefault="00845C4D" w:rsidP="00BD0FF1">
            <w:pPr>
              <w:keepLines/>
              <w:rPr>
                <w:rFonts w:ascii="Arial Narrow" w:eastAsia="Calibri" w:hAnsi="Arial Narrow"/>
                <w:b/>
                <w:bCs/>
                <w:sz w:val="20"/>
                <w:szCs w:val="20"/>
              </w:rPr>
            </w:pPr>
            <w:r w:rsidRPr="00C64218">
              <w:rPr>
                <w:rFonts w:ascii="Arial Narrow" w:eastAsia="Calibri" w:hAnsi="Arial Narrow"/>
                <w:b/>
                <w:bCs/>
                <w:sz w:val="20"/>
                <w:szCs w:val="20"/>
              </w:rPr>
              <w:t>medicinal product pack</w:t>
            </w:r>
          </w:p>
        </w:tc>
        <w:tc>
          <w:tcPr>
            <w:tcW w:w="955" w:type="pct"/>
          </w:tcPr>
          <w:p w14:paraId="17047D6F" w14:textId="77777777" w:rsidR="00845C4D" w:rsidRPr="00C64218" w:rsidRDefault="00845C4D" w:rsidP="00BD0FF1">
            <w:pPr>
              <w:keepLines/>
              <w:rPr>
                <w:rFonts w:ascii="Arial Narrow" w:eastAsia="Calibri" w:hAnsi="Arial Narrow"/>
                <w:b/>
                <w:bCs/>
                <w:sz w:val="20"/>
                <w:szCs w:val="20"/>
              </w:rPr>
            </w:pPr>
            <w:r w:rsidRPr="00C64218">
              <w:rPr>
                <w:rFonts w:ascii="Arial Narrow" w:eastAsia="Calibri" w:hAnsi="Arial Narrow"/>
                <w:b/>
                <w:bCs/>
                <w:sz w:val="20"/>
                <w:szCs w:val="20"/>
              </w:rPr>
              <w:t>PBS item code</w:t>
            </w:r>
          </w:p>
        </w:tc>
        <w:tc>
          <w:tcPr>
            <w:tcW w:w="636" w:type="pct"/>
          </w:tcPr>
          <w:p w14:paraId="224CCFE3" w14:textId="77777777" w:rsidR="00845C4D" w:rsidRPr="00C64218" w:rsidRDefault="00845C4D" w:rsidP="00BD0FF1">
            <w:pPr>
              <w:keepLines/>
              <w:rPr>
                <w:rFonts w:ascii="Arial Narrow" w:eastAsia="Calibri" w:hAnsi="Arial Narrow"/>
                <w:b/>
                <w:bCs/>
                <w:sz w:val="20"/>
                <w:szCs w:val="20"/>
              </w:rPr>
            </w:pPr>
            <w:r w:rsidRPr="00C64218">
              <w:rPr>
                <w:rFonts w:ascii="Arial Narrow" w:eastAsia="Calibri" w:hAnsi="Arial Narrow"/>
                <w:b/>
                <w:bCs/>
                <w:sz w:val="20"/>
                <w:szCs w:val="20"/>
              </w:rPr>
              <w:t>Max. qty packs</w:t>
            </w:r>
          </w:p>
        </w:tc>
        <w:tc>
          <w:tcPr>
            <w:tcW w:w="654" w:type="pct"/>
          </w:tcPr>
          <w:p w14:paraId="77CFF2A8" w14:textId="77777777" w:rsidR="00845C4D" w:rsidRPr="00C64218" w:rsidRDefault="00845C4D" w:rsidP="00BD0FF1">
            <w:pPr>
              <w:keepLines/>
              <w:rPr>
                <w:rFonts w:ascii="Arial Narrow" w:eastAsia="Calibri" w:hAnsi="Arial Narrow"/>
                <w:b/>
                <w:bCs/>
                <w:sz w:val="20"/>
                <w:szCs w:val="20"/>
              </w:rPr>
            </w:pPr>
            <w:r w:rsidRPr="00C64218">
              <w:rPr>
                <w:rFonts w:ascii="Arial Narrow" w:eastAsia="Calibri" w:hAnsi="Arial Narrow"/>
                <w:b/>
                <w:bCs/>
                <w:sz w:val="20"/>
                <w:szCs w:val="20"/>
              </w:rPr>
              <w:t>Max. qty units</w:t>
            </w:r>
          </w:p>
        </w:tc>
        <w:tc>
          <w:tcPr>
            <w:tcW w:w="826" w:type="pct"/>
          </w:tcPr>
          <w:p w14:paraId="7F9D03E6" w14:textId="77777777" w:rsidR="00845C4D" w:rsidRPr="00C64218" w:rsidRDefault="00845C4D" w:rsidP="00BD0FF1">
            <w:pPr>
              <w:keepLines/>
              <w:rPr>
                <w:rFonts w:ascii="Arial Narrow" w:eastAsia="Calibri" w:hAnsi="Arial Narrow"/>
                <w:b/>
                <w:bCs/>
                <w:sz w:val="20"/>
                <w:szCs w:val="20"/>
              </w:rPr>
            </w:pPr>
            <w:r w:rsidRPr="00C64218">
              <w:rPr>
                <w:rFonts w:ascii="Arial Narrow" w:eastAsia="Calibri" w:hAnsi="Arial Narrow"/>
                <w:b/>
                <w:bCs/>
                <w:sz w:val="20"/>
                <w:szCs w:val="20"/>
              </w:rPr>
              <w:t>№.of Rpts</w:t>
            </w:r>
          </w:p>
        </w:tc>
        <w:tc>
          <w:tcPr>
            <w:tcW w:w="535" w:type="pct"/>
          </w:tcPr>
          <w:p w14:paraId="45AB8BE9" w14:textId="77777777" w:rsidR="00845C4D" w:rsidRPr="00C64218" w:rsidRDefault="00845C4D" w:rsidP="00BD0FF1">
            <w:pPr>
              <w:keepLines/>
              <w:rPr>
                <w:rFonts w:ascii="Arial Narrow" w:eastAsia="Calibri" w:hAnsi="Arial Narrow"/>
                <w:b/>
                <w:bCs/>
                <w:sz w:val="20"/>
                <w:szCs w:val="20"/>
              </w:rPr>
            </w:pPr>
            <w:r w:rsidRPr="00C64218">
              <w:rPr>
                <w:rFonts w:ascii="Arial Narrow" w:eastAsia="Calibri" w:hAnsi="Arial Narrow"/>
                <w:b/>
                <w:bCs/>
                <w:sz w:val="20"/>
                <w:szCs w:val="20"/>
              </w:rPr>
              <w:t>Available brands</w:t>
            </w:r>
          </w:p>
        </w:tc>
      </w:tr>
      <w:tr w:rsidR="00845C4D" w:rsidRPr="00C64218" w14:paraId="6CE71793" w14:textId="77777777" w:rsidTr="003370CF">
        <w:trPr>
          <w:cantSplit/>
          <w:trHeight w:val="224"/>
        </w:trPr>
        <w:tc>
          <w:tcPr>
            <w:tcW w:w="5000" w:type="pct"/>
            <w:gridSpan w:val="7"/>
          </w:tcPr>
          <w:p w14:paraId="203A0539" w14:textId="77777777" w:rsidR="00845C4D" w:rsidRPr="00C64218" w:rsidRDefault="00845C4D" w:rsidP="00BD0FF1">
            <w:pPr>
              <w:keepLines/>
              <w:rPr>
                <w:rFonts w:ascii="Arial Narrow" w:eastAsia="Calibri" w:hAnsi="Arial Narrow"/>
                <w:b/>
                <w:bCs/>
                <w:sz w:val="20"/>
                <w:szCs w:val="20"/>
              </w:rPr>
            </w:pPr>
            <w:r w:rsidRPr="00C64218">
              <w:rPr>
                <w:rFonts w:ascii="Arial Narrow" w:eastAsia="Calibri" w:hAnsi="Arial Narrow"/>
                <w:b/>
                <w:bCs/>
                <w:sz w:val="20"/>
                <w:szCs w:val="20"/>
              </w:rPr>
              <w:t xml:space="preserve">OLAPARIB  </w:t>
            </w:r>
          </w:p>
        </w:tc>
      </w:tr>
      <w:tr w:rsidR="00845C4D" w:rsidRPr="00C64218" w14:paraId="16FD78C8" w14:textId="77777777" w:rsidTr="003370CF">
        <w:trPr>
          <w:cantSplit/>
          <w:trHeight w:val="232"/>
        </w:trPr>
        <w:tc>
          <w:tcPr>
            <w:tcW w:w="1394" w:type="pct"/>
            <w:gridSpan w:val="2"/>
          </w:tcPr>
          <w:p w14:paraId="78804142"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 xml:space="preserve">olaparib 150 mg tablet, </w:t>
            </w:r>
            <w:proofErr w:type="gramStart"/>
            <w:r w:rsidRPr="00C64218">
              <w:rPr>
                <w:rFonts w:ascii="Arial Narrow" w:eastAsia="Calibri" w:hAnsi="Arial Narrow"/>
                <w:sz w:val="20"/>
                <w:szCs w:val="20"/>
              </w:rPr>
              <w:t>56</w:t>
            </w:r>
            <w:proofErr w:type="gramEnd"/>
            <w:r w:rsidRPr="00C64218">
              <w:rPr>
                <w:rFonts w:ascii="Arial Narrow" w:eastAsia="Calibri" w:hAnsi="Arial Narrow"/>
                <w:sz w:val="20"/>
                <w:szCs w:val="20"/>
              </w:rPr>
              <w:t xml:space="preserve"> </w:t>
            </w:r>
          </w:p>
        </w:tc>
        <w:tc>
          <w:tcPr>
            <w:tcW w:w="955" w:type="pct"/>
          </w:tcPr>
          <w:p w14:paraId="6B547FAE"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12157W (initial)</w:t>
            </w:r>
          </w:p>
          <w:p w14:paraId="23B3160C" w14:textId="77777777" w:rsidR="00845C4D" w:rsidRPr="00C64218" w:rsidRDefault="00845C4D" w:rsidP="00BD0FF1">
            <w:pPr>
              <w:keepLines/>
              <w:rPr>
                <w:rFonts w:ascii="Arial Narrow" w:eastAsia="Calibri" w:hAnsi="Arial Narrow"/>
                <w:sz w:val="20"/>
                <w:szCs w:val="20"/>
              </w:rPr>
            </w:pPr>
            <w:r w:rsidRPr="00C64218">
              <w:rPr>
                <w:rFonts w:ascii="Arial Narrow" w:hAnsi="Arial Narrow"/>
                <w:sz w:val="20"/>
                <w:szCs w:val="20"/>
              </w:rPr>
              <w:t>12161C (continuing)</w:t>
            </w:r>
          </w:p>
        </w:tc>
        <w:tc>
          <w:tcPr>
            <w:tcW w:w="636" w:type="pct"/>
          </w:tcPr>
          <w:p w14:paraId="28618A20"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2</w:t>
            </w:r>
          </w:p>
        </w:tc>
        <w:tc>
          <w:tcPr>
            <w:tcW w:w="654" w:type="pct"/>
          </w:tcPr>
          <w:p w14:paraId="40FCB734"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112</w:t>
            </w:r>
          </w:p>
        </w:tc>
        <w:tc>
          <w:tcPr>
            <w:tcW w:w="826" w:type="pct"/>
          </w:tcPr>
          <w:p w14:paraId="3A0D2DF7"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2 (initial)</w:t>
            </w:r>
          </w:p>
          <w:p w14:paraId="26A94209"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5 (continuing)</w:t>
            </w:r>
          </w:p>
        </w:tc>
        <w:tc>
          <w:tcPr>
            <w:tcW w:w="535" w:type="pct"/>
          </w:tcPr>
          <w:p w14:paraId="46571CED"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 xml:space="preserve">Lynparza </w:t>
            </w:r>
          </w:p>
        </w:tc>
      </w:tr>
      <w:tr w:rsidR="00845C4D" w:rsidRPr="00C64218" w14:paraId="2F8345FF" w14:textId="77777777" w:rsidTr="003370CF">
        <w:trPr>
          <w:cantSplit/>
          <w:trHeight w:val="264"/>
        </w:trPr>
        <w:tc>
          <w:tcPr>
            <w:tcW w:w="1394" w:type="pct"/>
            <w:gridSpan w:val="2"/>
          </w:tcPr>
          <w:p w14:paraId="150F4B7A"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 xml:space="preserve">olaparib 100 mg tablet, </w:t>
            </w:r>
            <w:proofErr w:type="gramStart"/>
            <w:r w:rsidRPr="00C64218">
              <w:rPr>
                <w:rFonts w:ascii="Arial Narrow" w:eastAsia="Calibri" w:hAnsi="Arial Narrow"/>
                <w:sz w:val="20"/>
                <w:szCs w:val="20"/>
              </w:rPr>
              <w:t>56</w:t>
            </w:r>
            <w:proofErr w:type="gramEnd"/>
          </w:p>
        </w:tc>
        <w:tc>
          <w:tcPr>
            <w:tcW w:w="955" w:type="pct"/>
          </w:tcPr>
          <w:p w14:paraId="06CF515A"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12170M (initial)</w:t>
            </w:r>
          </w:p>
          <w:p w14:paraId="5A70AEDA"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12169L (continuing)</w:t>
            </w:r>
          </w:p>
        </w:tc>
        <w:tc>
          <w:tcPr>
            <w:tcW w:w="636" w:type="pct"/>
          </w:tcPr>
          <w:p w14:paraId="2FF0D423"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2</w:t>
            </w:r>
          </w:p>
        </w:tc>
        <w:tc>
          <w:tcPr>
            <w:tcW w:w="654" w:type="pct"/>
          </w:tcPr>
          <w:p w14:paraId="45070E9E"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112</w:t>
            </w:r>
          </w:p>
        </w:tc>
        <w:tc>
          <w:tcPr>
            <w:tcW w:w="826" w:type="pct"/>
          </w:tcPr>
          <w:p w14:paraId="3AC89D50"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2 (initial)</w:t>
            </w:r>
          </w:p>
          <w:p w14:paraId="3D47DEB4" w14:textId="77777777" w:rsidR="00845C4D" w:rsidRPr="00C64218" w:rsidRDefault="00845C4D" w:rsidP="00BD0FF1">
            <w:pPr>
              <w:keepLines/>
              <w:rPr>
                <w:rFonts w:ascii="Arial Narrow" w:eastAsia="Calibri" w:hAnsi="Arial Narrow"/>
                <w:sz w:val="20"/>
                <w:szCs w:val="20"/>
              </w:rPr>
            </w:pPr>
            <w:proofErr w:type="gramStart"/>
            <w:r w:rsidRPr="00C64218">
              <w:rPr>
                <w:rFonts w:ascii="Arial Narrow" w:eastAsia="Calibri" w:hAnsi="Arial Narrow"/>
                <w:sz w:val="20"/>
                <w:szCs w:val="20"/>
              </w:rPr>
              <w:t>5</w:t>
            </w:r>
            <w:proofErr w:type="gramEnd"/>
            <w:r w:rsidRPr="00C64218">
              <w:rPr>
                <w:rFonts w:ascii="Arial Narrow" w:eastAsia="Calibri" w:hAnsi="Arial Narrow"/>
                <w:sz w:val="20"/>
                <w:szCs w:val="20"/>
              </w:rPr>
              <w:t xml:space="preserve"> continuing)</w:t>
            </w:r>
          </w:p>
        </w:tc>
        <w:tc>
          <w:tcPr>
            <w:tcW w:w="535" w:type="pct"/>
          </w:tcPr>
          <w:p w14:paraId="093774AA" w14:textId="77777777" w:rsidR="00845C4D" w:rsidRPr="00C64218" w:rsidRDefault="00845C4D" w:rsidP="00BD0FF1">
            <w:pPr>
              <w:keepLines/>
              <w:rPr>
                <w:rFonts w:ascii="Arial Narrow" w:eastAsia="Calibri" w:hAnsi="Arial Narrow"/>
                <w:sz w:val="20"/>
                <w:szCs w:val="20"/>
              </w:rPr>
            </w:pPr>
            <w:r w:rsidRPr="00C64218">
              <w:rPr>
                <w:rFonts w:ascii="Arial Narrow" w:eastAsia="Calibri" w:hAnsi="Arial Narrow"/>
                <w:sz w:val="20"/>
                <w:szCs w:val="20"/>
              </w:rPr>
              <w:t xml:space="preserve">Lynparza </w:t>
            </w:r>
          </w:p>
        </w:tc>
      </w:tr>
      <w:tr w:rsidR="00845C4D" w:rsidRPr="00C64218" w14:paraId="416A9562" w14:textId="77777777" w:rsidTr="003370CF">
        <w:trPr>
          <w:cantSplit/>
          <w:trHeight w:val="264"/>
        </w:trPr>
        <w:tc>
          <w:tcPr>
            <w:tcW w:w="5000" w:type="pct"/>
            <w:gridSpan w:val="7"/>
          </w:tcPr>
          <w:p w14:paraId="5A210FDE" w14:textId="77777777" w:rsidR="00845C4D" w:rsidRPr="00C64218" w:rsidRDefault="00845C4D" w:rsidP="00BD0FF1">
            <w:pPr>
              <w:keepLines/>
              <w:rPr>
                <w:rFonts w:ascii="Arial Narrow" w:eastAsia="Calibri" w:hAnsi="Arial Narrow"/>
                <w:sz w:val="20"/>
                <w:szCs w:val="20"/>
              </w:rPr>
            </w:pPr>
            <w:r w:rsidRPr="00C64218">
              <w:rPr>
                <w:rFonts w:ascii="Arial Narrow" w:hAnsi="Arial Narrow"/>
                <w:b/>
                <w:bCs/>
                <w:sz w:val="20"/>
                <w:szCs w:val="20"/>
              </w:rPr>
              <w:t xml:space="preserve">Category / Program: </w:t>
            </w:r>
            <w:r w:rsidRPr="00C64218">
              <w:rPr>
                <w:rFonts w:ascii="Arial Narrow" w:eastAsia="Calibri" w:hAnsi="Arial Narrow"/>
                <w:sz w:val="20"/>
                <w:szCs w:val="20"/>
              </w:rPr>
              <w:t>GENERAL – General Schedule (Code GE)</w:t>
            </w:r>
          </w:p>
        </w:tc>
      </w:tr>
      <w:tr w:rsidR="00845C4D" w:rsidRPr="00C64218" w14:paraId="437A9355" w14:textId="77777777" w:rsidTr="003370CF">
        <w:trPr>
          <w:cantSplit/>
          <w:trHeight w:val="264"/>
        </w:trPr>
        <w:tc>
          <w:tcPr>
            <w:tcW w:w="5000" w:type="pct"/>
            <w:gridSpan w:val="7"/>
          </w:tcPr>
          <w:p w14:paraId="30F1B35C" w14:textId="77777777" w:rsidR="00845C4D" w:rsidRPr="00C64218" w:rsidRDefault="00845C4D" w:rsidP="00BD0FF1">
            <w:pPr>
              <w:keepLines/>
              <w:rPr>
                <w:rFonts w:ascii="Arial Narrow" w:eastAsia="Calibri" w:hAnsi="Arial Narrow"/>
                <w:sz w:val="20"/>
                <w:szCs w:val="20"/>
              </w:rPr>
            </w:pPr>
            <w:r w:rsidRPr="00C64218">
              <w:rPr>
                <w:rFonts w:ascii="Arial Narrow" w:hAnsi="Arial Narrow"/>
                <w:b/>
                <w:bCs/>
                <w:sz w:val="20"/>
                <w:szCs w:val="20"/>
              </w:rPr>
              <w:t>Prescriber type:</w:t>
            </w:r>
            <w:r w:rsidRPr="00C64218">
              <w:rPr>
                <w:rFonts w:ascii="Arial Narrow" w:hAnsi="Arial Narrow"/>
                <w:sz w:val="20"/>
                <w:szCs w:val="20"/>
              </w:rPr>
              <w:t xml:space="preserve"> </w:t>
            </w:r>
            <w:r w:rsidRPr="00C64218">
              <w:rPr>
                <w:rFonts w:ascii="Arial Narrow" w:hAnsi="Arial Narrow"/>
                <w:sz w:val="20"/>
                <w:szCs w:val="20"/>
              </w:rPr>
              <w:fldChar w:fldCharType="begin" w:fldLock="1">
                <w:ffData>
                  <w:name w:val=""/>
                  <w:enabled/>
                  <w:calcOnExit w:val="0"/>
                  <w:checkBox>
                    <w:sizeAuto/>
                    <w:default w:val="1"/>
                  </w:checkBox>
                </w:ffData>
              </w:fldChar>
            </w:r>
            <w:r w:rsidRPr="00C64218">
              <w:rPr>
                <w:rFonts w:ascii="Arial Narrow" w:hAnsi="Arial Narrow"/>
                <w:sz w:val="20"/>
                <w:szCs w:val="20"/>
              </w:rPr>
              <w:instrText xml:space="preserve"> FORMCHECKBOX </w:instrText>
            </w:r>
            <w:r w:rsidR="00663A0C">
              <w:rPr>
                <w:rFonts w:ascii="Arial Narrow" w:hAnsi="Arial Narrow"/>
                <w:sz w:val="20"/>
                <w:szCs w:val="20"/>
              </w:rPr>
            </w:r>
            <w:r w:rsidR="00663A0C">
              <w:rPr>
                <w:rFonts w:ascii="Arial Narrow" w:hAnsi="Arial Narrow"/>
                <w:sz w:val="20"/>
                <w:szCs w:val="20"/>
              </w:rPr>
              <w:fldChar w:fldCharType="separate"/>
            </w:r>
            <w:r w:rsidRPr="00C64218">
              <w:rPr>
                <w:rFonts w:ascii="Arial Narrow" w:hAnsi="Arial Narrow"/>
                <w:sz w:val="20"/>
                <w:szCs w:val="20"/>
              </w:rPr>
              <w:fldChar w:fldCharType="end"/>
            </w:r>
            <w:r w:rsidRPr="00C64218">
              <w:rPr>
                <w:rFonts w:ascii="Arial Narrow" w:hAnsi="Arial Narrow"/>
                <w:sz w:val="20"/>
                <w:szCs w:val="20"/>
              </w:rPr>
              <w:t>Medical Practitioners</w:t>
            </w:r>
          </w:p>
        </w:tc>
      </w:tr>
      <w:tr w:rsidR="00845C4D" w:rsidRPr="00C64218" w14:paraId="67AA1FEF" w14:textId="77777777" w:rsidTr="003370CF">
        <w:trPr>
          <w:cantSplit/>
          <w:trHeight w:val="264"/>
        </w:trPr>
        <w:tc>
          <w:tcPr>
            <w:tcW w:w="5000" w:type="pct"/>
            <w:gridSpan w:val="7"/>
          </w:tcPr>
          <w:p w14:paraId="50730596" w14:textId="77777777" w:rsidR="00845C4D" w:rsidRPr="00C64218" w:rsidRDefault="00845C4D" w:rsidP="00BD0FF1">
            <w:pPr>
              <w:keepLines/>
              <w:rPr>
                <w:rFonts w:ascii="Arial Narrow" w:eastAsia="Calibri" w:hAnsi="Arial Narrow"/>
                <w:sz w:val="20"/>
                <w:szCs w:val="20"/>
              </w:rPr>
            </w:pPr>
            <w:r w:rsidRPr="00C64218">
              <w:rPr>
                <w:rFonts w:ascii="Arial Narrow" w:hAnsi="Arial Narrow"/>
                <w:b/>
                <w:bCs/>
                <w:sz w:val="20"/>
                <w:szCs w:val="20"/>
              </w:rPr>
              <w:t>Restriction type:</w:t>
            </w:r>
            <w:r w:rsidRPr="00C64218">
              <w:rPr>
                <w:rFonts w:ascii="Arial Narrow" w:hAnsi="Arial Narrow"/>
                <w:sz w:val="20"/>
                <w:szCs w:val="20"/>
              </w:rPr>
              <w:t xml:space="preserve"> </w:t>
            </w:r>
            <w:r w:rsidRPr="00C64218">
              <w:rPr>
                <w:rFonts w:ascii="Arial Narrow" w:eastAsia="Calibri" w:hAnsi="Arial Narrow"/>
                <w:sz w:val="20"/>
                <w:szCs w:val="20"/>
              </w:rPr>
              <w:fldChar w:fldCharType="begin" w:fldLock="1">
                <w:ffData>
                  <w:name w:val=""/>
                  <w:enabled/>
                  <w:calcOnExit w:val="0"/>
                  <w:checkBox>
                    <w:sizeAuto/>
                    <w:default w:val="1"/>
                  </w:checkBox>
                </w:ffData>
              </w:fldChar>
            </w:r>
            <w:r w:rsidRPr="00C64218">
              <w:rPr>
                <w:rFonts w:ascii="Arial Narrow" w:eastAsia="Calibri" w:hAnsi="Arial Narrow"/>
                <w:sz w:val="20"/>
                <w:szCs w:val="20"/>
              </w:rPr>
              <w:instrText xml:space="preserve"> FORMCHECKBOX </w:instrText>
            </w:r>
            <w:r w:rsidR="00663A0C">
              <w:rPr>
                <w:rFonts w:ascii="Arial Narrow" w:eastAsia="Calibri" w:hAnsi="Arial Narrow"/>
                <w:sz w:val="20"/>
                <w:szCs w:val="20"/>
              </w:rPr>
            </w:r>
            <w:r w:rsidR="00663A0C">
              <w:rPr>
                <w:rFonts w:ascii="Arial Narrow" w:eastAsia="Calibri" w:hAnsi="Arial Narrow"/>
                <w:sz w:val="20"/>
                <w:szCs w:val="20"/>
              </w:rPr>
              <w:fldChar w:fldCharType="separate"/>
            </w:r>
            <w:r w:rsidRPr="00C64218">
              <w:rPr>
                <w:rFonts w:ascii="Arial Narrow" w:eastAsia="Calibri" w:hAnsi="Arial Narrow"/>
                <w:sz w:val="20"/>
                <w:szCs w:val="20"/>
              </w:rPr>
              <w:fldChar w:fldCharType="end"/>
            </w:r>
            <w:r w:rsidRPr="00C64218">
              <w:rPr>
                <w:rFonts w:ascii="Arial Narrow" w:eastAsia="Calibri" w:hAnsi="Arial Narrow"/>
                <w:sz w:val="20"/>
                <w:szCs w:val="20"/>
              </w:rPr>
              <w:t xml:space="preserve"> Authority Required - Telephone / Electronic</w:t>
            </w:r>
          </w:p>
        </w:tc>
      </w:tr>
      <w:tr w:rsidR="00845C4D" w:rsidRPr="00C64218" w14:paraId="650CD35D" w14:textId="77777777" w:rsidTr="003370CF">
        <w:trPr>
          <w:cantSplit/>
          <w:trHeight w:val="264"/>
        </w:trPr>
        <w:tc>
          <w:tcPr>
            <w:tcW w:w="720" w:type="pct"/>
          </w:tcPr>
          <w:p w14:paraId="049808DE" w14:textId="77777777" w:rsidR="00845C4D" w:rsidRPr="00C64218" w:rsidRDefault="00845C4D" w:rsidP="00BD0FF1">
            <w:pPr>
              <w:keepLines/>
              <w:rPr>
                <w:rFonts w:ascii="Arial Narrow" w:hAnsi="Arial Narrow"/>
                <w:b/>
                <w:bCs/>
                <w:sz w:val="20"/>
                <w:szCs w:val="20"/>
              </w:rPr>
            </w:pPr>
            <w:r w:rsidRPr="00C64218">
              <w:rPr>
                <w:rFonts w:ascii="Arial Narrow" w:hAnsi="Arial Narrow"/>
                <w:b/>
                <w:bCs/>
                <w:sz w:val="20"/>
                <w:szCs w:val="20"/>
              </w:rPr>
              <w:lastRenderedPageBreak/>
              <w:t>Administrative Advice</w:t>
            </w:r>
          </w:p>
        </w:tc>
        <w:tc>
          <w:tcPr>
            <w:tcW w:w="674" w:type="pct"/>
          </w:tcPr>
          <w:p w14:paraId="43F284F3" w14:textId="50EDCDAA" w:rsidR="00845C4D" w:rsidRPr="00C64218" w:rsidRDefault="00845C4D" w:rsidP="00BD0FF1">
            <w:pPr>
              <w:keepLines/>
              <w:rPr>
                <w:rFonts w:ascii="Arial Narrow" w:hAnsi="Arial Narrow"/>
                <w:sz w:val="20"/>
                <w:szCs w:val="20"/>
              </w:rPr>
            </w:pPr>
          </w:p>
        </w:tc>
        <w:tc>
          <w:tcPr>
            <w:tcW w:w="3606" w:type="pct"/>
            <w:gridSpan w:val="5"/>
          </w:tcPr>
          <w:p w14:paraId="49E34142"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This drug belongs to the poly ADP ribose polymerase (PARP) inhibitor drug class. The restriction refers to the following PARP inhibitors: olaparib, niraparib</w:t>
            </w:r>
          </w:p>
          <w:p w14:paraId="2E4B58CB" w14:textId="77777777" w:rsidR="00845C4D" w:rsidRPr="00C64218" w:rsidRDefault="00845C4D" w:rsidP="00BD0FF1">
            <w:pPr>
              <w:keepLines/>
              <w:rPr>
                <w:rFonts w:ascii="Arial Narrow" w:eastAsiaTheme="minorHAnsi" w:hAnsi="Arial Narrow"/>
                <w:sz w:val="20"/>
                <w:szCs w:val="20"/>
              </w:rPr>
            </w:pPr>
          </w:p>
          <w:p w14:paraId="1B9A3918" w14:textId="77777777" w:rsidR="00845C4D" w:rsidRPr="00C64218" w:rsidRDefault="00845C4D" w:rsidP="00BD0FF1">
            <w:pPr>
              <w:keepLines/>
              <w:rPr>
                <w:rFonts w:ascii="Arial Narrow" w:eastAsiaTheme="minorHAnsi" w:hAnsi="Arial Narrow"/>
                <w:sz w:val="20"/>
                <w:szCs w:val="20"/>
              </w:rPr>
            </w:pPr>
            <w:r w:rsidRPr="00C64218">
              <w:rPr>
                <w:rFonts w:ascii="Arial Narrow" w:hAnsi="Arial Narrow"/>
                <w:sz w:val="20"/>
                <w:szCs w:val="20"/>
              </w:rPr>
              <w:t xml:space="preserve">Applications for authorisation under this restriction may </w:t>
            </w:r>
            <w:proofErr w:type="gramStart"/>
            <w:r w:rsidRPr="00C64218">
              <w:rPr>
                <w:rFonts w:ascii="Arial Narrow" w:hAnsi="Arial Narrow"/>
                <w:sz w:val="20"/>
                <w:szCs w:val="20"/>
              </w:rPr>
              <w:t>be made</w:t>
            </w:r>
            <w:proofErr w:type="gramEnd"/>
            <w:r w:rsidRPr="00C64218">
              <w:rPr>
                <w:rFonts w:ascii="Arial Narrow" w:hAnsi="Arial Narrow"/>
                <w:sz w:val="20"/>
                <w:szCs w:val="20"/>
              </w:rPr>
              <w:t xml:space="preserve"> in real time using the Online PBS Authorities system (see www.servicesaustralia.gov.au/HPOS) or by telephone by contacting Services Australia on 1800 888 333.</w:t>
            </w:r>
          </w:p>
          <w:p w14:paraId="068CFCED" w14:textId="77777777" w:rsidR="00845C4D" w:rsidRPr="00C64218" w:rsidRDefault="00845C4D" w:rsidP="00BD0FF1">
            <w:pPr>
              <w:keepLines/>
              <w:rPr>
                <w:rFonts w:ascii="Arial Narrow" w:eastAsiaTheme="minorHAnsi" w:hAnsi="Arial Narrow"/>
                <w:sz w:val="20"/>
                <w:szCs w:val="20"/>
              </w:rPr>
            </w:pPr>
          </w:p>
          <w:p w14:paraId="69CFD435"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Special Pricing Arrangements apply.</w:t>
            </w:r>
          </w:p>
        </w:tc>
      </w:tr>
      <w:tr w:rsidR="00845C4D" w:rsidRPr="00C64218" w14:paraId="6FEBFD52" w14:textId="77777777" w:rsidTr="003370CF">
        <w:trPr>
          <w:cantSplit/>
          <w:trHeight w:val="264"/>
        </w:trPr>
        <w:tc>
          <w:tcPr>
            <w:tcW w:w="720" w:type="pct"/>
          </w:tcPr>
          <w:p w14:paraId="38157605" w14:textId="77777777" w:rsidR="00845C4D" w:rsidRPr="00C64218" w:rsidRDefault="00845C4D" w:rsidP="00BD0FF1">
            <w:pPr>
              <w:keepLines/>
              <w:rPr>
                <w:rFonts w:ascii="Arial Narrow" w:hAnsi="Arial Narrow"/>
                <w:b/>
                <w:bCs/>
                <w:sz w:val="20"/>
                <w:szCs w:val="20"/>
              </w:rPr>
            </w:pPr>
            <w:r w:rsidRPr="00C64218">
              <w:rPr>
                <w:rFonts w:ascii="Arial Narrow" w:hAnsi="Arial Narrow"/>
                <w:b/>
                <w:bCs/>
                <w:sz w:val="20"/>
                <w:szCs w:val="20"/>
              </w:rPr>
              <w:t>PBS Indication</w:t>
            </w:r>
          </w:p>
        </w:tc>
        <w:tc>
          <w:tcPr>
            <w:tcW w:w="674" w:type="pct"/>
          </w:tcPr>
          <w:p w14:paraId="2A5D727D" w14:textId="4DF7D883" w:rsidR="00845C4D" w:rsidRPr="00C64218" w:rsidRDefault="00845C4D" w:rsidP="00BD0FF1">
            <w:pPr>
              <w:keepLines/>
              <w:rPr>
                <w:rFonts w:ascii="Arial Narrow" w:hAnsi="Arial Narrow"/>
                <w:sz w:val="20"/>
                <w:szCs w:val="20"/>
              </w:rPr>
            </w:pPr>
          </w:p>
        </w:tc>
        <w:tc>
          <w:tcPr>
            <w:tcW w:w="3606" w:type="pct"/>
            <w:gridSpan w:val="5"/>
          </w:tcPr>
          <w:p w14:paraId="5DFDE2A0"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High grade stage III/IV epithelial ovarian, fallopian tube or primary peritoneal cancer</w:t>
            </w:r>
          </w:p>
        </w:tc>
      </w:tr>
      <w:tr w:rsidR="00845C4D" w:rsidRPr="00C64218" w14:paraId="3265F2DD" w14:textId="77777777" w:rsidTr="003370CF">
        <w:trPr>
          <w:cantSplit/>
          <w:trHeight w:val="264"/>
        </w:trPr>
        <w:tc>
          <w:tcPr>
            <w:tcW w:w="5000" w:type="pct"/>
            <w:gridSpan w:val="7"/>
            <w:shd w:val="clear" w:color="auto" w:fill="D9D9D9" w:themeFill="background1" w:themeFillShade="D9"/>
          </w:tcPr>
          <w:p w14:paraId="4B6233E4" w14:textId="77777777" w:rsidR="00845C4D" w:rsidRDefault="00845C4D" w:rsidP="00BD0FF1">
            <w:pPr>
              <w:keepLines/>
              <w:rPr>
                <w:rFonts w:ascii="Arial Narrow" w:eastAsia="Calibri" w:hAnsi="Arial Narrow"/>
                <w:b/>
                <w:bCs/>
                <w:sz w:val="20"/>
                <w:szCs w:val="20"/>
              </w:rPr>
            </w:pPr>
            <w:r w:rsidRPr="00C64218">
              <w:rPr>
                <w:rFonts w:ascii="Arial Narrow" w:hAnsi="Arial Narrow"/>
                <w:b/>
                <w:bCs/>
                <w:sz w:val="20"/>
                <w:szCs w:val="20"/>
              </w:rPr>
              <w:t>Treatment phase</w:t>
            </w:r>
            <w:r>
              <w:rPr>
                <w:rFonts w:ascii="Arial Narrow" w:hAnsi="Arial Narrow"/>
                <w:b/>
                <w:bCs/>
                <w:sz w:val="20"/>
                <w:szCs w:val="20"/>
              </w:rPr>
              <w:t xml:space="preserve"> (edit): Initial</w:t>
            </w:r>
            <w:r w:rsidRPr="00B13458">
              <w:rPr>
                <w:rFonts w:ascii="Arial Narrow" w:hAnsi="Arial Narrow"/>
                <w:b/>
                <w:bCs/>
                <w:sz w:val="20"/>
                <w:szCs w:val="20"/>
              </w:rPr>
              <w:t xml:space="preserve"> treatment – first-line maintenance therapy</w:t>
            </w:r>
          </w:p>
          <w:p w14:paraId="116D8A79" w14:textId="709AFEE8" w:rsidR="00845C4D" w:rsidRPr="00C64218" w:rsidRDefault="00845C4D" w:rsidP="00BD0FF1">
            <w:pPr>
              <w:keepLines/>
              <w:rPr>
                <w:rFonts w:ascii="Arial Narrow" w:eastAsia="Calibri" w:hAnsi="Arial Narrow"/>
                <w:b/>
                <w:bCs/>
                <w:sz w:val="20"/>
                <w:szCs w:val="20"/>
              </w:rPr>
            </w:pPr>
            <w:r w:rsidRPr="00C64218">
              <w:rPr>
                <w:rFonts w:ascii="Arial Narrow" w:eastAsia="Calibri" w:hAnsi="Arial Narrow"/>
                <w:b/>
                <w:bCs/>
                <w:sz w:val="20"/>
                <w:szCs w:val="20"/>
              </w:rPr>
              <w:t xml:space="preserve">Edit Restriction Summary / Treatment of Concept: </w:t>
            </w:r>
          </w:p>
        </w:tc>
      </w:tr>
      <w:tr w:rsidR="00845C4D" w:rsidRPr="00C64218" w14:paraId="5682D427" w14:textId="77777777" w:rsidTr="003370CF">
        <w:trPr>
          <w:cantSplit/>
          <w:trHeight w:val="264"/>
        </w:trPr>
        <w:tc>
          <w:tcPr>
            <w:tcW w:w="720" w:type="pct"/>
          </w:tcPr>
          <w:p w14:paraId="0C22D6E3" w14:textId="77777777" w:rsidR="00845C4D" w:rsidRPr="00C64218" w:rsidRDefault="00845C4D" w:rsidP="00BD0FF1">
            <w:pPr>
              <w:keepLines/>
              <w:rPr>
                <w:rFonts w:ascii="Arial Narrow" w:hAnsi="Arial Narrow"/>
                <w:b/>
                <w:bCs/>
                <w:sz w:val="20"/>
                <w:szCs w:val="20"/>
              </w:rPr>
            </w:pPr>
            <w:r w:rsidRPr="00C64218">
              <w:rPr>
                <w:rFonts w:ascii="Arial Narrow" w:hAnsi="Arial Narrow"/>
                <w:b/>
                <w:bCs/>
                <w:sz w:val="20"/>
                <w:szCs w:val="20"/>
              </w:rPr>
              <w:t>Clinical criteria</w:t>
            </w:r>
          </w:p>
        </w:tc>
        <w:tc>
          <w:tcPr>
            <w:tcW w:w="674" w:type="pct"/>
          </w:tcPr>
          <w:p w14:paraId="3DFFEEFD" w14:textId="3839E6B1" w:rsidR="00845C4D" w:rsidRPr="00C64218" w:rsidRDefault="00845C4D" w:rsidP="00BD0FF1">
            <w:pPr>
              <w:keepLines/>
              <w:rPr>
                <w:rFonts w:ascii="Arial Narrow" w:hAnsi="Arial Narrow"/>
                <w:sz w:val="20"/>
                <w:szCs w:val="20"/>
              </w:rPr>
            </w:pPr>
          </w:p>
        </w:tc>
        <w:tc>
          <w:tcPr>
            <w:tcW w:w="3606" w:type="pct"/>
            <w:gridSpan w:val="5"/>
          </w:tcPr>
          <w:p w14:paraId="1E80430B" w14:textId="77777777" w:rsidR="00845C4D" w:rsidRPr="00C73ABE" w:rsidRDefault="00845C4D" w:rsidP="00BD0FF1">
            <w:pPr>
              <w:keepLines/>
              <w:rPr>
                <w:rFonts w:ascii="Arial Narrow" w:hAnsi="Arial Narrow"/>
                <w:sz w:val="20"/>
                <w:szCs w:val="20"/>
              </w:rPr>
            </w:pPr>
            <w:r w:rsidRPr="00C73ABE">
              <w:rPr>
                <w:rFonts w:ascii="Arial Narrow" w:hAnsi="Arial Narrow"/>
                <w:sz w:val="20"/>
                <w:szCs w:val="20"/>
              </w:rPr>
              <w:t>Patient must be in partial or complete response to the first-line platinum-based chemotherapy regimen prior to commencing treatment with this drug for this condition,</w:t>
            </w:r>
          </w:p>
          <w:p w14:paraId="3998BC63" w14:textId="77777777" w:rsidR="00845C4D" w:rsidRPr="00C73ABE" w:rsidRDefault="00845C4D" w:rsidP="00BD0FF1">
            <w:pPr>
              <w:keepLines/>
              <w:rPr>
                <w:rFonts w:ascii="Arial Narrow" w:hAnsi="Arial Narrow"/>
                <w:sz w:val="20"/>
                <w:szCs w:val="20"/>
              </w:rPr>
            </w:pPr>
            <w:r w:rsidRPr="00C73ABE">
              <w:rPr>
                <w:rFonts w:ascii="Arial Narrow" w:hAnsi="Arial Narrow"/>
                <w:sz w:val="20"/>
                <w:szCs w:val="20"/>
              </w:rPr>
              <w:t>AND</w:t>
            </w:r>
          </w:p>
          <w:p w14:paraId="337FEF11" w14:textId="77777777" w:rsidR="00845C4D" w:rsidRPr="00C64218" w:rsidRDefault="00845C4D" w:rsidP="00BD0FF1">
            <w:pPr>
              <w:keepLines/>
              <w:rPr>
                <w:rFonts w:ascii="Arial Narrow" w:hAnsi="Arial Narrow"/>
                <w:sz w:val="20"/>
                <w:szCs w:val="20"/>
              </w:rPr>
            </w:pPr>
            <w:r w:rsidRPr="00C73ABE">
              <w:rPr>
                <w:rFonts w:ascii="Arial Narrow" w:hAnsi="Arial Narrow"/>
                <w:sz w:val="20"/>
                <w:szCs w:val="20"/>
              </w:rPr>
              <w:t xml:space="preserve">The condition must be associated with homologous recombination deficiency (HRD)-positive status, defined by at least one of: (i) </w:t>
            </w:r>
            <w:r w:rsidRPr="00C73ABE">
              <w:rPr>
                <w:rFonts w:ascii="Arial Narrow" w:hAnsi="Arial Narrow"/>
                <w:i/>
                <w:iCs/>
                <w:sz w:val="20"/>
                <w:szCs w:val="20"/>
              </w:rPr>
              <w:t xml:space="preserve">BRCA1 </w:t>
            </w:r>
            <w:r w:rsidRPr="00C73ABE">
              <w:rPr>
                <w:rFonts w:ascii="Arial Narrow" w:hAnsi="Arial Narrow"/>
                <w:sz w:val="20"/>
                <w:szCs w:val="20"/>
              </w:rPr>
              <w:t xml:space="preserve">or </w:t>
            </w:r>
            <w:r w:rsidRPr="00C73ABE">
              <w:rPr>
                <w:rFonts w:ascii="Arial Narrow" w:hAnsi="Arial Narrow"/>
                <w:i/>
                <w:iCs/>
                <w:sz w:val="20"/>
                <w:szCs w:val="20"/>
              </w:rPr>
              <w:t>BRCA2</w:t>
            </w:r>
            <w:r w:rsidRPr="00C73ABE">
              <w:rPr>
                <w:rFonts w:ascii="Arial Narrow" w:hAnsi="Arial Narrow"/>
                <w:sz w:val="20"/>
                <w:szCs w:val="20"/>
              </w:rPr>
              <w:t xml:space="preserve"> positive status, (ii) Evidence of genomic instability above threshold for HRD-positivity demonstrated on a validated test</w:t>
            </w:r>
          </w:p>
          <w:p w14:paraId="4E03357E"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AND</w:t>
            </w:r>
          </w:p>
          <w:p w14:paraId="6C280633"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Patient must not have previously received PBS-subsidised treatment with this drug for this condition.</w:t>
            </w:r>
          </w:p>
        </w:tc>
      </w:tr>
      <w:tr w:rsidR="00845C4D" w:rsidRPr="00C64218" w14:paraId="22E7F5AA" w14:textId="77777777" w:rsidTr="003370CF">
        <w:trPr>
          <w:cantSplit/>
          <w:trHeight w:val="264"/>
        </w:trPr>
        <w:tc>
          <w:tcPr>
            <w:tcW w:w="720" w:type="pct"/>
          </w:tcPr>
          <w:p w14:paraId="7411BF4C" w14:textId="77777777" w:rsidR="00845C4D" w:rsidRPr="00C64218" w:rsidRDefault="00845C4D" w:rsidP="00BD0FF1">
            <w:pPr>
              <w:keepLines/>
              <w:rPr>
                <w:rFonts w:ascii="Arial Narrow" w:hAnsi="Arial Narrow"/>
                <w:b/>
                <w:bCs/>
                <w:sz w:val="20"/>
                <w:szCs w:val="20"/>
              </w:rPr>
            </w:pPr>
            <w:r w:rsidRPr="00C64218">
              <w:rPr>
                <w:rFonts w:ascii="Arial Narrow" w:hAnsi="Arial Narrow"/>
                <w:b/>
                <w:bCs/>
                <w:sz w:val="20"/>
                <w:szCs w:val="20"/>
              </w:rPr>
              <w:t>Treatment criteria:</w:t>
            </w:r>
          </w:p>
        </w:tc>
        <w:tc>
          <w:tcPr>
            <w:tcW w:w="674" w:type="pct"/>
          </w:tcPr>
          <w:p w14:paraId="4AB53909" w14:textId="2053EA9F" w:rsidR="00845C4D" w:rsidRPr="00C64218" w:rsidRDefault="00845C4D" w:rsidP="00BD0FF1">
            <w:pPr>
              <w:keepLines/>
              <w:rPr>
                <w:rFonts w:ascii="Arial Narrow" w:hAnsi="Arial Narrow"/>
                <w:sz w:val="20"/>
                <w:szCs w:val="20"/>
              </w:rPr>
            </w:pPr>
          </w:p>
        </w:tc>
        <w:tc>
          <w:tcPr>
            <w:tcW w:w="3606" w:type="pct"/>
            <w:gridSpan w:val="5"/>
          </w:tcPr>
          <w:p w14:paraId="2559F287" w14:textId="77777777" w:rsidR="00845C4D" w:rsidRPr="00C64218" w:rsidRDefault="00845C4D" w:rsidP="00BD0FF1">
            <w:pPr>
              <w:keepLines/>
              <w:rPr>
                <w:rFonts w:ascii="Arial Narrow" w:eastAsiaTheme="minorHAnsi" w:hAnsi="Arial Narrow"/>
                <w:sz w:val="20"/>
                <w:szCs w:val="20"/>
              </w:rPr>
            </w:pPr>
            <w:r w:rsidRPr="00C64218">
              <w:rPr>
                <w:rFonts w:ascii="Arial Narrow" w:hAnsi="Arial Narrow"/>
                <w:sz w:val="20"/>
                <w:szCs w:val="20"/>
              </w:rPr>
              <w:t>Patient must be undergoing treatment with this drug class for the first time; OR</w:t>
            </w:r>
          </w:p>
          <w:p w14:paraId="06B9D9DF"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Patient must be undergoing treatment with this drug class on a subsequent occasion, but only because there was an intolerance/contraindication to another drug in the same class that required permanent treatment withdrawal</w:t>
            </w:r>
          </w:p>
        </w:tc>
      </w:tr>
      <w:tr w:rsidR="00845C4D" w:rsidRPr="00C64218" w14:paraId="654C78B2" w14:textId="77777777" w:rsidTr="003370CF">
        <w:trPr>
          <w:cantSplit/>
          <w:trHeight w:val="264"/>
        </w:trPr>
        <w:tc>
          <w:tcPr>
            <w:tcW w:w="720" w:type="pct"/>
          </w:tcPr>
          <w:p w14:paraId="37C83055" w14:textId="77777777" w:rsidR="00845C4D" w:rsidRPr="00C64218" w:rsidRDefault="00845C4D" w:rsidP="00BD0FF1">
            <w:pPr>
              <w:keepLines/>
              <w:rPr>
                <w:rFonts w:ascii="Arial Narrow" w:hAnsi="Arial Narrow"/>
                <w:b/>
                <w:bCs/>
                <w:sz w:val="20"/>
                <w:szCs w:val="20"/>
              </w:rPr>
            </w:pPr>
            <w:r w:rsidRPr="00C64218">
              <w:rPr>
                <w:rFonts w:ascii="Arial Narrow" w:hAnsi="Arial Narrow"/>
                <w:b/>
                <w:bCs/>
                <w:sz w:val="20"/>
                <w:szCs w:val="20"/>
              </w:rPr>
              <w:t>Prescribing Instructions</w:t>
            </w:r>
          </w:p>
        </w:tc>
        <w:tc>
          <w:tcPr>
            <w:tcW w:w="674" w:type="pct"/>
          </w:tcPr>
          <w:p w14:paraId="3E8785B1" w14:textId="4E5C92D4" w:rsidR="00845C4D" w:rsidRPr="00C64218" w:rsidRDefault="00845C4D" w:rsidP="00BD0FF1">
            <w:pPr>
              <w:keepLines/>
              <w:rPr>
                <w:rFonts w:ascii="Arial Narrow" w:hAnsi="Arial Narrow"/>
                <w:sz w:val="20"/>
                <w:szCs w:val="20"/>
              </w:rPr>
            </w:pPr>
          </w:p>
        </w:tc>
        <w:tc>
          <w:tcPr>
            <w:tcW w:w="3606" w:type="pct"/>
            <w:gridSpan w:val="5"/>
          </w:tcPr>
          <w:p w14:paraId="7020A05A"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 xml:space="preserve">A response (complete or partial) to the platinum-based chemotherapy regimen is to </w:t>
            </w:r>
            <w:proofErr w:type="gramStart"/>
            <w:r w:rsidRPr="00C64218">
              <w:rPr>
                <w:rFonts w:ascii="Arial Narrow" w:hAnsi="Arial Narrow"/>
                <w:sz w:val="20"/>
                <w:szCs w:val="20"/>
              </w:rPr>
              <w:t>be assessed</w:t>
            </w:r>
            <w:proofErr w:type="gramEnd"/>
            <w:r w:rsidRPr="00C64218">
              <w:rPr>
                <w:rFonts w:ascii="Arial Narrow" w:hAnsi="Arial Narrow"/>
                <w:sz w:val="20"/>
                <w:szCs w:val="20"/>
              </w:rPr>
              <w:t xml:space="preserve"> using either Gynaecologic Cancer InterGroup (GCIG) or Response Evaluation Criteria in Solid Tumours (RECIST) guidelines.</w:t>
            </w:r>
          </w:p>
          <w:p w14:paraId="2EB4A0B8" w14:textId="77777777" w:rsidR="00845C4D" w:rsidRPr="00C64218" w:rsidRDefault="00845C4D" w:rsidP="00BD0FF1">
            <w:pPr>
              <w:keepLines/>
              <w:rPr>
                <w:rFonts w:ascii="Arial Narrow" w:hAnsi="Arial Narrow"/>
                <w:sz w:val="20"/>
                <w:szCs w:val="20"/>
              </w:rPr>
            </w:pPr>
          </w:p>
          <w:p w14:paraId="62868EC7"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 xml:space="preserve">Evidence of HRD-positive status must be derived through a test validated against the Myriad MyChoice HRD assay, which defines HRD positivity as a genomic instability score (GIS) of </w:t>
            </w:r>
            <w:proofErr w:type="gramStart"/>
            <w:r w:rsidRPr="00C64218">
              <w:rPr>
                <w:rFonts w:ascii="Arial Narrow" w:hAnsi="Arial Narrow"/>
                <w:sz w:val="20"/>
                <w:szCs w:val="20"/>
              </w:rPr>
              <w:t>42</w:t>
            </w:r>
            <w:proofErr w:type="gramEnd"/>
            <w:r w:rsidRPr="00C64218">
              <w:rPr>
                <w:rFonts w:ascii="Arial Narrow" w:hAnsi="Arial Narrow"/>
                <w:sz w:val="20"/>
                <w:szCs w:val="20"/>
              </w:rPr>
              <w:t xml:space="preserve"> or greater.</w:t>
            </w:r>
          </w:p>
          <w:p w14:paraId="5F2063A0" w14:textId="77777777" w:rsidR="00845C4D" w:rsidRPr="00C64218" w:rsidRDefault="00845C4D" w:rsidP="00BD0FF1">
            <w:pPr>
              <w:keepLines/>
              <w:rPr>
                <w:rFonts w:ascii="Arial Narrow" w:hAnsi="Arial Narrow"/>
                <w:sz w:val="20"/>
                <w:szCs w:val="20"/>
              </w:rPr>
            </w:pPr>
          </w:p>
          <w:p w14:paraId="789ACA36" w14:textId="77777777" w:rsidR="00845C4D" w:rsidRPr="00C64218" w:rsidRDefault="00845C4D" w:rsidP="00BD0FF1">
            <w:pPr>
              <w:keepLines/>
              <w:rPr>
                <w:rFonts w:ascii="Arial Narrow" w:hAnsi="Arial Narrow"/>
                <w:sz w:val="20"/>
                <w:szCs w:val="20"/>
              </w:rPr>
            </w:pPr>
            <w:bookmarkStart w:id="68" w:name="_Hlk140832571"/>
            <w:r w:rsidRPr="006F5883">
              <w:rPr>
                <w:rFonts w:ascii="Arial Narrow" w:hAnsi="Arial Narrow"/>
                <w:i/>
                <w:iCs/>
                <w:sz w:val="20"/>
                <w:szCs w:val="20"/>
              </w:rPr>
              <w:t>BRCA1</w:t>
            </w:r>
            <w:r w:rsidRPr="00C64218">
              <w:rPr>
                <w:rFonts w:ascii="Arial Narrow" w:hAnsi="Arial Narrow"/>
                <w:sz w:val="20"/>
                <w:szCs w:val="20"/>
              </w:rPr>
              <w:t xml:space="preserve"> or </w:t>
            </w:r>
            <w:r w:rsidRPr="006F5883">
              <w:rPr>
                <w:rFonts w:ascii="Arial Narrow" w:hAnsi="Arial Narrow"/>
                <w:i/>
                <w:iCs/>
                <w:sz w:val="20"/>
                <w:szCs w:val="20"/>
              </w:rPr>
              <w:t>BRCA2</w:t>
            </w:r>
            <w:r w:rsidRPr="00C64218">
              <w:rPr>
                <w:rFonts w:ascii="Arial Narrow" w:hAnsi="Arial Narrow"/>
                <w:sz w:val="20"/>
                <w:szCs w:val="20"/>
              </w:rPr>
              <w:t xml:space="preserve"> positive status is defined as presence in the </w:t>
            </w:r>
            <w:r w:rsidRPr="006F5883">
              <w:rPr>
                <w:rFonts w:ascii="Arial Narrow" w:hAnsi="Arial Narrow"/>
                <w:i/>
                <w:iCs/>
                <w:sz w:val="20"/>
                <w:szCs w:val="20"/>
              </w:rPr>
              <w:t>BRCA1</w:t>
            </w:r>
            <w:r w:rsidRPr="00C64218">
              <w:rPr>
                <w:rFonts w:ascii="Arial Narrow" w:hAnsi="Arial Narrow"/>
                <w:sz w:val="20"/>
                <w:szCs w:val="20"/>
              </w:rPr>
              <w:t xml:space="preserve"> and/or </w:t>
            </w:r>
            <w:r w:rsidRPr="006F5883">
              <w:rPr>
                <w:rFonts w:ascii="Arial Narrow" w:hAnsi="Arial Narrow"/>
                <w:i/>
                <w:iCs/>
                <w:sz w:val="20"/>
                <w:szCs w:val="20"/>
              </w:rPr>
              <w:t>BRCA2</w:t>
            </w:r>
            <w:r w:rsidRPr="00C64218">
              <w:rPr>
                <w:rFonts w:ascii="Arial Narrow" w:hAnsi="Arial Narrow"/>
                <w:sz w:val="20"/>
                <w:szCs w:val="20"/>
              </w:rPr>
              <w:t xml:space="preserve"> genes of (i) a pathogenic or </w:t>
            </w:r>
            <w:proofErr w:type="gramStart"/>
            <w:r w:rsidRPr="00C64218">
              <w:rPr>
                <w:rFonts w:ascii="Arial Narrow" w:hAnsi="Arial Narrow"/>
                <w:sz w:val="20"/>
                <w:szCs w:val="20"/>
              </w:rPr>
              <w:t>likely pathogenic</w:t>
            </w:r>
            <w:proofErr w:type="gramEnd"/>
            <w:r w:rsidRPr="00C64218">
              <w:rPr>
                <w:rFonts w:ascii="Arial Narrow" w:hAnsi="Arial Narrow"/>
                <w:sz w:val="20"/>
                <w:szCs w:val="20"/>
              </w:rPr>
              <w:t xml:space="preserve"> germline gene variant (class 4 or 5) and/or (ii) a somatic gene variant of strong or potential clinical significance (tier I-II).</w:t>
            </w:r>
            <w:bookmarkEnd w:id="68"/>
          </w:p>
        </w:tc>
      </w:tr>
      <w:tr w:rsidR="00845C4D" w:rsidRPr="00C64218" w14:paraId="1E74F9AA" w14:textId="77777777" w:rsidTr="003370CF">
        <w:trPr>
          <w:cantSplit/>
          <w:trHeight w:val="264"/>
        </w:trPr>
        <w:tc>
          <w:tcPr>
            <w:tcW w:w="5000" w:type="pct"/>
            <w:gridSpan w:val="7"/>
            <w:shd w:val="clear" w:color="auto" w:fill="D9D9D9" w:themeFill="background1" w:themeFillShade="D9"/>
          </w:tcPr>
          <w:p w14:paraId="41BF20E7" w14:textId="77777777" w:rsidR="00845C4D" w:rsidRDefault="00845C4D" w:rsidP="00BD0FF1">
            <w:pPr>
              <w:keepLines/>
              <w:rPr>
                <w:rFonts w:ascii="Arial Narrow" w:eastAsia="Calibri" w:hAnsi="Arial Narrow"/>
                <w:b/>
                <w:bCs/>
                <w:sz w:val="20"/>
                <w:szCs w:val="20"/>
              </w:rPr>
            </w:pPr>
            <w:r w:rsidRPr="00C64218">
              <w:rPr>
                <w:rFonts w:ascii="Arial Narrow" w:hAnsi="Arial Narrow"/>
                <w:b/>
                <w:bCs/>
                <w:sz w:val="20"/>
                <w:szCs w:val="20"/>
              </w:rPr>
              <w:t>Treatment phase</w:t>
            </w:r>
            <w:r>
              <w:rPr>
                <w:rFonts w:ascii="Arial Narrow" w:hAnsi="Arial Narrow"/>
                <w:b/>
                <w:bCs/>
                <w:sz w:val="20"/>
                <w:szCs w:val="20"/>
              </w:rPr>
              <w:t xml:space="preserve"> (edit): </w:t>
            </w:r>
            <w:r w:rsidRPr="00B13458">
              <w:rPr>
                <w:rFonts w:ascii="Arial Narrow" w:hAnsi="Arial Narrow"/>
                <w:b/>
                <w:bCs/>
                <w:sz w:val="20"/>
                <w:szCs w:val="20"/>
              </w:rPr>
              <w:t>Continuing treatment – first-line maintenance therapy</w:t>
            </w:r>
          </w:p>
          <w:p w14:paraId="5C5E0865" w14:textId="6A4ABA11" w:rsidR="00845C4D" w:rsidRPr="00C64218" w:rsidRDefault="00845C4D" w:rsidP="00BD0FF1">
            <w:pPr>
              <w:keepLines/>
              <w:rPr>
                <w:rFonts w:ascii="Arial Narrow" w:eastAsia="Calibri" w:hAnsi="Arial Narrow"/>
                <w:b/>
                <w:bCs/>
                <w:sz w:val="20"/>
                <w:szCs w:val="20"/>
              </w:rPr>
            </w:pPr>
            <w:r w:rsidRPr="00C64218">
              <w:rPr>
                <w:rFonts w:ascii="Arial Narrow" w:eastAsia="Calibri" w:hAnsi="Arial Narrow"/>
                <w:b/>
                <w:bCs/>
                <w:sz w:val="20"/>
                <w:szCs w:val="20"/>
              </w:rPr>
              <w:t>Edit Restriction Summary / Treatment of Concept:: Authority Required</w:t>
            </w:r>
          </w:p>
        </w:tc>
      </w:tr>
      <w:tr w:rsidR="00845C4D" w:rsidRPr="00C64218" w14:paraId="59260D9C" w14:textId="77777777" w:rsidTr="003370CF">
        <w:trPr>
          <w:cantSplit/>
          <w:trHeight w:val="264"/>
        </w:trPr>
        <w:tc>
          <w:tcPr>
            <w:tcW w:w="720" w:type="pct"/>
          </w:tcPr>
          <w:p w14:paraId="089AA29D" w14:textId="77777777" w:rsidR="00845C4D" w:rsidRPr="00C64218" w:rsidRDefault="00845C4D" w:rsidP="00BD0FF1">
            <w:pPr>
              <w:keepLines/>
              <w:rPr>
                <w:rFonts w:ascii="Arial Narrow" w:hAnsi="Arial Narrow"/>
                <w:b/>
                <w:bCs/>
                <w:sz w:val="20"/>
                <w:szCs w:val="20"/>
              </w:rPr>
            </w:pPr>
            <w:r w:rsidRPr="00C64218">
              <w:rPr>
                <w:rFonts w:ascii="Arial Narrow" w:hAnsi="Arial Narrow"/>
                <w:b/>
                <w:bCs/>
                <w:sz w:val="20"/>
                <w:szCs w:val="20"/>
              </w:rPr>
              <w:t>Clinical criteria</w:t>
            </w:r>
          </w:p>
        </w:tc>
        <w:tc>
          <w:tcPr>
            <w:tcW w:w="674" w:type="pct"/>
          </w:tcPr>
          <w:p w14:paraId="77FE60F1" w14:textId="42EF7E43" w:rsidR="00845C4D" w:rsidRPr="00C64218" w:rsidRDefault="00845C4D" w:rsidP="00BD0FF1">
            <w:pPr>
              <w:keepLines/>
              <w:rPr>
                <w:rFonts w:ascii="Arial Narrow" w:hAnsi="Arial Narrow"/>
                <w:sz w:val="20"/>
                <w:szCs w:val="20"/>
              </w:rPr>
            </w:pPr>
          </w:p>
        </w:tc>
        <w:tc>
          <w:tcPr>
            <w:tcW w:w="3606" w:type="pct"/>
            <w:gridSpan w:val="5"/>
          </w:tcPr>
          <w:p w14:paraId="74D9E925"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Patient must have received previous PBS-subsidised treatment with this drug as first-line maintenance therapy for this condition</w:t>
            </w:r>
          </w:p>
          <w:p w14:paraId="66D22A59"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AND</w:t>
            </w:r>
          </w:p>
          <w:p w14:paraId="27AF868E"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Patient must not have developed disease progression while receiving treatment with this drug for this condition</w:t>
            </w:r>
          </w:p>
          <w:p w14:paraId="13C9B07C"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AND</w:t>
            </w:r>
          </w:p>
          <w:p w14:paraId="3B842FAF" w14:textId="77777777" w:rsidR="00845C4D" w:rsidRPr="00C64218" w:rsidRDefault="00845C4D" w:rsidP="00BD0FF1">
            <w:pPr>
              <w:keepLines/>
              <w:rPr>
                <w:rFonts w:ascii="Arial Narrow" w:hAnsi="Arial Narrow"/>
                <w:sz w:val="20"/>
                <w:szCs w:val="20"/>
              </w:rPr>
            </w:pPr>
            <w:r w:rsidRPr="00C64218">
              <w:rPr>
                <w:rFonts w:ascii="Arial Narrow" w:hAnsi="Arial Narrow"/>
                <w:sz w:val="20"/>
                <w:szCs w:val="20"/>
              </w:rPr>
              <w:t>Treatment with olaparib must not exceed a total of 24 months of combined non-PBS subsidised and PBS-subsidised treatment for patients who are in complete response.</w:t>
            </w:r>
          </w:p>
        </w:tc>
      </w:tr>
    </w:tbl>
    <w:p w14:paraId="23E50CFD" w14:textId="77777777" w:rsidR="00845C4D" w:rsidRPr="00FE36C0" w:rsidRDefault="00845C4D" w:rsidP="00845C4D">
      <w:pPr>
        <w:jc w:val="left"/>
        <w:rPr>
          <w:bCs/>
          <w:iCs/>
        </w:rPr>
      </w:pPr>
      <w:bookmarkStart w:id="69" w:name="_Hlk140835169"/>
      <w:bookmarkEnd w:id="67"/>
    </w:p>
    <w:bookmarkEnd w:id="69"/>
    <w:p w14:paraId="25300E4B" w14:textId="77777777" w:rsidR="00845C4D" w:rsidRPr="00805DD2" w:rsidRDefault="00845C4D" w:rsidP="00845C4D">
      <w:pPr>
        <w:jc w:val="left"/>
        <w:rPr>
          <w:b/>
          <w:i/>
        </w:rPr>
      </w:pPr>
      <w:r w:rsidRPr="00805DD2">
        <w:rPr>
          <w:b/>
          <w:i/>
        </w:rPr>
        <w:t xml:space="preserve">This restriction may be subject to further review. Should there be any changes made to the restriction the sponsor will </w:t>
      </w:r>
      <w:proofErr w:type="gramStart"/>
      <w:r w:rsidRPr="00805DD2">
        <w:rPr>
          <w:b/>
          <w:i/>
        </w:rPr>
        <w:t>be informed</w:t>
      </w:r>
      <w:proofErr w:type="gramEnd"/>
      <w:r w:rsidRPr="00805DD2">
        <w:rPr>
          <w:b/>
          <w:i/>
        </w:rPr>
        <w:t>.</w:t>
      </w:r>
    </w:p>
    <w:p w14:paraId="3FA1188E" w14:textId="77777777" w:rsidR="00845C4D" w:rsidRDefault="00845C4D" w:rsidP="00845C4D">
      <w:pPr>
        <w:widowControl w:val="0"/>
        <w:rPr>
          <w:rFonts w:asciiTheme="minorHAnsi" w:hAnsiTheme="minorHAnsi" w:cs="Arial"/>
          <w:bCs/>
          <w:snapToGrid w:val="0"/>
        </w:rPr>
      </w:pPr>
    </w:p>
    <w:p w14:paraId="0F56C2FC" w14:textId="7E991D6F" w:rsidR="00B2508B" w:rsidRDefault="00B2508B" w:rsidP="00BD0FF1">
      <w:pPr>
        <w:pStyle w:val="2-SectionHeading"/>
        <w:rPr>
          <w:bCs/>
          <w:lang w:val="en-GB"/>
        </w:rPr>
      </w:pPr>
      <w:r w:rsidRPr="00C07617">
        <w:lastRenderedPageBreak/>
        <w:t>Context for Decision</w:t>
      </w:r>
    </w:p>
    <w:p w14:paraId="0E82EC61" w14:textId="77777777" w:rsidR="00B2508B" w:rsidRPr="007129F2" w:rsidRDefault="00B2508B" w:rsidP="00BD0FF1">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FB30CDE" w14:textId="5656093A" w:rsidR="00B2508B" w:rsidRPr="00C07617" w:rsidRDefault="00B2508B" w:rsidP="00BD0FF1">
      <w:pPr>
        <w:pStyle w:val="2-SectionHeading"/>
      </w:pPr>
      <w:r>
        <w:t>Sponsor’s Comment</w:t>
      </w:r>
    </w:p>
    <w:p w14:paraId="0E7F3426" w14:textId="77777777" w:rsidR="00B2508B" w:rsidRPr="001179AC" w:rsidRDefault="00B2508B" w:rsidP="00BD0FF1">
      <w:pPr>
        <w:spacing w:after="120"/>
        <w:ind w:left="426" w:firstLine="294"/>
        <w:rPr>
          <w:rFonts w:asciiTheme="minorHAnsi" w:hAnsiTheme="minorHAnsi" w:cs="Arial"/>
          <w:bCs/>
        </w:rPr>
      </w:pPr>
      <w:r w:rsidRPr="00C07617">
        <w:rPr>
          <w:rFonts w:asciiTheme="minorHAnsi" w:hAnsiTheme="minorHAnsi" w:cs="Arial"/>
          <w:bCs/>
        </w:rPr>
        <w:t>The sponsor had no comment.</w:t>
      </w:r>
    </w:p>
    <w:p w14:paraId="798D5843" w14:textId="77777777" w:rsidR="00845C4D" w:rsidRPr="00017E19" w:rsidRDefault="00845C4D" w:rsidP="00017E19">
      <w:pPr>
        <w:spacing w:after="120"/>
        <w:rPr>
          <w:rFonts w:asciiTheme="minorHAnsi" w:hAnsiTheme="minorHAnsi" w:cs="Arial"/>
          <w:bCs/>
        </w:rPr>
      </w:pPr>
    </w:p>
    <w:sectPr w:rsidR="00845C4D" w:rsidRPr="00017E19" w:rsidSect="00C27B58">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ABD0" w14:textId="77777777" w:rsidR="00617CCF" w:rsidRDefault="00617CCF">
      <w:r>
        <w:separator/>
      </w:r>
    </w:p>
    <w:p w14:paraId="47810023" w14:textId="77777777" w:rsidR="00617CCF" w:rsidRDefault="00617CCF"/>
    <w:p w14:paraId="3AEF13AF" w14:textId="77777777" w:rsidR="00617CCF" w:rsidRDefault="00617CCF"/>
  </w:endnote>
  <w:endnote w:type="continuationSeparator" w:id="0">
    <w:p w14:paraId="38C0C779" w14:textId="77777777" w:rsidR="00617CCF" w:rsidRDefault="00617CCF">
      <w:r>
        <w:continuationSeparator/>
      </w:r>
    </w:p>
    <w:p w14:paraId="56B14932" w14:textId="77777777" w:rsidR="00617CCF" w:rsidRDefault="00617CCF"/>
    <w:p w14:paraId="6A51D91B" w14:textId="77777777" w:rsidR="00617CCF" w:rsidRDefault="00617CCF"/>
  </w:endnote>
  <w:endnote w:type="continuationNotice" w:id="1">
    <w:p w14:paraId="42B64D58" w14:textId="77777777" w:rsidR="00617CCF" w:rsidRDefault="00617CCF"/>
    <w:p w14:paraId="66C20A13" w14:textId="77777777" w:rsidR="00617CCF" w:rsidRDefault="00617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DC7A" w14:textId="77777777" w:rsidR="00AE45EC" w:rsidRDefault="00AE4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0F8B" w14:textId="77777777" w:rsidR="007C12A2" w:rsidRDefault="007C12A2" w:rsidP="007C12A2">
    <w:pPr>
      <w:pStyle w:val="Footer"/>
    </w:pPr>
  </w:p>
  <w:bookmarkStart w:id="70" w:name="_Hlk76375156"/>
  <w:p w14:paraId="07DAAF98" w14:textId="18A3B459" w:rsidR="00CF066B" w:rsidRPr="007C12A2" w:rsidRDefault="007C12A2" w:rsidP="007C12A2">
    <w:pPr>
      <w:pStyle w:val="Footer"/>
      <w:keepNext/>
      <w:ind w:left="360"/>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rPr>
      <w:t>1</w:t>
    </w:r>
    <w:r w:rsidRPr="00836F75">
      <w:rPr>
        <w:b/>
        <w:noProof/>
      </w:rPr>
      <w:fldChar w:fldCharType="end"/>
    </w:r>
    <w:r>
      <w:rPr>
        <w:b/>
        <w:noProof/>
      </w:rPr>
      <w:t xml:space="preserve"> </w:t>
    </w:r>
    <w:bookmarkEnd w:id="7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B05A" w14:textId="77777777" w:rsidR="00AE45EC" w:rsidRDefault="00AE4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EB11" w14:textId="77777777" w:rsidR="00617CCF" w:rsidRDefault="00617CCF">
      <w:r>
        <w:separator/>
      </w:r>
    </w:p>
    <w:p w14:paraId="60DEC90F" w14:textId="77777777" w:rsidR="00617CCF" w:rsidRDefault="00617CCF"/>
    <w:p w14:paraId="5DD43524" w14:textId="77777777" w:rsidR="00617CCF" w:rsidRDefault="00617CCF"/>
  </w:footnote>
  <w:footnote w:type="continuationSeparator" w:id="0">
    <w:p w14:paraId="08D71FA2" w14:textId="77777777" w:rsidR="00617CCF" w:rsidRDefault="00617CCF">
      <w:r>
        <w:continuationSeparator/>
      </w:r>
    </w:p>
    <w:p w14:paraId="3FE530E4" w14:textId="77777777" w:rsidR="00617CCF" w:rsidRDefault="00617CCF"/>
    <w:p w14:paraId="569166A8" w14:textId="77777777" w:rsidR="00617CCF" w:rsidRDefault="00617CCF"/>
  </w:footnote>
  <w:footnote w:type="continuationNotice" w:id="1">
    <w:p w14:paraId="06510C96" w14:textId="77777777" w:rsidR="00617CCF" w:rsidRDefault="00617CCF"/>
    <w:p w14:paraId="6E5C8505" w14:textId="77777777" w:rsidR="00617CCF" w:rsidRDefault="00617CCF"/>
  </w:footnote>
  <w:footnote w:id="2">
    <w:p w14:paraId="430E20BF" w14:textId="4C4388F1" w:rsidR="00C36DD3" w:rsidRPr="00C36DD3" w:rsidRDefault="00C36DD3">
      <w:pPr>
        <w:pStyle w:val="FootnoteText"/>
      </w:pPr>
      <w:r w:rsidRPr="00C36DD3">
        <w:rPr>
          <w:rStyle w:val="FootnoteReference"/>
        </w:rPr>
        <w:footnoteRef/>
      </w:r>
      <w:r w:rsidRPr="00C36DD3">
        <w:t xml:space="preserve"> </w:t>
      </w:r>
      <w:r w:rsidRPr="00C36DD3">
        <w:rPr>
          <w:snapToGrid w:val="0"/>
        </w:rPr>
        <w:t>Cherny NI, Dafni U, Bogaerts J, et al: ESMO-Magnitude of Clinical Benefit Scale version 1.1. Annals of Oncology 28:2340-2366, 2017</w:t>
      </w:r>
    </w:p>
  </w:footnote>
  <w:footnote w:id="3">
    <w:p w14:paraId="7D8E0FF7" w14:textId="1436FDFA" w:rsidR="0075428C" w:rsidRDefault="0075428C" w:rsidP="00957E75">
      <w:pPr>
        <w:pStyle w:val="FootnoteText"/>
        <w:jc w:val="left"/>
      </w:pPr>
      <w:r>
        <w:rPr>
          <w:rStyle w:val="FootnoteReference"/>
        </w:rPr>
        <w:footnoteRef/>
      </w:r>
      <w:r>
        <w:t xml:space="preserve"> Application No. 1658 Public Summary Document: </w:t>
      </w:r>
      <w:hyperlink r:id="rId1" w:history="1">
        <w:r w:rsidRPr="00CA5188">
          <w:rPr>
            <w:rStyle w:val="Hyperlink"/>
          </w:rPr>
          <w:t>http://www.msac.gov.au/internet/msac/publishing.nsf/Content/8D409C551135EC2BCA25866F000919DE/$File/1658%20Final%20PSD_Jul2022_redacted.pdf</w:t>
        </w:r>
      </w:hyperlink>
      <w:r>
        <w:t xml:space="preserve"> </w:t>
      </w:r>
    </w:p>
  </w:footnote>
  <w:footnote w:id="4">
    <w:p w14:paraId="39AC7FCE" w14:textId="03EAE017" w:rsidR="000744EC" w:rsidRPr="000744EC" w:rsidRDefault="000744EC">
      <w:pPr>
        <w:pStyle w:val="FootnoteText"/>
        <w:rPr>
          <w:rFonts w:ascii="Arial Narrow" w:hAnsi="Arial Narrow"/>
        </w:rPr>
      </w:pPr>
      <w:r w:rsidRPr="000744EC">
        <w:rPr>
          <w:rStyle w:val="FootnoteReference"/>
          <w:rFonts w:ascii="Arial Narrow" w:hAnsi="Arial Narrow"/>
        </w:rPr>
        <w:footnoteRef/>
      </w:r>
      <w:r w:rsidRPr="000744EC">
        <w:rPr>
          <w:rFonts w:ascii="Arial Narrow" w:hAnsi="Arial Narrow"/>
        </w:rPr>
        <w:t xml:space="preserve"> </w:t>
      </w:r>
      <w:r w:rsidRPr="000744EC">
        <w:rPr>
          <w:rFonts w:ascii="Arial Narrow" w:hAnsi="Arial Narrow" w:cs="Segoe UI"/>
          <w:color w:val="212121"/>
          <w:shd w:val="clear" w:color="auto" w:fill="FFFFFF"/>
        </w:rPr>
        <w:t xml:space="preserve">DiSilvestro P, </w:t>
      </w:r>
      <w:r>
        <w:rPr>
          <w:rFonts w:ascii="Arial Narrow" w:hAnsi="Arial Narrow" w:cs="Segoe UI"/>
          <w:color w:val="212121"/>
          <w:shd w:val="clear" w:color="auto" w:fill="FFFFFF"/>
        </w:rPr>
        <w:t>et al.</w:t>
      </w:r>
      <w:r w:rsidRPr="000744EC">
        <w:rPr>
          <w:rFonts w:ascii="Arial Narrow" w:hAnsi="Arial Narrow" w:cs="Segoe UI"/>
          <w:color w:val="212121"/>
          <w:shd w:val="clear" w:color="auto" w:fill="FFFFFF"/>
        </w:rPr>
        <w:t xml:space="preserve"> Overall Survival With Maintenance Olaparib at a 7-Year Follow-Up in Patients With Newly Diagnosed Advanced Ovarian Cancer and a BRCA Mutation: The SOLO1/GOG 3004 Trial. J Clin Oncol. 2022 Sep 9:JCO2201549. Epub ahead of print.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4CE3" w14:textId="77777777" w:rsidR="00AE45EC" w:rsidRDefault="00AE4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C7D8" w14:textId="6B2C9A07" w:rsidR="007C12A2" w:rsidRPr="00195452" w:rsidRDefault="00B81FDE" w:rsidP="007C12A2">
    <w:pPr>
      <w:jc w:val="center"/>
      <w:rPr>
        <w:rFonts w:asciiTheme="minorHAnsi" w:hAnsiTheme="minorHAnsi"/>
        <w:i/>
        <w:color w:val="808080"/>
      </w:rPr>
    </w:pPr>
    <w:r w:rsidRPr="00895E96">
      <w:rPr>
        <w:rFonts w:asciiTheme="minorHAnsi" w:hAnsiTheme="minorHAnsi" w:cstheme="minorHAnsi"/>
        <w:i/>
        <w:color w:val="808080"/>
        <w:sz w:val="22"/>
      </w:rPr>
      <w:t>Public Summary Document</w:t>
    </w:r>
    <w:r w:rsidR="007C12A2" w:rsidRPr="00056684">
      <w:rPr>
        <w:rFonts w:asciiTheme="minorHAnsi" w:hAnsiTheme="minorHAnsi"/>
        <w:i/>
        <w:color w:val="808080"/>
      </w:rPr>
      <w:t xml:space="preserve"> – </w:t>
    </w:r>
    <w:r w:rsidR="007C12A2">
      <w:rPr>
        <w:rFonts w:asciiTheme="minorHAnsi" w:hAnsiTheme="minorHAnsi"/>
        <w:i/>
        <w:color w:val="808080"/>
      </w:rPr>
      <w:t xml:space="preserve">November 2022 </w:t>
    </w:r>
    <w:r w:rsidR="007C12A2" w:rsidRPr="00195452">
      <w:rPr>
        <w:rFonts w:asciiTheme="minorHAnsi" w:hAnsiTheme="minorHAnsi"/>
        <w:i/>
        <w:color w:val="808080"/>
      </w:rPr>
      <w:t>PBAC Meeting</w:t>
    </w:r>
    <w:r w:rsidR="00845C4D">
      <w:rPr>
        <w:rFonts w:asciiTheme="minorHAnsi" w:hAnsiTheme="minorHAnsi"/>
        <w:i/>
        <w:color w:val="808080"/>
      </w:rPr>
      <w:t xml:space="preserve"> with July 2023 Addendum</w:t>
    </w:r>
  </w:p>
  <w:p w14:paraId="3B3D1C18" w14:textId="77777777" w:rsidR="007C12A2" w:rsidRPr="007C12A2" w:rsidRDefault="007C12A2" w:rsidP="007C12A2">
    <w:pPr>
      <w:tabs>
        <w:tab w:val="center" w:pos="4513"/>
        <w:tab w:val="right" w:pos="9026"/>
      </w:tabs>
      <w:spacing w:after="120"/>
      <w:contextual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B034" w14:textId="77777777" w:rsidR="00AE45EC" w:rsidRDefault="00AE4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0933F2"/>
    <w:multiLevelType w:val="hybridMultilevel"/>
    <w:tmpl w:val="23EC7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21607"/>
    <w:multiLevelType w:val="hybridMultilevel"/>
    <w:tmpl w:val="745C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750EC"/>
    <w:multiLevelType w:val="hybridMultilevel"/>
    <w:tmpl w:val="67A0C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92E7E"/>
    <w:multiLevelType w:val="hybridMultilevel"/>
    <w:tmpl w:val="3A86B69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6C1ADB"/>
    <w:multiLevelType w:val="hybridMultilevel"/>
    <w:tmpl w:val="F816F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D20A6F"/>
    <w:multiLevelType w:val="multilevel"/>
    <w:tmpl w:val="E53A97E2"/>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32CF5E44"/>
    <w:multiLevelType w:val="hybridMultilevel"/>
    <w:tmpl w:val="3398C2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355695F"/>
    <w:multiLevelType w:val="multilevel"/>
    <w:tmpl w:val="DBB2E2E0"/>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Text w:val="%5)"/>
      <w:lvlJc w:val="left"/>
      <w:pPr>
        <w:ind w:left="720" w:hanging="720"/>
      </w:pPr>
      <w:rPr>
        <w:rFonts w:hint="default"/>
        <w:i w:val="0"/>
        <w:iCs w:val="0"/>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D03AD7"/>
    <w:multiLevelType w:val="hybridMultilevel"/>
    <w:tmpl w:val="27E84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FAB8EED8"/>
    <w:lvl w:ilvl="0" w:tplc="8708B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A69BE"/>
    <w:multiLevelType w:val="hybridMultilevel"/>
    <w:tmpl w:val="9CF4E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24253A"/>
    <w:multiLevelType w:val="multilevel"/>
    <w:tmpl w:val="345614A2"/>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lowerLetter"/>
      <w:lvlText w:val="%5."/>
      <w:lvlJc w:val="left"/>
      <w:pPr>
        <w:ind w:left="720" w:hanging="720"/>
      </w:pPr>
      <w:rPr>
        <w:rFonts w:hint="default"/>
        <w:i w:val="0"/>
        <w:iCs w:val="0"/>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C5FFD"/>
    <w:multiLevelType w:val="multilevel"/>
    <w:tmpl w:val="7D72F96E"/>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i w:val="0"/>
        <w:iCs/>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0D05F0A"/>
    <w:multiLevelType w:val="multilevel"/>
    <w:tmpl w:val="E53A97E2"/>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401126E"/>
    <w:multiLevelType w:val="hybridMultilevel"/>
    <w:tmpl w:val="3A86B69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9"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18231910">
    <w:abstractNumId w:val="29"/>
  </w:num>
  <w:num w:numId="2" w16cid:durableId="1330403491">
    <w:abstractNumId w:val="22"/>
  </w:num>
  <w:num w:numId="3" w16cid:durableId="420491815">
    <w:abstractNumId w:val="30"/>
  </w:num>
  <w:num w:numId="4" w16cid:durableId="1868831964">
    <w:abstractNumId w:val="27"/>
  </w:num>
  <w:num w:numId="5" w16cid:durableId="1963727561">
    <w:abstractNumId w:val="18"/>
  </w:num>
  <w:num w:numId="6" w16cid:durableId="237595746">
    <w:abstractNumId w:val="25"/>
  </w:num>
  <w:num w:numId="7" w16cid:durableId="2092848527">
    <w:abstractNumId w:val="24"/>
  </w:num>
  <w:num w:numId="8" w16cid:durableId="1057972860">
    <w:abstractNumId w:val="12"/>
  </w:num>
  <w:num w:numId="9" w16cid:durableId="1803838074">
    <w:abstractNumId w:val="13"/>
  </w:num>
  <w:num w:numId="10" w16cid:durableId="1674335773">
    <w:abstractNumId w:val="15"/>
  </w:num>
  <w:num w:numId="11" w16cid:durableId="1861092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328050">
    <w:abstractNumId w:val="4"/>
  </w:num>
  <w:num w:numId="13" w16cid:durableId="1096095797">
    <w:abstractNumId w:val="17"/>
  </w:num>
  <w:num w:numId="14" w16cid:durableId="966355749">
    <w:abstractNumId w:val="14"/>
  </w:num>
  <w:num w:numId="15" w16cid:durableId="691764508">
    <w:abstractNumId w:val="19"/>
  </w:num>
  <w:num w:numId="16" w16cid:durableId="922026535">
    <w:abstractNumId w:val="5"/>
  </w:num>
  <w:num w:numId="17" w16cid:durableId="1573193691">
    <w:abstractNumId w:val="16"/>
  </w:num>
  <w:num w:numId="18" w16cid:durableId="1986934949">
    <w:abstractNumId w:val="20"/>
  </w:num>
  <w:num w:numId="19" w16cid:durableId="760105429">
    <w:abstractNumId w:val="1"/>
  </w:num>
  <w:num w:numId="20" w16cid:durableId="1032146333">
    <w:abstractNumId w:val="21"/>
  </w:num>
  <w:num w:numId="21" w16cid:durableId="2002848509">
    <w:abstractNumId w:val="2"/>
  </w:num>
  <w:num w:numId="22" w16cid:durableId="1104689155">
    <w:abstractNumId w:val="0"/>
  </w:num>
  <w:num w:numId="23" w16cid:durableId="552499112">
    <w:abstractNumId w:val="10"/>
  </w:num>
  <w:num w:numId="24" w16cid:durableId="1294826286">
    <w:abstractNumId w:val="11"/>
  </w:num>
  <w:num w:numId="25" w16cid:durableId="1056515349">
    <w:abstractNumId w:val="9"/>
  </w:num>
  <w:num w:numId="26" w16cid:durableId="9243614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2155824">
    <w:abstractNumId w:val="26"/>
  </w:num>
  <w:num w:numId="28" w16cid:durableId="78916068">
    <w:abstractNumId w:val="8"/>
  </w:num>
  <w:num w:numId="29" w16cid:durableId="1034428785">
    <w:abstractNumId w:val="22"/>
  </w:num>
  <w:num w:numId="30" w16cid:durableId="847719913">
    <w:abstractNumId w:val="22"/>
  </w:num>
  <w:num w:numId="31" w16cid:durableId="501744897">
    <w:abstractNumId w:val="22"/>
  </w:num>
  <w:num w:numId="32" w16cid:durableId="607657779">
    <w:abstractNumId w:val="22"/>
  </w:num>
  <w:num w:numId="33" w16cid:durableId="16525170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3943787">
    <w:abstractNumId w:val="22"/>
  </w:num>
  <w:num w:numId="35" w16cid:durableId="97993397">
    <w:abstractNumId w:val="22"/>
  </w:num>
  <w:num w:numId="36" w16cid:durableId="2014718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766396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2331682">
    <w:abstractNumId w:val="22"/>
  </w:num>
  <w:num w:numId="39" w16cid:durableId="2080517741">
    <w:abstractNumId w:val="22"/>
  </w:num>
  <w:num w:numId="40" w16cid:durableId="454328177">
    <w:abstractNumId w:val="22"/>
  </w:num>
  <w:num w:numId="41" w16cid:durableId="89667281">
    <w:abstractNumId w:val="22"/>
  </w:num>
  <w:num w:numId="42" w16cid:durableId="1708481270">
    <w:abstractNumId w:val="22"/>
  </w:num>
  <w:num w:numId="43" w16cid:durableId="1889804299">
    <w:abstractNumId w:val="22"/>
  </w:num>
  <w:num w:numId="44" w16cid:durableId="1669480667">
    <w:abstractNumId w:val="22"/>
  </w:num>
  <w:num w:numId="45" w16cid:durableId="874078618">
    <w:abstractNumId w:val="7"/>
  </w:num>
  <w:num w:numId="46" w16cid:durableId="58142007">
    <w:abstractNumId w:val="3"/>
  </w:num>
  <w:num w:numId="47" w16cid:durableId="20831406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6474780">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7CCD"/>
    <w:rsid w:val="00007DB1"/>
    <w:rsid w:val="000111A8"/>
    <w:rsid w:val="00011A59"/>
    <w:rsid w:val="00013805"/>
    <w:rsid w:val="00016A41"/>
    <w:rsid w:val="00017E19"/>
    <w:rsid w:val="00020C33"/>
    <w:rsid w:val="000214D1"/>
    <w:rsid w:val="00021D17"/>
    <w:rsid w:val="0002464A"/>
    <w:rsid w:val="00025A04"/>
    <w:rsid w:val="0003050E"/>
    <w:rsid w:val="0003106B"/>
    <w:rsid w:val="00033C1D"/>
    <w:rsid w:val="00034905"/>
    <w:rsid w:val="00034D3E"/>
    <w:rsid w:val="00037838"/>
    <w:rsid w:val="000406F1"/>
    <w:rsid w:val="000414FF"/>
    <w:rsid w:val="00041A1E"/>
    <w:rsid w:val="000421A1"/>
    <w:rsid w:val="0004240E"/>
    <w:rsid w:val="00043658"/>
    <w:rsid w:val="00043D8F"/>
    <w:rsid w:val="00044EC4"/>
    <w:rsid w:val="00045E26"/>
    <w:rsid w:val="00046279"/>
    <w:rsid w:val="00050EA5"/>
    <w:rsid w:val="000514B5"/>
    <w:rsid w:val="00051D02"/>
    <w:rsid w:val="00052107"/>
    <w:rsid w:val="0005322E"/>
    <w:rsid w:val="00054E2B"/>
    <w:rsid w:val="00060E64"/>
    <w:rsid w:val="000627DA"/>
    <w:rsid w:val="00064E64"/>
    <w:rsid w:val="00065BB6"/>
    <w:rsid w:val="00066193"/>
    <w:rsid w:val="00066755"/>
    <w:rsid w:val="00067B6B"/>
    <w:rsid w:val="00071A5B"/>
    <w:rsid w:val="00071C57"/>
    <w:rsid w:val="0007337F"/>
    <w:rsid w:val="000744EC"/>
    <w:rsid w:val="000747F0"/>
    <w:rsid w:val="00075AF9"/>
    <w:rsid w:val="000763D5"/>
    <w:rsid w:val="00076C38"/>
    <w:rsid w:val="00077143"/>
    <w:rsid w:val="00077DF7"/>
    <w:rsid w:val="0008050C"/>
    <w:rsid w:val="00080F83"/>
    <w:rsid w:val="00082169"/>
    <w:rsid w:val="000834BE"/>
    <w:rsid w:val="00083F01"/>
    <w:rsid w:val="00085DA3"/>
    <w:rsid w:val="00085DFC"/>
    <w:rsid w:val="00087A5E"/>
    <w:rsid w:val="00087C4C"/>
    <w:rsid w:val="00090A55"/>
    <w:rsid w:val="000918CB"/>
    <w:rsid w:val="00091B06"/>
    <w:rsid w:val="000951C4"/>
    <w:rsid w:val="00095ADA"/>
    <w:rsid w:val="00095CED"/>
    <w:rsid w:val="000969AD"/>
    <w:rsid w:val="00097134"/>
    <w:rsid w:val="000975FB"/>
    <w:rsid w:val="000A0E60"/>
    <w:rsid w:val="000A3AA2"/>
    <w:rsid w:val="000A44B2"/>
    <w:rsid w:val="000A52F6"/>
    <w:rsid w:val="000A7D3A"/>
    <w:rsid w:val="000B1686"/>
    <w:rsid w:val="000B1B5D"/>
    <w:rsid w:val="000B27DF"/>
    <w:rsid w:val="000B3ED0"/>
    <w:rsid w:val="000B44C3"/>
    <w:rsid w:val="000B53CB"/>
    <w:rsid w:val="000B558D"/>
    <w:rsid w:val="000B5A89"/>
    <w:rsid w:val="000B65F6"/>
    <w:rsid w:val="000B7767"/>
    <w:rsid w:val="000C2ACB"/>
    <w:rsid w:val="000C3371"/>
    <w:rsid w:val="000C4184"/>
    <w:rsid w:val="000C5F95"/>
    <w:rsid w:val="000C6996"/>
    <w:rsid w:val="000C7C46"/>
    <w:rsid w:val="000C7DE8"/>
    <w:rsid w:val="000D09E9"/>
    <w:rsid w:val="000D113F"/>
    <w:rsid w:val="000D23BA"/>
    <w:rsid w:val="000D310F"/>
    <w:rsid w:val="000E19B7"/>
    <w:rsid w:val="000E20FC"/>
    <w:rsid w:val="000E3B2D"/>
    <w:rsid w:val="000E3DFB"/>
    <w:rsid w:val="000E5EA1"/>
    <w:rsid w:val="000E681E"/>
    <w:rsid w:val="000E6C93"/>
    <w:rsid w:val="000E73F8"/>
    <w:rsid w:val="000E7E52"/>
    <w:rsid w:val="000F0003"/>
    <w:rsid w:val="000F0672"/>
    <w:rsid w:val="000F1A35"/>
    <w:rsid w:val="000F3384"/>
    <w:rsid w:val="000F4E6A"/>
    <w:rsid w:val="000F7354"/>
    <w:rsid w:val="0010061E"/>
    <w:rsid w:val="00101ABE"/>
    <w:rsid w:val="00102202"/>
    <w:rsid w:val="00102556"/>
    <w:rsid w:val="00102700"/>
    <w:rsid w:val="0010289B"/>
    <w:rsid w:val="00102A78"/>
    <w:rsid w:val="00103118"/>
    <w:rsid w:val="00104227"/>
    <w:rsid w:val="0010571A"/>
    <w:rsid w:val="00107DC4"/>
    <w:rsid w:val="001107BF"/>
    <w:rsid w:val="00111D12"/>
    <w:rsid w:val="00113649"/>
    <w:rsid w:val="00113D5C"/>
    <w:rsid w:val="00116906"/>
    <w:rsid w:val="00120A39"/>
    <w:rsid w:val="0012417C"/>
    <w:rsid w:val="00124BF2"/>
    <w:rsid w:val="0012597F"/>
    <w:rsid w:val="0012720A"/>
    <w:rsid w:val="0012749D"/>
    <w:rsid w:val="00130248"/>
    <w:rsid w:val="001306A5"/>
    <w:rsid w:val="001311AE"/>
    <w:rsid w:val="001341AB"/>
    <w:rsid w:val="00135AA3"/>
    <w:rsid w:val="00140B74"/>
    <w:rsid w:val="00140D94"/>
    <w:rsid w:val="00142395"/>
    <w:rsid w:val="00142714"/>
    <w:rsid w:val="00143B69"/>
    <w:rsid w:val="00144D09"/>
    <w:rsid w:val="001452ED"/>
    <w:rsid w:val="00147566"/>
    <w:rsid w:val="00147D84"/>
    <w:rsid w:val="00150CBC"/>
    <w:rsid w:val="001549C1"/>
    <w:rsid w:val="00156C8D"/>
    <w:rsid w:val="00156EDF"/>
    <w:rsid w:val="00160F4D"/>
    <w:rsid w:val="00162BDD"/>
    <w:rsid w:val="00162D4E"/>
    <w:rsid w:val="00163329"/>
    <w:rsid w:val="00164623"/>
    <w:rsid w:val="001652DE"/>
    <w:rsid w:val="00165B64"/>
    <w:rsid w:val="00170F7A"/>
    <w:rsid w:val="00173FF1"/>
    <w:rsid w:val="00174500"/>
    <w:rsid w:val="00176752"/>
    <w:rsid w:val="00176AF1"/>
    <w:rsid w:val="00176B9D"/>
    <w:rsid w:val="00177F98"/>
    <w:rsid w:val="00180713"/>
    <w:rsid w:val="00180720"/>
    <w:rsid w:val="00180D58"/>
    <w:rsid w:val="001830CE"/>
    <w:rsid w:val="001836E3"/>
    <w:rsid w:val="00184C39"/>
    <w:rsid w:val="0018643B"/>
    <w:rsid w:val="00186F8C"/>
    <w:rsid w:val="00190314"/>
    <w:rsid w:val="001909A8"/>
    <w:rsid w:val="00192397"/>
    <w:rsid w:val="00195818"/>
    <w:rsid w:val="00195C38"/>
    <w:rsid w:val="00196138"/>
    <w:rsid w:val="00196307"/>
    <w:rsid w:val="00197685"/>
    <w:rsid w:val="001A08AF"/>
    <w:rsid w:val="001A0D10"/>
    <w:rsid w:val="001A33EA"/>
    <w:rsid w:val="001A3DAF"/>
    <w:rsid w:val="001A4413"/>
    <w:rsid w:val="001A49B8"/>
    <w:rsid w:val="001A4C4F"/>
    <w:rsid w:val="001A590D"/>
    <w:rsid w:val="001A5A2B"/>
    <w:rsid w:val="001A76FB"/>
    <w:rsid w:val="001B017F"/>
    <w:rsid w:val="001B0B79"/>
    <w:rsid w:val="001B2BBC"/>
    <w:rsid w:val="001B3A40"/>
    <w:rsid w:val="001B3FFE"/>
    <w:rsid w:val="001B5129"/>
    <w:rsid w:val="001C07F8"/>
    <w:rsid w:val="001C0B4C"/>
    <w:rsid w:val="001C0EC4"/>
    <w:rsid w:val="001C1195"/>
    <w:rsid w:val="001C12AE"/>
    <w:rsid w:val="001C1B59"/>
    <w:rsid w:val="001C1E84"/>
    <w:rsid w:val="001C2E42"/>
    <w:rsid w:val="001C6926"/>
    <w:rsid w:val="001C758C"/>
    <w:rsid w:val="001C7D4B"/>
    <w:rsid w:val="001D1F5F"/>
    <w:rsid w:val="001D4A3E"/>
    <w:rsid w:val="001E06D2"/>
    <w:rsid w:val="001E1039"/>
    <w:rsid w:val="001E17C4"/>
    <w:rsid w:val="001E6150"/>
    <w:rsid w:val="001E77F4"/>
    <w:rsid w:val="001F005B"/>
    <w:rsid w:val="001F1850"/>
    <w:rsid w:val="001F1BFC"/>
    <w:rsid w:val="001F1D9C"/>
    <w:rsid w:val="001F1FBF"/>
    <w:rsid w:val="001F2F1C"/>
    <w:rsid w:val="001F3189"/>
    <w:rsid w:val="001F44F5"/>
    <w:rsid w:val="00201FB8"/>
    <w:rsid w:val="002025D2"/>
    <w:rsid w:val="00203FAC"/>
    <w:rsid w:val="00205224"/>
    <w:rsid w:val="00205BAB"/>
    <w:rsid w:val="00205C7C"/>
    <w:rsid w:val="002063C8"/>
    <w:rsid w:val="00213CFB"/>
    <w:rsid w:val="0021523C"/>
    <w:rsid w:val="0021553C"/>
    <w:rsid w:val="0021557B"/>
    <w:rsid w:val="00215F98"/>
    <w:rsid w:val="002174FD"/>
    <w:rsid w:val="00217BE1"/>
    <w:rsid w:val="002214B9"/>
    <w:rsid w:val="00222459"/>
    <w:rsid w:val="00225AFC"/>
    <w:rsid w:val="00230D9E"/>
    <w:rsid w:val="00230F63"/>
    <w:rsid w:val="002326FB"/>
    <w:rsid w:val="00234252"/>
    <w:rsid w:val="0023466E"/>
    <w:rsid w:val="00237AC6"/>
    <w:rsid w:val="00237D1F"/>
    <w:rsid w:val="00240165"/>
    <w:rsid w:val="0024340F"/>
    <w:rsid w:val="00244139"/>
    <w:rsid w:val="00244214"/>
    <w:rsid w:val="00244490"/>
    <w:rsid w:val="00245B9C"/>
    <w:rsid w:val="00247A04"/>
    <w:rsid w:val="00247C10"/>
    <w:rsid w:val="0025163B"/>
    <w:rsid w:val="0025345F"/>
    <w:rsid w:val="00253499"/>
    <w:rsid w:val="00253AE0"/>
    <w:rsid w:val="00254AE6"/>
    <w:rsid w:val="002551A4"/>
    <w:rsid w:val="00257664"/>
    <w:rsid w:val="00257A32"/>
    <w:rsid w:val="00262B23"/>
    <w:rsid w:val="00263DC8"/>
    <w:rsid w:val="00265151"/>
    <w:rsid w:val="00265C2C"/>
    <w:rsid w:val="0026642A"/>
    <w:rsid w:val="00266509"/>
    <w:rsid w:val="00270CB9"/>
    <w:rsid w:val="00271BA1"/>
    <w:rsid w:val="00273AC5"/>
    <w:rsid w:val="00274144"/>
    <w:rsid w:val="00274455"/>
    <w:rsid w:val="002762FA"/>
    <w:rsid w:val="00277505"/>
    <w:rsid w:val="0027779F"/>
    <w:rsid w:val="0028158C"/>
    <w:rsid w:val="00281913"/>
    <w:rsid w:val="002823B6"/>
    <w:rsid w:val="00290C03"/>
    <w:rsid w:val="00294274"/>
    <w:rsid w:val="0029458F"/>
    <w:rsid w:val="00296D99"/>
    <w:rsid w:val="00297CBC"/>
    <w:rsid w:val="002A018F"/>
    <w:rsid w:val="002A0E04"/>
    <w:rsid w:val="002A104C"/>
    <w:rsid w:val="002A1EF7"/>
    <w:rsid w:val="002A294D"/>
    <w:rsid w:val="002A34E8"/>
    <w:rsid w:val="002A494D"/>
    <w:rsid w:val="002A4960"/>
    <w:rsid w:val="002A636A"/>
    <w:rsid w:val="002B0AE0"/>
    <w:rsid w:val="002B1AE6"/>
    <w:rsid w:val="002B1D51"/>
    <w:rsid w:val="002B2A62"/>
    <w:rsid w:val="002B2B2C"/>
    <w:rsid w:val="002B2DE8"/>
    <w:rsid w:val="002B30F8"/>
    <w:rsid w:val="002B388A"/>
    <w:rsid w:val="002B5596"/>
    <w:rsid w:val="002B6EA3"/>
    <w:rsid w:val="002B77D7"/>
    <w:rsid w:val="002C212F"/>
    <w:rsid w:val="002C2F35"/>
    <w:rsid w:val="002C633F"/>
    <w:rsid w:val="002C6519"/>
    <w:rsid w:val="002C6AA9"/>
    <w:rsid w:val="002C6DA0"/>
    <w:rsid w:val="002C7485"/>
    <w:rsid w:val="002D0CF5"/>
    <w:rsid w:val="002D147F"/>
    <w:rsid w:val="002D18DB"/>
    <w:rsid w:val="002D1C03"/>
    <w:rsid w:val="002D2641"/>
    <w:rsid w:val="002D283A"/>
    <w:rsid w:val="002D4543"/>
    <w:rsid w:val="002D53D8"/>
    <w:rsid w:val="002D73F5"/>
    <w:rsid w:val="002D7EFD"/>
    <w:rsid w:val="002E108A"/>
    <w:rsid w:val="002E1256"/>
    <w:rsid w:val="002E1FA8"/>
    <w:rsid w:val="002E3153"/>
    <w:rsid w:val="002E4ADE"/>
    <w:rsid w:val="002E5292"/>
    <w:rsid w:val="002E6018"/>
    <w:rsid w:val="002E6968"/>
    <w:rsid w:val="002E72CA"/>
    <w:rsid w:val="002E7883"/>
    <w:rsid w:val="002E7C39"/>
    <w:rsid w:val="002F0FFD"/>
    <w:rsid w:val="002F1D07"/>
    <w:rsid w:val="002F26B7"/>
    <w:rsid w:val="002F3579"/>
    <w:rsid w:val="002F600D"/>
    <w:rsid w:val="002F7E47"/>
    <w:rsid w:val="00300AD6"/>
    <w:rsid w:val="00300B1B"/>
    <w:rsid w:val="00301220"/>
    <w:rsid w:val="00301919"/>
    <w:rsid w:val="003019D0"/>
    <w:rsid w:val="00301C8B"/>
    <w:rsid w:val="00302D05"/>
    <w:rsid w:val="00303A23"/>
    <w:rsid w:val="00304BA0"/>
    <w:rsid w:val="003057F3"/>
    <w:rsid w:val="0030613E"/>
    <w:rsid w:val="00306148"/>
    <w:rsid w:val="003064AF"/>
    <w:rsid w:val="003104CC"/>
    <w:rsid w:val="00310A8B"/>
    <w:rsid w:val="00310B68"/>
    <w:rsid w:val="0031236D"/>
    <w:rsid w:val="003160D2"/>
    <w:rsid w:val="00316952"/>
    <w:rsid w:val="003173FC"/>
    <w:rsid w:val="00317C6C"/>
    <w:rsid w:val="00320B80"/>
    <w:rsid w:val="00320CD3"/>
    <w:rsid w:val="00320CF2"/>
    <w:rsid w:val="003212F7"/>
    <w:rsid w:val="003252D7"/>
    <w:rsid w:val="00326E79"/>
    <w:rsid w:val="0032748A"/>
    <w:rsid w:val="003301B1"/>
    <w:rsid w:val="00331189"/>
    <w:rsid w:val="0033263D"/>
    <w:rsid w:val="0033518A"/>
    <w:rsid w:val="00335535"/>
    <w:rsid w:val="003367EF"/>
    <w:rsid w:val="003374EE"/>
    <w:rsid w:val="00341AE4"/>
    <w:rsid w:val="003423BC"/>
    <w:rsid w:val="003476EE"/>
    <w:rsid w:val="003504D8"/>
    <w:rsid w:val="003508D1"/>
    <w:rsid w:val="003541DD"/>
    <w:rsid w:val="003559B5"/>
    <w:rsid w:val="00356408"/>
    <w:rsid w:val="00356E5B"/>
    <w:rsid w:val="00357A49"/>
    <w:rsid w:val="00361E30"/>
    <w:rsid w:val="00366844"/>
    <w:rsid w:val="003736C9"/>
    <w:rsid w:val="00381A56"/>
    <w:rsid w:val="00383B77"/>
    <w:rsid w:val="0038413E"/>
    <w:rsid w:val="00384988"/>
    <w:rsid w:val="00385E82"/>
    <w:rsid w:val="003872CF"/>
    <w:rsid w:val="003932AB"/>
    <w:rsid w:val="0039641F"/>
    <w:rsid w:val="0039654F"/>
    <w:rsid w:val="0039782C"/>
    <w:rsid w:val="003A13A6"/>
    <w:rsid w:val="003A36AD"/>
    <w:rsid w:val="003A3AC5"/>
    <w:rsid w:val="003A5B4A"/>
    <w:rsid w:val="003A5D95"/>
    <w:rsid w:val="003A610B"/>
    <w:rsid w:val="003B0D3A"/>
    <w:rsid w:val="003B2302"/>
    <w:rsid w:val="003B23C5"/>
    <w:rsid w:val="003B2A75"/>
    <w:rsid w:val="003B49B2"/>
    <w:rsid w:val="003B6124"/>
    <w:rsid w:val="003B6EAE"/>
    <w:rsid w:val="003B7960"/>
    <w:rsid w:val="003C093A"/>
    <w:rsid w:val="003C1ECF"/>
    <w:rsid w:val="003C2FB5"/>
    <w:rsid w:val="003D1F80"/>
    <w:rsid w:val="003D24C5"/>
    <w:rsid w:val="003D4594"/>
    <w:rsid w:val="003D4AC4"/>
    <w:rsid w:val="003D63B7"/>
    <w:rsid w:val="003D74C5"/>
    <w:rsid w:val="003E3C10"/>
    <w:rsid w:val="003E4374"/>
    <w:rsid w:val="003E468B"/>
    <w:rsid w:val="003E62BD"/>
    <w:rsid w:val="003E6DD5"/>
    <w:rsid w:val="003F013A"/>
    <w:rsid w:val="003F044F"/>
    <w:rsid w:val="003F0935"/>
    <w:rsid w:val="003F0C3A"/>
    <w:rsid w:val="003F15F0"/>
    <w:rsid w:val="003F3228"/>
    <w:rsid w:val="003F324E"/>
    <w:rsid w:val="003F59B9"/>
    <w:rsid w:val="003F5C8C"/>
    <w:rsid w:val="003F63CE"/>
    <w:rsid w:val="003F775A"/>
    <w:rsid w:val="00400E55"/>
    <w:rsid w:val="0040128E"/>
    <w:rsid w:val="004012F1"/>
    <w:rsid w:val="0040197A"/>
    <w:rsid w:val="0040216B"/>
    <w:rsid w:val="00404543"/>
    <w:rsid w:val="0040488B"/>
    <w:rsid w:val="00406B6F"/>
    <w:rsid w:val="0040726D"/>
    <w:rsid w:val="00417631"/>
    <w:rsid w:val="00420400"/>
    <w:rsid w:val="00420F69"/>
    <w:rsid w:val="00421D75"/>
    <w:rsid w:val="004252EC"/>
    <w:rsid w:val="00430B50"/>
    <w:rsid w:val="00430BB4"/>
    <w:rsid w:val="00430D1B"/>
    <w:rsid w:val="00430D39"/>
    <w:rsid w:val="00434CEB"/>
    <w:rsid w:val="00435C19"/>
    <w:rsid w:val="004423A9"/>
    <w:rsid w:val="00442C91"/>
    <w:rsid w:val="004450E0"/>
    <w:rsid w:val="004465BD"/>
    <w:rsid w:val="00446938"/>
    <w:rsid w:val="004528FA"/>
    <w:rsid w:val="0046003B"/>
    <w:rsid w:val="00461A44"/>
    <w:rsid w:val="0046208B"/>
    <w:rsid w:val="004621B3"/>
    <w:rsid w:val="00462D26"/>
    <w:rsid w:val="00462EC6"/>
    <w:rsid w:val="0046385A"/>
    <w:rsid w:val="00464EFB"/>
    <w:rsid w:val="00465433"/>
    <w:rsid w:val="00466105"/>
    <w:rsid w:val="004661A9"/>
    <w:rsid w:val="00466ADA"/>
    <w:rsid w:val="004702BB"/>
    <w:rsid w:val="004706E1"/>
    <w:rsid w:val="00470859"/>
    <w:rsid w:val="0047494B"/>
    <w:rsid w:val="00475B57"/>
    <w:rsid w:val="00476245"/>
    <w:rsid w:val="00477A9B"/>
    <w:rsid w:val="00480407"/>
    <w:rsid w:val="00481B09"/>
    <w:rsid w:val="00481E1D"/>
    <w:rsid w:val="00483035"/>
    <w:rsid w:val="00485940"/>
    <w:rsid w:val="00486C95"/>
    <w:rsid w:val="004877C2"/>
    <w:rsid w:val="004904B9"/>
    <w:rsid w:val="0049258F"/>
    <w:rsid w:val="00495F61"/>
    <w:rsid w:val="00496662"/>
    <w:rsid w:val="00497E90"/>
    <w:rsid w:val="004A2484"/>
    <w:rsid w:val="004A5A85"/>
    <w:rsid w:val="004A71D1"/>
    <w:rsid w:val="004A7C5B"/>
    <w:rsid w:val="004B1845"/>
    <w:rsid w:val="004B2348"/>
    <w:rsid w:val="004B29B2"/>
    <w:rsid w:val="004B2E01"/>
    <w:rsid w:val="004B2E98"/>
    <w:rsid w:val="004B4861"/>
    <w:rsid w:val="004B5640"/>
    <w:rsid w:val="004B5BB5"/>
    <w:rsid w:val="004B6084"/>
    <w:rsid w:val="004B6DB1"/>
    <w:rsid w:val="004BCF29"/>
    <w:rsid w:val="004C03D0"/>
    <w:rsid w:val="004C1BD7"/>
    <w:rsid w:val="004C239C"/>
    <w:rsid w:val="004C31FE"/>
    <w:rsid w:val="004C524C"/>
    <w:rsid w:val="004C52D1"/>
    <w:rsid w:val="004C59B8"/>
    <w:rsid w:val="004C5FFA"/>
    <w:rsid w:val="004C691D"/>
    <w:rsid w:val="004C6C07"/>
    <w:rsid w:val="004C6D3A"/>
    <w:rsid w:val="004C6FCF"/>
    <w:rsid w:val="004C7E15"/>
    <w:rsid w:val="004D1ACF"/>
    <w:rsid w:val="004D25F9"/>
    <w:rsid w:val="004D2CD1"/>
    <w:rsid w:val="004D4E9F"/>
    <w:rsid w:val="004D4FF6"/>
    <w:rsid w:val="004D5ADD"/>
    <w:rsid w:val="004E1B22"/>
    <w:rsid w:val="004E2712"/>
    <w:rsid w:val="004E2718"/>
    <w:rsid w:val="004E692D"/>
    <w:rsid w:val="004E7230"/>
    <w:rsid w:val="004E7D87"/>
    <w:rsid w:val="004F0188"/>
    <w:rsid w:val="004F2553"/>
    <w:rsid w:val="004F306A"/>
    <w:rsid w:val="004F3566"/>
    <w:rsid w:val="004F5C3B"/>
    <w:rsid w:val="004F6160"/>
    <w:rsid w:val="004F750F"/>
    <w:rsid w:val="004F79BC"/>
    <w:rsid w:val="00501554"/>
    <w:rsid w:val="00502AFE"/>
    <w:rsid w:val="00502E64"/>
    <w:rsid w:val="00503AD7"/>
    <w:rsid w:val="00504E0C"/>
    <w:rsid w:val="00504E13"/>
    <w:rsid w:val="00507886"/>
    <w:rsid w:val="0051082C"/>
    <w:rsid w:val="005109D4"/>
    <w:rsid w:val="00511AA1"/>
    <w:rsid w:val="00514CD7"/>
    <w:rsid w:val="005167EC"/>
    <w:rsid w:val="005170DA"/>
    <w:rsid w:val="00520D6A"/>
    <w:rsid w:val="00521FE5"/>
    <w:rsid w:val="00522DB6"/>
    <w:rsid w:val="00525BFE"/>
    <w:rsid w:val="005264A7"/>
    <w:rsid w:val="0052792D"/>
    <w:rsid w:val="005319B2"/>
    <w:rsid w:val="00532402"/>
    <w:rsid w:val="00532C74"/>
    <w:rsid w:val="00532E99"/>
    <w:rsid w:val="00534E2E"/>
    <w:rsid w:val="005353FE"/>
    <w:rsid w:val="0053605D"/>
    <w:rsid w:val="00537039"/>
    <w:rsid w:val="0054064C"/>
    <w:rsid w:val="00540BFF"/>
    <w:rsid w:val="00544552"/>
    <w:rsid w:val="00544D1A"/>
    <w:rsid w:val="00545130"/>
    <w:rsid w:val="00545904"/>
    <w:rsid w:val="00551E05"/>
    <w:rsid w:val="00552761"/>
    <w:rsid w:val="0055286A"/>
    <w:rsid w:val="00552AFE"/>
    <w:rsid w:val="00552E2F"/>
    <w:rsid w:val="00555745"/>
    <w:rsid w:val="0055735E"/>
    <w:rsid w:val="00557D4F"/>
    <w:rsid w:val="0056122E"/>
    <w:rsid w:val="00562516"/>
    <w:rsid w:val="00562CB9"/>
    <w:rsid w:val="00563B2B"/>
    <w:rsid w:val="0056484E"/>
    <w:rsid w:val="005649AB"/>
    <w:rsid w:val="00566EA7"/>
    <w:rsid w:val="00567D8A"/>
    <w:rsid w:val="0057204F"/>
    <w:rsid w:val="005743F5"/>
    <w:rsid w:val="00575099"/>
    <w:rsid w:val="00575368"/>
    <w:rsid w:val="005764CD"/>
    <w:rsid w:val="00577C4D"/>
    <w:rsid w:val="00580532"/>
    <w:rsid w:val="00580682"/>
    <w:rsid w:val="00581932"/>
    <w:rsid w:val="00585EFF"/>
    <w:rsid w:val="0059081D"/>
    <w:rsid w:val="0059200E"/>
    <w:rsid w:val="005926E7"/>
    <w:rsid w:val="00592B3E"/>
    <w:rsid w:val="005963BB"/>
    <w:rsid w:val="005A2398"/>
    <w:rsid w:val="005A3173"/>
    <w:rsid w:val="005A3223"/>
    <w:rsid w:val="005A3796"/>
    <w:rsid w:val="005A3DA3"/>
    <w:rsid w:val="005A41F4"/>
    <w:rsid w:val="005A52C4"/>
    <w:rsid w:val="005A5B66"/>
    <w:rsid w:val="005A63A1"/>
    <w:rsid w:val="005A6AA5"/>
    <w:rsid w:val="005A6D22"/>
    <w:rsid w:val="005A7D1F"/>
    <w:rsid w:val="005B50D5"/>
    <w:rsid w:val="005B601A"/>
    <w:rsid w:val="005B6DAB"/>
    <w:rsid w:val="005C44ED"/>
    <w:rsid w:val="005C4F73"/>
    <w:rsid w:val="005C5AEF"/>
    <w:rsid w:val="005D03AB"/>
    <w:rsid w:val="005D0EB3"/>
    <w:rsid w:val="005D1804"/>
    <w:rsid w:val="005D1CDA"/>
    <w:rsid w:val="005D401D"/>
    <w:rsid w:val="005D5017"/>
    <w:rsid w:val="005D63FA"/>
    <w:rsid w:val="005D73C7"/>
    <w:rsid w:val="005E0B5D"/>
    <w:rsid w:val="005E0C2D"/>
    <w:rsid w:val="005E0D82"/>
    <w:rsid w:val="005E1333"/>
    <w:rsid w:val="005E3136"/>
    <w:rsid w:val="005E45C0"/>
    <w:rsid w:val="005E507D"/>
    <w:rsid w:val="005F0AD0"/>
    <w:rsid w:val="005F380A"/>
    <w:rsid w:val="005F6B09"/>
    <w:rsid w:val="005F7384"/>
    <w:rsid w:val="00601A91"/>
    <w:rsid w:val="00602BA3"/>
    <w:rsid w:val="00602DFC"/>
    <w:rsid w:val="00605B63"/>
    <w:rsid w:val="00605F9A"/>
    <w:rsid w:val="006061DA"/>
    <w:rsid w:val="00606442"/>
    <w:rsid w:val="00606EED"/>
    <w:rsid w:val="00607D1C"/>
    <w:rsid w:val="00612A95"/>
    <w:rsid w:val="00612E34"/>
    <w:rsid w:val="00614159"/>
    <w:rsid w:val="00614CF3"/>
    <w:rsid w:val="006158A3"/>
    <w:rsid w:val="00615FE9"/>
    <w:rsid w:val="006162A4"/>
    <w:rsid w:val="00616C5F"/>
    <w:rsid w:val="00616DAC"/>
    <w:rsid w:val="00617725"/>
    <w:rsid w:val="00617C00"/>
    <w:rsid w:val="00617CCF"/>
    <w:rsid w:val="00621FCC"/>
    <w:rsid w:val="006263BF"/>
    <w:rsid w:val="0062748A"/>
    <w:rsid w:val="0063000F"/>
    <w:rsid w:val="00630A2C"/>
    <w:rsid w:val="00631DCB"/>
    <w:rsid w:val="0063222E"/>
    <w:rsid w:val="00632AAB"/>
    <w:rsid w:val="0063682E"/>
    <w:rsid w:val="00637846"/>
    <w:rsid w:val="00640088"/>
    <w:rsid w:val="006419A4"/>
    <w:rsid w:val="006420CD"/>
    <w:rsid w:val="00642672"/>
    <w:rsid w:val="00642DA8"/>
    <w:rsid w:val="006436CD"/>
    <w:rsid w:val="00644F6F"/>
    <w:rsid w:val="00647584"/>
    <w:rsid w:val="00651169"/>
    <w:rsid w:val="00652F99"/>
    <w:rsid w:val="00653D69"/>
    <w:rsid w:val="006552E6"/>
    <w:rsid w:val="00655794"/>
    <w:rsid w:val="00657C63"/>
    <w:rsid w:val="00657EE2"/>
    <w:rsid w:val="00661CBC"/>
    <w:rsid w:val="0066212F"/>
    <w:rsid w:val="00662431"/>
    <w:rsid w:val="00662B85"/>
    <w:rsid w:val="00663A0C"/>
    <w:rsid w:val="00663A59"/>
    <w:rsid w:val="00666C49"/>
    <w:rsid w:val="006670BE"/>
    <w:rsid w:val="00670A76"/>
    <w:rsid w:val="006711AA"/>
    <w:rsid w:val="00672A66"/>
    <w:rsid w:val="00672B57"/>
    <w:rsid w:val="00673F1F"/>
    <w:rsid w:val="00674A44"/>
    <w:rsid w:val="00675622"/>
    <w:rsid w:val="0067747D"/>
    <w:rsid w:val="00681414"/>
    <w:rsid w:val="006818D5"/>
    <w:rsid w:val="00681CA4"/>
    <w:rsid w:val="0068742F"/>
    <w:rsid w:val="006878D0"/>
    <w:rsid w:val="0069039D"/>
    <w:rsid w:val="0069055A"/>
    <w:rsid w:val="006906DB"/>
    <w:rsid w:val="00690DDF"/>
    <w:rsid w:val="00691900"/>
    <w:rsid w:val="00691E6C"/>
    <w:rsid w:val="006923F1"/>
    <w:rsid w:val="0069342D"/>
    <w:rsid w:val="00693D04"/>
    <w:rsid w:val="00693DFB"/>
    <w:rsid w:val="00694C04"/>
    <w:rsid w:val="0069501D"/>
    <w:rsid w:val="00696129"/>
    <w:rsid w:val="006972EE"/>
    <w:rsid w:val="00697CF2"/>
    <w:rsid w:val="006A0DC4"/>
    <w:rsid w:val="006A12A5"/>
    <w:rsid w:val="006A2515"/>
    <w:rsid w:val="006A2FDB"/>
    <w:rsid w:val="006A5571"/>
    <w:rsid w:val="006A5E20"/>
    <w:rsid w:val="006A648B"/>
    <w:rsid w:val="006A6E68"/>
    <w:rsid w:val="006B0D94"/>
    <w:rsid w:val="006B485D"/>
    <w:rsid w:val="006C0C45"/>
    <w:rsid w:val="006C0DA3"/>
    <w:rsid w:val="006C334C"/>
    <w:rsid w:val="006C4B93"/>
    <w:rsid w:val="006C51EA"/>
    <w:rsid w:val="006C5B33"/>
    <w:rsid w:val="006C66C3"/>
    <w:rsid w:val="006C6A53"/>
    <w:rsid w:val="006C6C10"/>
    <w:rsid w:val="006C6C6B"/>
    <w:rsid w:val="006C708E"/>
    <w:rsid w:val="006D1007"/>
    <w:rsid w:val="006D14E7"/>
    <w:rsid w:val="006D2F99"/>
    <w:rsid w:val="006D4444"/>
    <w:rsid w:val="006D5712"/>
    <w:rsid w:val="006D6493"/>
    <w:rsid w:val="006D6EC7"/>
    <w:rsid w:val="006D7638"/>
    <w:rsid w:val="006E0556"/>
    <w:rsid w:val="006E1BCD"/>
    <w:rsid w:val="006E2732"/>
    <w:rsid w:val="006E59CD"/>
    <w:rsid w:val="006E635E"/>
    <w:rsid w:val="006E6363"/>
    <w:rsid w:val="006F0A71"/>
    <w:rsid w:val="006F2819"/>
    <w:rsid w:val="006F386A"/>
    <w:rsid w:val="006F40C2"/>
    <w:rsid w:val="006F5125"/>
    <w:rsid w:val="006F6D4E"/>
    <w:rsid w:val="006F733D"/>
    <w:rsid w:val="00702B6F"/>
    <w:rsid w:val="007030A8"/>
    <w:rsid w:val="00704069"/>
    <w:rsid w:val="00705209"/>
    <w:rsid w:val="00705B8E"/>
    <w:rsid w:val="00706336"/>
    <w:rsid w:val="00706A2F"/>
    <w:rsid w:val="0070718E"/>
    <w:rsid w:val="00707E52"/>
    <w:rsid w:val="00710259"/>
    <w:rsid w:val="0071031F"/>
    <w:rsid w:val="0071255C"/>
    <w:rsid w:val="00712B75"/>
    <w:rsid w:val="0071340B"/>
    <w:rsid w:val="0071436D"/>
    <w:rsid w:val="00715BBB"/>
    <w:rsid w:val="007174BB"/>
    <w:rsid w:val="0072025D"/>
    <w:rsid w:val="00721991"/>
    <w:rsid w:val="00723328"/>
    <w:rsid w:val="007245EB"/>
    <w:rsid w:val="00725FB9"/>
    <w:rsid w:val="0073137C"/>
    <w:rsid w:val="007340B9"/>
    <w:rsid w:val="00734B04"/>
    <w:rsid w:val="007353D3"/>
    <w:rsid w:val="0074058E"/>
    <w:rsid w:val="0074156B"/>
    <w:rsid w:val="00741619"/>
    <w:rsid w:val="00747092"/>
    <w:rsid w:val="007478E8"/>
    <w:rsid w:val="007526E6"/>
    <w:rsid w:val="0075428C"/>
    <w:rsid w:val="00754DF9"/>
    <w:rsid w:val="007555E8"/>
    <w:rsid w:val="00755CC5"/>
    <w:rsid w:val="0076420C"/>
    <w:rsid w:val="007642CE"/>
    <w:rsid w:val="00771372"/>
    <w:rsid w:val="00771D07"/>
    <w:rsid w:val="00773BE3"/>
    <w:rsid w:val="007743DD"/>
    <w:rsid w:val="00774E2C"/>
    <w:rsid w:val="0077518D"/>
    <w:rsid w:val="007753C2"/>
    <w:rsid w:val="0077612B"/>
    <w:rsid w:val="00776FB1"/>
    <w:rsid w:val="0078067E"/>
    <w:rsid w:val="00782CE5"/>
    <w:rsid w:val="007838B8"/>
    <w:rsid w:val="007915BA"/>
    <w:rsid w:val="00791844"/>
    <w:rsid w:val="00792569"/>
    <w:rsid w:val="00794814"/>
    <w:rsid w:val="00795CC2"/>
    <w:rsid w:val="00797049"/>
    <w:rsid w:val="007979BD"/>
    <w:rsid w:val="007A0CFF"/>
    <w:rsid w:val="007A4BDD"/>
    <w:rsid w:val="007A6201"/>
    <w:rsid w:val="007A6A2F"/>
    <w:rsid w:val="007B024E"/>
    <w:rsid w:val="007B1B6B"/>
    <w:rsid w:val="007B3DDC"/>
    <w:rsid w:val="007B72A6"/>
    <w:rsid w:val="007C06D2"/>
    <w:rsid w:val="007C08E0"/>
    <w:rsid w:val="007C0F57"/>
    <w:rsid w:val="007C12A2"/>
    <w:rsid w:val="007C40B6"/>
    <w:rsid w:val="007C5BD7"/>
    <w:rsid w:val="007C729F"/>
    <w:rsid w:val="007D503D"/>
    <w:rsid w:val="007D59E7"/>
    <w:rsid w:val="007D5F2A"/>
    <w:rsid w:val="007E0DA4"/>
    <w:rsid w:val="007E1BC9"/>
    <w:rsid w:val="007E1D28"/>
    <w:rsid w:val="007E4411"/>
    <w:rsid w:val="007E44C3"/>
    <w:rsid w:val="007E4E6B"/>
    <w:rsid w:val="007E5712"/>
    <w:rsid w:val="007E768B"/>
    <w:rsid w:val="007F0021"/>
    <w:rsid w:val="007F16C4"/>
    <w:rsid w:val="007F2641"/>
    <w:rsid w:val="007F6718"/>
    <w:rsid w:val="007F6C39"/>
    <w:rsid w:val="007F7C36"/>
    <w:rsid w:val="007F7CD0"/>
    <w:rsid w:val="00802DEB"/>
    <w:rsid w:val="008035EE"/>
    <w:rsid w:val="008055AF"/>
    <w:rsid w:val="008057CD"/>
    <w:rsid w:val="00806796"/>
    <w:rsid w:val="00810167"/>
    <w:rsid w:val="00811CC0"/>
    <w:rsid w:val="0081408A"/>
    <w:rsid w:val="008141C2"/>
    <w:rsid w:val="008147AE"/>
    <w:rsid w:val="008151D6"/>
    <w:rsid w:val="00816236"/>
    <w:rsid w:val="00820D4D"/>
    <w:rsid w:val="00820F19"/>
    <w:rsid w:val="00821527"/>
    <w:rsid w:val="008216F9"/>
    <w:rsid w:val="00822134"/>
    <w:rsid w:val="00822696"/>
    <w:rsid w:val="00825A6C"/>
    <w:rsid w:val="0082617E"/>
    <w:rsid w:val="008268BB"/>
    <w:rsid w:val="00826F6D"/>
    <w:rsid w:val="008306F3"/>
    <w:rsid w:val="00830E40"/>
    <w:rsid w:val="0083283F"/>
    <w:rsid w:val="00832D9A"/>
    <w:rsid w:val="00835C62"/>
    <w:rsid w:val="008368A1"/>
    <w:rsid w:val="008371E5"/>
    <w:rsid w:val="00840EF7"/>
    <w:rsid w:val="008426C5"/>
    <w:rsid w:val="008435AA"/>
    <w:rsid w:val="0084425F"/>
    <w:rsid w:val="00844C0A"/>
    <w:rsid w:val="00845C4D"/>
    <w:rsid w:val="00846056"/>
    <w:rsid w:val="0084681F"/>
    <w:rsid w:val="00847EC0"/>
    <w:rsid w:val="00855FD6"/>
    <w:rsid w:val="00856DDD"/>
    <w:rsid w:val="008632DA"/>
    <w:rsid w:val="00863E68"/>
    <w:rsid w:val="008647B5"/>
    <w:rsid w:val="00867D64"/>
    <w:rsid w:val="00872169"/>
    <w:rsid w:val="00873DDC"/>
    <w:rsid w:val="00875DCB"/>
    <w:rsid w:val="0087755A"/>
    <w:rsid w:val="0088142C"/>
    <w:rsid w:val="00882085"/>
    <w:rsid w:val="008826D4"/>
    <w:rsid w:val="00883188"/>
    <w:rsid w:val="00884A0C"/>
    <w:rsid w:val="008852FF"/>
    <w:rsid w:val="008868C0"/>
    <w:rsid w:val="00886ACA"/>
    <w:rsid w:val="00887990"/>
    <w:rsid w:val="0089031E"/>
    <w:rsid w:val="00892CA1"/>
    <w:rsid w:val="0089460B"/>
    <w:rsid w:val="00897D58"/>
    <w:rsid w:val="00897F22"/>
    <w:rsid w:val="008A0201"/>
    <w:rsid w:val="008A0219"/>
    <w:rsid w:val="008A026A"/>
    <w:rsid w:val="008A0AE0"/>
    <w:rsid w:val="008A0B39"/>
    <w:rsid w:val="008A147F"/>
    <w:rsid w:val="008A17A3"/>
    <w:rsid w:val="008A1956"/>
    <w:rsid w:val="008A1E85"/>
    <w:rsid w:val="008A214D"/>
    <w:rsid w:val="008A2238"/>
    <w:rsid w:val="008A2419"/>
    <w:rsid w:val="008A3B0B"/>
    <w:rsid w:val="008A4937"/>
    <w:rsid w:val="008A50F1"/>
    <w:rsid w:val="008A59D9"/>
    <w:rsid w:val="008A643E"/>
    <w:rsid w:val="008A6819"/>
    <w:rsid w:val="008B2EC0"/>
    <w:rsid w:val="008B4328"/>
    <w:rsid w:val="008B6DCF"/>
    <w:rsid w:val="008C5DBA"/>
    <w:rsid w:val="008D0945"/>
    <w:rsid w:val="008D1409"/>
    <w:rsid w:val="008D15CC"/>
    <w:rsid w:val="008D1729"/>
    <w:rsid w:val="008D1B5C"/>
    <w:rsid w:val="008D3368"/>
    <w:rsid w:val="008D3C82"/>
    <w:rsid w:val="008D447E"/>
    <w:rsid w:val="008D556F"/>
    <w:rsid w:val="008D6ACF"/>
    <w:rsid w:val="008D7A41"/>
    <w:rsid w:val="008E0570"/>
    <w:rsid w:val="008E1233"/>
    <w:rsid w:val="008E1490"/>
    <w:rsid w:val="008E2C72"/>
    <w:rsid w:val="008E3680"/>
    <w:rsid w:val="008E45EC"/>
    <w:rsid w:val="008E5870"/>
    <w:rsid w:val="008E77E4"/>
    <w:rsid w:val="008F0213"/>
    <w:rsid w:val="008F07ED"/>
    <w:rsid w:val="008F0DF9"/>
    <w:rsid w:val="008F11F8"/>
    <w:rsid w:val="008F1434"/>
    <w:rsid w:val="008F2BB9"/>
    <w:rsid w:val="008F3D6A"/>
    <w:rsid w:val="008F54C3"/>
    <w:rsid w:val="008F5CD2"/>
    <w:rsid w:val="008F7355"/>
    <w:rsid w:val="008F74AC"/>
    <w:rsid w:val="009023DC"/>
    <w:rsid w:val="009027C5"/>
    <w:rsid w:val="00904413"/>
    <w:rsid w:val="00905BB7"/>
    <w:rsid w:val="009067B7"/>
    <w:rsid w:val="00906C22"/>
    <w:rsid w:val="0090775A"/>
    <w:rsid w:val="00907DFD"/>
    <w:rsid w:val="00911483"/>
    <w:rsid w:val="009140BD"/>
    <w:rsid w:val="00917D69"/>
    <w:rsid w:val="00920B6D"/>
    <w:rsid w:val="009214B9"/>
    <w:rsid w:val="00923D44"/>
    <w:rsid w:val="00926560"/>
    <w:rsid w:val="00926B15"/>
    <w:rsid w:val="00926D35"/>
    <w:rsid w:val="00930291"/>
    <w:rsid w:val="00930937"/>
    <w:rsid w:val="009324A6"/>
    <w:rsid w:val="00933E6C"/>
    <w:rsid w:val="009340A3"/>
    <w:rsid w:val="00935A6E"/>
    <w:rsid w:val="00935C94"/>
    <w:rsid w:val="00937958"/>
    <w:rsid w:val="00937E68"/>
    <w:rsid w:val="009406E5"/>
    <w:rsid w:val="00941602"/>
    <w:rsid w:val="00942160"/>
    <w:rsid w:val="009443E9"/>
    <w:rsid w:val="009453B8"/>
    <w:rsid w:val="00946921"/>
    <w:rsid w:val="0094796B"/>
    <w:rsid w:val="0095146F"/>
    <w:rsid w:val="0095157E"/>
    <w:rsid w:val="0095591B"/>
    <w:rsid w:val="00955D67"/>
    <w:rsid w:val="00956561"/>
    <w:rsid w:val="00956B78"/>
    <w:rsid w:val="00957944"/>
    <w:rsid w:val="00957E75"/>
    <w:rsid w:val="00957FBB"/>
    <w:rsid w:val="009602C5"/>
    <w:rsid w:val="00960CDE"/>
    <w:rsid w:val="00961F8B"/>
    <w:rsid w:val="00962223"/>
    <w:rsid w:val="0096252B"/>
    <w:rsid w:val="00965126"/>
    <w:rsid w:val="00966D0D"/>
    <w:rsid w:val="009673AD"/>
    <w:rsid w:val="00967732"/>
    <w:rsid w:val="0096783C"/>
    <w:rsid w:val="00970DC4"/>
    <w:rsid w:val="00971E95"/>
    <w:rsid w:val="009722B3"/>
    <w:rsid w:val="00973E24"/>
    <w:rsid w:val="00974C21"/>
    <w:rsid w:val="00975948"/>
    <w:rsid w:val="00975FAA"/>
    <w:rsid w:val="009766C9"/>
    <w:rsid w:val="00977BF3"/>
    <w:rsid w:val="00977E07"/>
    <w:rsid w:val="009803E4"/>
    <w:rsid w:val="00980B0E"/>
    <w:rsid w:val="00981D16"/>
    <w:rsid w:val="009836A3"/>
    <w:rsid w:val="009855A8"/>
    <w:rsid w:val="00985D1A"/>
    <w:rsid w:val="0099049E"/>
    <w:rsid w:val="0099093E"/>
    <w:rsid w:val="009913F4"/>
    <w:rsid w:val="00991782"/>
    <w:rsid w:val="009937F7"/>
    <w:rsid w:val="0099465B"/>
    <w:rsid w:val="00994D07"/>
    <w:rsid w:val="009951A1"/>
    <w:rsid w:val="00997A44"/>
    <w:rsid w:val="009A0CDD"/>
    <w:rsid w:val="009A3168"/>
    <w:rsid w:val="009A36D3"/>
    <w:rsid w:val="009A5D04"/>
    <w:rsid w:val="009A61CA"/>
    <w:rsid w:val="009B0418"/>
    <w:rsid w:val="009B0C64"/>
    <w:rsid w:val="009B0F67"/>
    <w:rsid w:val="009B3F8C"/>
    <w:rsid w:val="009B4FF0"/>
    <w:rsid w:val="009B5169"/>
    <w:rsid w:val="009B750F"/>
    <w:rsid w:val="009C5B72"/>
    <w:rsid w:val="009C703C"/>
    <w:rsid w:val="009D206E"/>
    <w:rsid w:val="009D303C"/>
    <w:rsid w:val="009D3167"/>
    <w:rsid w:val="009D32BA"/>
    <w:rsid w:val="009D3CAA"/>
    <w:rsid w:val="009D55E2"/>
    <w:rsid w:val="009D6532"/>
    <w:rsid w:val="009D71FD"/>
    <w:rsid w:val="009E1B8E"/>
    <w:rsid w:val="009E2588"/>
    <w:rsid w:val="009E2E8E"/>
    <w:rsid w:val="009E3B72"/>
    <w:rsid w:val="009E3DC3"/>
    <w:rsid w:val="009E40E1"/>
    <w:rsid w:val="009E467B"/>
    <w:rsid w:val="009E5A54"/>
    <w:rsid w:val="009E70B5"/>
    <w:rsid w:val="009E7306"/>
    <w:rsid w:val="009F0EFA"/>
    <w:rsid w:val="009F19EA"/>
    <w:rsid w:val="009F1E8C"/>
    <w:rsid w:val="009F3508"/>
    <w:rsid w:val="009F3B1C"/>
    <w:rsid w:val="009F4E46"/>
    <w:rsid w:val="009F5B65"/>
    <w:rsid w:val="009F5F2E"/>
    <w:rsid w:val="009F759F"/>
    <w:rsid w:val="009F7987"/>
    <w:rsid w:val="00A006F3"/>
    <w:rsid w:val="00A01432"/>
    <w:rsid w:val="00A06225"/>
    <w:rsid w:val="00A0658C"/>
    <w:rsid w:val="00A07134"/>
    <w:rsid w:val="00A07C4C"/>
    <w:rsid w:val="00A110D1"/>
    <w:rsid w:val="00A11244"/>
    <w:rsid w:val="00A12587"/>
    <w:rsid w:val="00A12812"/>
    <w:rsid w:val="00A128E6"/>
    <w:rsid w:val="00A12C30"/>
    <w:rsid w:val="00A12FC9"/>
    <w:rsid w:val="00A1369B"/>
    <w:rsid w:val="00A144D3"/>
    <w:rsid w:val="00A22AC3"/>
    <w:rsid w:val="00A23F3F"/>
    <w:rsid w:val="00A24067"/>
    <w:rsid w:val="00A24871"/>
    <w:rsid w:val="00A24A4B"/>
    <w:rsid w:val="00A25EF8"/>
    <w:rsid w:val="00A2744D"/>
    <w:rsid w:val="00A27688"/>
    <w:rsid w:val="00A30D16"/>
    <w:rsid w:val="00A310EF"/>
    <w:rsid w:val="00A34E6C"/>
    <w:rsid w:val="00A34FD0"/>
    <w:rsid w:val="00A36398"/>
    <w:rsid w:val="00A37712"/>
    <w:rsid w:val="00A37C8D"/>
    <w:rsid w:val="00A4020E"/>
    <w:rsid w:val="00A40FB5"/>
    <w:rsid w:val="00A420F0"/>
    <w:rsid w:val="00A42826"/>
    <w:rsid w:val="00A429B3"/>
    <w:rsid w:val="00A44B90"/>
    <w:rsid w:val="00A44EC1"/>
    <w:rsid w:val="00A502BB"/>
    <w:rsid w:val="00A510E4"/>
    <w:rsid w:val="00A5273B"/>
    <w:rsid w:val="00A53A9D"/>
    <w:rsid w:val="00A54245"/>
    <w:rsid w:val="00A55FEE"/>
    <w:rsid w:val="00A57422"/>
    <w:rsid w:val="00A62C1A"/>
    <w:rsid w:val="00A6398B"/>
    <w:rsid w:val="00A6426D"/>
    <w:rsid w:val="00A6487D"/>
    <w:rsid w:val="00A665C1"/>
    <w:rsid w:val="00A673A4"/>
    <w:rsid w:val="00A7001A"/>
    <w:rsid w:val="00A70622"/>
    <w:rsid w:val="00A70977"/>
    <w:rsid w:val="00A70D58"/>
    <w:rsid w:val="00A744F9"/>
    <w:rsid w:val="00A74A56"/>
    <w:rsid w:val="00A77613"/>
    <w:rsid w:val="00A77B87"/>
    <w:rsid w:val="00A80284"/>
    <w:rsid w:val="00A81851"/>
    <w:rsid w:val="00A8390C"/>
    <w:rsid w:val="00A86AE0"/>
    <w:rsid w:val="00A86B86"/>
    <w:rsid w:val="00A90C48"/>
    <w:rsid w:val="00A91362"/>
    <w:rsid w:val="00A9151C"/>
    <w:rsid w:val="00A919C6"/>
    <w:rsid w:val="00A928BD"/>
    <w:rsid w:val="00A92BD8"/>
    <w:rsid w:val="00A94D49"/>
    <w:rsid w:val="00A9736B"/>
    <w:rsid w:val="00A97DE9"/>
    <w:rsid w:val="00AA12CD"/>
    <w:rsid w:val="00AA4D1C"/>
    <w:rsid w:val="00AA510C"/>
    <w:rsid w:val="00AA52FD"/>
    <w:rsid w:val="00AA5CF6"/>
    <w:rsid w:val="00AA7006"/>
    <w:rsid w:val="00AA7264"/>
    <w:rsid w:val="00AB5856"/>
    <w:rsid w:val="00AB787A"/>
    <w:rsid w:val="00AC193C"/>
    <w:rsid w:val="00AC30C1"/>
    <w:rsid w:val="00AC4DE5"/>
    <w:rsid w:val="00AC5206"/>
    <w:rsid w:val="00AC7B2B"/>
    <w:rsid w:val="00AD3106"/>
    <w:rsid w:val="00AD3D50"/>
    <w:rsid w:val="00AD3F52"/>
    <w:rsid w:val="00AD4322"/>
    <w:rsid w:val="00AD5AD2"/>
    <w:rsid w:val="00AD6F94"/>
    <w:rsid w:val="00AE11A5"/>
    <w:rsid w:val="00AE12CA"/>
    <w:rsid w:val="00AE13E2"/>
    <w:rsid w:val="00AE22D3"/>
    <w:rsid w:val="00AE3E21"/>
    <w:rsid w:val="00AE434C"/>
    <w:rsid w:val="00AE45EC"/>
    <w:rsid w:val="00AE5A49"/>
    <w:rsid w:val="00AF11D8"/>
    <w:rsid w:val="00AF1A81"/>
    <w:rsid w:val="00AF2035"/>
    <w:rsid w:val="00AF41FF"/>
    <w:rsid w:val="00AF5867"/>
    <w:rsid w:val="00AF62DF"/>
    <w:rsid w:val="00AF68CC"/>
    <w:rsid w:val="00AF70D7"/>
    <w:rsid w:val="00B0072A"/>
    <w:rsid w:val="00B008C4"/>
    <w:rsid w:val="00B01FF4"/>
    <w:rsid w:val="00B0326D"/>
    <w:rsid w:val="00B04A25"/>
    <w:rsid w:val="00B06478"/>
    <w:rsid w:val="00B07533"/>
    <w:rsid w:val="00B07CFB"/>
    <w:rsid w:val="00B1059E"/>
    <w:rsid w:val="00B14A36"/>
    <w:rsid w:val="00B15C4C"/>
    <w:rsid w:val="00B16273"/>
    <w:rsid w:val="00B170A5"/>
    <w:rsid w:val="00B176C8"/>
    <w:rsid w:val="00B17EE5"/>
    <w:rsid w:val="00B205AA"/>
    <w:rsid w:val="00B22818"/>
    <w:rsid w:val="00B22E84"/>
    <w:rsid w:val="00B23346"/>
    <w:rsid w:val="00B233AD"/>
    <w:rsid w:val="00B23E25"/>
    <w:rsid w:val="00B24498"/>
    <w:rsid w:val="00B2508B"/>
    <w:rsid w:val="00B25F75"/>
    <w:rsid w:val="00B262B6"/>
    <w:rsid w:val="00B26B3F"/>
    <w:rsid w:val="00B2778F"/>
    <w:rsid w:val="00B32766"/>
    <w:rsid w:val="00B327E2"/>
    <w:rsid w:val="00B33635"/>
    <w:rsid w:val="00B33EC9"/>
    <w:rsid w:val="00B34852"/>
    <w:rsid w:val="00B35648"/>
    <w:rsid w:val="00B42AF4"/>
    <w:rsid w:val="00B42DC0"/>
    <w:rsid w:val="00B43E90"/>
    <w:rsid w:val="00B467DC"/>
    <w:rsid w:val="00B53350"/>
    <w:rsid w:val="00B5392A"/>
    <w:rsid w:val="00B56118"/>
    <w:rsid w:val="00B566E1"/>
    <w:rsid w:val="00B6773F"/>
    <w:rsid w:val="00B70EB3"/>
    <w:rsid w:val="00B7286D"/>
    <w:rsid w:val="00B72906"/>
    <w:rsid w:val="00B75218"/>
    <w:rsid w:val="00B7525E"/>
    <w:rsid w:val="00B760FB"/>
    <w:rsid w:val="00B767AB"/>
    <w:rsid w:val="00B77AB8"/>
    <w:rsid w:val="00B801BA"/>
    <w:rsid w:val="00B80215"/>
    <w:rsid w:val="00B812D6"/>
    <w:rsid w:val="00B81FDE"/>
    <w:rsid w:val="00B84805"/>
    <w:rsid w:val="00B84D5C"/>
    <w:rsid w:val="00B85AF6"/>
    <w:rsid w:val="00B8730C"/>
    <w:rsid w:val="00B905F4"/>
    <w:rsid w:val="00B921DD"/>
    <w:rsid w:val="00B942CE"/>
    <w:rsid w:val="00B948BD"/>
    <w:rsid w:val="00B94CDA"/>
    <w:rsid w:val="00B956ED"/>
    <w:rsid w:val="00B97DD8"/>
    <w:rsid w:val="00BA02C3"/>
    <w:rsid w:val="00BA0B49"/>
    <w:rsid w:val="00BA2DA8"/>
    <w:rsid w:val="00BA347C"/>
    <w:rsid w:val="00BA4857"/>
    <w:rsid w:val="00BA5F83"/>
    <w:rsid w:val="00BB056A"/>
    <w:rsid w:val="00BB192C"/>
    <w:rsid w:val="00BB3469"/>
    <w:rsid w:val="00BB3E3D"/>
    <w:rsid w:val="00BB5C49"/>
    <w:rsid w:val="00BB6240"/>
    <w:rsid w:val="00BB6285"/>
    <w:rsid w:val="00BB69F5"/>
    <w:rsid w:val="00BB6CBF"/>
    <w:rsid w:val="00BB7EC3"/>
    <w:rsid w:val="00BC470E"/>
    <w:rsid w:val="00BC4B9A"/>
    <w:rsid w:val="00BD02C3"/>
    <w:rsid w:val="00BD02F9"/>
    <w:rsid w:val="00BD0FF1"/>
    <w:rsid w:val="00BD2165"/>
    <w:rsid w:val="00BD3827"/>
    <w:rsid w:val="00BD3E47"/>
    <w:rsid w:val="00BD583C"/>
    <w:rsid w:val="00BD645F"/>
    <w:rsid w:val="00BD7483"/>
    <w:rsid w:val="00BD784C"/>
    <w:rsid w:val="00BE020A"/>
    <w:rsid w:val="00BE0982"/>
    <w:rsid w:val="00BE13DF"/>
    <w:rsid w:val="00BE25D7"/>
    <w:rsid w:val="00BF092C"/>
    <w:rsid w:val="00BF27A0"/>
    <w:rsid w:val="00BF4CB6"/>
    <w:rsid w:val="00C00DA7"/>
    <w:rsid w:val="00C02111"/>
    <w:rsid w:val="00C0372B"/>
    <w:rsid w:val="00C04CDE"/>
    <w:rsid w:val="00C0615A"/>
    <w:rsid w:val="00C068A6"/>
    <w:rsid w:val="00C06AA7"/>
    <w:rsid w:val="00C1215E"/>
    <w:rsid w:val="00C12768"/>
    <w:rsid w:val="00C12D70"/>
    <w:rsid w:val="00C13CDB"/>
    <w:rsid w:val="00C13DDC"/>
    <w:rsid w:val="00C13FD0"/>
    <w:rsid w:val="00C16724"/>
    <w:rsid w:val="00C16848"/>
    <w:rsid w:val="00C21B09"/>
    <w:rsid w:val="00C25A6D"/>
    <w:rsid w:val="00C2673A"/>
    <w:rsid w:val="00C27B58"/>
    <w:rsid w:val="00C31FB9"/>
    <w:rsid w:val="00C32BDE"/>
    <w:rsid w:val="00C33186"/>
    <w:rsid w:val="00C33573"/>
    <w:rsid w:val="00C33B41"/>
    <w:rsid w:val="00C34897"/>
    <w:rsid w:val="00C35996"/>
    <w:rsid w:val="00C36DD3"/>
    <w:rsid w:val="00C37D2B"/>
    <w:rsid w:val="00C40450"/>
    <w:rsid w:val="00C472D7"/>
    <w:rsid w:val="00C4747E"/>
    <w:rsid w:val="00C5151E"/>
    <w:rsid w:val="00C533FA"/>
    <w:rsid w:val="00C5342C"/>
    <w:rsid w:val="00C53B2B"/>
    <w:rsid w:val="00C57465"/>
    <w:rsid w:val="00C60272"/>
    <w:rsid w:val="00C603D4"/>
    <w:rsid w:val="00C6256A"/>
    <w:rsid w:val="00C64EBC"/>
    <w:rsid w:val="00C64FCF"/>
    <w:rsid w:val="00C664D2"/>
    <w:rsid w:val="00C710E2"/>
    <w:rsid w:val="00C71C3F"/>
    <w:rsid w:val="00C7409E"/>
    <w:rsid w:val="00C74D6D"/>
    <w:rsid w:val="00C76657"/>
    <w:rsid w:val="00C76E76"/>
    <w:rsid w:val="00C77891"/>
    <w:rsid w:val="00C81BC3"/>
    <w:rsid w:val="00C829A9"/>
    <w:rsid w:val="00C84DB7"/>
    <w:rsid w:val="00C856B9"/>
    <w:rsid w:val="00C856EB"/>
    <w:rsid w:val="00C86259"/>
    <w:rsid w:val="00C87B80"/>
    <w:rsid w:val="00C87FC6"/>
    <w:rsid w:val="00C90160"/>
    <w:rsid w:val="00C90E5B"/>
    <w:rsid w:val="00C91449"/>
    <w:rsid w:val="00C916BE"/>
    <w:rsid w:val="00C92726"/>
    <w:rsid w:val="00C92D10"/>
    <w:rsid w:val="00C977A8"/>
    <w:rsid w:val="00CA13AF"/>
    <w:rsid w:val="00CA367F"/>
    <w:rsid w:val="00CA48D9"/>
    <w:rsid w:val="00CA5DE7"/>
    <w:rsid w:val="00CB1193"/>
    <w:rsid w:val="00CB3CD5"/>
    <w:rsid w:val="00CB4767"/>
    <w:rsid w:val="00CB490C"/>
    <w:rsid w:val="00CB493D"/>
    <w:rsid w:val="00CB6C04"/>
    <w:rsid w:val="00CC2A42"/>
    <w:rsid w:val="00CC3B97"/>
    <w:rsid w:val="00CC3CA3"/>
    <w:rsid w:val="00CD0AC7"/>
    <w:rsid w:val="00CD11A3"/>
    <w:rsid w:val="00CD1F03"/>
    <w:rsid w:val="00CD2036"/>
    <w:rsid w:val="00CD688F"/>
    <w:rsid w:val="00CD6A5F"/>
    <w:rsid w:val="00CD774A"/>
    <w:rsid w:val="00CD7C0B"/>
    <w:rsid w:val="00CE0AE2"/>
    <w:rsid w:val="00CE10C4"/>
    <w:rsid w:val="00CE27B5"/>
    <w:rsid w:val="00CE3A73"/>
    <w:rsid w:val="00CE6DAF"/>
    <w:rsid w:val="00CF066B"/>
    <w:rsid w:val="00CF0D63"/>
    <w:rsid w:val="00CF410A"/>
    <w:rsid w:val="00D004E4"/>
    <w:rsid w:val="00D0321E"/>
    <w:rsid w:val="00D0593C"/>
    <w:rsid w:val="00D069EB"/>
    <w:rsid w:val="00D07A8A"/>
    <w:rsid w:val="00D1008C"/>
    <w:rsid w:val="00D11199"/>
    <w:rsid w:val="00D1455A"/>
    <w:rsid w:val="00D14A70"/>
    <w:rsid w:val="00D1583C"/>
    <w:rsid w:val="00D21D90"/>
    <w:rsid w:val="00D22093"/>
    <w:rsid w:val="00D23A3D"/>
    <w:rsid w:val="00D31150"/>
    <w:rsid w:val="00D3138B"/>
    <w:rsid w:val="00D31FCE"/>
    <w:rsid w:val="00D3280C"/>
    <w:rsid w:val="00D3297F"/>
    <w:rsid w:val="00D32F5D"/>
    <w:rsid w:val="00D34011"/>
    <w:rsid w:val="00D3406A"/>
    <w:rsid w:val="00D3569A"/>
    <w:rsid w:val="00D35FBD"/>
    <w:rsid w:val="00D40B11"/>
    <w:rsid w:val="00D429EC"/>
    <w:rsid w:val="00D437EE"/>
    <w:rsid w:val="00D43F05"/>
    <w:rsid w:val="00D441F1"/>
    <w:rsid w:val="00D4572C"/>
    <w:rsid w:val="00D469B2"/>
    <w:rsid w:val="00D54B09"/>
    <w:rsid w:val="00D577F8"/>
    <w:rsid w:val="00D6243E"/>
    <w:rsid w:val="00D65658"/>
    <w:rsid w:val="00D667FE"/>
    <w:rsid w:val="00D66FBB"/>
    <w:rsid w:val="00D67EB2"/>
    <w:rsid w:val="00D723E9"/>
    <w:rsid w:val="00D72B6F"/>
    <w:rsid w:val="00D72D15"/>
    <w:rsid w:val="00D73728"/>
    <w:rsid w:val="00D741EB"/>
    <w:rsid w:val="00D7482D"/>
    <w:rsid w:val="00D7679C"/>
    <w:rsid w:val="00D76C8C"/>
    <w:rsid w:val="00D820F3"/>
    <w:rsid w:val="00D82AC4"/>
    <w:rsid w:val="00D83605"/>
    <w:rsid w:val="00D84934"/>
    <w:rsid w:val="00D866EB"/>
    <w:rsid w:val="00D87D1A"/>
    <w:rsid w:val="00D91271"/>
    <w:rsid w:val="00D919F5"/>
    <w:rsid w:val="00D945F6"/>
    <w:rsid w:val="00D94F03"/>
    <w:rsid w:val="00D95161"/>
    <w:rsid w:val="00DA0A82"/>
    <w:rsid w:val="00DA0D14"/>
    <w:rsid w:val="00DA1FC9"/>
    <w:rsid w:val="00DA2CB5"/>
    <w:rsid w:val="00DA4140"/>
    <w:rsid w:val="00DA4BAC"/>
    <w:rsid w:val="00DB0151"/>
    <w:rsid w:val="00DB2721"/>
    <w:rsid w:val="00DB29D8"/>
    <w:rsid w:val="00DB3A1D"/>
    <w:rsid w:val="00DB40B5"/>
    <w:rsid w:val="00DB50E1"/>
    <w:rsid w:val="00DB76FF"/>
    <w:rsid w:val="00DC0566"/>
    <w:rsid w:val="00DC1499"/>
    <w:rsid w:val="00DC2C3E"/>
    <w:rsid w:val="00DC3078"/>
    <w:rsid w:val="00DC3137"/>
    <w:rsid w:val="00DC4608"/>
    <w:rsid w:val="00DC4880"/>
    <w:rsid w:val="00DC7218"/>
    <w:rsid w:val="00DC73A2"/>
    <w:rsid w:val="00DD0094"/>
    <w:rsid w:val="00DD42AB"/>
    <w:rsid w:val="00DD678F"/>
    <w:rsid w:val="00DD798F"/>
    <w:rsid w:val="00DE0078"/>
    <w:rsid w:val="00DE06AF"/>
    <w:rsid w:val="00DE25AB"/>
    <w:rsid w:val="00DE2B8E"/>
    <w:rsid w:val="00DE4CB2"/>
    <w:rsid w:val="00DE6D27"/>
    <w:rsid w:val="00DE74A3"/>
    <w:rsid w:val="00DF01F8"/>
    <w:rsid w:val="00DF021D"/>
    <w:rsid w:val="00DF036F"/>
    <w:rsid w:val="00DF205F"/>
    <w:rsid w:val="00DF217D"/>
    <w:rsid w:val="00DF26A7"/>
    <w:rsid w:val="00DF3277"/>
    <w:rsid w:val="00DF35CD"/>
    <w:rsid w:val="00DF55D2"/>
    <w:rsid w:val="00DF77A1"/>
    <w:rsid w:val="00DF7919"/>
    <w:rsid w:val="00DF7F22"/>
    <w:rsid w:val="00E00AA3"/>
    <w:rsid w:val="00E0207E"/>
    <w:rsid w:val="00E02AE6"/>
    <w:rsid w:val="00E03912"/>
    <w:rsid w:val="00E04748"/>
    <w:rsid w:val="00E06DD6"/>
    <w:rsid w:val="00E078D9"/>
    <w:rsid w:val="00E10293"/>
    <w:rsid w:val="00E103A0"/>
    <w:rsid w:val="00E1044A"/>
    <w:rsid w:val="00E13E60"/>
    <w:rsid w:val="00E141AD"/>
    <w:rsid w:val="00E15627"/>
    <w:rsid w:val="00E156BC"/>
    <w:rsid w:val="00E164B3"/>
    <w:rsid w:val="00E16910"/>
    <w:rsid w:val="00E16C00"/>
    <w:rsid w:val="00E17C59"/>
    <w:rsid w:val="00E218CD"/>
    <w:rsid w:val="00E22DCC"/>
    <w:rsid w:val="00E2326F"/>
    <w:rsid w:val="00E239E2"/>
    <w:rsid w:val="00E24098"/>
    <w:rsid w:val="00E24E09"/>
    <w:rsid w:val="00E25A96"/>
    <w:rsid w:val="00E26C66"/>
    <w:rsid w:val="00E27234"/>
    <w:rsid w:val="00E314E3"/>
    <w:rsid w:val="00E3495C"/>
    <w:rsid w:val="00E36547"/>
    <w:rsid w:val="00E37205"/>
    <w:rsid w:val="00E42BDB"/>
    <w:rsid w:val="00E471E4"/>
    <w:rsid w:val="00E50B80"/>
    <w:rsid w:val="00E55AB1"/>
    <w:rsid w:val="00E55BA7"/>
    <w:rsid w:val="00E571FA"/>
    <w:rsid w:val="00E5726D"/>
    <w:rsid w:val="00E57EEB"/>
    <w:rsid w:val="00E60499"/>
    <w:rsid w:val="00E60F4E"/>
    <w:rsid w:val="00E62D94"/>
    <w:rsid w:val="00E645DC"/>
    <w:rsid w:val="00E64E74"/>
    <w:rsid w:val="00E64F37"/>
    <w:rsid w:val="00E65091"/>
    <w:rsid w:val="00E65E54"/>
    <w:rsid w:val="00E661C7"/>
    <w:rsid w:val="00E7326B"/>
    <w:rsid w:val="00E74E41"/>
    <w:rsid w:val="00E7601A"/>
    <w:rsid w:val="00E778C2"/>
    <w:rsid w:val="00E80155"/>
    <w:rsid w:val="00E8134B"/>
    <w:rsid w:val="00E81E0D"/>
    <w:rsid w:val="00E81F28"/>
    <w:rsid w:val="00E83E00"/>
    <w:rsid w:val="00E83E75"/>
    <w:rsid w:val="00E848C0"/>
    <w:rsid w:val="00E90807"/>
    <w:rsid w:val="00E90903"/>
    <w:rsid w:val="00E917B7"/>
    <w:rsid w:val="00E91B96"/>
    <w:rsid w:val="00E92DFC"/>
    <w:rsid w:val="00E935DA"/>
    <w:rsid w:val="00E93883"/>
    <w:rsid w:val="00E93D1E"/>
    <w:rsid w:val="00E941A1"/>
    <w:rsid w:val="00E95CE3"/>
    <w:rsid w:val="00E972B2"/>
    <w:rsid w:val="00EA0856"/>
    <w:rsid w:val="00EA0A98"/>
    <w:rsid w:val="00EA252F"/>
    <w:rsid w:val="00EA2825"/>
    <w:rsid w:val="00EA43D5"/>
    <w:rsid w:val="00EA4BE6"/>
    <w:rsid w:val="00EA6518"/>
    <w:rsid w:val="00EA691C"/>
    <w:rsid w:val="00EA71A2"/>
    <w:rsid w:val="00EA7466"/>
    <w:rsid w:val="00EA7EDE"/>
    <w:rsid w:val="00EB0B63"/>
    <w:rsid w:val="00EB0F03"/>
    <w:rsid w:val="00EB1936"/>
    <w:rsid w:val="00EB2B70"/>
    <w:rsid w:val="00EB3545"/>
    <w:rsid w:val="00EB37BE"/>
    <w:rsid w:val="00EB5088"/>
    <w:rsid w:val="00EB6918"/>
    <w:rsid w:val="00EB76F6"/>
    <w:rsid w:val="00EC2726"/>
    <w:rsid w:val="00EC28E5"/>
    <w:rsid w:val="00EC4EE3"/>
    <w:rsid w:val="00EC533C"/>
    <w:rsid w:val="00ED1644"/>
    <w:rsid w:val="00ED2593"/>
    <w:rsid w:val="00ED2B7B"/>
    <w:rsid w:val="00ED2FAA"/>
    <w:rsid w:val="00ED31CC"/>
    <w:rsid w:val="00ED35F2"/>
    <w:rsid w:val="00ED6FDF"/>
    <w:rsid w:val="00ED7D55"/>
    <w:rsid w:val="00ED7D9C"/>
    <w:rsid w:val="00EE0A17"/>
    <w:rsid w:val="00EE31A2"/>
    <w:rsid w:val="00EE32E3"/>
    <w:rsid w:val="00EE3CD6"/>
    <w:rsid w:val="00EE3E1A"/>
    <w:rsid w:val="00EE4E92"/>
    <w:rsid w:val="00EF0069"/>
    <w:rsid w:val="00EF38D2"/>
    <w:rsid w:val="00EF44A0"/>
    <w:rsid w:val="00EF4580"/>
    <w:rsid w:val="00EF4FED"/>
    <w:rsid w:val="00EF5F45"/>
    <w:rsid w:val="00EF6843"/>
    <w:rsid w:val="00EF6FB3"/>
    <w:rsid w:val="00EF77B7"/>
    <w:rsid w:val="00F007C6"/>
    <w:rsid w:val="00F00C28"/>
    <w:rsid w:val="00F0172E"/>
    <w:rsid w:val="00F050BD"/>
    <w:rsid w:val="00F05657"/>
    <w:rsid w:val="00F05AB0"/>
    <w:rsid w:val="00F1559A"/>
    <w:rsid w:val="00F17ED6"/>
    <w:rsid w:val="00F20676"/>
    <w:rsid w:val="00F209E2"/>
    <w:rsid w:val="00F224F3"/>
    <w:rsid w:val="00F2497B"/>
    <w:rsid w:val="00F24D94"/>
    <w:rsid w:val="00F25578"/>
    <w:rsid w:val="00F258E5"/>
    <w:rsid w:val="00F25B9C"/>
    <w:rsid w:val="00F2675A"/>
    <w:rsid w:val="00F26CC6"/>
    <w:rsid w:val="00F300BC"/>
    <w:rsid w:val="00F30661"/>
    <w:rsid w:val="00F3263C"/>
    <w:rsid w:val="00F3334E"/>
    <w:rsid w:val="00F33957"/>
    <w:rsid w:val="00F3439B"/>
    <w:rsid w:val="00F3547B"/>
    <w:rsid w:val="00F35712"/>
    <w:rsid w:val="00F36CCB"/>
    <w:rsid w:val="00F374E5"/>
    <w:rsid w:val="00F37B93"/>
    <w:rsid w:val="00F37BAD"/>
    <w:rsid w:val="00F37ECA"/>
    <w:rsid w:val="00F40A1C"/>
    <w:rsid w:val="00F43AF2"/>
    <w:rsid w:val="00F45216"/>
    <w:rsid w:val="00F5007E"/>
    <w:rsid w:val="00F5098B"/>
    <w:rsid w:val="00F50EC4"/>
    <w:rsid w:val="00F518BF"/>
    <w:rsid w:val="00F51BA6"/>
    <w:rsid w:val="00F51E70"/>
    <w:rsid w:val="00F52232"/>
    <w:rsid w:val="00F52DC2"/>
    <w:rsid w:val="00F544D4"/>
    <w:rsid w:val="00F547E8"/>
    <w:rsid w:val="00F550CF"/>
    <w:rsid w:val="00F553D2"/>
    <w:rsid w:val="00F5690B"/>
    <w:rsid w:val="00F57A6D"/>
    <w:rsid w:val="00F62F19"/>
    <w:rsid w:val="00F638CC"/>
    <w:rsid w:val="00F63FA3"/>
    <w:rsid w:val="00F64C9E"/>
    <w:rsid w:val="00F64CC1"/>
    <w:rsid w:val="00F65055"/>
    <w:rsid w:val="00F654C0"/>
    <w:rsid w:val="00F659ED"/>
    <w:rsid w:val="00F719E5"/>
    <w:rsid w:val="00F72317"/>
    <w:rsid w:val="00F73C12"/>
    <w:rsid w:val="00F73DC1"/>
    <w:rsid w:val="00F74961"/>
    <w:rsid w:val="00F7499A"/>
    <w:rsid w:val="00F74DB2"/>
    <w:rsid w:val="00F75BB8"/>
    <w:rsid w:val="00F76726"/>
    <w:rsid w:val="00F76C0E"/>
    <w:rsid w:val="00F76FA7"/>
    <w:rsid w:val="00F80475"/>
    <w:rsid w:val="00F81390"/>
    <w:rsid w:val="00F81D86"/>
    <w:rsid w:val="00F81F7A"/>
    <w:rsid w:val="00F8247A"/>
    <w:rsid w:val="00F82A7F"/>
    <w:rsid w:val="00F82E5C"/>
    <w:rsid w:val="00F83C2A"/>
    <w:rsid w:val="00F83F58"/>
    <w:rsid w:val="00F87CEA"/>
    <w:rsid w:val="00F92750"/>
    <w:rsid w:val="00F92F97"/>
    <w:rsid w:val="00F9629A"/>
    <w:rsid w:val="00F97EFC"/>
    <w:rsid w:val="00FA0560"/>
    <w:rsid w:val="00FA0C7C"/>
    <w:rsid w:val="00FA1884"/>
    <w:rsid w:val="00FA1BDD"/>
    <w:rsid w:val="00FA305C"/>
    <w:rsid w:val="00FA3C24"/>
    <w:rsid w:val="00FA462E"/>
    <w:rsid w:val="00FA4DD5"/>
    <w:rsid w:val="00FA5883"/>
    <w:rsid w:val="00FA6055"/>
    <w:rsid w:val="00FB0B39"/>
    <w:rsid w:val="00FB322F"/>
    <w:rsid w:val="00FB3B00"/>
    <w:rsid w:val="00FB442F"/>
    <w:rsid w:val="00FC118C"/>
    <w:rsid w:val="00FC1929"/>
    <w:rsid w:val="00FC5B46"/>
    <w:rsid w:val="00FD1D4F"/>
    <w:rsid w:val="00FD24BF"/>
    <w:rsid w:val="00FD3B6E"/>
    <w:rsid w:val="00FD57EB"/>
    <w:rsid w:val="00FD6D8E"/>
    <w:rsid w:val="00FD7B69"/>
    <w:rsid w:val="00FE0663"/>
    <w:rsid w:val="00FE0E94"/>
    <w:rsid w:val="00FE1C29"/>
    <w:rsid w:val="00FE1C4F"/>
    <w:rsid w:val="00FE369C"/>
    <w:rsid w:val="00FE3CD9"/>
    <w:rsid w:val="00FE6AD8"/>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10" w:qFormat="1"/>
    <w:lsdException w:name="heading 6" w:uiPriority="9"/>
    <w:lsdException w:name="heading 7" w:semiHidden="1" w:uiPriority="9" w:unhideWhenUsed="1"/>
    <w:lsdException w:name="heading 8" w:semiHidden="1" w:uiPriority="7"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qFormat/>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qFormat/>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4">
    <w:name w:val="heading 4"/>
    <w:basedOn w:val="Heading1"/>
    <w:next w:val="Normal"/>
    <w:link w:val="Heading4Char"/>
    <w:uiPriority w:val="9"/>
    <w:qFormat/>
    <w:rsid w:val="00DA4140"/>
    <w:pPr>
      <w:spacing w:before="240" w:after="0" w:line="259" w:lineRule="auto"/>
      <w:ind w:left="1296" w:hanging="1296"/>
      <w:outlineLvl w:val="3"/>
    </w:pPr>
    <w:rPr>
      <w:rFonts w:asciiTheme="minorHAnsi" w:hAnsiTheme="minorHAnsi"/>
      <w:b/>
      <w:color w:val="000000" w:themeColor="text1"/>
      <w:sz w:val="24"/>
      <w:szCs w:val="28"/>
    </w:rPr>
  </w:style>
  <w:style w:type="paragraph" w:styleId="Heading5">
    <w:name w:val="heading 5"/>
    <w:aliases w:val="Heading 2 - Body"/>
    <w:basedOn w:val="Normal"/>
    <w:next w:val="Normal"/>
    <w:link w:val="Heading5Char"/>
    <w:uiPriority w:val="10"/>
    <w:unhideWhenUsed/>
    <w:qFormat/>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paragraph" w:styleId="Heading8">
    <w:name w:val="heading 8"/>
    <w:basedOn w:val="Normal"/>
    <w:next w:val="Normal"/>
    <w:link w:val="Heading8Char"/>
    <w:uiPriority w:val="7"/>
    <w:semiHidden/>
    <w:qFormat/>
    <w:rsid w:val="00DA4140"/>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aliases w:val="Section heading - Body"/>
    <w:basedOn w:val="Heading1"/>
    <w:next w:val="Normal"/>
    <w:link w:val="Heading9Char"/>
    <w:uiPriority w:val="12"/>
    <w:semiHidden/>
    <w:qFormat/>
    <w:rsid w:val="00DA4140"/>
    <w:pPr>
      <w:spacing w:after="120" w:line="259" w:lineRule="auto"/>
      <w:ind w:left="1584" w:hanging="1584"/>
      <w:outlineLvl w:val="8"/>
    </w:pPr>
    <w:rPr>
      <w:rFonts w:asciiTheme="minorHAnsi" w:hAnsiTheme="minorHAnsi"/>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PBAC ES Paragraph,ES Paragraph,PBAC normal points,Bullet List,Bullet 1,Bullet1,Summary Bullets,lp1,L"/>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PBAC ES Paragraph Char,ES Paragraph Char,lp1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MSD Table Grid,RTI AMCP Table,new style,HTAtableplain,HealthConsult,PBAC table,Lash Style Table,Dossier table,Summary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81D86"/>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81D86"/>
    <w:rPr>
      <w:rFonts w:asciiTheme="minorHAnsi" w:eastAsiaTheme="majorEastAsia" w:hAnsiTheme="minorHAnsi" w:cstheme="majorBidi"/>
      <w:b/>
      <w:i/>
      <w:color w:val="365F91" w:themeColor="accent1" w:themeShade="BF"/>
      <w:spacing w:val="5"/>
      <w:kern w:val="28"/>
      <w:sz w:val="28"/>
      <w:szCs w:val="36"/>
      <w:lang w:eastAsia="en-US"/>
    </w:rPr>
  </w:style>
  <w:style w:type="character" w:customStyle="1" w:styleId="Heading5Char">
    <w:name w:val="Heading 5 Char"/>
    <w:aliases w:val="Heading 2 - Body Char"/>
    <w:basedOn w:val="DefaultParagraphFont"/>
    <w:link w:val="Heading5"/>
    <w:uiPriority w:val="10"/>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1 Char"/>
    <w:basedOn w:val="Normal"/>
    <w:link w:val="CommentTextChar"/>
    <w:uiPriority w:val="99"/>
    <w:unhideWhenUsed/>
    <w:qFormat/>
    <w:rsid w:val="008147AE"/>
    <w:rPr>
      <w:sz w:val="20"/>
      <w:szCs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character" w:customStyle="1" w:styleId="Heading4Char">
    <w:name w:val="Heading 4 Char"/>
    <w:basedOn w:val="DefaultParagraphFont"/>
    <w:link w:val="Heading4"/>
    <w:uiPriority w:val="3"/>
    <w:rsid w:val="00DA4140"/>
    <w:rPr>
      <w:rFonts w:asciiTheme="minorHAnsi" w:eastAsiaTheme="majorEastAsia" w:hAnsiTheme="minorHAnsi" w:cstheme="majorBidi"/>
      <w:b/>
      <w:color w:val="000000" w:themeColor="text1"/>
      <w:sz w:val="24"/>
      <w:szCs w:val="28"/>
      <w:lang w:eastAsia="en-US"/>
    </w:rPr>
  </w:style>
  <w:style w:type="character" w:customStyle="1" w:styleId="Heading8Char">
    <w:name w:val="Heading 8 Char"/>
    <w:basedOn w:val="DefaultParagraphFont"/>
    <w:link w:val="Heading8"/>
    <w:uiPriority w:val="7"/>
    <w:semiHidden/>
    <w:rsid w:val="00DA414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aliases w:val="Section heading - Body Char"/>
    <w:basedOn w:val="DefaultParagraphFont"/>
    <w:link w:val="Heading9"/>
    <w:uiPriority w:val="12"/>
    <w:semiHidden/>
    <w:rsid w:val="00DA4140"/>
    <w:rPr>
      <w:rFonts w:asciiTheme="minorHAnsi" w:eastAsiaTheme="majorEastAsia" w:hAnsiTheme="minorHAnsi" w:cstheme="majorBidi"/>
      <w:b/>
      <w:sz w:val="36"/>
      <w:szCs w:val="28"/>
      <w:lang w:eastAsia="en-US"/>
    </w:rPr>
  </w:style>
  <w:style w:type="paragraph" w:customStyle="1" w:styleId="TableFooter">
    <w:name w:val="Table Footer"/>
    <w:basedOn w:val="Normal"/>
    <w:link w:val="TableFooterChar"/>
    <w:qFormat/>
    <w:rsid w:val="00DA4140"/>
    <w:pPr>
      <w:widowControl w:val="0"/>
      <w:contextualSpacing/>
    </w:pPr>
    <w:rPr>
      <w:rFonts w:ascii="Arial Narrow" w:hAnsi="Arial Narrow" w:cs="Arial"/>
      <w:snapToGrid w:val="0"/>
      <w:sz w:val="18"/>
      <w:szCs w:val="20"/>
      <w:lang w:eastAsia="en-US"/>
    </w:rPr>
  </w:style>
  <w:style w:type="character" w:customStyle="1" w:styleId="TableFooterChar">
    <w:name w:val="Table Footer Char"/>
    <w:link w:val="TableFooter"/>
    <w:rsid w:val="00DA4140"/>
    <w:rPr>
      <w:rFonts w:ascii="Arial Narrow" w:hAnsi="Arial Narrow" w:cs="Arial"/>
      <w:snapToGrid w:val="0"/>
      <w:sz w:val="18"/>
      <w:lang w:eastAsia="en-US"/>
    </w:rPr>
  </w:style>
  <w:style w:type="paragraph" w:customStyle="1" w:styleId="Heading1subheading">
    <w:name w:val="Heading 1 subheading"/>
    <w:basedOn w:val="Heading1"/>
    <w:next w:val="Normal"/>
    <w:uiPriority w:val="3"/>
    <w:qFormat/>
    <w:rsid w:val="00DA4140"/>
    <w:pPr>
      <w:spacing w:after="120" w:line="259" w:lineRule="auto"/>
      <w:ind w:left="576" w:hanging="576"/>
    </w:pPr>
    <w:rPr>
      <w:rFonts w:asciiTheme="minorHAnsi" w:hAnsiTheme="minorHAnsi"/>
      <w:b/>
      <w:caps/>
      <w:color w:val="auto"/>
      <w:sz w:val="32"/>
      <w:szCs w:val="28"/>
    </w:rPr>
  </w:style>
  <w:style w:type="paragraph" w:customStyle="1" w:styleId="Heading2SECTION2">
    <w:name w:val="Heading 2 SECTION 2"/>
    <w:basedOn w:val="Heading2"/>
    <w:next w:val="Normal"/>
    <w:link w:val="Heading2SECTION2Char"/>
    <w:uiPriority w:val="3"/>
    <w:qFormat/>
    <w:rsid w:val="00DA4140"/>
    <w:pPr>
      <w:tabs>
        <w:tab w:val="left" w:pos="1134"/>
      </w:tabs>
      <w:spacing w:before="360" w:after="120"/>
    </w:pPr>
    <w:rPr>
      <w:rFonts w:ascii="Arial" w:hAnsi="Arial"/>
      <w:b/>
      <w:i/>
      <w:snapToGrid w:val="0"/>
      <w:color w:val="auto"/>
      <w:sz w:val="28"/>
      <w:szCs w:val="28"/>
    </w:rPr>
  </w:style>
  <w:style w:type="paragraph" w:customStyle="1" w:styleId="Heading2Clinical">
    <w:name w:val="Heading 2 Clinical"/>
    <w:basedOn w:val="Heading3"/>
    <w:next w:val="Normal"/>
    <w:uiPriority w:val="1"/>
    <w:semiHidden/>
    <w:rsid w:val="00DA4140"/>
    <w:pPr>
      <w:tabs>
        <w:tab w:val="left" w:pos="1418"/>
      </w:tabs>
      <w:spacing w:before="120" w:after="120"/>
      <w:jc w:val="both"/>
    </w:pPr>
    <w:rPr>
      <w:rFonts w:asciiTheme="minorHAnsi" w:hAnsiTheme="minorHAnsi"/>
      <w:b/>
      <w:i/>
      <w:color w:val="auto"/>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NICE Caption"/>
    <w:basedOn w:val="Normal"/>
    <w:next w:val="Normal"/>
    <w:link w:val="CaptionChar"/>
    <w:uiPriority w:val="35"/>
    <w:unhideWhenUsed/>
    <w:qFormat/>
    <w:rsid w:val="0059200E"/>
    <w:pPr>
      <w:keepNext/>
      <w:keepLines/>
      <w:spacing w:after="200"/>
    </w:pPr>
    <w:rPr>
      <w:rFonts w:ascii="Arial" w:eastAsiaTheme="minorHAnsi" w:hAnsi="Arial" w:cstheme="minorBidi"/>
      <w:i/>
      <w:iCs/>
      <w:sz w:val="22"/>
      <w:szCs w:val="18"/>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NICE Caption Char"/>
    <w:link w:val="Caption"/>
    <w:uiPriority w:val="35"/>
    <w:locked/>
    <w:rsid w:val="0059200E"/>
    <w:rPr>
      <w:rFonts w:ascii="Arial" w:eastAsiaTheme="minorHAnsi" w:hAnsi="Arial" w:cstheme="minorBidi"/>
      <w:i/>
      <w:iCs/>
      <w:sz w:val="22"/>
      <w:szCs w:val="18"/>
      <w:lang w:eastAsia="en-US"/>
    </w:rPr>
  </w:style>
  <w:style w:type="paragraph" w:customStyle="1" w:styleId="TableRowHeader">
    <w:name w:val="Table Row Header"/>
    <w:basedOn w:val="TableText"/>
    <w:link w:val="TableRowHeaderChar"/>
    <w:qFormat/>
    <w:rsid w:val="00562516"/>
    <w:pPr>
      <w:keepNext w:val="0"/>
      <w:widowControl w:val="0"/>
      <w:jc w:val="center"/>
    </w:pPr>
    <w:rPr>
      <w:rFonts w:eastAsiaTheme="minorHAnsi" w:cstheme="minorBidi"/>
      <w:b/>
      <w:bCs w:val="0"/>
      <w:szCs w:val="22"/>
      <w:lang w:eastAsia="en-US"/>
    </w:rPr>
  </w:style>
  <w:style w:type="character" w:customStyle="1" w:styleId="TableRowHeaderChar">
    <w:name w:val="Table Row Header Char"/>
    <w:basedOn w:val="TableTextChar"/>
    <w:link w:val="TableRowHeader"/>
    <w:rsid w:val="00562516"/>
    <w:rPr>
      <w:rFonts w:ascii="Arial Narrow" w:eastAsiaTheme="minorHAnsi" w:hAnsi="Arial Narrow" w:cstheme="minorBidi"/>
      <w:b/>
      <w:bCs w:val="0"/>
      <w:szCs w:val="22"/>
      <w:lang w:eastAsia="en-US"/>
    </w:rPr>
  </w:style>
  <w:style w:type="paragraph" w:customStyle="1" w:styleId="TableBodyText-H54">
    <w:name w:val="Table Body Text - H54"/>
    <w:basedOn w:val="BodyText"/>
    <w:link w:val="TableBodyText-H54Char"/>
    <w:qFormat/>
    <w:rsid w:val="00562516"/>
    <w:pPr>
      <w:keepNext/>
      <w:widowControl w:val="0"/>
      <w:spacing w:before="20" w:after="20" w:line="360" w:lineRule="auto"/>
      <w:jc w:val="left"/>
    </w:pPr>
    <w:rPr>
      <w:rFonts w:ascii="Arial Narrow" w:hAnsi="Arial Narrow"/>
      <w:color w:val="000000" w:themeColor="text1"/>
      <w:sz w:val="20"/>
      <w:szCs w:val="20"/>
      <w:lang w:val="en-GB" w:eastAsia="en-US"/>
    </w:rPr>
  </w:style>
  <w:style w:type="character" w:customStyle="1" w:styleId="TableBodyText-H54Char">
    <w:name w:val="Table Body Text - H54 Char"/>
    <w:basedOn w:val="DefaultParagraphFont"/>
    <w:link w:val="TableBodyText-H54"/>
    <w:rsid w:val="00562516"/>
    <w:rPr>
      <w:rFonts w:ascii="Arial Narrow" w:hAnsi="Arial Narrow"/>
      <w:color w:val="000000" w:themeColor="text1"/>
      <w:lang w:val="en-GB" w:eastAsia="en-US"/>
    </w:rPr>
  </w:style>
  <w:style w:type="paragraph" w:customStyle="1" w:styleId="TableHeading">
    <w:name w:val="Table Heading"/>
    <w:basedOn w:val="TableText"/>
    <w:link w:val="TableHeadingChar"/>
    <w:qFormat/>
    <w:rsid w:val="00B33EC9"/>
    <w:pPr>
      <w:keepLines/>
      <w:spacing w:before="20" w:after="20" w:line="276" w:lineRule="auto"/>
      <w:jc w:val="both"/>
    </w:pPr>
    <w:rPr>
      <w:rFonts w:cs="Arial"/>
      <w:b/>
      <w:bCs w:val="0"/>
      <w:szCs w:val="20"/>
      <w:lang w:bidi="en-US"/>
    </w:rPr>
  </w:style>
  <w:style w:type="character" w:customStyle="1" w:styleId="TableHeadingChar">
    <w:name w:val="Table Heading Char"/>
    <w:basedOn w:val="DefaultParagraphFont"/>
    <w:link w:val="TableHeading"/>
    <w:locked/>
    <w:rsid w:val="00B33EC9"/>
    <w:rPr>
      <w:rFonts w:ascii="Arial Narrow" w:eastAsiaTheme="majorEastAsia" w:hAnsi="Arial Narrow" w:cs="Arial"/>
      <w:b/>
      <w:lang w:bidi="en-US"/>
    </w:rPr>
  </w:style>
  <w:style w:type="paragraph" w:customStyle="1" w:styleId="PBACESHeading1">
    <w:name w:val="PBAC ES Heading 1"/>
    <w:basedOn w:val="Heading1"/>
    <w:next w:val="ListParagraph"/>
    <w:uiPriority w:val="1"/>
    <w:qFormat/>
    <w:rsid w:val="00205224"/>
    <w:pPr>
      <w:tabs>
        <w:tab w:val="left" w:pos="1077"/>
      </w:tabs>
      <w:spacing w:before="240" w:after="120"/>
      <w:ind w:left="720" w:hanging="720"/>
    </w:pPr>
    <w:rPr>
      <w:rFonts w:asciiTheme="minorHAnsi" w:eastAsia="Times New Roman" w:hAnsiTheme="minorHAnsi" w:cs="Arial"/>
      <w:b/>
      <w:snapToGrid w:val="0"/>
      <w:color w:val="auto"/>
      <w:sz w:val="32"/>
      <w:szCs w:val="32"/>
    </w:rPr>
  </w:style>
  <w:style w:type="paragraph" w:customStyle="1" w:styleId="PBACESHeading2">
    <w:name w:val="PBAC ES Heading 2"/>
    <w:basedOn w:val="Heading2"/>
    <w:link w:val="PBACESHeading2Char"/>
    <w:uiPriority w:val="1"/>
    <w:qFormat/>
    <w:rsid w:val="00205224"/>
    <w:pPr>
      <w:spacing w:before="360" w:after="120"/>
      <w:ind w:left="720" w:hanging="720"/>
    </w:pPr>
    <w:rPr>
      <w:b/>
      <w:i/>
      <w:snapToGrid w:val="0"/>
      <w:color w:val="auto"/>
      <w:sz w:val="28"/>
      <w:szCs w:val="28"/>
    </w:rPr>
  </w:style>
  <w:style w:type="paragraph" w:customStyle="1" w:styleId="PBACESHeadingCAPS">
    <w:name w:val="PBAC ES Heading CAPS"/>
    <w:basedOn w:val="PBACESHeading2"/>
    <w:uiPriority w:val="1"/>
    <w:qFormat/>
    <w:rsid w:val="00205224"/>
    <w:rPr>
      <w:i w:val="0"/>
      <w:smallCaps/>
      <w:sz w:val="32"/>
    </w:rPr>
  </w:style>
  <w:style w:type="paragraph" w:customStyle="1" w:styleId="PBACESHeading3">
    <w:name w:val="PBAC ES Heading 3"/>
    <w:basedOn w:val="PBACESHeading2"/>
    <w:uiPriority w:val="1"/>
    <w:qFormat/>
    <w:rsid w:val="00205224"/>
    <w:pPr>
      <w:ind w:left="1080" w:hanging="1080"/>
    </w:pPr>
    <w:rPr>
      <w:i w:val="0"/>
      <w:sz w:val="24"/>
    </w:rPr>
  </w:style>
  <w:style w:type="paragraph" w:customStyle="1" w:styleId="MSACHeading1">
    <w:name w:val="MSAC Heading 1"/>
    <w:basedOn w:val="Heading1"/>
    <w:next w:val="Normal"/>
    <w:uiPriority w:val="1"/>
    <w:qFormat/>
    <w:rsid w:val="00205224"/>
    <w:pPr>
      <w:spacing w:before="160" w:after="240" w:line="259" w:lineRule="auto"/>
      <w:ind w:left="720" w:hanging="720"/>
    </w:pPr>
    <w:rPr>
      <w:rFonts w:ascii="Arial" w:hAnsi="Arial"/>
      <w:b/>
      <w:color w:val="auto"/>
      <w:sz w:val="24"/>
      <w:szCs w:val="28"/>
    </w:rPr>
  </w:style>
  <w:style w:type="paragraph" w:customStyle="1" w:styleId="MSACESHeading2">
    <w:name w:val="MSAC ES Heading 2"/>
    <w:basedOn w:val="Heading2"/>
    <w:next w:val="Normal"/>
    <w:uiPriority w:val="1"/>
    <w:qFormat/>
    <w:rsid w:val="00205224"/>
    <w:pPr>
      <w:spacing w:before="360" w:after="120"/>
      <w:ind w:left="720" w:hanging="720"/>
    </w:pPr>
    <w:rPr>
      <w:rFonts w:ascii="Cambria" w:hAnsi="Cambria"/>
      <w:b/>
      <w:snapToGrid w:val="0"/>
      <w:color w:val="auto"/>
      <w:sz w:val="24"/>
      <w:szCs w:val="28"/>
    </w:rPr>
  </w:style>
  <w:style w:type="character" w:styleId="UnresolvedMention">
    <w:name w:val="Unresolved Mention"/>
    <w:basedOn w:val="DefaultParagraphFont"/>
    <w:uiPriority w:val="99"/>
    <w:semiHidden/>
    <w:unhideWhenUsed/>
    <w:rsid w:val="002B2A62"/>
    <w:rPr>
      <w:color w:val="605E5C"/>
      <w:shd w:val="clear" w:color="auto" w:fill="E1DFDD"/>
    </w:rPr>
  </w:style>
  <w:style w:type="paragraph" w:styleId="FootnoteText">
    <w:name w:val="footnote text"/>
    <w:basedOn w:val="Normal"/>
    <w:link w:val="FootnoteTextChar"/>
    <w:semiHidden/>
    <w:unhideWhenUsed/>
    <w:rsid w:val="0075428C"/>
    <w:rPr>
      <w:sz w:val="20"/>
      <w:szCs w:val="20"/>
    </w:rPr>
  </w:style>
  <w:style w:type="character" w:customStyle="1" w:styleId="FootnoteTextChar">
    <w:name w:val="Footnote Text Char"/>
    <w:basedOn w:val="DefaultParagraphFont"/>
    <w:link w:val="FootnoteText"/>
    <w:semiHidden/>
    <w:rsid w:val="0075428C"/>
    <w:rPr>
      <w:rFonts w:ascii="Calibri" w:hAnsi="Calibri"/>
    </w:rPr>
  </w:style>
  <w:style w:type="character" w:styleId="FootnoteReference">
    <w:name w:val="footnote reference"/>
    <w:basedOn w:val="DefaultParagraphFont"/>
    <w:semiHidden/>
    <w:unhideWhenUsed/>
    <w:rsid w:val="0075428C"/>
    <w:rPr>
      <w:vertAlign w:val="superscript"/>
    </w:rPr>
  </w:style>
  <w:style w:type="table" w:customStyle="1" w:styleId="AZTable">
    <w:name w:val="AZ Table"/>
    <w:basedOn w:val="TableNormal"/>
    <w:uiPriority w:val="99"/>
    <w:rsid w:val="005F6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Pr/>
      <w:tcPr>
        <w:vAlign w:val="center"/>
      </w:tcPr>
    </w:tblStylePr>
    <w:tblStylePr w:type="lastRow">
      <w:rPr>
        <w:i/>
        <w:iCs/>
      </w:r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StylePr>
  </w:style>
  <w:style w:type="character" w:customStyle="1" w:styleId="Heading2SECTION2Char">
    <w:name w:val="Heading 2 SECTION 2 Char"/>
    <w:basedOn w:val="Heading2Char"/>
    <w:link w:val="Heading2SECTION2"/>
    <w:uiPriority w:val="3"/>
    <w:rsid w:val="005F6B09"/>
    <w:rPr>
      <w:rFonts w:ascii="Arial" w:eastAsiaTheme="majorEastAsia" w:hAnsi="Arial" w:cstheme="majorBidi"/>
      <w:b/>
      <w:i/>
      <w:snapToGrid w:val="0"/>
      <w:color w:val="365F91" w:themeColor="accent1" w:themeShade="BF"/>
      <w:sz w:val="28"/>
      <w:szCs w:val="28"/>
      <w:lang w:eastAsia="en-US"/>
    </w:rPr>
  </w:style>
  <w:style w:type="paragraph" w:customStyle="1" w:styleId="3-SubsectionHeading">
    <w:name w:val="3-Subsection Heading"/>
    <w:basedOn w:val="Heading2"/>
    <w:next w:val="Normal"/>
    <w:link w:val="3-SubsectionHeadingChar"/>
    <w:qFormat/>
    <w:rsid w:val="00647584"/>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647584"/>
    <w:rPr>
      <w:rFonts w:asciiTheme="minorHAnsi" w:eastAsiaTheme="majorEastAsia" w:hAnsiTheme="minorHAnsi" w:cstheme="majorBidi"/>
      <w:b/>
      <w:i/>
      <w:color w:val="365F91" w:themeColor="accent1" w:themeShade="BF"/>
      <w:spacing w:val="5"/>
      <w:kern w:val="28"/>
      <w:sz w:val="28"/>
      <w:szCs w:val="36"/>
      <w:lang w:eastAsia="en-US"/>
    </w:rPr>
  </w:style>
  <w:style w:type="character" w:customStyle="1" w:styleId="PBACESHeading2Char">
    <w:name w:val="PBAC ES Heading 2 Char"/>
    <w:basedOn w:val="Heading2Char"/>
    <w:link w:val="PBACESHeading2"/>
    <w:uiPriority w:val="1"/>
    <w:rsid w:val="00647584"/>
    <w:rPr>
      <w:rFonts w:asciiTheme="majorHAnsi" w:eastAsiaTheme="majorEastAsia" w:hAnsiTheme="majorHAnsi" w:cstheme="majorBidi"/>
      <w:b/>
      <w:i/>
      <w:snapToGrid w:val="0"/>
      <w:color w:val="365F91" w:themeColor="accent1" w:themeShade="BF"/>
      <w:sz w:val="28"/>
      <w:szCs w:val="28"/>
      <w:lang w:eastAsia="en-US"/>
    </w:rPr>
  </w:style>
  <w:style w:type="paragraph" w:customStyle="1" w:styleId="TableBodyHeading-H54">
    <w:name w:val="Table Body Heading - H54"/>
    <w:basedOn w:val="TableBodyText-H54"/>
    <w:uiPriority w:val="99"/>
    <w:qFormat/>
    <w:rsid w:val="00647584"/>
    <w:pPr>
      <w:spacing w:before="0" w:after="0" w:line="240" w:lineRule="auto"/>
    </w:pPr>
    <w:rPr>
      <w:b/>
      <w:bCs/>
      <w:lang w:eastAsia="zh-CN"/>
    </w:rPr>
  </w:style>
  <w:style w:type="paragraph" w:customStyle="1" w:styleId="ExecSumBodyText">
    <w:name w:val="Exec Sum Body Text"/>
    <w:basedOn w:val="Normal"/>
    <w:link w:val="ExecSumBodyTextChar"/>
    <w:qFormat/>
    <w:rsid w:val="00304BA0"/>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304BA0"/>
    <w:rPr>
      <w:rFonts w:asciiTheme="minorHAnsi" w:hAnsiTheme="minorHAnsi" w:cs="Arial"/>
      <w:snapToGrid w:val="0"/>
      <w:sz w:val="24"/>
      <w:szCs w:val="24"/>
    </w:rPr>
  </w:style>
  <w:style w:type="paragraph" w:customStyle="1" w:styleId="Default">
    <w:name w:val="Default"/>
    <w:rsid w:val="00EA43D5"/>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rsid w:val="008D556F"/>
    <w:pPr>
      <w:spacing w:before="100" w:after="100"/>
    </w:pPr>
    <w:rPr>
      <w:rFonts w:ascii="Times New Roman" w:hAnsi="Times New Roman"/>
      <w:szCs w:val="20"/>
      <w:lang w:val="en-GB" w:eastAsia="en-US"/>
    </w:rPr>
  </w:style>
  <w:style w:type="paragraph" w:customStyle="1" w:styleId="1MainTitle">
    <w:name w:val="1. Main Title"/>
    <w:basedOn w:val="Title"/>
    <w:link w:val="1MainTitleChar"/>
    <w:qFormat/>
    <w:rsid w:val="00845C4D"/>
    <w:pPr>
      <w:spacing w:before="120" w:after="160"/>
      <w:ind w:left="720" w:hanging="720"/>
      <w:outlineLvl w:val="0"/>
    </w:pPr>
    <w:rPr>
      <w:rFonts w:asciiTheme="minorHAnsi" w:hAnsiTheme="minorHAnsi"/>
      <w:b/>
      <w:spacing w:val="5"/>
      <w:sz w:val="36"/>
      <w:szCs w:val="36"/>
      <w:lang w:eastAsia="en-US"/>
    </w:rPr>
  </w:style>
  <w:style w:type="character" w:customStyle="1" w:styleId="1MainTitleChar">
    <w:name w:val="1. Main Title Char"/>
    <w:basedOn w:val="TitleChar"/>
    <w:link w:val="1MainTitle"/>
    <w:rsid w:val="00845C4D"/>
    <w:rPr>
      <w:rFonts w:asciiTheme="minorHAnsi" w:eastAsiaTheme="majorEastAsia" w:hAnsiTheme="minorHAnsi" w:cstheme="majorBidi"/>
      <w:b/>
      <w:spacing w:val="5"/>
      <w:kern w:val="28"/>
      <w:sz w:val="36"/>
      <w:szCs w:val="36"/>
      <w:lang w:eastAsia="en-US"/>
    </w:rPr>
  </w:style>
  <w:style w:type="paragraph" w:styleId="Title">
    <w:name w:val="Title"/>
    <w:basedOn w:val="Normal"/>
    <w:next w:val="Normal"/>
    <w:link w:val="TitleChar"/>
    <w:rsid w:val="00845C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5C4D"/>
    <w:rPr>
      <w:rFonts w:asciiTheme="majorHAnsi" w:eastAsiaTheme="majorEastAsia" w:hAnsiTheme="majorHAnsi" w:cstheme="majorBidi"/>
      <w:spacing w:val="-10"/>
      <w:kern w:val="28"/>
      <w:sz w:val="56"/>
      <w:szCs w:val="56"/>
    </w:rPr>
  </w:style>
  <w:style w:type="character" w:customStyle="1" w:styleId="COMTabletextChar">
    <w:name w:val="COM Table text Char"/>
    <w:basedOn w:val="DefaultParagraphFont"/>
    <w:link w:val="COMTabletext"/>
    <w:locked/>
    <w:rsid w:val="00845C4D"/>
    <w:rPr>
      <w:rFonts w:ascii="Arial Narrow" w:eastAsiaTheme="majorEastAsia" w:hAnsi="Arial Narrow" w:cstheme="majorBidi"/>
      <w:bCs/>
      <w:szCs w:val="24"/>
    </w:rPr>
  </w:style>
  <w:style w:type="paragraph" w:customStyle="1" w:styleId="COMTabletext">
    <w:name w:val="COM Table text"/>
    <w:link w:val="COMTabletextChar"/>
    <w:qFormat/>
    <w:rsid w:val="00845C4D"/>
    <w:pPr>
      <w:keepNext/>
    </w:pPr>
    <w:rPr>
      <w:rFonts w:ascii="Arial Narrow" w:eastAsiaTheme="majorEastAsia" w:hAnsi="Arial Narrow" w:cstheme="majorBidi"/>
      <w:bCs/>
      <w:szCs w:val="24"/>
    </w:rPr>
  </w:style>
  <w:style w:type="character" w:customStyle="1" w:styleId="COMtablefigcaptionChar">
    <w:name w:val="COM table/fig caption Char"/>
    <w:basedOn w:val="DefaultParagraphFont"/>
    <w:link w:val="COMtablefigcaption"/>
    <w:locked/>
    <w:rsid w:val="00845C4D"/>
    <w:rPr>
      <w:rFonts w:ascii="Arial Narrow" w:eastAsiaTheme="majorEastAsia" w:hAnsi="Arial Narrow" w:cstheme="majorBidi"/>
      <w:b/>
      <w:bCs/>
      <w:szCs w:val="24"/>
    </w:rPr>
  </w:style>
  <w:style w:type="paragraph" w:customStyle="1" w:styleId="COMtablefigcaption">
    <w:name w:val="COM table/fig caption"/>
    <w:next w:val="Normal"/>
    <w:link w:val="COMtablefigcaptionChar"/>
    <w:qFormat/>
    <w:rsid w:val="00845C4D"/>
    <w:pPr>
      <w:keepNext/>
    </w:pPr>
    <w:rPr>
      <w:rFonts w:ascii="Arial Narrow" w:eastAsiaTheme="majorEastAsia" w:hAnsi="Arial Narrow"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26640668">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673076217">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5074330">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5354778">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9310579">
      <w:bodyDiv w:val="1"/>
      <w:marLeft w:val="0"/>
      <w:marRight w:val="0"/>
      <w:marTop w:val="0"/>
      <w:marBottom w:val="0"/>
      <w:divBdr>
        <w:top w:val="none" w:sz="0" w:space="0" w:color="auto"/>
        <w:left w:val="none" w:sz="0" w:space="0" w:color="auto"/>
        <w:bottom w:val="none" w:sz="0" w:space="0" w:color="auto"/>
        <w:right w:val="none" w:sz="0" w:space="0" w:color="auto"/>
      </w:divBdr>
    </w:div>
    <w:div w:id="142430515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3247642">
      <w:bodyDiv w:val="1"/>
      <w:marLeft w:val="0"/>
      <w:marRight w:val="0"/>
      <w:marTop w:val="0"/>
      <w:marBottom w:val="0"/>
      <w:divBdr>
        <w:top w:val="none" w:sz="0" w:space="0" w:color="auto"/>
        <w:left w:val="none" w:sz="0" w:space="0" w:color="auto"/>
        <w:bottom w:val="none" w:sz="0" w:space="0" w:color="auto"/>
        <w:right w:val="none" w:sz="0" w:space="0" w:color="auto"/>
      </w:divBdr>
    </w:div>
    <w:div w:id="167780659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5580547">
      <w:bodyDiv w:val="1"/>
      <w:marLeft w:val="0"/>
      <w:marRight w:val="0"/>
      <w:marTop w:val="0"/>
      <w:marBottom w:val="0"/>
      <w:divBdr>
        <w:top w:val="none" w:sz="0" w:space="0" w:color="auto"/>
        <w:left w:val="none" w:sz="0" w:space="0" w:color="auto"/>
        <w:bottom w:val="none" w:sz="0" w:space="0" w:color="auto"/>
        <w:right w:val="none" w:sz="0" w:space="0" w:color="auto"/>
      </w:divBdr>
    </w:div>
    <w:div w:id="1972203267">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7797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sac.gov.au/internet/msac/publishing.nsf/Content/8D409C551135EC2BCA25866F000919DE/$File/1658%20Final%20PSD_Jul2022_redac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11393</Words>
  <Characters>63041</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2023-10-25T01:25:00Z</dcterms:created>
  <dcterms:modified xsi:type="dcterms:W3CDTF">2023-10-25T01:25:00Z</dcterms:modified>
</cp:coreProperties>
</file>