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418DD" w14:textId="77777777" w:rsidR="00F45E7D" w:rsidRDefault="0087463C">
      <w:pPr>
        <w:pStyle w:val="1-MainHeading"/>
        <w:spacing w:before="0" w:after="0"/>
      </w:pPr>
      <w:bookmarkStart w:id="0" w:name="_Toc112548505"/>
      <w:bookmarkStart w:id="1" w:name="_Toc114052242"/>
      <w:r>
        <w:t>6.09</w:t>
      </w:r>
      <w:r>
        <w:tab/>
      </w:r>
      <w:bookmarkStart w:id="2" w:name="_Toc22897637"/>
      <w:r>
        <w:t>NIVOLUMAB plus IPILIMUMAB,</w:t>
      </w:r>
      <w:r>
        <w:br/>
      </w:r>
      <w:bookmarkStart w:id="3" w:name="_Hlk114044670"/>
      <w:r>
        <w:t>NIVOLUMAB: Injection concentrate for I.V. infusion 100 mg in 10 mL, Injection concentrate for I.V. infusion 40 mg in 4 mL</w:t>
      </w:r>
      <w:bookmarkEnd w:id="0"/>
      <w:r>
        <w:t>,</w:t>
      </w:r>
      <w:bookmarkEnd w:id="1"/>
    </w:p>
    <w:p w14:paraId="670AC554" w14:textId="77777777" w:rsidR="00F45E7D" w:rsidRDefault="0087463C" w:rsidP="00D726F8">
      <w:pPr>
        <w:pStyle w:val="1-MainHeading"/>
        <w:spacing w:before="0" w:after="0"/>
        <w:ind w:left="1440"/>
        <w:outlineLvl w:val="9"/>
      </w:pPr>
      <w:bookmarkStart w:id="4" w:name="_Toc114052243"/>
      <w:r>
        <w:t>OPDIVO®;</w:t>
      </w:r>
      <w:bookmarkEnd w:id="4"/>
    </w:p>
    <w:p w14:paraId="234108B3" w14:textId="77777777" w:rsidR="00F45E7D" w:rsidRDefault="0087463C" w:rsidP="00D726F8">
      <w:pPr>
        <w:pStyle w:val="1-MainHeading"/>
        <w:spacing w:before="0" w:after="0"/>
        <w:ind w:firstLine="0"/>
        <w:outlineLvl w:val="9"/>
      </w:pPr>
      <w:bookmarkStart w:id="5" w:name="_Toc112548506"/>
      <w:bookmarkStart w:id="6" w:name="_Toc114052244"/>
      <w:r>
        <w:t>IPILIMUMAB: Injection concentrate for I.V. infusion 200 mg in 40 mL, Injection concentrate for I.V. infusion 50 mg in 10 mL</w:t>
      </w:r>
      <w:bookmarkEnd w:id="5"/>
      <w:r>
        <w:t>,</w:t>
      </w:r>
      <w:bookmarkStart w:id="7" w:name="_Toc112548507"/>
      <w:bookmarkEnd w:id="6"/>
    </w:p>
    <w:p w14:paraId="10F7850F" w14:textId="77777777" w:rsidR="00F45E7D" w:rsidRDefault="0087463C" w:rsidP="00D726F8">
      <w:pPr>
        <w:pStyle w:val="1-MainHeading"/>
        <w:spacing w:before="0" w:after="0"/>
        <w:ind w:firstLine="0"/>
        <w:outlineLvl w:val="9"/>
      </w:pPr>
      <w:bookmarkStart w:id="8" w:name="_Toc114052245"/>
      <w:r>
        <w:t>YERVOY®;</w:t>
      </w:r>
      <w:r>
        <w:br/>
        <w:t>Bristol-Myers Squibb Australia Pty Ltd</w:t>
      </w:r>
      <w:bookmarkEnd w:id="7"/>
      <w:bookmarkEnd w:id="8"/>
    </w:p>
    <w:p w14:paraId="02B8559D" w14:textId="77777777" w:rsidR="00F45E7D" w:rsidRDefault="0087463C">
      <w:pPr>
        <w:pStyle w:val="2-SectionHeading"/>
      </w:pPr>
      <w:bookmarkStart w:id="9" w:name="_Toc112548509"/>
      <w:bookmarkStart w:id="10" w:name="_Toc114052248"/>
      <w:bookmarkEnd w:id="3"/>
      <w:bookmarkEnd w:id="2"/>
      <w:r>
        <w:t>Purpose of submission</w:t>
      </w:r>
      <w:bookmarkEnd w:id="9"/>
      <w:bookmarkEnd w:id="10"/>
    </w:p>
    <w:p w14:paraId="74B90E3F" w14:textId="3EA65FE3" w:rsidR="00F45E7D" w:rsidRDefault="0087463C">
      <w:pPr>
        <w:pStyle w:val="3-BodyText"/>
        <w:rPr>
          <w:iCs/>
        </w:rPr>
      </w:pPr>
      <w:r>
        <w:t xml:space="preserve">The Category 2 submission requested the PBS restrictions for nivolumab (NIVO) combined with ipilimumab (IPI; NIVO + IPI) be expanded to allow the treatment of unresectable Stage III or IV malignant melanoma in patients who </w:t>
      </w:r>
      <w:bookmarkStart w:id="11" w:name="_Hlk110183871"/>
      <w:r>
        <w:t xml:space="preserve">experience melanoma recurrence while receiving or within 6 months of completing adjuvant anti-programmed cell death protein 1 (hereafter, PD-1 inhibitor) monotherapy. </w:t>
      </w:r>
      <w:bookmarkEnd w:id="11"/>
    </w:p>
    <w:p w14:paraId="7A647927" w14:textId="77777777" w:rsidR="00F45E7D" w:rsidRDefault="0087463C">
      <w:pPr>
        <w:pStyle w:val="3-BodyText"/>
      </w:pPr>
      <w:r>
        <w:t xml:space="preserve">Listing in the expanded population of patients who have previously received adjuvant PD-1 monotherapy and then recurred on treatment or within 6 months was requested at the current approved ex-manufacturer prices (AEMPs) for NIVO and IPI in the unresectable Stage III or IV malignant melanoma patient population. The request was made based on superiority </w:t>
      </w:r>
      <w:r>
        <w:rPr>
          <w:iCs/>
        </w:rPr>
        <w:t>in clinical efficacy</w:t>
      </w:r>
      <w:r>
        <w:t xml:space="preserve"> compared to IPI monotherapy and BRAF inhibitors (BRAFi) therapy in the adjuvant PD-1 inhibitor pre-treated population.</w:t>
      </w:r>
    </w:p>
    <w:p w14:paraId="7B88BE15" w14:textId="5AFD7768" w:rsidR="00F45E7D" w:rsidRDefault="0087463C">
      <w:pPr>
        <w:pStyle w:val="3-BodyText"/>
        <w:rPr>
          <w:iCs/>
        </w:rPr>
      </w:pPr>
      <w:r>
        <w:fldChar w:fldCharType="begin"/>
      </w:r>
      <w:r>
        <w:instrText xml:space="preserve"> REF _Hlk102727276 \h </w:instrText>
      </w:r>
      <w:r>
        <w:fldChar w:fldCharType="separate"/>
      </w:r>
      <w:r w:rsidR="00D8701A">
        <w:t xml:space="preserve">Table </w:t>
      </w:r>
      <w:r w:rsidR="00D8701A">
        <w:rPr>
          <w:noProof/>
        </w:rPr>
        <w:t>1</w:t>
      </w:r>
      <w:r>
        <w:fldChar w:fldCharType="end"/>
      </w:r>
      <w:r>
        <w:t xml:space="preserve"> summarises the components of the overall clinical claim addressed by the submission. </w:t>
      </w:r>
    </w:p>
    <w:p w14:paraId="47F121A4" w14:textId="676B7E9A" w:rsidR="00F45E7D" w:rsidRDefault="0087463C">
      <w:pPr>
        <w:pStyle w:val="TableFigureHeading"/>
        <w:rPr>
          <w:rStyle w:val="CommentReference"/>
          <w:b/>
          <w:szCs w:val="24"/>
        </w:rPr>
      </w:pPr>
      <w:bookmarkStart w:id="12" w:name="_Hlk102727276"/>
      <w:r>
        <w:t xml:space="preserve">Table </w:t>
      </w:r>
      <w:r w:rsidR="00D8701A">
        <w:fldChar w:fldCharType="begin"/>
      </w:r>
      <w:r w:rsidR="00D8701A">
        <w:instrText xml:space="preserve"> SEQ Table \* ARABIC </w:instrText>
      </w:r>
      <w:r w:rsidR="00D8701A">
        <w:fldChar w:fldCharType="separate"/>
      </w:r>
      <w:r w:rsidR="00D8701A">
        <w:rPr>
          <w:noProof/>
        </w:rPr>
        <w:t>1</w:t>
      </w:r>
      <w:r w:rsidR="00D8701A">
        <w:fldChar w:fldCharType="end"/>
      </w:r>
      <w:bookmarkEnd w:id="12"/>
      <w:r>
        <w:t xml:space="preserve">: </w:t>
      </w:r>
      <w:r>
        <w:rPr>
          <w:rStyle w:val="CommentReference"/>
          <w:b/>
          <w:szCs w:val="24"/>
        </w:rPr>
        <w:t>Key components of the clinical issue addressed by the submission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116"/>
      </w:tblGrid>
      <w:tr w:rsidR="00F45E7D" w14:paraId="726C4D12" w14:textId="77777777">
        <w:tc>
          <w:tcPr>
            <w:tcW w:w="1668" w:type="dxa"/>
            <w:vAlign w:val="center"/>
          </w:tcPr>
          <w:p w14:paraId="08A46DB8" w14:textId="77777777" w:rsidR="00F45E7D" w:rsidRDefault="0087463C">
            <w:pPr>
              <w:keepNext/>
              <w:jc w:val="left"/>
              <w:rPr>
                <w:rFonts w:ascii="Arial Narrow" w:eastAsiaTheme="majorEastAsia" w:hAnsi="Arial Narrow" w:cs="Times New Roman"/>
                <w:b/>
                <w:sz w:val="20"/>
              </w:rPr>
            </w:pPr>
            <w:r>
              <w:rPr>
                <w:rFonts w:ascii="Arial Narrow" w:eastAsiaTheme="majorEastAsia" w:hAnsi="Arial Narrow" w:cs="Times New Roman"/>
                <w:b/>
                <w:sz w:val="20"/>
              </w:rPr>
              <w:t>Component</w:t>
            </w:r>
          </w:p>
        </w:tc>
        <w:tc>
          <w:tcPr>
            <w:tcW w:w="7116" w:type="dxa"/>
            <w:vAlign w:val="center"/>
          </w:tcPr>
          <w:p w14:paraId="2711D6DB" w14:textId="77777777" w:rsidR="00F45E7D" w:rsidRDefault="0087463C">
            <w:pPr>
              <w:keepNext/>
              <w:jc w:val="left"/>
              <w:rPr>
                <w:rFonts w:ascii="Arial Narrow" w:eastAsiaTheme="majorEastAsia" w:hAnsi="Arial Narrow" w:cs="Times New Roman"/>
                <w:b/>
                <w:sz w:val="20"/>
              </w:rPr>
            </w:pPr>
            <w:r>
              <w:rPr>
                <w:rFonts w:ascii="Arial Narrow" w:eastAsiaTheme="majorEastAsia" w:hAnsi="Arial Narrow" w:cs="Times New Roman"/>
                <w:b/>
                <w:sz w:val="20"/>
              </w:rPr>
              <w:t>Description</w:t>
            </w:r>
          </w:p>
        </w:tc>
      </w:tr>
      <w:tr w:rsidR="00F45E7D" w14:paraId="0D068DF3" w14:textId="77777777">
        <w:tc>
          <w:tcPr>
            <w:tcW w:w="1668" w:type="dxa"/>
            <w:vAlign w:val="center"/>
          </w:tcPr>
          <w:p w14:paraId="3FD5B09D" w14:textId="77777777" w:rsidR="00F45E7D" w:rsidRDefault="0087463C">
            <w:pPr>
              <w:keepNext/>
              <w:jc w:val="left"/>
              <w:rPr>
                <w:rFonts w:ascii="Arial Narrow" w:eastAsiaTheme="majorEastAsia" w:hAnsi="Arial Narrow" w:cstheme="majorBidi"/>
                <w:bCs/>
                <w:sz w:val="20"/>
              </w:rPr>
            </w:pPr>
            <w:r>
              <w:rPr>
                <w:rFonts w:ascii="Arial Narrow" w:eastAsiaTheme="majorEastAsia" w:hAnsi="Arial Narrow" w:cstheme="majorBidi"/>
                <w:bCs/>
                <w:sz w:val="20"/>
              </w:rPr>
              <w:t>Population</w:t>
            </w:r>
          </w:p>
        </w:tc>
        <w:tc>
          <w:tcPr>
            <w:tcW w:w="7116" w:type="dxa"/>
            <w:vAlign w:val="center"/>
          </w:tcPr>
          <w:p w14:paraId="03E5414B" w14:textId="77777777" w:rsidR="00F45E7D" w:rsidRDefault="0087463C">
            <w:pPr>
              <w:keepNext/>
              <w:jc w:val="left"/>
              <w:rPr>
                <w:rFonts w:ascii="Arial Narrow" w:eastAsiaTheme="majorEastAsia" w:hAnsi="Arial Narrow" w:cstheme="majorBidi"/>
                <w:bCs/>
                <w:sz w:val="20"/>
              </w:rPr>
            </w:pPr>
            <w:r>
              <w:rPr>
                <w:rFonts w:ascii="Arial Narrow" w:eastAsiaTheme="majorEastAsia" w:hAnsi="Arial Narrow" w:cstheme="majorBidi"/>
                <w:bCs/>
                <w:sz w:val="20"/>
              </w:rPr>
              <w:t xml:space="preserve">Patients diagnosed with Stage III or IV unresectable malignant melanoma who have experienced melanoma recurrence while receiving adjuvant PD-1 inhibitor OR melanoma recurrence within 6 months of completion of adjuvant PD-1 inhibitor treatment </w:t>
            </w:r>
          </w:p>
        </w:tc>
      </w:tr>
      <w:tr w:rsidR="00F45E7D" w14:paraId="3B6678D3" w14:textId="77777777">
        <w:tc>
          <w:tcPr>
            <w:tcW w:w="1668" w:type="dxa"/>
            <w:vAlign w:val="center"/>
          </w:tcPr>
          <w:p w14:paraId="4F80637E" w14:textId="77777777" w:rsidR="00F45E7D" w:rsidRDefault="0087463C">
            <w:pPr>
              <w:keepNext/>
              <w:jc w:val="left"/>
              <w:rPr>
                <w:rFonts w:ascii="Arial Narrow" w:eastAsiaTheme="majorEastAsia" w:hAnsi="Arial Narrow" w:cstheme="majorBidi"/>
                <w:bCs/>
                <w:sz w:val="20"/>
              </w:rPr>
            </w:pPr>
            <w:r>
              <w:rPr>
                <w:rFonts w:ascii="Arial Narrow" w:eastAsiaTheme="majorEastAsia" w:hAnsi="Arial Narrow" w:cstheme="majorBidi"/>
                <w:bCs/>
                <w:sz w:val="20"/>
              </w:rPr>
              <w:t>Intervention</w:t>
            </w:r>
          </w:p>
        </w:tc>
        <w:tc>
          <w:tcPr>
            <w:tcW w:w="7116" w:type="dxa"/>
            <w:vAlign w:val="center"/>
          </w:tcPr>
          <w:p w14:paraId="0B75A5CE" w14:textId="77777777" w:rsidR="00F45E7D" w:rsidRDefault="0087463C">
            <w:pPr>
              <w:keepNext/>
              <w:jc w:val="left"/>
              <w:rPr>
                <w:rFonts w:ascii="Arial Narrow" w:eastAsiaTheme="majorEastAsia" w:hAnsi="Arial Narrow" w:cstheme="majorBidi"/>
                <w:bCs/>
                <w:sz w:val="20"/>
              </w:rPr>
            </w:pPr>
            <w:r>
              <w:rPr>
                <w:rFonts w:ascii="Arial Narrow" w:eastAsiaTheme="majorEastAsia" w:hAnsi="Arial Narrow" w:cstheme="majorBidi"/>
                <w:bCs/>
                <w:sz w:val="20"/>
              </w:rPr>
              <w:t>Nivolumab in combination with ipilimumab (NIVO + IPI)</w:t>
            </w:r>
          </w:p>
        </w:tc>
      </w:tr>
      <w:tr w:rsidR="00F45E7D" w14:paraId="4FE4EB5A" w14:textId="77777777">
        <w:tc>
          <w:tcPr>
            <w:tcW w:w="1668" w:type="dxa"/>
            <w:vAlign w:val="center"/>
          </w:tcPr>
          <w:p w14:paraId="6535F7D7" w14:textId="77777777" w:rsidR="00F45E7D" w:rsidRDefault="0087463C">
            <w:pPr>
              <w:keepNext/>
              <w:jc w:val="left"/>
              <w:rPr>
                <w:rFonts w:ascii="Arial Narrow" w:eastAsiaTheme="majorEastAsia" w:hAnsi="Arial Narrow" w:cstheme="majorBidi"/>
                <w:bCs/>
                <w:sz w:val="20"/>
              </w:rPr>
            </w:pPr>
            <w:r>
              <w:rPr>
                <w:rFonts w:ascii="Arial Narrow" w:eastAsiaTheme="majorEastAsia" w:hAnsi="Arial Narrow" w:cstheme="majorBidi"/>
                <w:bCs/>
                <w:sz w:val="20"/>
              </w:rPr>
              <w:t>Comparator</w:t>
            </w:r>
          </w:p>
        </w:tc>
        <w:tc>
          <w:tcPr>
            <w:tcW w:w="7116" w:type="dxa"/>
            <w:vAlign w:val="center"/>
          </w:tcPr>
          <w:p w14:paraId="6271CDFE" w14:textId="77777777" w:rsidR="00F45E7D" w:rsidRDefault="0087463C">
            <w:pPr>
              <w:keepNext/>
              <w:jc w:val="left"/>
              <w:rPr>
                <w:rFonts w:ascii="Arial Narrow" w:eastAsiaTheme="majorEastAsia" w:hAnsi="Arial Narrow" w:cstheme="majorBidi"/>
                <w:bCs/>
                <w:sz w:val="20"/>
              </w:rPr>
            </w:pPr>
            <w:r>
              <w:rPr>
                <w:rFonts w:ascii="Arial Narrow" w:eastAsiaTheme="majorEastAsia" w:hAnsi="Arial Narrow" w:cstheme="majorBidi"/>
                <w:bCs/>
                <w:sz w:val="20"/>
              </w:rPr>
              <w:t>Main: Ipilimumab (IPI)</w:t>
            </w:r>
          </w:p>
          <w:p w14:paraId="42F86FC7" w14:textId="77777777" w:rsidR="00F45E7D" w:rsidRDefault="0087463C">
            <w:pPr>
              <w:keepNext/>
              <w:jc w:val="left"/>
              <w:rPr>
                <w:rFonts w:ascii="Arial Narrow" w:eastAsiaTheme="majorEastAsia" w:hAnsi="Arial Narrow" w:cstheme="majorBidi"/>
                <w:bCs/>
                <w:sz w:val="20"/>
              </w:rPr>
            </w:pPr>
            <w:r>
              <w:rPr>
                <w:rFonts w:ascii="Arial Narrow" w:eastAsiaTheme="majorEastAsia" w:hAnsi="Arial Narrow" w:cstheme="majorBidi"/>
                <w:bCs/>
                <w:sz w:val="20"/>
              </w:rPr>
              <w:t xml:space="preserve">Secondary: BRAF inhibitor (BRAFi) </w:t>
            </w:r>
          </w:p>
        </w:tc>
      </w:tr>
      <w:tr w:rsidR="00F45E7D" w14:paraId="474C11BC" w14:textId="77777777">
        <w:tc>
          <w:tcPr>
            <w:tcW w:w="1668" w:type="dxa"/>
            <w:vAlign w:val="center"/>
          </w:tcPr>
          <w:p w14:paraId="1C25AF2B" w14:textId="77777777" w:rsidR="00F45E7D" w:rsidRDefault="0087463C">
            <w:pPr>
              <w:keepNext/>
              <w:jc w:val="left"/>
              <w:rPr>
                <w:rFonts w:ascii="Arial Narrow" w:eastAsiaTheme="majorEastAsia" w:hAnsi="Arial Narrow" w:cstheme="majorBidi"/>
                <w:bCs/>
                <w:sz w:val="20"/>
              </w:rPr>
            </w:pPr>
            <w:r>
              <w:rPr>
                <w:rFonts w:ascii="Arial Narrow" w:eastAsiaTheme="majorEastAsia" w:hAnsi="Arial Narrow" w:cstheme="majorBidi"/>
                <w:bCs/>
                <w:sz w:val="20"/>
              </w:rPr>
              <w:t>Outcomes</w:t>
            </w:r>
          </w:p>
        </w:tc>
        <w:tc>
          <w:tcPr>
            <w:tcW w:w="7116" w:type="dxa"/>
            <w:vAlign w:val="center"/>
          </w:tcPr>
          <w:p w14:paraId="6CBDC56F" w14:textId="77777777" w:rsidR="00F45E7D" w:rsidRDefault="0087463C">
            <w:pPr>
              <w:keepNext/>
              <w:jc w:val="left"/>
              <w:rPr>
                <w:rFonts w:ascii="Arial Narrow" w:eastAsiaTheme="majorEastAsia" w:hAnsi="Arial Narrow" w:cstheme="majorBidi"/>
                <w:bCs/>
                <w:sz w:val="20"/>
              </w:rPr>
            </w:pPr>
            <w:r>
              <w:rPr>
                <w:rFonts w:ascii="Arial Narrow" w:eastAsiaTheme="majorEastAsia" w:hAnsi="Arial Narrow" w:cstheme="majorBidi"/>
                <w:bCs/>
                <w:sz w:val="20"/>
              </w:rPr>
              <w:t xml:space="preserve">OS, PFS, ORR, </w:t>
            </w:r>
            <w:r>
              <w:rPr>
                <w:rFonts w:ascii="Arial Narrow" w:eastAsiaTheme="majorEastAsia" w:hAnsi="Arial Narrow" w:cstheme="majorBidi"/>
                <w:bCs/>
                <w:iCs/>
                <w:sz w:val="20"/>
              </w:rPr>
              <w:t>RFS, DMFS,</w:t>
            </w:r>
            <w:r>
              <w:rPr>
                <w:rFonts w:ascii="Arial Narrow" w:eastAsiaTheme="majorEastAsia" w:hAnsi="Arial Narrow" w:cstheme="majorBidi"/>
                <w:bCs/>
                <w:sz w:val="20"/>
              </w:rPr>
              <w:t xml:space="preserve"> adverse events</w:t>
            </w:r>
          </w:p>
        </w:tc>
      </w:tr>
      <w:tr w:rsidR="00F45E7D" w14:paraId="1558EE2F" w14:textId="77777777">
        <w:tc>
          <w:tcPr>
            <w:tcW w:w="1668" w:type="dxa"/>
            <w:vAlign w:val="center"/>
          </w:tcPr>
          <w:p w14:paraId="4C512E0A" w14:textId="77777777" w:rsidR="00F45E7D" w:rsidRDefault="0087463C">
            <w:pPr>
              <w:keepNext/>
              <w:jc w:val="left"/>
              <w:rPr>
                <w:rFonts w:ascii="Arial Narrow" w:eastAsiaTheme="majorEastAsia" w:hAnsi="Arial Narrow" w:cstheme="majorBidi"/>
                <w:bCs/>
                <w:sz w:val="20"/>
              </w:rPr>
            </w:pPr>
            <w:r>
              <w:rPr>
                <w:rFonts w:ascii="Arial Narrow" w:eastAsiaTheme="majorEastAsia" w:hAnsi="Arial Narrow" w:cstheme="majorBidi"/>
                <w:bCs/>
                <w:sz w:val="20"/>
              </w:rPr>
              <w:t>Clinical claim</w:t>
            </w:r>
          </w:p>
        </w:tc>
        <w:tc>
          <w:tcPr>
            <w:tcW w:w="7116" w:type="dxa"/>
            <w:vAlign w:val="center"/>
          </w:tcPr>
          <w:p w14:paraId="6160202E" w14:textId="77777777" w:rsidR="00F45E7D" w:rsidRDefault="0087463C">
            <w:pPr>
              <w:keepNext/>
              <w:jc w:val="left"/>
              <w:rPr>
                <w:rFonts w:ascii="Arial Narrow" w:eastAsiaTheme="majorEastAsia" w:hAnsi="Arial Narrow" w:cstheme="majorBidi"/>
                <w:bCs/>
                <w:sz w:val="20"/>
              </w:rPr>
            </w:pPr>
            <w:r>
              <w:rPr>
                <w:rFonts w:ascii="Arial Narrow" w:eastAsiaTheme="majorEastAsia" w:hAnsi="Arial Narrow" w:cstheme="majorBidi"/>
                <w:bCs/>
                <w:sz w:val="20"/>
              </w:rPr>
              <w:t>Main comparison: NIVO + IPI vs IPI</w:t>
            </w:r>
          </w:p>
          <w:p w14:paraId="3FBF69CA" w14:textId="77777777" w:rsidR="00F45E7D" w:rsidRDefault="0087463C">
            <w:pPr>
              <w:keepNext/>
              <w:jc w:val="left"/>
              <w:rPr>
                <w:rFonts w:ascii="Arial Narrow" w:eastAsiaTheme="majorEastAsia" w:hAnsi="Arial Narrow" w:cstheme="majorBidi"/>
                <w:bCs/>
                <w:sz w:val="20"/>
              </w:rPr>
            </w:pPr>
            <w:r>
              <w:rPr>
                <w:rFonts w:ascii="Arial Narrow" w:eastAsiaTheme="majorEastAsia" w:hAnsi="Arial Narrow" w:cstheme="majorBidi"/>
                <w:bCs/>
                <w:sz w:val="20"/>
              </w:rPr>
              <w:t>NIVO + IPI is superior in terms of effectiveness and inferior in terms of safety compared with IPI. Secondary comparison: NIVO + IPI vs BRAFi</w:t>
            </w:r>
          </w:p>
          <w:p w14:paraId="2D4A457F" w14:textId="77777777" w:rsidR="00F45E7D" w:rsidRDefault="0087463C">
            <w:pPr>
              <w:keepNext/>
              <w:jc w:val="left"/>
              <w:rPr>
                <w:rFonts w:ascii="Arial Narrow" w:eastAsiaTheme="majorEastAsia" w:hAnsi="Arial Narrow" w:cstheme="majorBidi"/>
                <w:bCs/>
                <w:sz w:val="20"/>
              </w:rPr>
            </w:pPr>
            <w:r>
              <w:rPr>
                <w:rFonts w:ascii="Arial Narrow" w:eastAsiaTheme="majorEastAsia" w:hAnsi="Arial Narrow" w:cstheme="majorBidi"/>
                <w:bCs/>
                <w:sz w:val="20"/>
              </w:rPr>
              <w:t>NIVO + IPI has improved effectiveness and inferior safety compared with BRAFi.</w:t>
            </w:r>
          </w:p>
        </w:tc>
      </w:tr>
    </w:tbl>
    <w:p w14:paraId="0FB63AC6" w14:textId="77777777" w:rsidR="00F45E7D" w:rsidRDefault="0087463C">
      <w:pPr>
        <w:pStyle w:val="TableFigureFooter"/>
      </w:pPr>
      <w:r>
        <w:t>Source: Table 1, p13 of the submission.</w:t>
      </w:r>
    </w:p>
    <w:p w14:paraId="5CF96C29" w14:textId="77777777" w:rsidR="00F45E7D" w:rsidRDefault="0087463C">
      <w:pPr>
        <w:pStyle w:val="TableFigureFooter"/>
      </w:pPr>
      <w:r>
        <w:t>BRAFi = B-raf inhibitor; DMFS = distant metastasis free survival; IPI = ipilimumab; NIVO = nivolumab; ORR = overall response rate; OS = overall survival; PFS = progression free survival; PD-1 = programmed death-1; RFS = recurrence free survival.</w:t>
      </w:r>
    </w:p>
    <w:p w14:paraId="67B73D81" w14:textId="77777777" w:rsidR="00F45E7D" w:rsidRDefault="0087463C">
      <w:pPr>
        <w:pStyle w:val="2-SectionHeading"/>
      </w:pPr>
      <w:bookmarkStart w:id="13" w:name="_Toc112548510"/>
      <w:bookmarkStart w:id="14" w:name="_Toc114052249"/>
      <w:r>
        <w:t>Background</w:t>
      </w:r>
      <w:bookmarkEnd w:id="13"/>
      <w:bookmarkEnd w:id="14"/>
    </w:p>
    <w:p w14:paraId="7BBF6B2E" w14:textId="77777777" w:rsidR="00F45E7D" w:rsidRDefault="0087463C">
      <w:pPr>
        <w:pStyle w:val="4-SubsectionHeading"/>
      </w:pPr>
      <w:bookmarkStart w:id="15" w:name="_Toc22897638"/>
      <w:bookmarkStart w:id="16" w:name="_Toc112548511"/>
      <w:bookmarkStart w:id="17" w:name="_Toc114052250"/>
      <w:r>
        <w:t>Registration status</w:t>
      </w:r>
      <w:bookmarkEnd w:id="15"/>
      <w:bookmarkEnd w:id="16"/>
      <w:bookmarkEnd w:id="17"/>
    </w:p>
    <w:p w14:paraId="797FC46F" w14:textId="77777777" w:rsidR="00F45E7D" w:rsidRDefault="0087463C">
      <w:pPr>
        <w:pStyle w:val="3-BodyText"/>
        <w:ind w:left="709"/>
      </w:pPr>
      <w:r>
        <w:t>NIVO + IPI combination was approved by the TGA on 4 July 2018 for the following indications:</w:t>
      </w:r>
    </w:p>
    <w:p w14:paraId="359FD8ED" w14:textId="77777777" w:rsidR="00F45E7D" w:rsidRDefault="0087463C">
      <w:pPr>
        <w:pStyle w:val="3-BodyText"/>
        <w:numPr>
          <w:ilvl w:val="0"/>
          <w:numId w:val="7"/>
        </w:numPr>
      </w:pPr>
      <w:r>
        <w:t>“ipilimumab, in combination with nivolumab, is indicated for the treatment of patients with unresectable or metastatic melanoma.”</w:t>
      </w:r>
    </w:p>
    <w:p w14:paraId="5051C6A7" w14:textId="77777777" w:rsidR="00F45E7D" w:rsidRDefault="0087463C">
      <w:pPr>
        <w:pStyle w:val="3-BodyText"/>
        <w:numPr>
          <w:ilvl w:val="0"/>
          <w:numId w:val="7"/>
        </w:numPr>
      </w:pPr>
      <w:r>
        <w:t>“nivolumab, in combination with ipilimumab, is indicated for the treatment of patients with unresectable or metastatic melanoma.”</w:t>
      </w:r>
    </w:p>
    <w:p w14:paraId="6C3EC43D" w14:textId="77777777" w:rsidR="00F45E7D" w:rsidRDefault="0087463C">
      <w:pPr>
        <w:pStyle w:val="3-BodyText"/>
        <w:numPr>
          <w:ilvl w:val="0"/>
          <w:numId w:val="0"/>
        </w:numPr>
        <w:ind w:left="720"/>
        <w:rPr>
          <w:iCs/>
        </w:rPr>
      </w:pPr>
      <w:r>
        <w:rPr>
          <w:iCs/>
        </w:rPr>
        <w:t>This was consistent with the requested PBS listing for NIVO + IPI in this submission.</w:t>
      </w:r>
    </w:p>
    <w:p w14:paraId="3EFB549E" w14:textId="77777777" w:rsidR="00F45E7D" w:rsidRDefault="0087463C">
      <w:pPr>
        <w:pStyle w:val="3-BodyText"/>
        <w:ind w:left="709"/>
      </w:pPr>
      <w:r>
        <w:t>NIVO + IPI combination therapy has been approved in the USA, EU, Canada, and Switzerland with no restrictions specific to the retreatment of melanoma after adjuvant PD-1 inhibitor therapy.</w:t>
      </w:r>
    </w:p>
    <w:p w14:paraId="4AE9FFFF" w14:textId="77777777" w:rsidR="00F45E7D" w:rsidRDefault="0087463C">
      <w:pPr>
        <w:pStyle w:val="4-SubsectionHeading"/>
      </w:pPr>
      <w:bookmarkStart w:id="18" w:name="_Toc22897639"/>
      <w:bookmarkStart w:id="19" w:name="_Toc112548512"/>
      <w:bookmarkStart w:id="20" w:name="_Toc114052251"/>
      <w:r>
        <w:t>Previous PBAC consideration</w:t>
      </w:r>
      <w:bookmarkEnd w:id="18"/>
      <w:bookmarkEnd w:id="19"/>
      <w:bookmarkEnd w:id="20"/>
    </w:p>
    <w:p w14:paraId="0E0EC83C" w14:textId="5A4879DE" w:rsidR="006722CE" w:rsidRDefault="0087463C" w:rsidP="006722CE">
      <w:pPr>
        <w:pStyle w:val="3-BodyText"/>
        <w:ind w:left="709"/>
      </w:pPr>
      <w:r>
        <w:t xml:space="preserve">NIVO + IPI combination therapy is currently listed on the PBS for the treatment of Stage III or Stage IV malignant melanoma. In November 2019, the PBAC indicated that it “...would be willing to review the six-month recurrence-free interval for retreatment if data was provided that supported the efficacy and cost-effectiveness of retreatment...” (paragraph 3.4, nivolumab </w:t>
      </w:r>
      <w:r w:rsidR="00E46860">
        <w:t>Public Summary Document (</w:t>
      </w:r>
      <w:r>
        <w:t>PSD</w:t>
      </w:r>
      <w:r w:rsidR="00E46860">
        <w:t>)</w:t>
      </w:r>
      <w:r>
        <w:t>, November 2019).</w:t>
      </w:r>
    </w:p>
    <w:p w14:paraId="085C5C2A" w14:textId="0150B467" w:rsidR="00F45E7D" w:rsidRPr="006722CE" w:rsidRDefault="006722CE" w:rsidP="006722CE">
      <w:pPr>
        <w:jc w:val="left"/>
        <w:rPr>
          <w:rFonts w:asciiTheme="minorHAnsi" w:eastAsiaTheme="minorHAnsi" w:hAnsiTheme="minorHAnsi" w:cstheme="minorBidi"/>
          <w:szCs w:val="22"/>
        </w:rPr>
      </w:pPr>
      <w:r>
        <w:br w:type="page"/>
      </w:r>
    </w:p>
    <w:p w14:paraId="68245D2B" w14:textId="77777777" w:rsidR="00F45E7D" w:rsidRDefault="0087463C" w:rsidP="00FD3C79">
      <w:pPr>
        <w:pStyle w:val="2-SectionHeading"/>
        <w:keepNext w:val="0"/>
      </w:pPr>
      <w:r>
        <w:t>Requested listing</w:t>
      </w:r>
    </w:p>
    <w:tbl>
      <w:tblPr>
        <w:tblW w:w="898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126"/>
        <w:gridCol w:w="7038"/>
      </w:tblGrid>
      <w:tr w:rsidR="00F45E7D" w14:paraId="7A581A08" w14:textId="77777777">
        <w:trPr>
          <w:trHeight w:val="424"/>
          <w:tblHeader/>
        </w:trPr>
        <w:tc>
          <w:tcPr>
            <w:tcW w:w="816" w:type="dxa"/>
            <w:tcMar>
              <w:left w:w="57" w:type="dxa"/>
              <w:right w:w="57" w:type="dxa"/>
            </w:tcMar>
          </w:tcPr>
          <w:p w14:paraId="56171D60" w14:textId="77777777" w:rsidR="00F45E7D" w:rsidRDefault="0087463C" w:rsidP="00FD3C79">
            <w:pPr>
              <w:keepLines/>
              <w:jc w:val="left"/>
              <w:rPr>
                <w:rFonts w:ascii="Arial Narrow" w:hAnsi="Arial Narrow" w:cstheme="majorHAnsi"/>
                <w:b/>
                <w:color w:val="000000"/>
                <w:sz w:val="20"/>
                <w:szCs w:val="20"/>
                <w:lang w:eastAsia="en-US"/>
              </w:rPr>
            </w:pPr>
            <w:r>
              <w:rPr>
                <w:rFonts w:ascii="Arial Narrow" w:hAnsi="Arial Narrow" w:cstheme="majorHAnsi"/>
                <w:b/>
                <w:color w:val="000000"/>
                <w:sz w:val="20"/>
                <w:szCs w:val="20"/>
                <w:lang w:eastAsia="en-US"/>
              </w:rPr>
              <w:t>Medicine</w:t>
            </w:r>
          </w:p>
        </w:tc>
        <w:tc>
          <w:tcPr>
            <w:tcW w:w="1126" w:type="dxa"/>
            <w:tcMar>
              <w:left w:w="57" w:type="dxa"/>
              <w:right w:w="57" w:type="dxa"/>
            </w:tcMar>
          </w:tcPr>
          <w:p w14:paraId="4FCED526" w14:textId="77777777" w:rsidR="00F45E7D" w:rsidRDefault="0087463C" w:rsidP="00FD3C79">
            <w:pPr>
              <w:keepLines/>
              <w:jc w:val="left"/>
              <w:rPr>
                <w:rFonts w:ascii="Arial Narrow" w:hAnsi="Arial Narrow" w:cstheme="majorHAnsi"/>
                <w:b/>
                <w:color w:val="000000"/>
                <w:sz w:val="20"/>
                <w:szCs w:val="20"/>
                <w:lang w:eastAsia="en-US"/>
              </w:rPr>
            </w:pPr>
            <w:r>
              <w:rPr>
                <w:rFonts w:ascii="Arial Narrow" w:hAnsi="Arial Narrow" w:cstheme="majorHAnsi"/>
                <w:b/>
                <w:color w:val="000000"/>
                <w:sz w:val="20"/>
                <w:szCs w:val="20"/>
                <w:lang w:eastAsia="en-US"/>
              </w:rPr>
              <w:t>Treatment phase</w:t>
            </w:r>
          </w:p>
        </w:tc>
        <w:tc>
          <w:tcPr>
            <w:tcW w:w="7038" w:type="dxa"/>
            <w:tcMar>
              <w:left w:w="57" w:type="dxa"/>
              <w:right w:w="57" w:type="dxa"/>
            </w:tcMar>
          </w:tcPr>
          <w:p w14:paraId="4CD3F483" w14:textId="77777777" w:rsidR="00F45E7D" w:rsidRDefault="0087463C" w:rsidP="00FD3C79">
            <w:pPr>
              <w:keepLines/>
              <w:jc w:val="left"/>
              <w:rPr>
                <w:rFonts w:ascii="Arial Narrow" w:hAnsi="Arial Narrow" w:cstheme="majorHAnsi"/>
                <w:b/>
                <w:color w:val="000000"/>
                <w:sz w:val="20"/>
                <w:szCs w:val="20"/>
                <w:lang w:eastAsia="en-US"/>
              </w:rPr>
            </w:pPr>
            <w:r>
              <w:rPr>
                <w:rFonts w:ascii="Arial Narrow" w:hAnsi="Arial Narrow" w:cstheme="majorHAnsi"/>
                <w:b/>
                <w:color w:val="000000"/>
                <w:sz w:val="20"/>
                <w:szCs w:val="20"/>
                <w:lang w:eastAsia="en-US"/>
              </w:rPr>
              <w:t>Clinical criteria (strikethrough = deletion, italics = addition)</w:t>
            </w:r>
          </w:p>
        </w:tc>
      </w:tr>
      <w:tr w:rsidR="00F45E7D" w14:paraId="549DBBD2" w14:textId="77777777">
        <w:trPr>
          <w:trHeight w:val="2725"/>
        </w:trPr>
        <w:tc>
          <w:tcPr>
            <w:tcW w:w="816" w:type="dxa"/>
            <w:tcMar>
              <w:left w:w="57" w:type="dxa"/>
              <w:right w:w="57" w:type="dxa"/>
            </w:tcMar>
          </w:tcPr>
          <w:p w14:paraId="20EB99F2"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NIVO</w:t>
            </w:r>
          </w:p>
          <w:p w14:paraId="097DA844" w14:textId="77777777" w:rsidR="00F45E7D" w:rsidRDefault="00F45E7D" w:rsidP="00FD3C79">
            <w:pPr>
              <w:keepLines/>
              <w:jc w:val="left"/>
              <w:rPr>
                <w:rFonts w:ascii="Arial Narrow" w:hAnsi="Arial Narrow" w:cstheme="majorHAnsi"/>
                <w:color w:val="000000"/>
                <w:sz w:val="20"/>
                <w:szCs w:val="20"/>
                <w:lang w:eastAsia="en-US"/>
              </w:rPr>
            </w:pPr>
          </w:p>
          <w:p w14:paraId="34ACF9E4"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PBS codes:</w:t>
            </w:r>
          </w:p>
          <w:p w14:paraId="6AFB7AB7"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11532Y</w:t>
            </w:r>
          </w:p>
          <w:p w14:paraId="4C9FA4FB"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11543M</w:t>
            </w:r>
          </w:p>
        </w:tc>
        <w:tc>
          <w:tcPr>
            <w:tcW w:w="1126" w:type="dxa"/>
            <w:tcMar>
              <w:left w:w="57" w:type="dxa"/>
              <w:right w:w="57" w:type="dxa"/>
            </w:tcMar>
          </w:tcPr>
          <w:p w14:paraId="23891D9B"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Induction</w:t>
            </w:r>
          </w:p>
        </w:tc>
        <w:tc>
          <w:tcPr>
            <w:tcW w:w="7038" w:type="dxa"/>
            <w:tcMar>
              <w:left w:w="57" w:type="dxa"/>
              <w:right w:w="57" w:type="dxa"/>
            </w:tcMar>
          </w:tcPr>
          <w:p w14:paraId="5E4196C7"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Patient must not have received prior treatment with ipilimumab or a PD-1 (programmed cell death-1) inhibitor for the treatment of unresectable Stage III or Stage IV malignant melanoma,</w:t>
            </w:r>
          </w:p>
          <w:p w14:paraId="15423779"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AND</w:t>
            </w:r>
          </w:p>
          <w:p w14:paraId="2856D501" w14:textId="77777777" w:rsidR="00F45E7D" w:rsidRDefault="0087463C" w:rsidP="00FD3C79">
            <w:pPr>
              <w:keepLines/>
              <w:jc w:val="left"/>
              <w:rPr>
                <w:rFonts w:ascii="Arial Narrow" w:hAnsi="Arial Narrow" w:cstheme="majorHAnsi"/>
                <w:strike/>
                <w:color w:val="000000"/>
                <w:sz w:val="20"/>
                <w:szCs w:val="20"/>
                <w:lang w:eastAsia="en-US"/>
              </w:rPr>
            </w:pPr>
            <w:r>
              <w:rPr>
                <w:rFonts w:ascii="Arial Narrow" w:hAnsi="Arial Narrow" w:cstheme="majorHAnsi"/>
                <w:strike/>
                <w:color w:val="000000"/>
                <w:sz w:val="20"/>
                <w:szCs w:val="20"/>
                <w:lang w:eastAsia="en-US"/>
              </w:rPr>
              <w:t>Patient must not have experienced disease progression whilst on adjuvant PD-1 inhibitor treatment or disease recurrence within 6 months of completion of adjuvant PD-1 inhibitor treatment if treated for resected Stage IIIB, IIIC, IIID or IV melanoma,</w:t>
            </w:r>
          </w:p>
          <w:p w14:paraId="26365C1C" w14:textId="77777777" w:rsidR="00F45E7D" w:rsidRDefault="0087463C" w:rsidP="00FD3C79">
            <w:pPr>
              <w:keepLines/>
              <w:jc w:val="left"/>
              <w:rPr>
                <w:rFonts w:ascii="Arial Narrow" w:hAnsi="Arial Narrow" w:cstheme="majorHAnsi"/>
                <w:strike/>
                <w:color w:val="000000"/>
                <w:sz w:val="20"/>
                <w:szCs w:val="20"/>
                <w:lang w:eastAsia="en-US"/>
              </w:rPr>
            </w:pPr>
            <w:r>
              <w:rPr>
                <w:rFonts w:ascii="Arial Narrow" w:hAnsi="Arial Narrow" w:cstheme="majorHAnsi"/>
                <w:strike/>
                <w:color w:val="000000"/>
                <w:sz w:val="20"/>
                <w:szCs w:val="20"/>
                <w:lang w:eastAsia="en-US"/>
              </w:rPr>
              <w:t>AND</w:t>
            </w:r>
          </w:p>
          <w:p w14:paraId="0E78625C"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Patient must have an Eastern Cooperative Oncology Group (ECOG) performance status of 0 or 1,</w:t>
            </w:r>
          </w:p>
          <w:p w14:paraId="3B622223"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AND</w:t>
            </w:r>
          </w:p>
          <w:p w14:paraId="3EC473D4"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The condition must not be ocular or uveal melanoma,</w:t>
            </w:r>
          </w:p>
          <w:p w14:paraId="119C6110"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AND</w:t>
            </w:r>
          </w:p>
          <w:p w14:paraId="37445C82"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The treatment must be in combination with PBS-subsidised treatment with ipilimumab as induction for this condition.</w:t>
            </w:r>
          </w:p>
        </w:tc>
      </w:tr>
      <w:tr w:rsidR="00F45E7D" w14:paraId="4F806C74" w14:textId="77777777">
        <w:trPr>
          <w:trHeight w:val="1686"/>
        </w:trPr>
        <w:tc>
          <w:tcPr>
            <w:tcW w:w="816" w:type="dxa"/>
            <w:tcMar>
              <w:left w:w="57" w:type="dxa"/>
              <w:right w:w="57" w:type="dxa"/>
            </w:tcMar>
          </w:tcPr>
          <w:p w14:paraId="423B43E7"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NIVO</w:t>
            </w:r>
          </w:p>
          <w:p w14:paraId="76A8BBDF" w14:textId="77777777" w:rsidR="00F45E7D" w:rsidRDefault="00F45E7D" w:rsidP="00FD3C79">
            <w:pPr>
              <w:keepLines/>
              <w:jc w:val="left"/>
              <w:rPr>
                <w:rFonts w:ascii="Arial Narrow" w:hAnsi="Arial Narrow" w:cstheme="majorHAnsi"/>
                <w:color w:val="000000"/>
                <w:sz w:val="20"/>
                <w:szCs w:val="20"/>
                <w:lang w:eastAsia="en-US"/>
              </w:rPr>
            </w:pPr>
          </w:p>
          <w:p w14:paraId="423C5ABD"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PBS codes: 10745M</w:t>
            </w:r>
          </w:p>
          <w:p w14:paraId="2071E0E6"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10748Q</w:t>
            </w:r>
          </w:p>
          <w:p w14:paraId="4BCDA208" w14:textId="77777777" w:rsidR="00F45E7D" w:rsidRDefault="00F45E7D" w:rsidP="00FD3C79">
            <w:pPr>
              <w:keepLines/>
              <w:jc w:val="left"/>
              <w:rPr>
                <w:rFonts w:ascii="Arial Narrow" w:hAnsi="Arial Narrow" w:cstheme="majorHAnsi"/>
                <w:color w:val="000000"/>
                <w:sz w:val="20"/>
                <w:szCs w:val="20"/>
                <w:lang w:eastAsia="en-US"/>
              </w:rPr>
            </w:pPr>
          </w:p>
        </w:tc>
        <w:tc>
          <w:tcPr>
            <w:tcW w:w="1126" w:type="dxa"/>
            <w:tcMar>
              <w:left w:w="57" w:type="dxa"/>
              <w:right w:w="57" w:type="dxa"/>
            </w:tcMar>
          </w:tcPr>
          <w:p w14:paraId="2ACDFBE0"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Maintenance</w:t>
            </w:r>
          </w:p>
        </w:tc>
        <w:tc>
          <w:tcPr>
            <w:tcW w:w="7038" w:type="dxa"/>
            <w:tcMar>
              <w:left w:w="57" w:type="dxa"/>
              <w:right w:w="57" w:type="dxa"/>
            </w:tcMar>
          </w:tcPr>
          <w:p w14:paraId="3B449A97"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Patient must have previously received of up to maximum 4 doses of PBS-subsidised combined therapy with nivolumab and ipilimumab as induction for this condition,</w:t>
            </w:r>
          </w:p>
          <w:p w14:paraId="51EB6101"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AND</w:t>
            </w:r>
          </w:p>
          <w:p w14:paraId="4DF54E83"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The treatment must be as monotherapy for this condition,</w:t>
            </w:r>
          </w:p>
          <w:p w14:paraId="56D1C7B0"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AND</w:t>
            </w:r>
          </w:p>
          <w:p w14:paraId="48E68B72" w14:textId="77777777" w:rsidR="00F45E7D" w:rsidRDefault="0087463C" w:rsidP="00FD3C79">
            <w:pPr>
              <w:keepLines/>
              <w:jc w:val="left"/>
              <w:rPr>
                <w:rFonts w:ascii="Arial Narrow" w:hAnsi="Arial Narrow" w:cstheme="majorHAnsi"/>
                <w:b/>
                <w:bCs/>
                <w:color w:val="000000"/>
                <w:sz w:val="20"/>
                <w:szCs w:val="20"/>
                <w:lang w:eastAsia="en-US"/>
              </w:rPr>
            </w:pPr>
            <w:r>
              <w:rPr>
                <w:rFonts w:ascii="Arial Narrow" w:hAnsi="Arial Narrow" w:cstheme="majorHAnsi"/>
                <w:color w:val="000000"/>
                <w:sz w:val="20"/>
                <w:szCs w:val="20"/>
                <w:lang w:eastAsia="en-US"/>
              </w:rPr>
              <w:t>Patient must not have developed disease progression while receiving PBS-subsidised treatment with this drug for</w:t>
            </w:r>
            <w:r>
              <w:rPr>
                <w:rFonts w:ascii="Arial Narrow" w:hAnsi="Arial Narrow" w:cstheme="majorHAnsi"/>
                <w:strike/>
                <w:color w:val="000000"/>
                <w:sz w:val="20"/>
                <w:szCs w:val="20"/>
                <w:lang w:eastAsia="en-US"/>
              </w:rPr>
              <w:t xml:space="preserve"> this</w:t>
            </w:r>
            <w:r>
              <w:rPr>
                <w:rFonts w:ascii="Arial Narrow" w:hAnsi="Arial Narrow" w:cstheme="majorHAnsi"/>
                <w:color w:val="000000"/>
                <w:sz w:val="20"/>
                <w:szCs w:val="20"/>
                <w:lang w:eastAsia="en-US"/>
              </w:rPr>
              <w:t xml:space="preserve"> </w:t>
            </w:r>
            <w:r>
              <w:rPr>
                <w:rFonts w:ascii="Arial Narrow" w:hAnsi="Arial Narrow" w:cstheme="majorHAnsi"/>
                <w:strike/>
                <w:color w:val="000000"/>
                <w:sz w:val="20"/>
                <w:szCs w:val="20"/>
                <w:lang w:eastAsia="en-US"/>
              </w:rPr>
              <w:t>condition</w:t>
            </w:r>
            <w:r>
              <w:rPr>
                <w:rFonts w:ascii="Arial Narrow" w:hAnsi="Arial Narrow" w:cstheme="majorHAnsi"/>
                <w:color w:val="000000"/>
                <w:sz w:val="20"/>
                <w:szCs w:val="20"/>
                <w:lang w:eastAsia="en-US"/>
              </w:rPr>
              <w:t xml:space="preserve">. </w:t>
            </w:r>
            <w:r>
              <w:rPr>
                <w:rFonts w:ascii="Arial Narrow" w:hAnsi="Arial Narrow" w:cstheme="majorHAnsi"/>
                <w:iCs/>
                <w:color w:val="000000"/>
                <w:sz w:val="20"/>
                <w:szCs w:val="20"/>
                <w:lang w:eastAsia="en-US"/>
              </w:rPr>
              <w:t>the treatment of unresectable Stage III or Stage IV malignant melanoma</w:t>
            </w:r>
            <w:r>
              <w:rPr>
                <w:rFonts w:ascii="Arial Narrow" w:hAnsi="Arial Narrow" w:cstheme="majorHAnsi"/>
                <w:b/>
                <w:bCs/>
                <w:color w:val="000000"/>
                <w:sz w:val="20"/>
                <w:szCs w:val="20"/>
                <w:lang w:eastAsia="en-US"/>
              </w:rPr>
              <w:t>.</w:t>
            </w:r>
          </w:p>
        </w:tc>
      </w:tr>
      <w:tr w:rsidR="00F45E7D" w14:paraId="105ABACB" w14:textId="77777777">
        <w:trPr>
          <w:trHeight w:val="2413"/>
        </w:trPr>
        <w:tc>
          <w:tcPr>
            <w:tcW w:w="816" w:type="dxa"/>
            <w:tcBorders>
              <w:top w:val="single" w:sz="4" w:space="0" w:color="auto"/>
              <w:left w:val="single" w:sz="4" w:space="0" w:color="auto"/>
              <w:right w:val="single" w:sz="4" w:space="0" w:color="auto"/>
            </w:tcBorders>
            <w:tcMar>
              <w:left w:w="57" w:type="dxa"/>
              <w:right w:w="57" w:type="dxa"/>
            </w:tcMar>
          </w:tcPr>
          <w:p w14:paraId="0CCD8864"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IPI</w:t>
            </w:r>
          </w:p>
          <w:p w14:paraId="43F62D88" w14:textId="77777777" w:rsidR="00F45E7D" w:rsidRDefault="00F45E7D" w:rsidP="00FD3C79">
            <w:pPr>
              <w:keepLines/>
              <w:jc w:val="left"/>
              <w:rPr>
                <w:rFonts w:ascii="Arial Narrow" w:hAnsi="Arial Narrow" w:cstheme="majorHAnsi"/>
                <w:color w:val="000000"/>
                <w:sz w:val="20"/>
                <w:szCs w:val="20"/>
                <w:lang w:eastAsia="en-US"/>
              </w:rPr>
            </w:pPr>
          </w:p>
          <w:p w14:paraId="563DA601"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PBS codes:</w:t>
            </w:r>
          </w:p>
          <w:p w14:paraId="161647E9"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2638W</w:t>
            </w:r>
          </w:p>
          <w:p w14:paraId="6FD17D6C"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2641B</w:t>
            </w:r>
          </w:p>
        </w:tc>
        <w:tc>
          <w:tcPr>
            <w:tcW w:w="1126" w:type="dxa"/>
            <w:tcBorders>
              <w:top w:val="single" w:sz="4" w:space="0" w:color="auto"/>
              <w:left w:val="single" w:sz="4" w:space="0" w:color="auto"/>
              <w:right w:val="single" w:sz="4" w:space="0" w:color="auto"/>
            </w:tcBorders>
            <w:tcMar>
              <w:left w:w="57" w:type="dxa"/>
              <w:right w:w="57" w:type="dxa"/>
            </w:tcMar>
          </w:tcPr>
          <w:p w14:paraId="52C598E3"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 xml:space="preserve">Induction </w:t>
            </w:r>
          </w:p>
        </w:tc>
        <w:tc>
          <w:tcPr>
            <w:tcW w:w="7038" w:type="dxa"/>
            <w:tcBorders>
              <w:top w:val="single" w:sz="4" w:space="0" w:color="auto"/>
              <w:left w:val="single" w:sz="4" w:space="0" w:color="auto"/>
              <w:right w:val="single" w:sz="4" w:space="0" w:color="auto"/>
            </w:tcBorders>
            <w:tcMar>
              <w:left w:w="57" w:type="dxa"/>
              <w:right w:w="57" w:type="dxa"/>
            </w:tcMar>
          </w:tcPr>
          <w:p w14:paraId="018711AA"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Patient must not have received prior treatment with ipilimumab or a PD-1 (programmed cell death-1) inhibitor for the treatment of unresectable Stage III or Stage IV malignant melanoma,</w:t>
            </w:r>
          </w:p>
          <w:p w14:paraId="35BD4807"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AND</w:t>
            </w:r>
          </w:p>
          <w:p w14:paraId="398100E6" w14:textId="77777777" w:rsidR="00F45E7D" w:rsidRDefault="0087463C" w:rsidP="00FD3C79">
            <w:pPr>
              <w:keepLines/>
              <w:jc w:val="left"/>
              <w:rPr>
                <w:rFonts w:ascii="Arial Narrow" w:hAnsi="Arial Narrow" w:cstheme="majorHAnsi"/>
                <w:strike/>
                <w:color w:val="000000"/>
                <w:sz w:val="20"/>
                <w:szCs w:val="20"/>
                <w:lang w:eastAsia="en-US"/>
              </w:rPr>
            </w:pPr>
            <w:r>
              <w:rPr>
                <w:rFonts w:ascii="Arial Narrow" w:hAnsi="Arial Narrow" w:cstheme="majorHAnsi"/>
                <w:strike/>
                <w:color w:val="000000"/>
                <w:sz w:val="20"/>
                <w:szCs w:val="20"/>
                <w:lang w:eastAsia="en-US"/>
              </w:rPr>
              <w:t>Patient must not have experienced disease progression whilst on adjuvant PD-1 inhibitor treatment or disease recurrence within 6 months of completion of adjuvant PD-1 inhibitor treatment if treated for resected Stage IIIB, IIIC, IIID or IV melanoma,</w:t>
            </w:r>
          </w:p>
          <w:p w14:paraId="250C3A05" w14:textId="77777777" w:rsidR="00F45E7D" w:rsidRDefault="0087463C" w:rsidP="00FD3C79">
            <w:pPr>
              <w:keepLines/>
              <w:jc w:val="left"/>
              <w:rPr>
                <w:rFonts w:ascii="Arial Narrow" w:hAnsi="Arial Narrow" w:cstheme="majorHAnsi"/>
                <w:strike/>
                <w:color w:val="000000"/>
                <w:sz w:val="20"/>
                <w:szCs w:val="20"/>
                <w:lang w:eastAsia="en-US"/>
              </w:rPr>
            </w:pPr>
            <w:r>
              <w:rPr>
                <w:rFonts w:ascii="Arial Narrow" w:hAnsi="Arial Narrow" w:cstheme="majorHAnsi"/>
                <w:strike/>
                <w:color w:val="000000"/>
                <w:sz w:val="20"/>
                <w:szCs w:val="20"/>
                <w:lang w:eastAsia="en-US"/>
              </w:rPr>
              <w:t>AND</w:t>
            </w:r>
          </w:p>
          <w:p w14:paraId="611A89B6"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Patient must have an Eastern Cooperative Oncology Group (ECOG) performance status of 0 or 1,</w:t>
            </w:r>
          </w:p>
          <w:p w14:paraId="5221F849"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AND</w:t>
            </w:r>
          </w:p>
          <w:p w14:paraId="7C3EFB4E"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The condition must not be ocular or uveal melanoma,</w:t>
            </w:r>
          </w:p>
          <w:p w14:paraId="173BEA08"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AND</w:t>
            </w:r>
          </w:p>
          <w:p w14:paraId="708DF0C5" w14:textId="77777777" w:rsidR="00F45E7D" w:rsidRDefault="0087463C" w:rsidP="00FD3C79">
            <w:pPr>
              <w:keepLines/>
              <w:jc w:val="left"/>
              <w:rPr>
                <w:rFonts w:ascii="Arial Narrow" w:hAnsi="Arial Narrow" w:cstheme="majorHAnsi"/>
                <w:color w:val="000000"/>
                <w:sz w:val="20"/>
                <w:szCs w:val="20"/>
                <w:lang w:eastAsia="en-US"/>
              </w:rPr>
            </w:pPr>
            <w:r>
              <w:rPr>
                <w:rFonts w:ascii="Arial Narrow" w:hAnsi="Arial Narrow" w:cstheme="majorHAnsi"/>
                <w:color w:val="000000"/>
                <w:sz w:val="20"/>
                <w:szCs w:val="20"/>
                <w:lang w:eastAsia="en-US"/>
              </w:rPr>
              <w:t>The treatment must be in combination with PBS-subsidised treatment with nivolumab as induction therapy for this condition.</w:t>
            </w:r>
          </w:p>
        </w:tc>
      </w:tr>
    </w:tbl>
    <w:p w14:paraId="03BCAFBA" w14:textId="77777777" w:rsidR="00F45E7D" w:rsidRDefault="0087463C" w:rsidP="00FD3C79">
      <w:pPr>
        <w:pStyle w:val="FooterTableFigure"/>
        <w:keepLines/>
      </w:pPr>
      <w:r>
        <w:t>Source: Table 9, p35 of the submission.</w:t>
      </w:r>
    </w:p>
    <w:p w14:paraId="78AE2BF6" w14:textId="77777777" w:rsidR="00F45E7D" w:rsidRDefault="0087463C" w:rsidP="00FD3C79">
      <w:pPr>
        <w:pStyle w:val="3-BodyText"/>
        <w:ind w:left="709"/>
      </w:pPr>
      <w:r>
        <w:t>The submission proposed removing the clinical criteria from the existing induction therapy listings for NIVO and IPI in the treatment of unresectable Stage III or IV malignant melanoma that prevent retreatment with PD-1 inhibitor-based therapy in patients who experienced disease recurrence in the adjuvant setting or within 6 months of completing adjuvant treatment.</w:t>
      </w:r>
    </w:p>
    <w:p w14:paraId="4CD981D0" w14:textId="77777777" w:rsidR="00F45E7D" w:rsidRDefault="0087463C">
      <w:pPr>
        <w:pStyle w:val="3-BodyText"/>
        <w:ind w:left="709"/>
        <w:rPr>
          <w:color w:val="FF0000"/>
        </w:rPr>
      </w:pPr>
      <w:r>
        <w:rPr>
          <w:iCs/>
        </w:rPr>
        <w:t xml:space="preserve">The requested restrictions were consistent with the respective TGA indications and the evidence presented. </w:t>
      </w:r>
    </w:p>
    <w:p w14:paraId="4F55F5BB" w14:textId="0F200725" w:rsidR="00F45E7D" w:rsidRDefault="0087463C">
      <w:pPr>
        <w:pStyle w:val="3-BodyText"/>
        <w:ind w:left="709"/>
      </w:pPr>
      <w:bookmarkStart w:id="21" w:name="_Ref120086641"/>
      <w:r>
        <w:lastRenderedPageBreak/>
        <w:t xml:space="preserve">The submission noted </w:t>
      </w:r>
      <w:r w:rsidRPr="006A317A">
        <w:t>that at the request of several Medical Oncologists, a</w:t>
      </w:r>
      <w:r>
        <w:t xml:space="preserve"> Patient Access Program - the Opdivo Melanoma Continuation Program (OMCP) - was opened in November 2020 across 62 hospitals. As of June </w:t>
      </w:r>
      <w:r w:rsidRPr="005C4627">
        <w:t xml:space="preserve">2022, </w:t>
      </w:r>
      <w:r w:rsidR="00E74AAB" w:rsidRPr="005C4627">
        <w:t>&lt; 500</w:t>
      </w:r>
      <w:r w:rsidRPr="005C4627">
        <w:t xml:space="preserve"> patients had enrolled in the program with an estimated </w:t>
      </w:r>
      <w:r w:rsidR="00E74AAB" w:rsidRPr="005C4627">
        <w:t>&lt; 500</w:t>
      </w:r>
      <w:r w:rsidRPr="005C4627">
        <w:t xml:space="preserve"> patients actively receiving treatment. The submission projected that at the time of PBS listing, </w:t>
      </w:r>
      <w:r w:rsidR="00E74AAB" w:rsidRPr="005C4627">
        <w:t>&lt; 500</w:t>
      </w:r>
      <w:r>
        <w:t xml:space="preserve"> patients would be eligible to transition to PBS-subsidised therapy.</w:t>
      </w:r>
      <w:bookmarkEnd w:id="21"/>
    </w:p>
    <w:p w14:paraId="2FC0F9BA" w14:textId="77777777" w:rsidR="00F45E7D" w:rsidRDefault="0087463C">
      <w:pPr>
        <w:pStyle w:val="3-BodyText"/>
        <w:ind w:left="709"/>
      </w:pPr>
      <w:r>
        <w:t>Therefore, a request for grandfather restrictions for the NIVO induction and maintenance treatment phases was presented to enable patients to switch from non-PBS subsidised therapy via the OMCP to PBS-subsidised therapy. The submission stated that a grandfather restriction would not be required for the IPI induction treatment phase.</w:t>
      </w:r>
    </w:p>
    <w:p w14:paraId="1939128A" w14:textId="0BA8C710" w:rsidR="00F45E7D" w:rsidRPr="00C96F4E" w:rsidRDefault="0087463C">
      <w:pPr>
        <w:pStyle w:val="3-BodyText"/>
        <w:ind w:left="709"/>
      </w:pPr>
      <w:r>
        <w:t>It was not anticipated that there would be flow-on changes to other PBS listed medicines (e.g. pembrolizumab (PEMBRO) or NIVO monotherapy) for this indication. The ESC</w:t>
      </w:r>
      <w:r>
        <w:rPr>
          <w:iCs/>
        </w:rPr>
        <w:t xml:space="preserve"> noted that as this submission does not include PD-1 inhibitor monotherapy, patients will not be able to access PEMBRO or NIVO monotherapy if they experience disease progression whilst on, or within 6 months of completing, adjuvant PD-1 inhibitor treatment.</w:t>
      </w:r>
    </w:p>
    <w:p w14:paraId="3D88F3ED" w14:textId="77777777" w:rsidR="00F45E7D" w:rsidRDefault="0087463C">
      <w:pPr>
        <w:pStyle w:val="3-BodyText"/>
        <w:numPr>
          <w:ilvl w:val="0"/>
          <w:numId w:val="0"/>
        </w:numPr>
        <w:ind w:left="709"/>
        <w:rPr>
          <w:i/>
          <w:iCs/>
        </w:rPr>
      </w:pPr>
      <w:r>
        <w:rPr>
          <w:i/>
          <w:iCs/>
        </w:rPr>
        <w:t>For more detail on PBAC’s view, see section 7 PBAC outcome.</w:t>
      </w:r>
    </w:p>
    <w:p w14:paraId="4A02A2FD" w14:textId="77777777" w:rsidR="00F45E7D" w:rsidRDefault="0087463C">
      <w:pPr>
        <w:pStyle w:val="2-SectionHeading"/>
      </w:pPr>
      <w:bookmarkStart w:id="22" w:name="_Toc112548514"/>
      <w:bookmarkStart w:id="23" w:name="_Toc114052253"/>
      <w:r>
        <w:t>Population and disease</w:t>
      </w:r>
      <w:bookmarkEnd w:id="22"/>
      <w:bookmarkEnd w:id="23"/>
    </w:p>
    <w:p w14:paraId="6233A038" w14:textId="77777777" w:rsidR="00F45E7D" w:rsidRDefault="0087463C">
      <w:pPr>
        <w:pStyle w:val="3-BodyText"/>
        <w:ind w:left="709"/>
      </w:pPr>
      <w:r>
        <w:t>Australia and New Zealand have the highest incidence and mortality rates from melanoma in the world</w:t>
      </w:r>
      <w:r>
        <w:rPr>
          <w:rStyle w:val="FootnoteReference"/>
        </w:rPr>
        <w:footnoteReference w:id="2"/>
      </w:r>
      <w:r>
        <w:t>. It has been estimated that the incidence of melanoma was 16,878 new cases in 2018, with 1,315 deaths</w:t>
      </w:r>
      <w:r>
        <w:rPr>
          <w:rStyle w:val="FootnoteReference"/>
        </w:rPr>
        <w:footnoteReference w:id="3"/>
      </w:r>
      <w:r>
        <w:t>. Based on 2011-2016 data, the overall 5-year survival rate of patients diagnosed with Stage III and IV melanoma was approximately 61.1% and 26.2%, respectively</w:t>
      </w:r>
      <w:r>
        <w:rPr>
          <w:rStyle w:val="FootnoteReference"/>
        </w:rPr>
        <w:footnoteReference w:id="4"/>
      </w:r>
      <w:r>
        <w:t>.</w:t>
      </w:r>
    </w:p>
    <w:p w14:paraId="71967C27" w14:textId="77777777" w:rsidR="00F45E7D" w:rsidRDefault="0087463C">
      <w:pPr>
        <w:pStyle w:val="3-BodyText"/>
        <w:ind w:left="709"/>
      </w:pPr>
      <w:r>
        <w:t xml:space="preserve">The target population includes patients who are currently ineligible to receive PD-1 inhibitor treatment for Stage III or IV malignant melanoma due to their prior exposure to PD-1 inhibitors in the adjuvant setting. These patients have experienced disease recurrence while receiving adjuvant PD-1 inhibitor treatment </w:t>
      </w:r>
      <w:r>
        <w:lastRenderedPageBreak/>
        <w:t>or melanoma recurrence within 6 months of completion of adjuvant PD-1 inhibitor treatment.</w:t>
      </w:r>
    </w:p>
    <w:p w14:paraId="3525CF04" w14:textId="2C37CDB1" w:rsidR="00F45E7D" w:rsidRDefault="0087463C">
      <w:pPr>
        <w:pStyle w:val="3-BodyText"/>
        <w:ind w:left="709"/>
      </w:pPr>
      <w:r>
        <w:fldChar w:fldCharType="begin"/>
      </w:r>
      <w:r>
        <w:instrText xml:space="preserve"> REF _Ref112043703 \h </w:instrText>
      </w:r>
      <w:r>
        <w:fldChar w:fldCharType="separate"/>
      </w:r>
      <w:r w:rsidR="00D8701A">
        <w:t xml:space="preserve">Figure </w:t>
      </w:r>
      <w:r w:rsidR="00D8701A">
        <w:rPr>
          <w:noProof/>
        </w:rPr>
        <w:t>1</w:t>
      </w:r>
      <w:r>
        <w:fldChar w:fldCharType="end"/>
      </w:r>
      <w:r>
        <w:t xml:space="preserve"> illustrates the current and proposed treatment options for patients diagnosed with “unresectable Stage III or IV malignant melanoma” and the impact of prior adjuvant therapy on the treatments available to patients. BRAF-WT patients can receive IPI monotherapy and BRAF-MT patients can receive either IPI monotherapy or BRAFi treatment. The submission proposed that NIVO + IPI be made available to both BRAF-WT and BRAF-MT patients who have received adjuvant PD-1 inhibitor monotherapy and experienced disease recurrence/progression while either receiving treatment or within 6 months of completing treatment.</w:t>
      </w:r>
    </w:p>
    <w:p w14:paraId="0683A732" w14:textId="2CA9C1B6" w:rsidR="00F45E7D" w:rsidRDefault="0087463C">
      <w:pPr>
        <w:pStyle w:val="3-BodyText"/>
        <w:ind w:left="709"/>
      </w:pPr>
      <w:r>
        <w:rPr>
          <w:iCs/>
        </w:rPr>
        <w:t xml:space="preserve">No sources were cited for the current treatment algorithm provided in the submission. </w:t>
      </w:r>
      <w:r>
        <w:t>The submission stated that “Local treatment guidelines</w:t>
      </w:r>
      <w:r>
        <w:rPr>
          <w:rStyle w:val="FootnoteReference"/>
        </w:rPr>
        <w:footnoteReference w:id="5"/>
      </w:r>
      <w:r>
        <w:t xml:space="preserve"> and the National Comprehensive Cancer Network (NCCN) guidelines</w:t>
      </w:r>
      <w:r>
        <w:rPr>
          <w:rStyle w:val="FootnoteReference"/>
        </w:rPr>
        <w:footnoteReference w:id="6"/>
      </w:r>
      <w:r>
        <w:t xml:space="preserve"> do not make specific reference to the sequencing of adjuvant and metastatic systemic therapies.”</w:t>
      </w:r>
      <w:r>
        <w:rPr>
          <w:iCs/>
        </w:rPr>
        <w:t xml:space="preserve"> </w:t>
      </w:r>
      <w:r>
        <w:t>The submission notes, however, that the European Society for Medical Oncology (ESMO) consensus conference recommendations for the management of metastatic melanoma</w:t>
      </w:r>
      <w:r>
        <w:rPr>
          <w:rStyle w:val="FootnoteReference"/>
        </w:rPr>
        <w:footnoteReference w:id="7"/>
      </w:r>
      <w:r>
        <w:t xml:space="preserve"> recommended that NIVO + IPI be included as a treatment </w:t>
      </w:r>
      <w:r w:rsidR="00E101C8">
        <w:t xml:space="preserve">option </w:t>
      </w:r>
      <w:r>
        <w:t>for BRAF-MT and BRAF-WT patients who have relapsed on PD-1 inhibitor treatment or within 6 months after completing treatment.</w:t>
      </w:r>
    </w:p>
    <w:p w14:paraId="03B1DB5F" w14:textId="77777777" w:rsidR="00F45E7D" w:rsidRDefault="0087463C">
      <w:pPr>
        <w:pStyle w:val="3-BodyText"/>
        <w:ind w:left="709"/>
        <w:rPr>
          <w:iCs/>
        </w:rPr>
      </w:pPr>
      <w:r>
        <w:rPr>
          <w:iCs/>
        </w:rPr>
        <w:t>The ESC considered that the clinical algorithm presented was reasonable and was likely representative of the non-unidirectional and evolving nature of melanoma treatment in Australia.</w:t>
      </w:r>
    </w:p>
    <w:p w14:paraId="59397373" w14:textId="659DD6FA" w:rsidR="00F45E7D" w:rsidRDefault="0087463C">
      <w:pPr>
        <w:pStyle w:val="TableFigureHeading"/>
      </w:pPr>
      <w:bookmarkStart w:id="24" w:name="_Ref112043703"/>
      <w:bookmarkStart w:id="25" w:name="_Toc107845801"/>
      <w:r>
        <w:t xml:space="preserve">Figure </w:t>
      </w:r>
      <w:r w:rsidR="00D8701A">
        <w:fldChar w:fldCharType="begin"/>
      </w:r>
      <w:r w:rsidR="00D8701A">
        <w:instrText xml:space="preserve"> SEQ Figure \* ARABIC </w:instrText>
      </w:r>
      <w:r w:rsidR="00D8701A">
        <w:fldChar w:fldCharType="separate"/>
      </w:r>
      <w:r w:rsidR="00D8701A">
        <w:rPr>
          <w:noProof/>
        </w:rPr>
        <w:t>1</w:t>
      </w:r>
      <w:r w:rsidR="00D8701A">
        <w:fldChar w:fldCharType="end"/>
      </w:r>
      <w:bookmarkEnd w:id="24"/>
      <w:r>
        <w:t xml:space="preserve">: </w:t>
      </w:r>
      <w:bookmarkEnd w:id="25"/>
      <w:r>
        <w:t>Current (and proposed) treatment algorithm for patients with unresectable Stage III or IV malignant melanoma who have progressed on, or within 6 months of completing, adjuvant PD-1 inhibitor therapy</w:t>
      </w:r>
    </w:p>
    <w:p w14:paraId="1C8D85FB" w14:textId="402D0A14" w:rsidR="00890FBE" w:rsidRDefault="00890FBE">
      <w:pPr>
        <w:pStyle w:val="TableText0"/>
      </w:pPr>
      <w:r>
        <w:rPr>
          <w:noProof/>
        </w:rPr>
        <w:drawing>
          <wp:inline distT="0" distB="0" distL="0" distR="0" wp14:anchorId="0713E39F" wp14:editId="766F8D47">
            <wp:extent cx="5495290" cy="4942840"/>
            <wp:effectExtent l="0" t="0" r="0" b="0"/>
            <wp:docPr id="1" name="Picture 1" descr="Figure 1: Current (and proposed) treatment algorithm for patients with unresectable Stage III or IV malignant melanoma who have progressed on, or within 6 months of completing, adjuvant PD-1 inhibitor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Current (and proposed) treatment algorithm for patients with unresectable Stage III or IV malignant melanoma who have progressed on, or within 6 months of completing, adjuvant PD-1 inhibitor thera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290" cy="4942840"/>
                    </a:xfrm>
                    <a:prstGeom prst="rect">
                      <a:avLst/>
                    </a:prstGeom>
                    <a:noFill/>
                  </pic:spPr>
                </pic:pic>
              </a:graphicData>
            </a:graphic>
          </wp:inline>
        </w:drawing>
      </w:r>
    </w:p>
    <w:p w14:paraId="3021575C" w14:textId="756E1E4E" w:rsidR="00F45E7D" w:rsidRDefault="0087463C">
      <w:pPr>
        <w:pStyle w:val="TableText0"/>
      </w:pPr>
      <w:r>
        <w:t>Source: Figure 8, p28 of the submission.</w:t>
      </w:r>
    </w:p>
    <w:p w14:paraId="0A211F52" w14:textId="77777777" w:rsidR="00F45E7D" w:rsidRDefault="0087463C">
      <w:pPr>
        <w:pStyle w:val="TableText0"/>
      </w:pPr>
      <w:r>
        <w:t>BRAFi = BRAF inhibitors; IPI = ipilimumab; NIVO = nivolumab; PD-1 = programmed death-1.</w:t>
      </w:r>
    </w:p>
    <w:p w14:paraId="33BB376D" w14:textId="77777777" w:rsidR="00F45E7D" w:rsidRDefault="0087463C">
      <w:pPr>
        <w:pStyle w:val="TableText0"/>
      </w:pPr>
      <w:r>
        <w:t>BRAF/MEK agents include: dabrafenib + trametinib, vemurafenib + cobimetinib, encorafenib + binimetinib.</w:t>
      </w:r>
    </w:p>
    <w:p w14:paraId="304A11A3" w14:textId="77777777" w:rsidR="00F45E7D" w:rsidRDefault="00F45E7D">
      <w:pPr>
        <w:pStyle w:val="TableText0"/>
      </w:pPr>
    </w:p>
    <w:p w14:paraId="2493672B" w14:textId="77777777" w:rsidR="00F45E7D" w:rsidRDefault="0087463C">
      <w:pPr>
        <w:pStyle w:val="3-BodyText"/>
        <w:numPr>
          <w:ilvl w:val="0"/>
          <w:numId w:val="0"/>
        </w:numPr>
        <w:ind w:left="709"/>
        <w:rPr>
          <w:i/>
          <w:iCs/>
        </w:rPr>
      </w:pPr>
      <w:r>
        <w:rPr>
          <w:i/>
          <w:iCs/>
        </w:rPr>
        <w:t>For more detail on PBAC’s view, see section 7 PBAC outcome.</w:t>
      </w:r>
    </w:p>
    <w:p w14:paraId="45E9A500" w14:textId="77777777" w:rsidR="00F45E7D" w:rsidRDefault="0087463C">
      <w:pPr>
        <w:pStyle w:val="2-SectionHeading"/>
      </w:pPr>
      <w:bookmarkStart w:id="26" w:name="_Toc112548515"/>
      <w:bookmarkStart w:id="27" w:name="_Toc114052254"/>
      <w:r>
        <w:lastRenderedPageBreak/>
        <w:t>Comparator</w:t>
      </w:r>
      <w:bookmarkEnd w:id="26"/>
      <w:bookmarkEnd w:id="27"/>
    </w:p>
    <w:p w14:paraId="2F6BDCAC" w14:textId="77777777" w:rsidR="00F45E7D" w:rsidRDefault="0087463C">
      <w:pPr>
        <w:pStyle w:val="3-BodyText"/>
        <w:ind w:left="709"/>
      </w:pPr>
      <w:r>
        <w:t>The submission nominated IPI monotherapy as the main comparator and BRAFi as a secondary clinical comparator. The main arguments were that:</w:t>
      </w:r>
    </w:p>
    <w:p w14:paraId="57FD8CFF" w14:textId="77777777" w:rsidR="00F45E7D" w:rsidRDefault="0087463C">
      <w:pPr>
        <w:pStyle w:val="3-BodyText"/>
        <w:numPr>
          <w:ilvl w:val="0"/>
          <w:numId w:val="8"/>
        </w:numPr>
      </w:pPr>
      <w:r>
        <w:t>IPI monotherapy is PBS-listed for both BRAF-WT and BRAF-MT patients in the metastatic setting. The submission estimated that 62.3% of patients have BRAF-WT and 37.7% have BRAF-MT. As most BRAF-MT patients that have received PD-1 inhibitor monotherapy in the adjuvant setting are eligible for BRAFi in the metastatic setting, the submission estimated that 6% of BRAF-MT patients would be eligible to receive IPI monotherapy treatment only. Therefore, it was estimated that 65% of all patients can only receive IPI in the proposed setting, making IPI the predominant treatment available and the appropriate main clinical comparator.</w:t>
      </w:r>
    </w:p>
    <w:p w14:paraId="3516FCA9" w14:textId="77777777" w:rsidR="00F45E7D" w:rsidRDefault="0087463C">
      <w:pPr>
        <w:pStyle w:val="3-BodyText"/>
        <w:numPr>
          <w:ilvl w:val="0"/>
          <w:numId w:val="0"/>
        </w:numPr>
        <w:ind w:left="709"/>
        <w:rPr>
          <w:iCs/>
        </w:rPr>
      </w:pPr>
      <w:r>
        <w:t>The ESC considered that</w:t>
      </w:r>
      <w:r>
        <w:rPr>
          <w:iCs/>
        </w:rPr>
        <w:t xml:space="preserve"> the nominated primary and secondary comparators were appropriate.</w:t>
      </w:r>
    </w:p>
    <w:p w14:paraId="4DE7BA0F" w14:textId="77777777" w:rsidR="00F45E7D" w:rsidRDefault="0087463C">
      <w:pPr>
        <w:pStyle w:val="3-BodyText"/>
        <w:numPr>
          <w:ilvl w:val="0"/>
          <w:numId w:val="0"/>
        </w:numPr>
        <w:ind w:left="709"/>
        <w:rPr>
          <w:i/>
          <w:iCs/>
        </w:rPr>
      </w:pPr>
      <w:r>
        <w:rPr>
          <w:i/>
          <w:iCs/>
        </w:rPr>
        <w:t>For more detail on PBAC’s view, see section 7 PBAC outcome.</w:t>
      </w:r>
    </w:p>
    <w:p w14:paraId="4DD9A30C" w14:textId="77777777" w:rsidR="00F45E7D" w:rsidRDefault="0087463C">
      <w:pPr>
        <w:pStyle w:val="2-SectionHeading"/>
      </w:pPr>
      <w:bookmarkStart w:id="28" w:name="_Toc112548516"/>
      <w:bookmarkStart w:id="29" w:name="_Toc114052255"/>
      <w:bookmarkStart w:id="30" w:name="_Toc22897640"/>
      <w:r>
        <w:t>Consideration of the evidence</w:t>
      </w:r>
      <w:bookmarkEnd w:id="28"/>
      <w:bookmarkEnd w:id="29"/>
    </w:p>
    <w:p w14:paraId="3150D5C8" w14:textId="77777777" w:rsidR="00F45E7D" w:rsidRDefault="0087463C">
      <w:pPr>
        <w:pStyle w:val="4-SubsectionHeading"/>
      </w:pPr>
      <w:bookmarkStart w:id="31" w:name="_Toc112548517"/>
      <w:bookmarkStart w:id="32" w:name="_Toc114052256"/>
      <w:r>
        <w:t>Sponsor hearing</w:t>
      </w:r>
    </w:p>
    <w:p w14:paraId="05262C02" w14:textId="77777777" w:rsidR="00F45E7D" w:rsidRDefault="0087463C">
      <w:pPr>
        <w:pStyle w:val="3-BodyText"/>
      </w:pPr>
      <w:r>
        <w:t xml:space="preserve">The sponsor submitted a clinician statement from key Australian opinion leaders in the field of melanoma medical oncology which strongly supported the submission. </w:t>
      </w:r>
    </w:p>
    <w:p w14:paraId="2472EDBE" w14:textId="77777777" w:rsidR="00F45E7D" w:rsidRDefault="0087463C">
      <w:pPr>
        <w:pStyle w:val="4-SubsectionHeading"/>
      </w:pPr>
      <w:r>
        <w:t>Consumer comments</w:t>
      </w:r>
    </w:p>
    <w:p w14:paraId="68176185" w14:textId="77777777" w:rsidR="00F45E7D" w:rsidRDefault="0087463C">
      <w:pPr>
        <w:pStyle w:val="3-BodyText"/>
      </w:pPr>
      <w:r>
        <w:t>The PBAC noted and welcomed the input from individuals (1), health care professionals (6) and organisations (2) via the Consumer Comments facility on the PBS website.</w:t>
      </w:r>
    </w:p>
    <w:p w14:paraId="640520CD" w14:textId="54EDBB3B" w:rsidR="00F45E7D" w:rsidRDefault="0087463C">
      <w:pPr>
        <w:pStyle w:val="3-BodyText"/>
      </w:pPr>
      <w:r>
        <w:t xml:space="preserve">The input received from health professionals </w:t>
      </w:r>
      <w:r w:rsidR="00162E97">
        <w:t xml:space="preserve">claimed </w:t>
      </w:r>
      <w:r>
        <w:t>that patients whose melanoma progresses on adjuvant therapy have better clinical outcomes on combination therapy (NIVO + IPI) than on IPI monotherapy, despite the increased incidence of adverse events. The comments stated that although adjuvant-resistant patients can receive combination therapy via compassionate access programs or clinical trials, the PBS listing of NIVO + IPI would significantly impact the lives of those in rural or remote areas.</w:t>
      </w:r>
      <w:r w:rsidR="00DB6C7B">
        <w:t xml:space="preserve"> One health professional drew attention to the </w:t>
      </w:r>
      <w:r w:rsidR="00CF4409">
        <w:t xml:space="preserve">CT013 - </w:t>
      </w:r>
      <w:r w:rsidR="00894C23">
        <w:t xml:space="preserve">S1616 randomised phase 2 trial which compared </w:t>
      </w:r>
      <w:r w:rsidR="00A50BCB">
        <w:t xml:space="preserve">NIVO + IPI to IPI monotherapy </w:t>
      </w:r>
      <w:r w:rsidR="00A50BCB">
        <w:lastRenderedPageBreak/>
        <w:t>after progression on PD1 inhibitor therapy</w:t>
      </w:r>
      <w:r w:rsidR="00CF4409">
        <w:rPr>
          <w:rStyle w:val="FootnoteReference"/>
        </w:rPr>
        <w:footnoteReference w:id="8"/>
      </w:r>
      <w:r w:rsidR="00CF4409">
        <w:t>. P</w:t>
      </w:r>
      <w:r w:rsidR="00A50BCB">
        <w:t xml:space="preserve">reliminary results presented at 2022 </w:t>
      </w:r>
      <w:r w:rsidR="00CF4409">
        <w:t>American Association for Cancer Research annual meeting</w:t>
      </w:r>
      <w:r w:rsidR="00A50BCB">
        <w:t xml:space="preserve"> demonstrated </w:t>
      </w:r>
      <w:r w:rsidR="00A126A3">
        <w:t xml:space="preserve">improvement in response rate and progression-free survival but no overall survival benefit for the combination </w:t>
      </w:r>
      <w:r w:rsidR="00627FF2">
        <w:t>versus monotherapy</w:t>
      </w:r>
      <w:r w:rsidR="00A126A3">
        <w:t>.</w:t>
      </w:r>
    </w:p>
    <w:p w14:paraId="33C8517C" w14:textId="77777777" w:rsidR="00F45E7D" w:rsidRDefault="0087463C">
      <w:pPr>
        <w:pStyle w:val="3-BodyText"/>
      </w:pPr>
      <w:r>
        <w:t>The input received from an individual undergoing NIVO + IPI treatment described the positive effects of treatment on disease progression and quality of life. While the individual experienced mild side effects, the input noted that the benefits of combination treatment outweighed the adverse events.</w:t>
      </w:r>
    </w:p>
    <w:p w14:paraId="26EAC2F0" w14:textId="5B7B12EC" w:rsidR="00F45E7D" w:rsidRDefault="0087463C">
      <w:pPr>
        <w:pStyle w:val="3-BodyText"/>
      </w:pPr>
      <w:r>
        <w:t>The Medical Oncology Group of Australia (MOGA) also expressed its support for the NIVO + IPI submission</w:t>
      </w:r>
      <w:r w:rsidR="00D37BAA">
        <w:t xml:space="preserve"> noting high unmet need and suggesting wider access on grounds of equity given international guidelines</w:t>
      </w:r>
      <w:r>
        <w:t>. The PBAC noted that the MOGA presented a European Society for Medical Oncology Magnitude of Clinical Benefit Scale (ESMO-MCBS) for NVIO + IPI, which was limited to 2 (out of a maximum of 5, where 5 and 4 represent the grades with substantial improvement)</w:t>
      </w:r>
      <w:r>
        <w:rPr>
          <w:rStyle w:val="FootnoteReference"/>
        </w:rPr>
        <w:footnoteReference w:id="9"/>
      </w:r>
      <w:r>
        <w:t xml:space="preserve">, based on a comparison with IPI monotherapy. The Melanoma &amp; Skin Cancer Advocacy Network (MSCAN) also expressed its support for the NIVO + IPI submission. </w:t>
      </w:r>
    </w:p>
    <w:p w14:paraId="17453034" w14:textId="77777777" w:rsidR="00F45E7D" w:rsidRDefault="0087463C">
      <w:pPr>
        <w:pStyle w:val="4-SubsectionHeading"/>
      </w:pPr>
      <w:r>
        <w:t xml:space="preserve">Clinical </w:t>
      </w:r>
      <w:bookmarkEnd w:id="30"/>
      <w:bookmarkEnd w:id="31"/>
      <w:r>
        <w:t>studies</w:t>
      </w:r>
      <w:bookmarkEnd w:id="32"/>
    </w:p>
    <w:p w14:paraId="54570B83" w14:textId="77777777" w:rsidR="00F45E7D" w:rsidRDefault="0087463C">
      <w:pPr>
        <w:pStyle w:val="3-BodyText"/>
        <w:ind w:left="709"/>
      </w:pPr>
      <w:r>
        <w:t>The clinical data presented in the submission was sourced from two retrospective, cohort studies:</w:t>
      </w:r>
    </w:p>
    <w:p w14:paraId="2A618B84" w14:textId="77777777" w:rsidR="00F45E7D" w:rsidRDefault="0087463C">
      <w:pPr>
        <w:pStyle w:val="3-BodyText"/>
        <w:numPr>
          <w:ilvl w:val="0"/>
          <w:numId w:val="5"/>
        </w:numPr>
      </w:pPr>
      <w:r>
        <w:t>da Silva et al (2021), for the main comparison versus IPI monotherapy. This was a non-randomised, multicentre, international, retrospective, cohort study, that included adults (18+ years) with unresectable Stage III or IV metastatic melanoma who were resistant to PD-1 inhibitor and who then received either IPI monotherapy or IPI plus PD-1 inhibitor (PEMBRO or NIVO).</w:t>
      </w:r>
    </w:p>
    <w:p w14:paraId="7B320225" w14:textId="77777777" w:rsidR="00F45E7D" w:rsidRDefault="0087463C">
      <w:pPr>
        <w:pStyle w:val="3-BodyText"/>
        <w:numPr>
          <w:ilvl w:val="0"/>
          <w:numId w:val="5"/>
        </w:numPr>
      </w:pPr>
      <w:r>
        <w:t xml:space="preserve">Owen et al (2020), for the secondary comparison versus BRAFi. This was a multicentre, international, retrospective, cohort study, that included patients with unresectable Stage III or IV metastatic melanoma who received at least one dose of adjuvant PD-1 inhibitor and experienced melanoma recurrence, who then received either (1) IPI </w:t>
      </w:r>
      <w:r>
        <w:rPr>
          <w:rFonts w:cstheme="minorHAnsi"/>
        </w:rPr>
        <w:t xml:space="preserve">monotherapy or (2) IPI plus </w:t>
      </w:r>
      <w:r>
        <w:t>PD-1 inhibitor or (3) BRAF/MEKi or (4) PD-1 inhibitor or (5) PD-(L)1 plus novel agent.</w:t>
      </w:r>
    </w:p>
    <w:p w14:paraId="48893250" w14:textId="77777777" w:rsidR="00F45E7D" w:rsidRDefault="0087463C">
      <w:pPr>
        <w:pStyle w:val="3-BodyText"/>
        <w:ind w:left="709"/>
        <w:rPr>
          <w:iCs/>
        </w:rPr>
      </w:pPr>
      <w:r>
        <w:t>The submission relied on one other study, CheckMate 067 (</w:t>
      </w:r>
      <w:r>
        <w:rPr>
          <w:iCs/>
        </w:rPr>
        <w:t>also known as CA209-067</w:t>
      </w:r>
      <w:r>
        <w:t xml:space="preserve"> or CM-067, references: </w:t>
      </w:r>
      <w:r>
        <w:rPr>
          <w:iCs/>
        </w:rPr>
        <w:t>Larkins et al 2015, Larkins et al 2019,</w:t>
      </w:r>
      <w:r>
        <w:t xml:space="preserve"> Wolchok et al </w:t>
      </w:r>
      <w:r>
        <w:lastRenderedPageBreak/>
        <w:t xml:space="preserve">2021, Hodi et al 2022), as a basis for the proposed price in lieu of an economic analysis and in sensitivity analyses for treatment doses and duration when assessing the financial impacts. </w:t>
      </w:r>
      <w:r>
        <w:rPr>
          <w:iCs/>
        </w:rPr>
        <w:t>In CheckMate 067, patients with previously untreated advanced melanoma were randomised to receive NIVO + IPI induction followed by NIVO maintenance, or NIVO + IPI-matched placebo, or NIVO-matched placebo + IPI, and followed up for at least 60 months.</w:t>
      </w:r>
    </w:p>
    <w:p w14:paraId="525BFE0E" w14:textId="77777777" w:rsidR="00F45E7D" w:rsidRDefault="0087463C">
      <w:pPr>
        <w:pStyle w:val="ListParagraph"/>
        <w:jc w:val="both"/>
      </w:pPr>
      <w:r>
        <w:t>CheckMate 067 has a different treatment population from the target population of the submission. Therefore, it was appropriately excluded as a study that provides clinical evidence in the submission.</w:t>
      </w:r>
    </w:p>
    <w:p w14:paraId="2E2E3481" w14:textId="77777777" w:rsidR="00F45E7D" w:rsidRDefault="0087463C">
      <w:pPr>
        <w:pStyle w:val="ListParagraph"/>
        <w:jc w:val="both"/>
      </w:pPr>
      <w:r>
        <w:t>CheckMate 067 provided the clinical evidence for the listing of NIVO + IPI combination therapy for patients with unresectable Stage III and IV melanoma (NIVO PSD, November 2019).</w:t>
      </w:r>
    </w:p>
    <w:p w14:paraId="5ACF1145" w14:textId="77777777" w:rsidR="00D8701A" w:rsidRPr="00111D39" w:rsidRDefault="0087463C" w:rsidP="00D8701A">
      <w:pPr>
        <w:pStyle w:val="3-BodyText"/>
        <w:ind w:left="709"/>
      </w:pPr>
      <w:r>
        <w:t xml:space="preserve">The studies used to provide clinical evidence in the submission are described in </w:t>
      </w:r>
      <w:r>
        <w:fldChar w:fldCharType="begin"/>
      </w:r>
      <w:r>
        <w:instrText xml:space="preserve"> REF _Ref112043485 \h  \* MERGEFORMAT </w:instrText>
      </w:r>
      <w:r>
        <w:fldChar w:fldCharType="separate"/>
      </w:r>
      <w:r w:rsidR="00D8701A">
        <w:t>Table 2</w:t>
      </w:r>
      <w:r>
        <w:fldChar w:fldCharType="end"/>
      </w:r>
      <w:r>
        <w:t xml:space="preserve"> and </w:t>
      </w:r>
      <w:r>
        <w:fldChar w:fldCharType="begin"/>
      </w:r>
      <w:r>
        <w:instrText xml:space="preserve"> REF _Ref112043455 \h  \* MERGEFORMAT </w:instrText>
      </w:r>
      <w:r>
        <w:fldChar w:fldCharType="separate"/>
      </w:r>
    </w:p>
    <w:p w14:paraId="3DA11566" w14:textId="4266D637" w:rsidR="00F45E7D" w:rsidRDefault="00D8701A">
      <w:pPr>
        <w:pStyle w:val="3-BodyText"/>
        <w:ind w:left="709"/>
        <w:rPr>
          <w:iCs/>
        </w:rPr>
      </w:pPr>
      <w:r w:rsidRPr="00111D39">
        <w:t xml:space="preserve">Table </w:t>
      </w:r>
      <w:r>
        <w:rPr>
          <w:noProof/>
        </w:rPr>
        <w:t>3</w:t>
      </w:r>
      <w:r w:rsidR="0087463C">
        <w:fldChar w:fldCharType="end"/>
      </w:r>
      <w:r w:rsidR="0087463C">
        <w:t>. Both studies were non-randomised cohort studies and therefore at a high risk of bias. Although t</w:t>
      </w:r>
      <w:r w:rsidR="0087463C">
        <w:rPr>
          <w:iCs/>
        </w:rPr>
        <w:t>here was a high risk of selection bias, performance bias and detection bias</w:t>
      </w:r>
      <w:r w:rsidR="0087463C">
        <w:t xml:space="preserve"> </w:t>
      </w:r>
      <w:r w:rsidR="0087463C">
        <w:rPr>
          <w:iCs/>
        </w:rPr>
        <w:t>found in the studies, the magnitude and direction of the biases could not be determined.</w:t>
      </w:r>
    </w:p>
    <w:p w14:paraId="67BED068" w14:textId="6B07962A" w:rsidR="00F45E7D" w:rsidRDefault="0087463C" w:rsidP="00FD3C79">
      <w:pPr>
        <w:pStyle w:val="TableFigureHeading"/>
        <w:keepNext w:val="0"/>
      </w:pPr>
      <w:bookmarkStart w:id="33" w:name="_Ref112043485"/>
      <w:r>
        <w:t xml:space="preserve">Table </w:t>
      </w:r>
      <w:r w:rsidR="00D8701A">
        <w:fldChar w:fldCharType="begin"/>
      </w:r>
      <w:r w:rsidR="00D8701A">
        <w:instrText xml:space="preserve"> SEQ Table \* ARABIC </w:instrText>
      </w:r>
      <w:r w:rsidR="00D8701A">
        <w:fldChar w:fldCharType="separate"/>
      </w:r>
      <w:r w:rsidR="00D8701A">
        <w:rPr>
          <w:noProof/>
        </w:rPr>
        <w:t>2</w:t>
      </w:r>
      <w:r w:rsidR="00D8701A">
        <w:fldChar w:fldCharType="end"/>
      </w:r>
      <w:bookmarkEnd w:id="33"/>
      <w:r>
        <w:t xml:space="preserve">: </w:t>
      </w:r>
      <w:r>
        <w:rPr>
          <w:rStyle w:val="CommentReference"/>
          <w:b/>
          <w:szCs w:val="24"/>
        </w:rPr>
        <w:t>Studies presented in the submission</w:t>
      </w:r>
    </w:p>
    <w:tbl>
      <w:tblPr>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685"/>
        <w:gridCol w:w="3546"/>
      </w:tblGrid>
      <w:tr w:rsidR="00F45E7D" w14:paraId="4DEFDE47" w14:textId="77777777">
        <w:trPr>
          <w:tblHeader/>
        </w:trPr>
        <w:tc>
          <w:tcPr>
            <w:tcW w:w="1555" w:type="dxa"/>
            <w:shd w:val="clear" w:color="auto" w:fill="auto"/>
          </w:tcPr>
          <w:p w14:paraId="1E4E0445" w14:textId="77777777" w:rsidR="00F45E7D" w:rsidRDefault="0087463C" w:rsidP="00FD3C79">
            <w:pPr>
              <w:pStyle w:val="TableText0"/>
              <w:keepNext w:val="0"/>
              <w:rPr>
                <w:b/>
                <w:bCs w:val="0"/>
              </w:rPr>
            </w:pPr>
            <w:r>
              <w:rPr>
                <w:b/>
                <w:bCs w:val="0"/>
              </w:rPr>
              <w:t>Study identifier</w:t>
            </w:r>
          </w:p>
        </w:tc>
        <w:tc>
          <w:tcPr>
            <w:tcW w:w="3685" w:type="dxa"/>
            <w:shd w:val="clear" w:color="auto" w:fill="auto"/>
          </w:tcPr>
          <w:p w14:paraId="3206806B" w14:textId="77777777" w:rsidR="00F45E7D" w:rsidRDefault="0087463C" w:rsidP="00FD3C79">
            <w:pPr>
              <w:pStyle w:val="TableText0"/>
              <w:keepNext w:val="0"/>
              <w:rPr>
                <w:b/>
                <w:bCs w:val="0"/>
              </w:rPr>
            </w:pPr>
            <w:r>
              <w:rPr>
                <w:b/>
                <w:bCs w:val="0"/>
              </w:rPr>
              <w:t>Key data sources: Clinical Study Reports or key publication</w:t>
            </w:r>
          </w:p>
        </w:tc>
        <w:tc>
          <w:tcPr>
            <w:tcW w:w="3546" w:type="dxa"/>
            <w:shd w:val="clear" w:color="auto" w:fill="auto"/>
          </w:tcPr>
          <w:p w14:paraId="3E7948EF" w14:textId="77777777" w:rsidR="00F45E7D" w:rsidRDefault="0087463C" w:rsidP="00FD3C79">
            <w:pPr>
              <w:pStyle w:val="TableText0"/>
              <w:keepNext w:val="0"/>
              <w:rPr>
                <w:b/>
                <w:bCs w:val="0"/>
              </w:rPr>
            </w:pPr>
            <w:r>
              <w:rPr>
                <w:b/>
                <w:bCs w:val="0"/>
              </w:rPr>
              <w:t>Publication citation</w:t>
            </w:r>
          </w:p>
        </w:tc>
      </w:tr>
      <w:tr w:rsidR="00F45E7D" w14:paraId="528D56E3" w14:textId="77777777">
        <w:trPr>
          <w:tblHeader/>
        </w:trPr>
        <w:tc>
          <w:tcPr>
            <w:tcW w:w="1555" w:type="dxa"/>
            <w:shd w:val="clear" w:color="auto" w:fill="auto"/>
          </w:tcPr>
          <w:p w14:paraId="062F2163" w14:textId="77777777" w:rsidR="00F45E7D" w:rsidRDefault="0087463C" w:rsidP="00FD3C79">
            <w:pPr>
              <w:pStyle w:val="TableText0"/>
              <w:keepNext w:val="0"/>
              <w:rPr>
                <w:b/>
              </w:rPr>
            </w:pPr>
            <w:r>
              <w:t>Da Silva et al. (2021)</w:t>
            </w:r>
          </w:p>
        </w:tc>
        <w:tc>
          <w:tcPr>
            <w:tcW w:w="3685" w:type="dxa"/>
            <w:shd w:val="clear" w:color="auto" w:fill="auto"/>
          </w:tcPr>
          <w:p w14:paraId="59209367" w14:textId="77777777" w:rsidR="00F45E7D" w:rsidRDefault="0087463C" w:rsidP="00FD3C79">
            <w:pPr>
              <w:pStyle w:val="TableText0"/>
              <w:keepNext w:val="0"/>
              <w:rPr>
                <w:b/>
              </w:rPr>
            </w:pPr>
            <w:r>
              <w:t>Ipilimumab alone or ipilimumab plus anti-PD-1 therapy in patients with metastatic melanoma resistant to anti-PD-(L)1 monotherapy: a multicentre, retrospective, cohort study.</w:t>
            </w:r>
          </w:p>
        </w:tc>
        <w:tc>
          <w:tcPr>
            <w:tcW w:w="3546" w:type="dxa"/>
            <w:shd w:val="clear" w:color="auto" w:fill="auto"/>
          </w:tcPr>
          <w:p w14:paraId="51C3B859" w14:textId="77777777" w:rsidR="00F45E7D" w:rsidRDefault="0087463C" w:rsidP="00FD3C79">
            <w:pPr>
              <w:pStyle w:val="TableText0"/>
              <w:keepNext w:val="0"/>
              <w:rPr>
                <w:b/>
              </w:rPr>
            </w:pPr>
            <w:r>
              <w:t>Lancet Oncol 2021; 22 (6): 836-847.</w:t>
            </w:r>
          </w:p>
          <w:p w14:paraId="5C8417AE" w14:textId="77777777" w:rsidR="00F45E7D" w:rsidRDefault="0087463C" w:rsidP="00FD3C79">
            <w:pPr>
              <w:pStyle w:val="TableText0"/>
              <w:keepNext w:val="0"/>
              <w:rPr>
                <w:b/>
              </w:rPr>
            </w:pPr>
            <w:r>
              <w:t>https://doi.org/10.1016/ S1470-2045(21)00097-8</w:t>
            </w:r>
          </w:p>
        </w:tc>
      </w:tr>
      <w:tr w:rsidR="00F45E7D" w14:paraId="3E2FEF5F" w14:textId="77777777">
        <w:trPr>
          <w:tblHeader/>
        </w:trPr>
        <w:tc>
          <w:tcPr>
            <w:tcW w:w="1555" w:type="dxa"/>
            <w:shd w:val="clear" w:color="auto" w:fill="auto"/>
          </w:tcPr>
          <w:p w14:paraId="134B12CB" w14:textId="77777777" w:rsidR="00F45E7D" w:rsidRDefault="0087463C" w:rsidP="00FD3C79">
            <w:pPr>
              <w:pStyle w:val="TableText0"/>
              <w:keepNext w:val="0"/>
              <w:rPr>
                <w:b/>
              </w:rPr>
            </w:pPr>
            <w:r>
              <w:t>Owen et al. (2020)</w:t>
            </w:r>
          </w:p>
        </w:tc>
        <w:tc>
          <w:tcPr>
            <w:tcW w:w="3685" w:type="dxa"/>
            <w:shd w:val="clear" w:color="auto" w:fill="auto"/>
          </w:tcPr>
          <w:p w14:paraId="421C9E6F" w14:textId="77777777" w:rsidR="00F45E7D" w:rsidRDefault="0087463C" w:rsidP="00FD3C79">
            <w:pPr>
              <w:pStyle w:val="TableText0"/>
              <w:keepNext w:val="0"/>
              <w:rPr>
                <w:szCs w:val="22"/>
                <w:lang w:eastAsia="en-US"/>
              </w:rPr>
            </w:pPr>
            <w:r>
              <w:rPr>
                <w:szCs w:val="22"/>
                <w:lang w:eastAsia="en-US"/>
              </w:rPr>
              <w:t xml:space="preserve">Management of early melanoma recurrence despite adjuvant anti-PD-1 antibody therapy. </w:t>
            </w:r>
          </w:p>
        </w:tc>
        <w:tc>
          <w:tcPr>
            <w:tcW w:w="3546" w:type="dxa"/>
            <w:shd w:val="clear" w:color="auto" w:fill="auto"/>
          </w:tcPr>
          <w:p w14:paraId="5EF6D400" w14:textId="77777777" w:rsidR="00F45E7D" w:rsidRDefault="0087463C" w:rsidP="00FD3C79">
            <w:pPr>
              <w:pStyle w:val="TableText0"/>
              <w:keepNext w:val="0"/>
              <w:rPr>
                <w:b/>
              </w:rPr>
            </w:pPr>
            <w:r>
              <w:rPr>
                <w:szCs w:val="22"/>
                <w:lang w:eastAsia="en-US"/>
              </w:rPr>
              <w:t>Annals Oncol 2020; 31 (8): 1075-1082. https://doi.org/10.1016/j.annonc.2020.04.471</w:t>
            </w:r>
          </w:p>
        </w:tc>
      </w:tr>
    </w:tbl>
    <w:p w14:paraId="3E0FF182" w14:textId="57F185AB" w:rsidR="00FD3C79" w:rsidRPr="00111D39" w:rsidRDefault="0087463C" w:rsidP="00111D39">
      <w:pPr>
        <w:pStyle w:val="TableFigureFooter"/>
      </w:pPr>
      <w:r>
        <w:t>Source: Table 17, p41 of the submission, and text and references in the supplementary information.</w:t>
      </w:r>
      <w:bookmarkStart w:id="34" w:name="_Ref112043455"/>
    </w:p>
    <w:p w14:paraId="02F7401A" w14:textId="19D2F9B7" w:rsidR="00F45E7D" w:rsidRDefault="0087463C" w:rsidP="00E551BD">
      <w:pPr>
        <w:pStyle w:val="TableFigureHeading"/>
      </w:pPr>
      <w:r w:rsidRPr="00111D39">
        <w:lastRenderedPageBreak/>
        <w:t xml:space="preserve">Table </w:t>
      </w:r>
      <w:r w:rsidR="00D8701A">
        <w:fldChar w:fldCharType="begin"/>
      </w:r>
      <w:r w:rsidR="00D8701A">
        <w:instrText xml:space="preserve"> SEQ Table \* ARABIC </w:instrText>
      </w:r>
      <w:r w:rsidR="00D8701A">
        <w:fldChar w:fldCharType="separate"/>
      </w:r>
      <w:r w:rsidR="00D8701A">
        <w:rPr>
          <w:noProof/>
        </w:rPr>
        <w:t>3</w:t>
      </w:r>
      <w:r w:rsidR="00D8701A">
        <w:fldChar w:fldCharType="end"/>
      </w:r>
      <w:bookmarkEnd w:id="34"/>
      <w:r w:rsidRPr="00111D39">
        <w:t>: Key features of the included studies</w:t>
      </w:r>
    </w:p>
    <w:tbl>
      <w:tblPr>
        <w:tblStyle w:val="TableGrid"/>
        <w:tblW w:w="0" w:type="auto"/>
        <w:tblLook w:val="04A0" w:firstRow="1" w:lastRow="0" w:firstColumn="1" w:lastColumn="0" w:noHBand="0" w:noVBand="1"/>
      </w:tblPr>
      <w:tblGrid>
        <w:gridCol w:w="844"/>
        <w:gridCol w:w="1483"/>
        <w:gridCol w:w="1212"/>
        <w:gridCol w:w="2857"/>
        <w:gridCol w:w="2360"/>
      </w:tblGrid>
      <w:tr w:rsidR="00E551BD" w14:paraId="1748998A" w14:textId="77777777" w:rsidTr="00E551BD">
        <w:tc>
          <w:tcPr>
            <w:tcW w:w="844" w:type="dxa"/>
          </w:tcPr>
          <w:p w14:paraId="771B6BF7" w14:textId="05780F23" w:rsidR="00E551BD" w:rsidRDefault="00E551BD" w:rsidP="00E551BD">
            <w:pPr>
              <w:pStyle w:val="TableFigureHeading"/>
            </w:pPr>
            <w:r>
              <w:t>Trial</w:t>
            </w:r>
          </w:p>
        </w:tc>
        <w:tc>
          <w:tcPr>
            <w:tcW w:w="1483" w:type="dxa"/>
          </w:tcPr>
          <w:p w14:paraId="7209CAE1" w14:textId="69E96BA2" w:rsidR="00E551BD" w:rsidRDefault="00E551BD" w:rsidP="00E551BD">
            <w:pPr>
              <w:pStyle w:val="TableFigureHeading"/>
            </w:pPr>
            <w:r>
              <w:t>Design/Duration</w:t>
            </w:r>
          </w:p>
        </w:tc>
        <w:tc>
          <w:tcPr>
            <w:tcW w:w="1212" w:type="dxa"/>
          </w:tcPr>
          <w:p w14:paraId="7CB90628" w14:textId="3AD30F5A" w:rsidR="00E551BD" w:rsidRDefault="00E551BD" w:rsidP="00E551BD">
            <w:pPr>
              <w:pStyle w:val="TableFigureHeading"/>
            </w:pPr>
            <w:r>
              <w:t>Risk of bias</w:t>
            </w:r>
          </w:p>
        </w:tc>
        <w:tc>
          <w:tcPr>
            <w:tcW w:w="2857" w:type="dxa"/>
          </w:tcPr>
          <w:p w14:paraId="612E2670" w14:textId="4E00BFF1" w:rsidR="00E551BD" w:rsidRDefault="00E551BD" w:rsidP="00E551BD">
            <w:pPr>
              <w:pStyle w:val="TableFigureHeading"/>
            </w:pPr>
            <w:r>
              <w:t>Patient population</w:t>
            </w:r>
          </w:p>
        </w:tc>
        <w:tc>
          <w:tcPr>
            <w:tcW w:w="2360" w:type="dxa"/>
          </w:tcPr>
          <w:p w14:paraId="428584E8" w14:textId="0DD06F00" w:rsidR="00E551BD" w:rsidRDefault="00E551BD" w:rsidP="00E551BD">
            <w:pPr>
              <w:pStyle w:val="TableFigureHeading"/>
            </w:pPr>
            <w:r>
              <w:t>Key outcomes</w:t>
            </w:r>
          </w:p>
        </w:tc>
      </w:tr>
      <w:tr w:rsidR="00E551BD" w14:paraId="0E0A3675" w14:textId="77777777" w:rsidTr="00E551BD">
        <w:tc>
          <w:tcPr>
            <w:tcW w:w="844" w:type="dxa"/>
          </w:tcPr>
          <w:p w14:paraId="57371421" w14:textId="103EFC70" w:rsidR="00E551BD" w:rsidRPr="00E551BD" w:rsidRDefault="00E551BD" w:rsidP="00E551BD">
            <w:pPr>
              <w:pStyle w:val="TableFigureHeading"/>
              <w:rPr>
                <w:b w:val="0"/>
                <w:bCs w:val="0"/>
              </w:rPr>
            </w:pPr>
            <w:r w:rsidRPr="00E551BD">
              <w:rPr>
                <w:b w:val="0"/>
                <w:bCs w:val="0"/>
              </w:rPr>
              <w:t>Da Silva et al (2021)</w:t>
            </w:r>
          </w:p>
        </w:tc>
        <w:tc>
          <w:tcPr>
            <w:tcW w:w="1483" w:type="dxa"/>
          </w:tcPr>
          <w:p w14:paraId="5B671952" w14:textId="77777777" w:rsidR="00E551BD" w:rsidRPr="00E551BD" w:rsidRDefault="00E551BD" w:rsidP="00E551BD">
            <w:pPr>
              <w:pStyle w:val="TableText0"/>
              <w:rPr>
                <w:bCs w:val="0"/>
              </w:rPr>
            </w:pPr>
            <w:r w:rsidRPr="00E551BD">
              <w:rPr>
                <w:bCs w:val="0"/>
              </w:rPr>
              <w:t>Non-randomised, retrospective, cohort study</w:t>
            </w:r>
          </w:p>
          <w:p w14:paraId="1D434751" w14:textId="77777777" w:rsidR="00E551BD" w:rsidRPr="00E551BD" w:rsidRDefault="00E551BD" w:rsidP="00E551BD">
            <w:pPr>
              <w:pStyle w:val="TableText0"/>
              <w:rPr>
                <w:bCs w:val="0"/>
              </w:rPr>
            </w:pPr>
          </w:p>
          <w:p w14:paraId="770C1D63" w14:textId="3913B0D0" w:rsidR="00E551BD" w:rsidRPr="00E551BD" w:rsidRDefault="00E551BD" w:rsidP="00E551BD">
            <w:pPr>
              <w:pStyle w:val="TableFigureHeading"/>
              <w:rPr>
                <w:b w:val="0"/>
                <w:bCs w:val="0"/>
              </w:rPr>
            </w:pPr>
            <w:r w:rsidRPr="00E551BD">
              <w:rPr>
                <w:b w:val="0"/>
                <w:bCs w:val="0"/>
              </w:rPr>
              <w:t>Study Duration: 2011-2020</w:t>
            </w:r>
          </w:p>
        </w:tc>
        <w:tc>
          <w:tcPr>
            <w:tcW w:w="1212" w:type="dxa"/>
          </w:tcPr>
          <w:p w14:paraId="26D05248" w14:textId="4372F2DB" w:rsidR="00E551BD" w:rsidRPr="00E551BD" w:rsidRDefault="00E551BD" w:rsidP="00E551BD">
            <w:pPr>
              <w:pStyle w:val="TableFigureHeading"/>
              <w:rPr>
                <w:b w:val="0"/>
                <w:bCs w:val="0"/>
              </w:rPr>
            </w:pPr>
            <w:r w:rsidRPr="00E551BD">
              <w:rPr>
                <w:b w:val="0"/>
                <w:bCs w:val="0"/>
              </w:rPr>
              <w:t>High</w:t>
            </w:r>
          </w:p>
        </w:tc>
        <w:tc>
          <w:tcPr>
            <w:tcW w:w="2857" w:type="dxa"/>
          </w:tcPr>
          <w:p w14:paraId="2BDB867D" w14:textId="77777777" w:rsidR="00E551BD" w:rsidRPr="00E551BD" w:rsidRDefault="00E551BD" w:rsidP="00E551BD">
            <w:pPr>
              <w:pStyle w:val="TableText0"/>
              <w:rPr>
                <w:bCs w:val="0"/>
              </w:rPr>
            </w:pPr>
            <w:r w:rsidRPr="00E551BD">
              <w:rPr>
                <w:bCs w:val="0"/>
              </w:rPr>
              <w:t>Total: 355</w:t>
            </w:r>
          </w:p>
          <w:p w14:paraId="1FC33577" w14:textId="77777777" w:rsidR="00E551BD" w:rsidRPr="00E551BD" w:rsidRDefault="00E551BD" w:rsidP="00E551BD">
            <w:pPr>
              <w:pStyle w:val="TableText0"/>
              <w:rPr>
                <w:bCs w:val="0"/>
              </w:rPr>
            </w:pPr>
            <w:r w:rsidRPr="00E551BD">
              <w:rPr>
                <w:bCs w:val="0"/>
              </w:rPr>
              <w:t>- IPI monotherapy: 162</w:t>
            </w:r>
          </w:p>
          <w:p w14:paraId="1EE6D7B8" w14:textId="77777777" w:rsidR="00E551BD" w:rsidRPr="00E551BD" w:rsidRDefault="00E551BD" w:rsidP="00E551BD">
            <w:pPr>
              <w:pStyle w:val="TableText0"/>
              <w:rPr>
                <w:bCs w:val="0"/>
              </w:rPr>
            </w:pPr>
            <w:r w:rsidRPr="00E551BD">
              <w:rPr>
                <w:bCs w:val="0"/>
              </w:rPr>
              <w:t>- IPI + PD-1 inhibitor: 193</w:t>
            </w:r>
          </w:p>
          <w:p w14:paraId="18EE7E3F" w14:textId="77777777" w:rsidR="00E551BD" w:rsidRPr="00E551BD" w:rsidRDefault="00E551BD" w:rsidP="00E551BD">
            <w:pPr>
              <w:pStyle w:val="TableText0"/>
              <w:rPr>
                <w:bCs w:val="0"/>
              </w:rPr>
            </w:pPr>
          </w:p>
          <w:p w14:paraId="106DE68B" w14:textId="77777777" w:rsidR="00E551BD" w:rsidRPr="00E551BD" w:rsidRDefault="00E551BD" w:rsidP="00E551BD">
            <w:pPr>
              <w:pStyle w:val="TableText0"/>
              <w:rPr>
                <w:bCs w:val="0"/>
              </w:rPr>
            </w:pPr>
            <w:r w:rsidRPr="00E551BD">
              <w:rPr>
                <w:bCs w:val="0"/>
              </w:rPr>
              <w:t>44/355 patients experienced recurrence after adjuvant PD-1 inhibitor treatment.</w:t>
            </w:r>
          </w:p>
          <w:p w14:paraId="63322A0D" w14:textId="77777777" w:rsidR="00E551BD" w:rsidRPr="00E551BD" w:rsidRDefault="00E551BD" w:rsidP="00E551BD">
            <w:pPr>
              <w:pStyle w:val="TableText0"/>
              <w:rPr>
                <w:bCs w:val="0"/>
              </w:rPr>
            </w:pPr>
            <w:r w:rsidRPr="00E551BD">
              <w:rPr>
                <w:bCs w:val="0"/>
              </w:rPr>
              <w:t>- IPI monotherapy: 8</w:t>
            </w:r>
          </w:p>
          <w:p w14:paraId="20F15C9D" w14:textId="16842079" w:rsidR="00E551BD" w:rsidRPr="00E551BD" w:rsidRDefault="00E551BD" w:rsidP="00E551BD">
            <w:pPr>
              <w:pStyle w:val="TableFigureHeading"/>
              <w:rPr>
                <w:b w:val="0"/>
                <w:bCs w:val="0"/>
              </w:rPr>
            </w:pPr>
            <w:r w:rsidRPr="00E551BD">
              <w:rPr>
                <w:b w:val="0"/>
                <w:bCs w:val="0"/>
              </w:rPr>
              <w:t xml:space="preserve">- IPI + PD-1 inhibitor: 36 </w:t>
            </w:r>
          </w:p>
        </w:tc>
        <w:tc>
          <w:tcPr>
            <w:tcW w:w="2360" w:type="dxa"/>
          </w:tcPr>
          <w:p w14:paraId="65DE7D13" w14:textId="77777777" w:rsidR="00E551BD" w:rsidRPr="00E551BD" w:rsidRDefault="00E551BD" w:rsidP="00E551BD">
            <w:pPr>
              <w:pStyle w:val="TableText0"/>
              <w:rPr>
                <w:bCs w:val="0"/>
              </w:rPr>
            </w:pPr>
            <w:r w:rsidRPr="00E551BD">
              <w:rPr>
                <w:bCs w:val="0"/>
              </w:rPr>
              <w:t>Overall survival</w:t>
            </w:r>
          </w:p>
          <w:p w14:paraId="237127CF" w14:textId="77777777" w:rsidR="00E551BD" w:rsidRPr="00E551BD" w:rsidRDefault="00E551BD" w:rsidP="00E551BD">
            <w:pPr>
              <w:pStyle w:val="TableText0"/>
              <w:rPr>
                <w:bCs w:val="0"/>
              </w:rPr>
            </w:pPr>
            <w:r w:rsidRPr="00E551BD">
              <w:rPr>
                <w:bCs w:val="0"/>
              </w:rPr>
              <w:t>Progression-free survival</w:t>
            </w:r>
          </w:p>
          <w:p w14:paraId="4710E4E0" w14:textId="77777777" w:rsidR="00E551BD" w:rsidRPr="00E551BD" w:rsidRDefault="00E551BD" w:rsidP="00E551BD">
            <w:pPr>
              <w:pStyle w:val="TableText0"/>
              <w:rPr>
                <w:bCs w:val="0"/>
              </w:rPr>
            </w:pPr>
            <w:r w:rsidRPr="00E551BD">
              <w:rPr>
                <w:bCs w:val="0"/>
              </w:rPr>
              <w:t>1-year overall survival</w:t>
            </w:r>
          </w:p>
          <w:p w14:paraId="6E293373" w14:textId="77777777" w:rsidR="00E551BD" w:rsidRPr="00E551BD" w:rsidRDefault="00E551BD" w:rsidP="00E551BD">
            <w:pPr>
              <w:pStyle w:val="TableText0"/>
              <w:rPr>
                <w:bCs w:val="0"/>
              </w:rPr>
            </w:pPr>
            <w:r w:rsidRPr="00E551BD">
              <w:rPr>
                <w:bCs w:val="0"/>
              </w:rPr>
              <w:t>Objective response rate</w:t>
            </w:r>
          </w:p>
          <w:p w14:paraId="3DA7A6F5" w14:textId="77777777" w:rsidR="00E551BD" w:rsidRPr="00E551BD" w:rsidRDefault="00E551BD" w:rsidP="00E551BD">
            <w:pPr>
              <w:pStyle w:val="TableText0"/>
              <w:rPr>
                <w:bCs w:val="0"/>
              </w:rPr>
            </w:pPr>
            <w:r w:rsidRPr="00E551BD">
              <w:rPr>
                <w:bCs w:val="0"/>
              </w:rPr>
              <w:t>Disease control rate</w:t>
            </w:r>
          </w:p>
          <w:p w14:paraId="667ABF4F" w14:textId="63BCD94C" w:rsidR="00E551BD" w:rsidRPr="00E551BD" w:rsidRDefault="00E551BD" w:rsidP="00E551BD">
            <w:pPr>
              <w:pStyle w:val="TableFigureHeading"/>
              <w:rPr>
                <w:b w:val="0"/>
                <w:bCs w:val="0"/>
              </w:rPr>
            </w:pPr>
            <w:r w:rsidRPr="00E551BD">
              <w:rPr>
                <w:b w:val="0"/>
                <w:bCs w:val="0"/>
              </w:rPr>
              <w:t xml:space="preserve">Proportion of treatment-related grade 3-5 adverse events </w:t>
            </w:r>
          </w:p>
        </w:tc>
      </w:tr>
      <w:tr w:rsidR="00E551BD" w14:paraId="6526D8B2" w14:textId="77777777" w:rsidTr="00E551BD">
        <w:tc>
          <w:tcPr>
            <w:tcW w:w="844" w:type="dxa"/>
          </w:tcPr>
          <w:p w14:paraId="38D7EA8A" w14:textId="5EE91FB6" w:rsidR="00E551BD" w:rsidRPr="00E551BD" w:rsidRDefault="00E551BD" w:rsidP="00E551BD">
            <w:pPr>
              <w:pStyle w:val="TableFigureHeading"/>
              <w:rPr>
                <w:b w:val="0"/>
                <w:bCs w:val="0"/>
              </w:rPr>
            </w:pPr>
            <w:r w:rsidRPr="00E551BD">
              <w:rPr>
                <w:b w:val="0"/>
                <w:bCs w:val="0"/>
              </w:rPr>
              <w:t>Owen et al (2020)</w:t>
            </w:r>
          </w:p>
        </w:tc>
        <w:tc>
          <w:tcPr>
            <w:tcW w:w="1483" w:type="dxa"/>
          </w:tcPr>
          <w:p w14:paraId="3072608F" w14:textId="77777777" w:rsidR="00E551BD" w:rsidRPr="00E551BD" w:rsidRDefault="00E551BD" w:rsidP="00E551BD">
            <w:pPr>
              <w:pStyle w:val="TableText0"/>
              <w:rPr>
                <w:bCs w:val="0"/>
              </w:rPr>
            </w:pPr>
            <w:r w:rsidRPr="00E551BD">
              <w:rPr>
                <w:bCs w:val="0"/>
              </w:rPr>
              <w:t>Non-randomised, retrospective, cohort study</w:t>
            </w:r>
          </w:p>
          <w:p w14:paraId="2EEF26D1" w14:textId="77777777" w:rsidR="00E551BD" w:rsidRPr="00E551BD" w:rsidRDefault="00E551BD" w:rsidP="00E551BD">
            <w:pPr>
              <w:pStyle w:val="TableText0"/>
              <w:rPr>
                <w:bCs w:val="0"/>
              </w:rPr>
            </w:pPr>
          </w:p>
          <w:p w14:paraId="4E4D8746" w14:textId="27B0E3BD" w:rsidR="00E551BD" w:rsidRPr="00E551BD" w:rsidRDefault="00E551BD" w:rsidP="00E551BD">
            <w:pPr>
              <w:pStyle w:val="TableFigureHeading"/>
              <w:rPr>
                <w:b w:val="0"/>
                <w:bCs w:val="0"/>
              </w:rPr>
            </w:pPr>
            <w:r w:rsidRPr="00E551BD">
              <w:rPr>
                <w:b w:val="0"/>
                <w:bCs w:val="0"/>
              </w:rPr>
              <w:t>Study Duration: 2015-2018</w:t>
            </w:r>
          </w:p>
        </w:tc>
        <w:tc>
          <w:tcPr>
            <w:tcW w:w="1212" w:type="dxa"/>
          </w:tcPr>
          <w:p w14:paraId="0F4B6BCA" w14:textId="481D8BE6" w:rsidR="00E551BD" w:rsidRPr="00E551BD" w:rsidRDefault="00E551BD" w:rsidP="00E551BD">
            <w:pPr>
              <w:pStyle w:val="TableFigureHeading"/>
              <w:rPr>
                <w:b w:val="0"/>
                <w:bCs w:val="0"/>
              </w:rPr>
            </w:pPr>
            <w:r w:rsidRPr="00E551BD">
              <w:rPr>
                <w:b w:val="0"/>
                <w:bCs w:val="0"/>
              </w:rPr>
              <w:t>High</w:t>
            </w:r>
          </w:p>
        </w:tc>
        <w:tc>
          <w:tcPr>
            <w:tcW w:w="2857" w:type="dxa"/>
          </w:tcPr>
          <w:p w14:paraId="308CBFE9" w14:textId="77777777" w:rsidR="00E551BD" w:rsidRPr="00E551BD" w:rsidRDefault="00E551BD" w:rsidP="00E551BD">
            <w:pPr>
              <w:pStyle w:val="TableText0"/>
              <w:rPr>
                <w:bCs w:val="0"/>
                <w:iCs/>
              </w:rPr>
            </w:pPr>
            <w:r w:rsidRPr="00E551BD">
              <w:rPr>
                <w:bCs w:val="0"/>
              </w:rPr>
              <w:t xml:space="preserve">Total: </w:t>
            </w:r>
            <w:r w:rsidRPr="00E551BD">
              <w:rPr>
                <w:bCs w:val="0"/>
                <w:iCs/>
              </w:rPr>
              <w:t>108 patients with cutaneous melanoma and unresectable loco-regional recurrence or initial or subsequent distance (of 147 patients treated with adjuvant PD-1 inhibitor, either mono or combination therapy, and experienced recurrence), received the following treatments:</w:t>
            </w:r>
          </w:p>
          <w:p w14:paraId="22AB20D1" w14:textId="77777777" w:rsidR="00E551BD" w:rsidRPr="00E551BD" w:rsidRDefault="00E551BD" w:rsidP="00E551BD">
            <w:pPr>
              <w:pStyle w:val="TableText0"/>
              <w:rPr>
                <w:bCs w:val="0"/>
              </w:rPr>
            </w:pPr>
            <w:r w:rsidRPr="00E551BD">
              <w:rPr>
                <w:bCs w:val="0"/>
              </w:rPr>
              <w:t>- IPI: 35</w:t>
            </w:r>
          </w:p>
          <w:p w14:paraId="1A16BD3B" w14:textId="77777777" w:rsidR="00E551BD" w:rsidRPr="00E551BD" w:rsidRDefault="00E551BD" w:rsidP="00E551BD">
            <w:pPr>
              <w:pStyle w:val="TableText0"/>
              <w:rPr>
                <w:bCs w:val="0"/>
              </w:rPr>
            </w:pPr>
            <w:r w:rsidRPr="00E551BD">
              <w:rPr>
                <w:bCs w:val="0"/>
              </w:rPr>
              <w:t>- BRAF/MEKi: 32</w:t>
            </w:r>
          </w:p>
          <w:p w14:paraId="756648F6" w14:textId="77777777" w:rsidR="00E551BD" w:rsidRPr="00E551BD" w:rsidRDefault="00E551BD" w:rsidP="00E551BD">
            <w:pPr>
              <w:pStyle w:val="TableText0"/>
              <w:rPr>
                <w:bCs w:val="0"/>
              </w:rPr>
            </w:pPr>
            <w:r w:rsidRPr="00E551BD">
              <w:rPr>
                <w:bCs w:val="0"/>
              </w:rPr>
              <w:t>- PD-1 inhibitor: 16</w:t>
            </w:r>
          </w:p>
          <w:p w14:paraId="7009FEF9" w14:textId="77777777" w:rsidR="00E551BD" w:rsidRPr="00E551BD" w:rsidRDefault="00E551BD" w:rsidP="00E551BD">
            <w:pPr>
              <w:pStyle w:val="TableText0"/>
              <w:rPr>
                <w:bCs w:val="0"/>
              </w:rPr>
            </w:pPr>
            <w:r w:rsidRPr="00E551BD">
              <w:rPr>
                <w:bCs w:val="0"/>
              </w:rPr>
              <w:t>- Local therapy: 22</w:t>
            </w:r>
          </w:p>
          <w:p w14:paraId="4A878F2B" w14:textId="77777777" w:rsidR="00E551BD" w:rsidRPr="00E551BD" w:rsidRDefault="00E551BD" w:rsidP="00E551BD">
            <w:pPr>
              <w:pStyle w:val="TableText0"/>
              <w:rPr>
                <w:bCs w:val="0"/>
                <w:iCs/>
              </w:rPr>
            </w:pPr>
            <w:r w:rsidRPr="00E551BD">
              <w:rPr>
                <w:bCs w:val="0"/>
                <w:iCs/>
              </w:rPr>
              <w:t>- Not reported: 3</w:t>
            </w:r>
          </w:p>
          <w:p w14:paraId="4D8C3013" w14:textId="77777777" w:rsidR="00E551BD" w:rsidRPr="00E551BD" w:rsidRDefault="00E551BD" w:rsidP="00E551BD">
            <w:pPr>
              <w:pStyle w:val="TableText0"/>
              <w:rPr>
                <w:bCs w:val="0"/>
              </w:rPr>
            </w:pPr>
          </w:p>
          <w:p w14:paraId="161D1F5F" w14:textId="77777777" w:rsidR="00E551BD" w:rsidRPr="00E551BD" w:rsidRDefault="00E551BD" w:rsidP="00E551BD">
            <w:pPr>
              <w:pStyle w:val="TableText0"/>
              <w:rPr>
                <w:bCs w:val="0"/>
              </w:rPr>
            </w:pPr>
            <w:r w:rsidRPr="00E551BD">
              <w:rPr>
                <w:bCs w:val="0"/>
              </w:rPr>
              <w:t>Of which, selected efficacy results were reported for:</w:t>
            </w:r>
          </w:p>
          <w:p w14:paraId="76494A83" w14:textId="77777777" w:rsidR="00E551BD" w:rsidRPr="00E551BD" w:rsidRDefault="00E551BD" w:rsidP="00E551BD">
            <w:pPr>
              <w:pStyle w:val="TableText0"/>
              <w:rPr>
                <w:bCs w:val="0"/>
              </w:rPr>
            </w:pPr>
            <w:r w:rsidRPr="00E551BD">
              <w:rPr>
                <w:bCs w:val="0"/>
              </w:rPr>
              <w:t>IPI±PD-1 inhibitor: 44, including:</w:t>
            </w:r>
          </w:p>
          <w:p w14:paraId="74BC7CF9" w14:textId="77777777" w:rsidR="00E551BD" w:rsidRPr="00E551BD" w:rsidRDefault="00E551BD" w:rsidP="00E551BD">
            <w:pPr>
              <w:pStyle w:val="TableText0"/>
              <w:rPr>
                <w:bCs w:val="0"/>
              </w:rPr>
            </w:pPr>
            <w:r w:rsidRPr="00E551BD">
              <w:rPr>
                <w:bCs w:val="0"/>
              </w:rPr>
              <w:t xml:space="preserve"> - IPI + PD-1 inhibitor: 31</w:t>
            </w:r>
          </w:p>
          <w:p w14:paraId="7E13402F" w14:textId="77777777" w:rsidR="00E551BD" w:rsidRPr="00E551BD" w:rsidRDefault="00E551BD" w:rsidP="00E551BD">
            <w:pPr>
              <w:pStyle w:val="TableText0"/>
              <w:rPr>
                <w:bCs w:val="0"/>
              </w:rPr>
            </w:pPr>
            <w:r w:rsidRPr="00E551BD">
              <w:rPr>
                <w:bCs w:val="0"/>
              </w:rPr>
              <w:t xml:space="preserve"> - IPI monotherapy: 13</w:t>
            </w:r>
          </w:p>
          <w:p w14:paraId="43924249" w14:textId="77777777" w:rsidR="00E551BD" w:rsidRPr="00E551BD" w:rsidRDefault="00E551BD" w:rsidP="00E551BD">
            <w:pPr>
              <w:pStyle w:val="TableText0"/>
              <w:rPr>
                <w:bCs w:val="0"/>
              </w:rPr>
            </w:pPr>
            <w:r w:rsidRPr="00E551BD">
              <w:rPr>
                <w:bCs w:val="0"/>
              </w:rPr>
              <w:t>PD-1 monotherapy: 14</w:t>
            </w:r>
          </w:p>
          <w:p w14:paraId="5D05C40F" w14:textId="77777777" w:rsidR="00E551BD" w:rsidRPr="00E551BD" w:rsidRDefault="00E551BD" w:rsidP="00E551BD">
            <w:pPr>
              <w:pStyle w:val="TableText0"/>
              <w:rPr>
                <w:bCs w:val="0"/>
              </w:rPr>
            </w:pPr>
            <w:r w:rsidRPr="00E551BD">
              <w:rPr>
                <w:bCs w:val="0"/>
              </w:rPr>
              <w:t>BRAFi monotherapy: 40</w:t>
            </w:r>
          </w:p>
          <w:p w14:paraId="5B72D250" w14:textId="413F4F9C" w:rsidR="00E551BD" w:rsidRPr="00E551BD" w:rsidRDefault="00E551BD" w:rsidP="00E551BD">
            <w:pPr>
              <w:pStyle w:val="TableFigureHeading"/>
              <w:rPr>
                <w:b w:val="0"/>
                <w:bCs w:val="0"/>
              </w:rPr>
            </w:pPr>
            <w:r w:rsidRPr="00E551BD">
              <w:rPr>
                <w:b w:val="0"/>
                <w:bCs w:val="0"/>
              </w:rPr>
              <w:t xml:space="preserve">PD-(L)1 inhibitor + novel agent: 11 </w:t>
            </w:r>
          </w:p>
        </w:tc>
        <w:tc>
          <w:tcPr>
            <w:tcW w:w="2360" w:type="dxa"/>
          </w:tcPr>
          <w:p w14:paraId="34DDFD8C" w14:textId="77777777" w:rsidR="00E551BD" w:rsidRPr="00E551BD" w:rsidRDefault="00E551BD" w:rsidP="00E551BD">
            <w:pPr>
              <w:pStyle w:val="TableText0"/>
              <w:rPr>
                <w:bCs w:val="0"/>
              </w:rPr>
            </w:pPr>
            <w:r w:rsidRPr="00E551BD">
              <w:rPr>
                <w:bCs w:val="0"/>
              </w:rPr>
              <w:t>Overall survival</w:t>
            </w:r>
          </w:p>
          <w:p w14:paraId="4354B096" w14:textId="77777777" w:rsidR="00E551BD" w:rsidRPr="00E551BD" w:rsidRDefault="00E551BD" w:rsidP="00E551BD">
            <w:pPr>
              <w:pStyle w:val="TableText0"/>
              <w:rPr>
                <w:bCs w:val="0"/>
              </w:rPr>
            </w:pPr>
            <w:r w:rsidRPr="00E551BD">
              <w:rPr>
                <w:bCs w:val="0"/>
              </w:rPr>
              <w:t>Progression-free survival</w:t>
            </w:r>
          </w:p>
          <w:p w14:paraId="23074455" w14:textId="77777777" w:rsidR="00E551BD" w:rsidRPr="00E551BD" w:rsidRDefault="00E551BD" w:rsidP="00E551BD">
            <w:pPr>
              <w:pStyle w:val="TableText0"/>
              <w:rPr>
                <w:bCs w:val="0"/>
              </w:rPr>
            </w:pPr>
            <w:r w:rsidRPr="00E551BD">
              <w:rPr>
                <w:bCs w:val="0"/>
              </w:rPr>
              <w:t>1-year progression on-free survival</w:t>
            </w:r>
          </w:p>
          <w:p w14:paraId="68D5428C" w14:textId="77777777" w:rsidR="00E551BD" w:rsidRPr="00E551BD" w:rsidRDefault="00E551BD" w:rsidP="00E551BD">
            <w:pPr>
              <w:pStyle w:val="TableText0"/>
              <w:rPr>
                <w:bCs w:val="0"/>
              </w:rPr>
            </w:pPr>
            <w:r w:rsidRPr="00E551BD">
              <w:rPr>
                <w:bCs w:val="0"/>
              </w:rPr>
              <w:t>Objective response rate</w:t>
            </w:r>
          </w:p>
          <w:p w14:paraId="5866F49C" w14:textId="77777777" w:rsidR="00E551BD" w:rsidRPr="00E551BD" w:rsidRDefault="00E551BD" w:rsidP="00E551BD">
            <w:pPr>
              <w:pStyle w:val="TableText0"/>
              <w:rPr>
                <w:bCs w:val="0"/>
              </w:rPr>
            </w:pPr>
            <w:r w:rsidRPr="00E551BD">
              <w:rPr>
                <w:bCs w:val="0"/>
              </w:rPr>
              <w:t>Progressive disease</w:t>
            </w:r>
          </w:p>
          <w:p w14:paraId="5EFB2E2A" w14:textId="00C2F944" w:rsidR="00E551BD" w:rsidRPr="00E551BD" w:rsidRDefault="00E551BD" w:rsidP="00E551BD">
            <w:pPr>
              <w:pStyle w:val="TableFigureHeading"/>
              <w:rPr>
                <w:b w:val="0"/>
                <w:bCs w:val="0"/>
              </w:rPr>
            </w:pPr>
            <w:r w:rsidRPr="00E551BD">
              <w:rPr>
                <w:b w:val="0"/>
                <w:bCs w:val="0"/>
              </w:rPr>
              <w:t xml:space="preserve">Disease control rate </w:t>
            </w:r>
          </w:p>
        </w:tc>
      </w:tr>
    </w:tbl>
    <w:p w14:paraId="17DEAFBB" w14:textId="77777777" w:rsidR="00E551BD" w:rsidRPr="00111D39" w:rsidRDefault="00E551BD" w:rsidP="00E551BD">
      <w:pPr>
        <w:pStyle w:val="TableFigureFooter"/>
      </w:pPr>
      <w:r w:rsidRPr="00111D39">
        <w:t>Source: Table 24, p61, table 27, p63 and table 30, p70 of the submission, and table S8, S9 and S10 in the supplementary information by da Silva et al (2021) and table S2 and S4 in the supplementary information by Owen et al (2020).</w:t>
      </w:r>
    </w:p>
    <w:p w14:paraId="0B96BE5A" w14:textId="39C6B594" w:rsidR="00F45E7D" w:rsidRDefault="00E551BD" w:rsidP="00E551BD">
      <w:pPr>
        <w:pStyle w:val="TableFigureFooter"/>
        <w:rPr>
          <w:rFonts w:ascii="Calibri Light" w:hAnsi="Calibri Light" w:cs="Calibri Light"/>
          <w:szCs w:val="18"/>
        </w:rPr>
      </w:pPr>
      <w:r w:rsidRPr="00111D39">
        <w:t>BRAFi/MEKi = BRAF inhibitor/MEKi inhibitor; IPI = ipilimumab; PD-(L)-1 = programmed death 1.</w:t>
      </w:r>
      <w:r>
        <w:rPr>
          <w:rFonts w:ascii="Calibri Light" w:hAnsi="Calibri Light" w:cs="Calibri Light"/>
          <w:szCs w:val="18"/>
        </w:rPr>
        <w:t xml:space="preserve"> </w:t>
      </w:r>
    </w:p>
    <w:p w14:paraId="311126D0" w14:textId="77777777" w:rsidR="00F45E7D" w:rsidRDefault="0087463C">
      <w:pPr>
        <w:pStyle w:val="3-BodyText"/>
        <w:ind w:left="709"/>
        <w:rPr>
          <w:iCs/>
        </w:rPr>
      </w:pPr>
      <w:bookmarkStart w:id="35" w:name="_Hlk110279618"/>
      <w:bookmarkStart w:id="36" w:name="_Hlk110279369"/>
      <w:r>
        <w:rPr>
          <w:iCs/>
        </w:rPr>
        <w:t>In both studies, the relevant patients (i.e. those who had progressed while receiving or within 6 months of receiving, PD-1 inhibitor monotherapy in the adjuvant setting) comprised small subgroups within the study populations.</w:t>
      </w:r>
    </w:p>
    <w:p w14:paraId="7A0AC22A" w14:textId="639F42DC" w:rsidR="00F45E7D" w:rsidRDefault="0087463C">
      <w:pPr>
        <w:pStyle w:val="3-BodyText"/>
        <w:numPr>
          <w:ilvl w:val="1"/>
          <w:numId w:val="12"/>
        </w:numPr>
        <w:ind w:left="1134"/>
        <w:rPr>
          <w:iCs/>
        </w:rPr>
      </w:pPr>
      <w:r>
        <w:t xml:space="preserve">In da Silva et al (2021), the study population included all patients with unresectable Stage III or IV melanoma resistant to a PD-1 inhibitor, of which 44 patients received and developed resistance to PD-1 inhibitor therapy in the adjuvant setting. In this sub-group, 36/44 received IPI + PD-1 inhibitor treatment and 8/44 received IPI monotherapy. </w:t>
      </w:r>
      <w:r>
        <w:rPr>
          <w:iCs/>
        </w:rPr>
        <w:t xml:space="preserve">The remainder (311/355) developed resistance in the metastatic setting and were not relevant to the submission. </w:t>
      </w:r>
      <w:r>
        <w:t>The P</w:t>
      </w:r>
      <w:r w:rsidR="00E551BD">
        <w:t xml:space="preserve">re-Sub-Committee Response </w:t>
      </w:r>
      <w:r>
        <w:t>stated that as there was no biological basis for there to be difference between adjuvant or metastatic anti-</w:t>
      </w:r>
      <w:r>
        <w:lastRenderedPageBreak/>
        <w:t>PD-1 resistance, and therefore asserted that the positive results shown in da Silva et al (2021) should be applicable across both settings.</w:t>
      </w:r>
    </w:p>
    <w:p w14:paraId="09C7C5D7" w14:textId="77777777" w:rsidR="00F45E7D" w:rsidRDefault="0087463C">
      <w:pPr>
        <w:pStyle w:val="3-BodyText"/>
        <w:numPr>
          <w:ilvl w:val="1"/>
          <w:numId w:val="12"/>
        </w:numPr>
        <w:ind w:left="1134"/>
      </w:pPr>
      <w:r>
        <w:t>In Owen et al (2020), the study population consisted of patients who were exposed to and developed resistance to adjuvant PD-1 inhibitors</w:t>
      </w:r>
      <w:r>
        <w:rPr>
          <w:iCs/>
        </w:rPr>
        <w:t>. These patients then received IPI monotherapy, PD-1 inhibitor monotherapy, IPI + PD-1 inhibitor combination therapy, or BRAFi or PD-1 inhibitor + novel therapies.</w:t>
      </w:r>
      <w:r>
        <w:t xml:space="preserve"> The submission presented the combined results for patients who received IPI ± PD-1 versus those who received BRAFi as the basis for the clinical comparison between IPI + PD-1 inhibitor versus BRAFi. </w:t>
      </w:r>
      <w:r>
        <w:rPr>
          <w:iCs/>
        </w:rPr>
        <w:t>Since the IPI ± PD-1 inhibitor group (N=44) contained 13 patients on IPI monotherapy (or 30%), use of this group as a proxy for the submission’s intervention (i.e. IPI + PD-1 inhibitor) was not appropriate.</w:t>
      </w:r>
    </w:p>
    <w:p w14:paraId="4FFD70E4" w14:textId="77777777" w:rsidR="00F45E7D" w:rsidRDefault="0087463C">
      <w:pPr>
        <w:pStyle w:val="3-BodyText"/>
        <w:ind w:left="709"/>
        <w:rPr>
          <w:iCs/>
        </w:rPr>
      </w:pPr>
      <w:r>
        <w:rPr>
          <w:rFonts w:cstheme="minorHAnsi"/>
        </w:rPr>
        <w:t xml:space="preserve">In both studies, progressive disease (resistance criterion) was defined according to the Response Evaluation Criteria in Solid Tumours (RECIST) (version 1.1), by clinical estimation, without confirmatory scans to exclude potential pseudo progressions. </w:t>
      </w:r>
      <w:r>
        <w:rPr>
          <w:rFonts w:cstheme="minorHAnsi"/>
          <w:iCs/>
        </w:rPr>
        <w:t>T</w:t>
      </w:r>
      <w:r>
        <w:rPr>
          <w:iCs/>
        </w:rPr>
        <w:t>his was appropriate.</w:t>
      </w:r>
    </w:p>
    <w:p w14:paraId="48E0C5FA" w14:textId="409B750D" w:rsidR="00F45E7D" w:rsidRDefault="0087463C">
      <w:pPr>
        <w:pStyle w:val="3-BodyText"/>
        <w:ind w:left="709"/>
      </w:pPr>
      <w:r>
        <w:t xml:space="preserve">The treatment details of the included studies are shown in </w:t>
      </w:r>
      <w:r>
        <w:fldChar w:fldCharType="begin"/>
      </w:r>
      <w:r>
        <w:instrText xml:space="preserve"> REF _Ref102727936 \h  \* MERGEFORMAT </w:instrText>
      </w:r>
      <w:r>
        <w:fldChar w:fldCharType="separate"/>
      </w:r>
      <w:r w:rsidR="00D8701A">
        <w:t>Table 4</w:t>
      </w:r>
      <w:r>
        <w:fldChar w:fldCharType="end"/>
      </w:r>
      <w:r>
        <w:t>.</w:t>
      </w:r>
    </w:p>
    <w:p w14:paraId="7217D7EA" w14:textId="44F63975" w:rsidR="00F45E7D" w:rsidRDefault="0087463C">
      <w:pPr>
        <w:pStyle w:val="TableFigureHeading"/>
      </w:pPr>
      <w:bookmarkStart w:id="37" w:name="_Ref102727936"/>
      <w:r>
        <w:t xml:space="preserve">Table </w:t>
      </w:r>
      <w:r w:rsidR="00D8701A">
        <w:fldChar w:fldCharType="begin"/>
      </w:r>
      <w:r w:rsidR="00D8701A">
        <w:instrText xml:space="preserve"> SEQ Table \* ARABIC </w:instrText>
      </w:r>
      <w:r w:rsidR="00D8701A">
        <w:fldChar w:fldCharType="separate"/>
      </w:r>
      <w:r w:rsidR="00D8701A">
        <w:rPr>
          <w:noProof/>
        </w:rPr>
        <w:t>4</w:t>
      </w:r>
      <w:r w:rsidR="00D8701A">
        <w:fldChar w:fldCharType="end"/>
      </w:r>
      <w:bookmarkEnd w:id="37"/>
      <w:r>
        <w:t xml:space="preserve">: </w:t>
      </w:r>
      <w:r>
        <w:rPr>
          <w:rStyle w:val="CommentReference"/>
          <w:b/>
          <w:szCs w:val="24"/>
        </w:rPr>
        <w:t>Interventions compared in the studies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2410"/>
        <w:gridCol w:w="2126"/>
        <w:gridCol w:w="1560"/>
        <w:gridCol w:w="1559"/>
      </w:tblGrid>
      <w:tr w:rsidR="00F45E7D" w14:paraId="1FC7AD8B" w14:textId="77777777">
        <w:trPr>
          <w:tblHeader/>
        </w:trPr>
        <w:tc>
          <w:tcPr>
            <w:tcW w:w="1129" w:type="dxa"/>
            <w:shd w:val="clear" w:color="auto" w:fill="auto"/>
          </w:tcPr>
          <w:p w14:paraId="17C332E2" w14:textId="77777777" w:rsidR="00F45E7D" w:rsidRDefault="0087463C">
            <w:pPr>
              <w:pStyle w:val="TableText0"/>
              <w:rPr>
                <w:b/>
                <w:bCs w:val="0"/>
              </w:rPr>
            </w:pPr>
            <w:r>
              <w:rPr>
                <w:b/>
                <w:bCs w:val="0"/>
              </w:rPr>
              <w:t>Study</w:t>
            </w:r>
          </w:p>
        </w:tc>
        <w:tc>
          <w:tcPr>
            <w:tcW w:w="2410" w:type="dxa"/>
            <w:shd w:val="clear" w:color="auto" w:fill="auto"/>
            <w:vAlign w:val="center"/>
          </w:tcPr>
          <w:p w14:paraId="3683B9C8" w14:textId="77777777" w:rsidR="00F45E7D" w:rsidRDefault="0087463C">
            <w:pPr>
              <w:pStyle w:val="TableText0"/>
              <w:rPr>
                <w:b/>
                <w:bCs w:val="0"/>
              </w:rPr>
            </w:pPr>
            <w:r>
              <w:rPr>
                <w:b/>
                <w:bCs w:val="0"/>
              </w:rPr>
              <w:t>Treatment</w:t>
            </w:r>
          </w:p>
        </w:tc>
        <w:tc>
          <w:tcPr>
            <w:tcW w:w="2126" w:type="dxa"/>
            <w:shd w:val="clear" w:color="auto" w:fill="auto"/>
            <w:vAlign w:val="center"/>
          </w:tcPr>
          <w:p w14:paraId="767AF18A" w14:textId="77777777" w:rsidR="00F45E7D" w:rsidRDefault="0087463C">
            <w:pPr>
              <w:pStyle w:val="TableText0"/>
              <w:rPr>
                <w:b/>
                <w:bCs w:val="0"/>
              </w:rPr>
            </w:pPr>
            <w:r>
              <w:rPr>
                <w:b/>
                <w:bCs w:val="0"/>
              </w:rPr>
              <w:t>Dosage regimen</w:t>
            </w:r>
          </w:p>
        </w:tc>
        <w:tc>
          <w:tcPr>
            <w:tcW w:w="1560" w:type="dxa"/>
            <w:shd w:val="clear" w:color="auto" w:fill="auto"/>
            <w:vAlign w:val="center"/>
          </w:tcPr>
          <w:p w14:paraId="65912AB3" w14:textId="77777777" w:rsidR="00F45E7D" w:rsidRDefault="0087463C">
            <w:pPr>
              <w:pStyle w:val="TableText0"/>
              <w:rPr>
                <w:b/>
                <w:bCs w:val="0"/>
              </w:rPr>
            </w:pPr>
            <w:r>
              <w:rPr>
                <w:b/>
                <w:bCs w:val="0"/>
              </w:rPr>
              <w:t>Duration of treatment</w:t>
            </w:r>
          </w:p>
        </w:tc>
        <w:tc>
          <w:tcPr>
            <w:tcW w:w="1559" w:type="dxa"/>
            <w:shd w:val="clear" w:color="auto" w:fill="auto"/>
            <w:vAlign w:val="center"/>
          </w:tcPr>
          <w:p w14:paraId="0D2000B4" w14:textId="77777777" w:rsidR="00F45E7D" w:rsidRDefault="0087463C">
            <w:pPr>
              <w:pStyle w:val="TableText0"/>
              <w:rPr>
                <w:b/>
                <w:bCs w:val="0"/>
              </w:rPr>
            </w:pPr>
            <w:r>
              <w:rPr>
                <w:b/>
                <w:bCs w:val="0"/>
              </w:rPr>
              <w:t xml:space="preserve">Duration of follow-up </w:t>
            </w:r>
          </w:p>
        </w:tc>
      </w:tr>
      <w:tr w:rsidR="00F45E7D" w14:paraId="3439D1CC" w14:textId="77777777">
        <w:tc>
          <w:tcPr>
            <w:tcW w:w="1129" w:type="dxa"/>
            <w:vMerge w:val="restart"/>
            <w:shd w:val="clear" w:color="auto" w:fill="auto"/>
          </w:tcPr>
          <w:p w14:paraId="4A597128" w14:textId="77777777" w:rsidR="00F45E7D" w:rsidRDefault="0087463C">
            <w:pPr>
              <w:pStyle w:val="TableText0"/>
              <w:rPr>
                <w:bCs w:val="0"/>
              </w:rPr>
            </w:pPr>
            <w:r>
              <w:rPr>
                <w:bCs w:val="0"/>
              </w:rPr>
              <w:t>Da Silva et al (2021)</w:t>
            </w:r>
          </w:p>
        </w:tc>
        <w:tc>
          <w:tcPr>
            <w:tcW w:w="2410" w:type="dxa"/>
            <w:shd w:val="clear" w:color="auto" w:fill="auto"/>
            <w:vAlign w:val="center"/>
          </w:tcPr>
          <w:p w14:paraId="6456E631" w14:textId="77777777" w:rsidR="00F45E7D" w:rsidRDefault="0087463C">
            <w:pPr>
              <w:pStyle w:val="TableText0"/>
            </w:pPr>
            <w:r>
              <w:t>PEMBRO + IPI</w:t>
            </w:r>
          </w:p>
        </w:tc>
        <w:tc>
          <w:tcPr>
            <w:tcW w:w="2126" w:type="dxa"/>
            <w:shd w:val="clear" w:color="auto" w:fill="auto"/>
            <w:vAlign w:val="center"/>
          </w:tcPr>
          <w:p w14:paraId="74C9DDC2" w14:textId="77777777" w:rsidR="00F45E7D" w:rsidRDefault="0087463C">
            <w:pPr>
              <w:pStyle w:val="TableText0"/>
            </w:pPr>
            <w:r>
              <w:t>2 mg/kg + 3 mg/kg (n=1)</w:t>
            </w:r>
          </w:p>
        </w:tc>
        <w:tc>
          <w:tcPr>
            <w:tcW w:w="1560" w:type="dxa"/>
            <w:vMerge w:val="restart"/>
            <w:shd w:val="clear" w:color="auto" w:fill="auto"/>
            <w:vAlign w:val="center"/>
          </w:tcPr>
          <w:p w14:paraId="7F4D5442" w14:textId="77777777" w:rsidR="00F45E7D" w:rsidRDefault="0087463C">
            <w:pPr>
              <w:pStyle w:val="TableText0"/>
            </w:pPr>
            <w:r>
              <w:t>Not reported</w:t>
            </w:r>
          </w:p>
        </w:tc>
        <w:tc>
          <w:tcPr>
            <w:tcW w:w="1559" w:type="dxa"/>
            <w:vMerge w:val="restart"/>
            <w:shd w:val="clear" w:color="auto" w:fill="auto"/>
            <w:vAlign w:val="center"/>
          </w:tcPr>
          <w:p w14:paraId="54A660AF" w14:textId="77777777" w:rsidR="00F45E7D" w:rsidRDefault="0087463C">
            <w:pPr>
              <w:pStyle w:val="TableText0"/>
            </w:pPr>
            <w:r>
              <w:t>Median 22.1 months</w:t>
            </w:r>
          </w:p>
          <w:p w14:paraId="0DD80B65" w14:textId="77777777" w:rsidR="00F45E7D" w:rsidRDefault="0087463C">
            <w:pPr>
              <w:pStyle w:val="TableText0"/>
            </w:pPr>
            <w:r>
              <w:t>(IQR: 9.5, 30.9)</w:t>
            </w:r>
          </w:p>
        </w:tc>
      </w:tr>
      <w:tr w:rsidR="00F45E7D" w14:paraId="235D027F" w14:textId="77777777">
        <w:tc>
          <w:tcPr>
            <w:tcW w:w="1129" w:type="dxa"/>
            <w:vMerge/>
            <w:shd w:val="clear" w:color="auto" w:fill="auto"/>
          </w:tcPr>
          <w:p w14:paraId="29324A1D" w14:textId="77777777" w:rsidR="00F45E7D" w:rsidRDefault="00F45E7D">
            <w:pPr>
              <w:pStyle w:val="TableText0"/>
              <w:rPr>
                <w:bCs w:val="0"/>
              </w:rPr>
            </w:pPr>
          </w:p>
        </w:tc>
        <w:tc>
          <w:tcPr>
            <w:tcW w:w="2410" w:type="dxa"/>
            <w:shd w:val="clear" w:color="auto" w:fill="auto"/>
            <w:vAlign w:val="center"/>
          </w:tcPr>
          <w:p w14:paraId="09520D8F" w14:textId="77777777" w:rsidR="00F45E7D" w:rsidRDefault="0087463C">
            <w:pPr>
              <w:pStyle w:val="TableText0"/>
            </w:pPr>
            <w:r>
              <w:t>NIVO + IPI</w:t>
            </w:r>
          </w:p>
        </w:tc>
        <w:tc>
          <w:tcPr>
            <w:tcW w:w="2126" w:type="dxa"/>
            <w:shd w:val="clear" w:color="auto" w:fill="auto"/>
            <w:vAlign w:val="center"/>
          </w:tcPr>
          <w:p w14:paraId="2BDEE451" w14:textId="77777777" w:rsidR="00F45E7D" w:rsidRDefault="0087463C">
            <w:pPr>
              <w:pStyle w:val="TableText0"/>
            </w:pPr>
            <w:r>
              <w:t>1 mg/kg + 3 mg/kg (n=192)</w:t>
            </w:r>
          </w:p>
        </w:tc>
        <w:tc>
          <w:tcPr>
            <w:tcW w:w="1560" w:type="dxa"/>
            <w:vMerge/>
            <w:shd w:val="clear" w:color="auto" w:fill="auto"/>
            <w:vAlign w:val="center"/>
          </w:tcPr>
          <w:p w14:paraId="20E9C833" w14:textId="77777777" w:rsidR="00F45E7D" w:rsidRDefault="00F45E7D">
            <w:pPr>
              <w:pStyle w:val="TableText0"/>
            </w:pPr>
          </w:p>
        </w:tc>
        <w:tc>
          <w:tcPr>
            <w:tcW w:w="1559" w:type="dxa"/>
            <w:vMerge/>
            <w:shd w:val="clear" w:color="auto" w:fill="auto"/>
            <w:vAlign w:val="center"/>
          </w:tcPr>
          <w:p w14:paraId="43B21F06" w14:textId="77777777" w:rsidR="00F45E7D" w:rsidRDefault="00F45E7D">
            <w:pPr>
              <w:pStyle w:val="TableText0"/>
            </w:pPr>
          </w:p>
        </w:tc>
      </w:tr>
      <w:tr w:rsidR="00F45E7D" w14:paraId="626422A7" w14:textId="77777777">
        <w:tc>
          <w:tcPr>
            <w:tcW w:w="1129" w:type="dxa"/>
            <w:vMerge/>
            <w:shd w:val="clear" w:color="auto" w:fill="auto"/>
          </w:tcPr>
          <w:p w14:paraId="42358965" w14:textId="77777777" w:rsidR="00F45E7D" w:rsidRDefault="00F45E7D">
            <w:pPr>
              <w:pStyle w:val="TableText0"/>
              <w:rPr>
                <w:bCs w:val="0"/>
              </w:rPr>
            </w:pPr>
          </w:p>
        </w:tc>
        <w:tc>
          <w:tcPr>
            <w:tcW w:w="2410" w:type="dxa"/>
            <w:vMerge w:val="restart"/>
            <w:shd w:val="clear" w:color="auto" w:fill="auto"/>
            <w:vAlign w:val="center"/>
          </w:tcPr>
          <w:p w14:paraId="1AE4B791" w14:textId="77777777" w:rsidR="00F45E7D" w:rsidRDefault="0087463C">
            <w:pPr>
              <w:pStyle w:val="TableText0"/>
            </w:pPr>
            <w:r>
              <w:t>IPI monotherapy</w:t>
            </w:r>
          </w:p>
        </w:tc>
        <w:tc>
          <w:tcPr>
            <w:tcW w:w="2126" w:type="dxa"/>
            <w:shd w:val="clear" w:color="auto" w:fill="auto"/>
            <w:vAlign w:val="center"/>
          </w:tcPr>
          <w:p w14:paraId="53630147" w14:textId="77777777" w:rsidR="00F45E7D" w:rsidRDefault="0087463C">
            <w:pPr>
              <w:pStyle w:val="TableText0"/>
            </w:pPr>
            <w:r>
              <w:t>3 mg/kg Q3W (n=112)</w:t>
            </w:r>
          </w:p>
        </w:tc>
        <w:tc>
          <w:tcPr>
            <w:tcW w:w="1560" w:type="dxa"/>
            <w:vMerge/>
            <w:shd w:val="clear" w:color="auto" w:fill="auto"/>
            <w:vAlign w:val="center"/>
          </w:tcPr>
          <w:p w14:paraId="1834E533" w14:textId="77777777" w:rsidR="00F45E7D" w:rsidRDefault="00F45E7D">
            <w:pPr>
              <w:pStyle w:val="TableText0"/>
            </w:pPr>
          </w:p>
        </w:tc>
        <w:tc>
          <w:tcPr>
            <w:tcW w:w="1559" w:type="dxa"/>
            <w:vMerge/>
            <w:shd w:val="clear" w:color="auto" w:fill="auto"/>
            <w:vAlign w:val="center"/>
          </w:tcPr>
          <w:p w14:paraId="4049984A" w14:textId="77777777" w:rsidR="00F45E7D" w:rsidRDefault="00F45E7D">
            <w:pPr>
              <w:pStyle w:val="TableText0"/>
            </w:pPr>
          </w:p>
        </w:tc>
      </w:tr>
      <w:tr w:rsidR="00F45E7D" w14:paraId="4B3D85E0" w14:textId="77777777">
        <w:trPr>
          <w:trHeight w:val="58"/>
        </w:trPr>
        <w:tc>
          <w:tcPr>
            <w:tcW w:w="1129" w:type="dxa"/>
            <w:vMerge/>
            <w:shd w:val="clear" w:color="auto" w:fill="auto"/>
          </w:tcPr>
          <w:p w14:paraId="36923D5B" w14:textId="77777777" w:rsidR="00F45E7D" w:rsidRDefault="00F45E7D">
            <w:pPr>
              <w:pStyle w:val="TableText0"/>
              <w:rPr>
                <w:bCs w:val="0"/>
              </w:rPr>
            </w:pPr>
          </w:p>
        </w:tc>
        <w:tc>
          <w:tcPr>
            <w:tcW w:w="2410" w:type="dxa"/>
            <w:vMerge/>
            <w:shd w:val="clear" w:color="auto" w:fill="auto"/>
            <w:vAlign w:val="center"/>
          </w:tcPr>
          <w:p w14:paraId="234899FC" w14:textId="77777777" w:rsidR="00F45E7D" w:rsidRDefault="00F45E7D">
            <w:pPr>
              <w:pStyle w:val="TableText0"/>
            </w:pPr>
          </w:p>
        </w:tc>
        <w:tc>
          <w:tcPr>
            <w:tcW w:w="2126" w:type="dxa"/>
            <w:shd w:val="clear" w:color="auto" w:fill="auto"/>
            <w:vAlign w:val="center"/>
          </w:tcPr>
          <w:p w14:paraId="33482ECA" w14:textId="77777777" w:rsidR="00F45E7D" w:rsidRDefault="0087463C">
            <w:pPr>
              <w:pStyle w:val="TableText0"/>
            </w:pPr>
            <w:r>
              <w:t>250 mg Q3W (n=50)</w:t>
            </w:r>
          </w:p>
        </w:tc>
        <w:tc>
          <w:tcPr>
            <w:tcW w:w="1560" w:type="dxa"/>
            <w:vMerge/>
            <w:shd w:val="clear" w:color="auto" w:fill="auto"/>
            <w:vAlign w:val="center"/>
          </w:tcPr>
          <w:p w14:paraId="7337D7D7" w14:textId="77777777" w:rsidR="00F45E7D" w:rsidRDefault="00F45E7D">
            <w:pPr>
              <w:pStyle w:val="TableText0"/>
            </w:pPr>
          </w:p>
        </w:tc>
        <w:tc>
          <w:tcPr>
            <w:tcW w:w="1559" w:type="dxa"/>
            <w:vMerge/>
            <w:shd w:val="clear" w:color="auto" w:fill="auto"/>
            <w:vAlign w:val="center"/>
          </w:tcPr>
          <w:p w14:paraId="406058DA" w14:textId="77777777" w:rsidR="00F45E7D" w:rsidRDefault="00F45E7D">
            <w:pPr>
              <w:pStyle w:val="TableText0"/>
            </w:pPr>
          </w:p>
        </w:tc>
      </w:tr>
      <w:tr w:rsidR="00F45E7D" w14:paraId="0E4AEB13" w14:textId="77777777">
        <w:trPr>
          <w:trHeight w:val="173"/>
        </w:trPr>
        <w:tc>
          <w:tcPr>
            <w:tcW w:w="1129" w:type="dxa"/>
            <w:vMerge w:val="restart"/>
            <w:shd w:val="clear" w:color="auto" w:fill="auto"/>
          </w:tcPr>
          <w:p w14:paraId="1245C4AF" w14:textId="77777777" w:rsidR="00F45E7D" w:rsidRDefault="0087463C">
            <w:pPr>
              <w:pStyle w:val="TableText0"/>
              <w:rPr>
                <w:bCs w:val="0"/>
              </w:rPr>
            </w:pPr>
            <w:r>
              <w:rPr>
                <w:bCs w:val="0"/>
              </w:rPr>
              <w:t>Owen et al (2020)</w:t>
            </w:r>
            <w:r>
              <w:rPr>
                <w:bCs w:val="0"/>
                <w:vertAlign w:val="superscript"/>
              </w:rPr>
              <w:t>#</w:t>
            </w:r>
          </w:p>
        </w:tc>
        <w:tc>
          <w:tcPr>
            <w:tcW w:w="2410" w:type="dxa"/>
            <w:shd w:val="clear" w:color="auto" w:fill="auto"/>
            <w:vAlign w:val="center"/>
          </w:tcPr>
          <w:p w14:paraId="19972D0B" w14:textId="77777777" w:rsidR="00F45E7D" w:rsidRDefault="0087463C">
            <w:pPr>
              <w:pStyle w:val="TableText0"/>
            </w:pPr>
            <w:r>
              <w:t xml:space="preserve">IPI + PD-1 inhibitor </w:t>
            </w:r>
          </w:p>
        </w:tc>
        <w:tc>
          <w:tcPr>
            <w:tcW w:w="2126" w:type="dxa"/>
            <w:shd w:val="clear" w:color="auto" w:fill="auto"/>
          </w:tcPr>
          <w:p w14:paraId="57A7ACB4" w14:textId="77777777" w:rsidR="00F45E7D" w:rsidRDefault="0087463C">
            <w:pPr>
              <w:pStyle w:val="TableText0"/>
            </w:pPr>
            <w:r>
              <w:t>Not reported (n=31)</w:t>
            </w:r>
          </w:p>
        </w:tc>
        <w:tc>
          <w:tcPr>
            <w:tcW w:w="1560" w:type="dxa"/>
            <w:vMerge w:val="restart"/>
            <w:shd w:val="clear" w:color="auto" w:fill="auto"/>
            <w:vAlign w:val="center"/>
          </w:tcPr>
          <w:p w14:paraId="56994796" w14:textId="77777777" w:rsidR="00F45E7D" w:rsidRDefault="0087463C">
            <w:pPr>
              <w:pStyle w:val="TableText0"/>
            </w:pPr>
            <w:r>
              <w:t>Not reported</w:t>
            </w:r>
          </w:p>
        </w:tc>
        <w:tc>
          <w:tcPr>
            <w:tcW w:w="1559" w:type="dxa"/>
            <w:vMerge w:val="restart"/>
            <w:shd w:val="clear" w:color="auto" w:fill="auto"/>
            <w:vAlign w:val="center"/>
          </w:tcPr>
          <w:p w14:paraId="515C294C" w14:textId="77777777" w:rsidR="00F45E7D" w:rsidRDefault="0087463C">
            <w:pPr>
              <w:pStyle w:val="TableText0"/>
            </w:pPr>
            <w:r>
              <w:t>Median 7.7 months</w:t>
            </w:r>
          </w:p>
          <w:p w14:paraId="57A92059" w14:textId="77777777" w:rsidR="00F45E7D" w:rsidRDefault="0087463C">
            <w:pPr>
              <w:pStyle w:val="TableText0"/>
            </w:pPr>
            <w:r>
              <w:t>(Range: 0.2, 33.6)</w:t>
            </w:r>
          </w:p>
        </w:tc>
      </w:tr>
      <w:tr w:rsidR="00F45E7D" w14:paraId="2B3A9412" w14:textId="77777777">
        <w:trPr>
          <w:trHeight w:val="173"/>
        </w:trPr>
        <w:tc>
          <w:tcPr>
            <w:tcW w:w="1129" w:type="dxa"/>
            <w:vMerge/>
            <w:shd w:val="clear" w:color="auto" w:fill="auto"/>
          </w:tcPr>
          <w:p w14:paraId="6B28EB3A" w14:textId="77777777" w:rsidR="00F45E7D" w:rsidRDefault="00F45E7D">
            <w:pPr>
              <w:pStyle w:val="TableText0"/>
            </w:pPr>
          </w:p>
        </w:tc>
        <w:tc>
          <w:tcPr>
            <w:tcW w:w="2410" w:type="dxa"/>
            <w:shd w:val="clear" w:color="auto" w:fill="auto"/>
            <w:vAlign w:val="center"/>
          </w:tcPr>
          <w:p w14:paraId="1BD4FA2C" w14:textId="77777777" w:rsidR="00F45E7D" w:rsidRDefault="0087463C">
            <w:pPr>
              <w:pStyle w:val="TableText0"/>
            </w:pPr>
            <w:r>
              <w:t xml:space="preserve">PD-1 inhibitor monotherapy </w:t>
            </w:r>
          </w:p>
        </w:tc>
        <w:tc>
          <w:tcPr>
            <w:tcW w:w="2126" w:type="dxa"/>
            <w:shd w:val="clear" w:color="auto" w:fill="auto"/>
          </w:tcPr>
          <w:p w14:paraId="548E2540" w14:textId="77777777" w:rsidR="00F45E7D" w:rsidRDefault="0087463C">
            <w:pPr>
              <w:pStyle w:val="TableText0"/>
            </w:pPr>
            <w:r>
              <w:t>Not reported (n=13)</w:t>
            </w:r>
          </w:p>
        </w:tc>
        <w:tc>
          <w:tcPr>
            <w:tcW w:w="1560" w:type="dxa"/>
            <w:vMerge/>
            <w:shd w:val="clear" w:color="auto" w:fill="auto"/>
            <w:vAlign w:val="center"/>
          </w:tcPr>
          <w:p w14:paraId="6C37FC16" w14:textId="77777777" w:rsidR="00F45E7D" w:rsidRDefault="00F45E7D">
            <w:pPr>
              <w:pStyle w:val="TableText0"/>
            </w:pPr>
          </w:p>
        </w:tc>
        <w:tc>
          <w:tcPr>
            <w:tcW w:w="1559" w:type="dxa"/>
            <w:vMerge/>
            <w:shd w:val="clear" w:color="auto" w:fill="auto"/>
            <w:vAlign w:val="center"/>
          </w:tcPr>
          <w:p w14:paraId="3ACED127" w14:textId="77777777" w:rsidR="00F45E7D" w:rsidRDefault="00F45E7D">
            <w:pPr>
              <w:pStyle w:val="TableText0"/>
            </w:pPr>
          </w:p>
        </w:tc>
      </w:tr>
      <w:tr w:rsidR="00F45E7D" w14:paraId="7007E229" w14:textId="77777777">
        <w:trPr>
          <w:trHeight w:val="173"/>
        </w:trPr>
        <w:tc>
          <w:tcPr>
            <w:tcW w:w="1129" w:type="dxa"/>
            <w:vMerge/>
            <w:shd w:val="clear" w:color="auto" w:fill="auto"/>
          </w:tcPr>
          <w:p w14:paraId="014F3449" w14:textId="77777777" w:rsidR="00F45E7D" w:rsidRDefault="00F45E7D">
            <w:pPr>
              <w:pStyle w:val="TableText0"/>
            </w:pPr>
          </w:p>
        </w:tc>
        <w:tc>
          <w:tcPr>
            <w:tcW w:w="2410" w:type="dxa"/>
            <w:shd w:val="clear" w:color="auto" w:fill="auto"/>
            <w:vAlign w:val="center"/>
          </w:tcPr>
          <w:p w14:paraId="56957B68" w14:textId="77777777" w:rsidR="00F45E7D" w:rsidRDefault="0087463C">
            <w:pPr>
              <w:pStyle w:val="TableText0"/>
            </w:pPr>
            <w:r>
              <w:t xml:space="preserve">BRAFi </w:t>
            </w:r>
          </w:p>
        </w:tc>
        <w:tc>
          <w:tcPr>
            <w:tcW w:w="2126" w:type="dxa"/>
            <w:shd w:val="clear" w:color="auto" w:fill="auto"/>
            <w:vAlign w:val="center"/>
          </w:tcPr>
          <w:p w14:paraId="3FAC2909" w14:textId="77777777" w:rsidR="00F45E7D" w:rsidRDefault="0087463C">
            <w:pPr>
              <w:pStyle w:val="TableText0"/>
            </w:pPr>
            <w:r>
              <w:t>Not reported (n=40)</w:t>
            </w:r>
          </w:p>
        </w:tc>
        <w:tc>
          <w:tcPr>
            <w:tcW w:w="1560" w:type="dxa"/>
            <w:vMerge/>
            <w:shd w:val="clear" w:color="auto" w:fill="auto"/>
            <w:vAlign w:val="center"/>
          </w:tcPr>
          <w:p w14:paraId="4AAF24EC" w14:textId="77777777" w:rsidR="00F45E7D" w:rsidRDefault="00F45E7D">
            <w:pPr>
              <w:pStyle w:val="TableText0"/>
            </w:pPr>
          </w:p>
        </w:tc>
        <w:tc>
          <w:tcPr>
            <w:tcW w:w="1559" w:type="dxa"/>
            <w:vMerge/>
            <w:shd w:val="clear" w:color="auto" w:fill="auto"/>
            <w:vAlign w:val="center"/>
          </w:tcPr>
          <w:p w14:paraId="3C2845BB" w14:textId="77777777" w:rsidR="00F45E7D" w:rsidRDefault="00F45E7D">
            <w:pPr>
              <w:pStyle w:val="TableText0"/>
            </w:pPr>
          </w:p>
        </w:tc>
      </w:tr>
      <w:tr w:rsidR="00F45E7D" w14:paraId="383CF4C7" w14:textId="77777777">
        <w:trPr>
          <w:trHeight w:val="58"/>
        </w:trPr>
        <w:tc>
          <w:tcPr>
            <w:tcW w:w="1129" w:type="dxa"/>
            <w:vMerge/>
            <w:shd w:val="clear" w:color="auto" w:fill="auto"/>
          </w:tcPr>
          <w:p w14:paraId="797C26D1" w14:textId="77777777" w:rsidR="00F45E7D" w:rsidRDefault="00F45E7D">
            <w:pPr>
              <w:pStyle w:val="TableText0"/>
            </w:pPr>
          </w:p>
        </w:tc>
        <w:tc>
          <w:tcPr>
            <w:tcW w:w="2410" w:type="dxa"/>
            <w:shd w:val="clear" w:color="auto" w:fill="auto"/>
            <w:vAlign w:val="center"/>
          </w:tcPr>
          <w:p w14:paraId="2AEA1DBB" w14:textId="77777777" w:rsidR="00F45E7D" w:rsidRDefault="0087463C">
            <w:pPr>
              <w:pStyle w:val="TableText0"/>
            </w:pPr>
            <w:r>
              <w:t xml:space="preserve">IPI monotherapy </w:t>
            </w:r>
          </w:p>
        </w:tc>
        <w:tc>
          <w:tcPr>
            <w:tcW w:w="2126" w:type="dxa"/>
            <w:shd w:val="clear" w:color="auto" w:fill="auto"/>
          </w:tcPr>
          <w:p w14:paraId="728367DF" w14:textId="77777777" w:rsidR="00F45E7D" w:rsidRDefault="0087463C">
            <w:pPr>
              <w:pStyle w:val="TableText0"/>
            </w:pPr>
            <w:r>
              <w:t>Not reported (n=14)</w:t>
            </w:r>
          </w:p>
        </w:tc>
        <w:tc>
          <w:tcPr>
            <w:tcW w:w="1560" w:type="dxa"/>
            <w:vMerge/>
            <w:shd w:val="clear" w:color="auto" w:fill="auto"/>
            <w:vAlign w:val="center"/>
          </w:tcPr>
          <w:p w14:paraId="3634C728" w14:textId="77777777" w:rsidR="00F45E7D" w:rsidRDefault="00F45E7D">
            <w:pPr>
              <w:pStyle w:val="TableText0"/>
            </w:pPr>
          </w:p>
        </w:tc>
        <w:tc>
          <w:tcPr>
            <w:tcW w:w="1559" w:type="dxa"/>
            <w:vMerge/>
            <w:shd w:val="clear" w:color="auto" w:fill="auto"/>
            <w:vAlign w:val="center"/>
          </w:tcPr>
          <w:p w14:paraId="21C907CD" w14:textId="77777777" w:rsidR="00F45E7D" w:rsidRDefault="00F45E7D">
            <w:pPr>
              <w:pStyle w:val="TableText0"/>
            </w:pPr>
          </w:p>
        </w:tc>
      </w:tr>
      <w:tr w:rsidR="00F45E7D" w14:paraId="3379B8BE" w14:textId="77777777">
        <w:trPr>
          <w:trHeight w:val="58"/>
        </w:trPr>
        <w:tc>
          <w:tcPr>
            <w:tcW w:w="1129" w:type="dxa"/>
            <w:vMerge/>
            <w:shd w:val="clear" w:color="auto" w:fill="auto"/>
          </w:tcPr>
          <w:p w14:paraId="15873DB4" w14:textId="77777777" w:rsidR="00F45E7D" w:rsidRDefault="00F45E7D">
            <w:pPr>
              <w:pStyle w:val="TableText0"/>
            </w:pPr>
          </w:p>
        </w:tc>
        <w:tc>
          <w:tcPr>
            <w:tcW w:w="2410" w:type="dxa"/>
            <w:shd w:val="clear" w:color="auto" w:fill="auto"/>
            <w:vAlign w:val="center"/>
          </w:tcPr>
          <w:p w14:paraId="0056D9D7" w14:textId="77777777" w:rsidR="00F45E7D" w:rsidRDefault="0087463C">
            <w:pPr>
              <w:pStyle w:val="TableText0"/>
            </w:pPr>
            <w:r>
              <w:t>PD-1 inhibitor + novel agent*</w:t>
            </w:r>
          </w:p>
        </w:tc>
        <w:tc>
          <w:tcPr>
            <w:tcW w:w="2126" w:type="dxa"/>
            <w:shd w:val="clear" w:color="auto" w:fill="auto"/>
          </w:tcPr>
          <w:p w14:paraId="1EEFD078" w14:textId="77777777" w:rsidR="00F45E7D" w:rsidRDefault="0087463C">
            <w:pPr>
              <w:pStyle w:val="TableText0"/>
            </w:pPr>
            <w:r>
              <w:t>Not reported (n=11)</w:t>
            </w:r>
          </w:p>
        </w:tc>
        <w:tc>
          <w:tcPr>
            <w:tcW w:w="1560" w:type="dxa"/>
            <w:vMerge/>
            <w:shd w:val="clear" w:color="auto" w:fill="auto"/>
            <w:vAlign w:val="center"/>
          </w:tcPr>
          <w:p w14:paraId="711D4A62" w14:textId="77777777" w:rsidR="00F45E7D" w:rsidRDefault="00F45E7D">
            <w:pPr>
              <w:pStyle w:val="TableText0"/>
            </w:pPr>
          </w:p>
        </w:tc>
        <w:tc>
          <w:tcPr>
            <w:tcW w:w="1559" w:type="dxa"/>
            <w:vMerge/>
            <w:shd w:val="clear" w:color="auto" w:fill="auto"/>
            <w:vAlign w:val="center"/>
          </w:tcPr>
          <w:p w14:paraId="0BBB8213" w14:textId="77777777" w:rsidR="00F45E7D" w:rsidRDefault="00F45E7D">
            <w:pPr>
              <w:pStyle w:val="TableText0"/>
            </w:pPr>
          </w:p>
        </w:tc>
      </w:tr>
    </w:tbl>
    <w:p w14:paraId="5FB12072" w14:textId="77777777" w:rsidR="00F45E7D" w:rsidRDefault="0087463C">
      <w:pPr>
        <w:pStyle w:val="FooterTableFigure"/>
      </w:pPr>
      <w:r>
        <w:t>Source: Table 18 and pp24-45, p56 of the submission</w:t>
      </w:r>
    </w:p>
    <w:p w14:paraId="2936A3EF" w14:textId="77777777" w:rsidR="00F45E7D" w:rsidRDefault="0087463C">
      <w:pPr>
        <w:pStyle w:val="FooterTableFigure"/>
      </w:pPr>
      <w:r>
        <w:t>BRAFi = BRAF inhibitor; IPI = ipilimumab; IQR = interquartile range; NIVO = nivolumab; PD-1 inhibitor = anti-programmed death 1; PEMBRO = pembrolizumab.</w:t>
      </w:r>
    </w:p>
    <w:p w14:paraId="303BDE98" w14:textId="77777777" w:rsidR="00F45E7D" w:rsidRDefault="0087463C">
      <w:pPr>
        <w:pStyle w:val="FooterTableFigure"/>
      </w:pPr>
      <w:r>
        <w:t>* PD-1 inhibitor + novel agents included: PD-1 inhibitor + LAG-2, PD-1 inhibitor + MEKi, PD-1 inhibitor + TLR9-agonist and PD-1 inhibitor + IDOi</w:t>
      </w:r>
    </w:p>
    <w:p w14:paraId="03D72DBC" w14:textId="77777777" w:rsidR="00F45E7D" w:rsidRDefault="0087463C">
      <w:pPr>
        <w:pStyle w:val="FooterTableFigure"/>
        <w:rPr>
          <w:iCs/>
        </w:rPr>
      </w:pPr>
      <w:r>
        <w:rPr>
          <w:iCs/>
          <w:vertAlign w:val="superscript"/>
        </w:rPr>
        <w:t xml:space="preserve"># </w:t>
      </w:r>
      <w:r>
        <w:rPr>
          <w:iCs/>
        </w:rPr>
        <w:t>There were inconsistencies in how Owen et al (2020) reported the number of patients in each treatment arm. This was also noted the submission (p57).</w:t>
      </w:r>
    </w:p>
    <w:p w14:paraId="710247D5" w14:textId="77777777" w:rsidR="00F45E7D" w:rsidRDefault="0087463C">
      <w:pPr>
        <w:pStyle w:val="3-BodyText"/>
        <w:ind w:left="709"/>
        <w:rPr>
          <w:iCs/>
        </w:rPr>
      </w:pPr>
      <w:r>
        <w:rPr>
          <w:iCs/>
        </w:rPr>
        <w:t>The doses and treatment frequency of IPI + PD-1 inhibitor and IPI monotherapy in da Silva et al (2021) were consistent with the dosages of NIVO + IPI proposed in the submission. Owen et al (2020) did not report the dosage regimens used.</w:t>
      </w:r>
    </w:p>
    <w:bookmarkEnd w:id="35"/>
    <w:p w14:paraId="7F8A9B9A" w14:textId="6AC4AFCB" w:rsidR="00F45E7D" w:rsidRDefault="0087463C">
      <w:pPr>
        <w:pStyle w:val="3-BodyText"/>
        <w:ind w:left="709" w:hanging="709"/>
        <w:rPr>
          <w:iCs/>
        </w:rPr>
      </w:pPr>
      <w:r>
        <w:rPr>
          <w:iCs/>
        </w:rPr>
        <w:t xml:space="preserve">The treatment duration was not reported in either study. The studies only reported the recurrence time after treatment. The submission stated that it used treatment </w:t>
      </w:r>
      <w:r>
        <w:rPr>
          <w:iCs/>
        </w:rPr>
        <w:lastRenderedPageBreak/>
        <w:t xml:space="preserve">duration estimates based on the patient access program, the OMCP (see paragraph </w:t>
      </w:r>
      <w:r w:rsidR="00FD3C79">
        <w:rPr>
          <w:iCs/>
        </w:rPr>
        <w:fldChar w:fldCharType="begin"/>
      </w:r>
      <w:r w:rsidR="00FD3C79">
        <w:rPr>
          <w:iCs/>
        </w:rPr>
        <w:instrText xml:space="preserve"> REF _Ref120086641 \r \h </w:instrText>
      </w:r>
      <w:r w:rsidR="00FD3C79">
        <w:rPr>
          <w:iCs/>
        </w:rPr>
      </w:r>
      <w:r w:rsidR="00FD3C79">
        <w:rPr>
          <w:iCs/>
        </w:rPr>
        <w:fldChar w:fldCharType="separate"/>
      </w:r>
      <w:r w:rsidR="00D8701A">
        <w:rPr>
          <w:iCs/>
        </w:rPr>
        <w:t>3.3</w:t>
      </w:r>
      <w:r w:rsidR="00FD3C79">
        <w:rPr>
          <w:iCs/>
        </w:rPr>
        <w:fldChar w:fldCharType="end"/>
      </w:r>
      <w:r>
        <w:rPr>
          <w:iCs/>
        </w:rPr>
        <w:t>), for the financial impact calculations.</w:t>
      </w:r>
    </w:p>
    <w:p w14:paraId="03807270" w14:textId="77777777" w:rsidR="00F45E7D" w:rsidRDefault="0087463C">
      <w:pPr>
        <w:pStyle w:val="3-BodyText"/>
        <w:ind w:left="709"/>
        <w:rPr>
          <w:iCs/>
        </w:rPr>
      </w:pPr>
      <w:r>
        <w:rPr>
          <w:iCs/>
        </w:rPr>
        <w:t xml:space="preserve">Overall, the baseline characteristics of </w:t>
      </w:r>
      <w:r>
        <w:t xml:space="preserve">da Silva et al (2021) and Owen et al (2020) and the OMCP </w:t>
      </w:r>
      <w:r>
        <w:rPr>
          <w:iCs/>
        </w:rPr>
        <w:t>displayed some heterogeneity between the respective treatment groups. For example, the median age of patients receiving IPI monotherapy in da Silva et al (2021) was 6 years higher than those receiving IPI + PD-1 inhibitor. da Silva et al (2021) also reported differences between the arms in terms of Eastern Cooperative Oncology Group Scores, BRAF status and site of metastases. Patients appeared to differ in Owen et al (2020) in terms of median age, BRAF status, stage of disease and the adjuvant therapy received.</w:t>
      </w:r>
    </w:p>
    <w:p w14:paraId="71B2E02B" w14:textId="77777777" w:rsidR="00F45E7D" w:rsidRDefault="0087463C">
      <w:pPr>
        <w:pStyle w:val="4-SubsectionHeading"/>
      </w:pPr>
      <w:bookmarkStart w:id="38" w:name="_Toc112548518"/>
      <w:bookmarkStart w:id="39" w:name="_Toc114052257"/>
      <w:bookmarkEnd w:id="36"/>
      <w:r>
        <w:t>Comparative effectiveness</w:t>
      </w:r>
      <w:bookmarkEnd w:id="38"/>
      <w:bookmarkEnd w:id="39"/>
    </w:p>
    <w:p w14:paraId="764EB546" w14:textId="12711627" w:rsidR="00F45E7D" w:rsidRDefault="0087463C">
      <w:pPr>
        <w:pStyle w:val="3-BodyText"/>
        <w:ind w:left="709"/>
      </w:pPr>
      <w:r>
        <w:t xml:space="preserve">The results of the studies are shown in </w:t>
      </w:r>
      <w:r>
        <w:fldChar w:fldCharType="begin"/>
      </w:r>
      <w:r>
        <w:instrText xml:space="preserve"> REF _Ref112043394 \h  \* MERGEFORMAT </w:instrText>
      </w:r>
      <w:r>
        <w:fldChar w:fldCharType="separate"/>
      </w:r>
      <w:r w:rsidR="00D8701A">
        <w:t>Table 5</w:t>
      </w:r>
      <w:r>
        <w:fldChar w:fldCharType="end"/>
      </w:r>
      <w:r>
        <w:t xml:space="preserve"> (overall results from both da Silva et al 2021 and Owen et al 2020) and </w:t>
      </w:r>
      <w:r>
        <w:fldChar w:fldCharType="begin"/>
      </w:r>
      <w:r>
        <w:instrText xml:space="preserve"> REF _Ref112278019 \h  \* MERGEFORMAT </w:instrText>
      </w:r>
      <w:r>
        <w:fldChar w:fldCharType="separate"/>
      </w:r>
      <w:r w:rsidR="00D8701A">
        <w:t>Table 6</w:t>
      </w:r>
      <w:r>
        <w:fldChar w:fldCharType="end"/>
      </w:r>
      <w:r>
        <w:t xml:space="preserve"> (subgroup analysis from da Silva et al 2021). It was noted that:</w:t>
      </w:r>
    </w:p>
    <w:p w14:paraId="448D2EBF" w14:textId="3CFBC91F" w:rsidR="00F45E7D" w:rsidRDefault="0087463C">
      <w:pPr>
        <w:pStyle w:val="3-BodyText"/>
        <w:numPr>
          <w:ilvl w:val="0"/>
          <w:numId w:val="10"/>
        </w:numPr>
        <w:ind w:left="1134"/>
      </w:pPr>
      <w:r>
        <w:t xml:space="preserve">Only 44/355 patients in da Silva et al (2021) experienced recurrence after adjuvant PD-1 inhibitor treatment. This subgroup was directly relevant to the proposed listing in the submission; that is, patients with unresectable Stage III and IV melanoma who were exposed to adjuvant PD-1 inhibitor monotherapy and who developed resistance during treatment or within 6 months of treatment completion. </w:t>
      </w:r>
      <w:r>
        <w:rPr>
          <w:iCs/>
        </w:rPr>
        <w:t xml:space="preserve">The results from the relevant subgroup are presented in </w:t>
      </w:r>
      <w:r>
        <w:rPr>
          <w:iCs/>
        </w:rPr>
        <w:fldChar w:fldCharType="begin"/>
      </w:r>
      <w:r>
        <w:rPr>
          <w:iCs/>
        </w:rPr>
        <w:instrText xml:space="preserve"> REF _Ref112278019 \h  \* MERGEFORMAT </w:instrText>
      </w:r>
      <w:r>
        <w:rPr>
          <w:iCs/>
        </w:rPr>
      </w:r>
      <w:r>
        <w:rPr>
          <w:iCs/>
        </w:rPr>
        <w:fldChar w:fldCharType="separate"/>
      </w:r>
      <w:r w:rsidR="00D8701A" w:rsidRPr="00D8701A">
        <w:rPr>
          <w:iCs/>
        </w:rPr>
        <w:t>Table 6</w:t>
      </w:r>
      <w:r>
        <w:rPr>
          <w:iCs/>
        </w:rPr>
        <w:fldChar w:fldCharType="end"/>
      </w:r>
      <w:r>
        <w:rPr>
          <w:iCs/>
        </w:rPr>
        <w:t xml:space="preserve"> (grey columns). </w:t>
      </w:r>
      <w:r>
        <w:t>The ESC considered that</w:t>
      </w:r>
      <w:r>
        <w:rPr>
          <w:iCs/>
        </w:rPr>
        <w:t xml:space="preserve"> the subgroup results should be interpreted with caution due to the small sample size.</w:t>
      </w:r>
    </w:p>
    <w:p w14:paraId="77473A03" w14:textId="77777777" w:rsidR="00F45E7D" w:rsidRDefault="0087463C">
      <w:pPr>
        <w:pStyle w:val="3-BodyText"/>
        <w:numPr>
          <w:ilvl w:val="0"/>
          <w:numId w:val="10"/>
        </w:numPr>
        <w:ind w:left="1134"/>
      </w:pPr>
      <w:r>
        <w:t xml:space="preserve">Owen et al (2020) presented combined results for the IPI monotherapy group and IPI + PD-1 inhibitor group (IPI </w:t>
      </w:r>
      <w:r>
        <w:rPr>
          <w:rFonts w:cstheme="minorHAnsi"/>
        </w:rPr>
        <w:t xml:space="preserve">± </w:t>
      </w:r>
      <w:r>
        <w:t xml:space="preserve">PD-1 inhibitor) versus BRAFi (see Table 3). </w:t>
      </w:r>
      <w:r>
        <w:rPr>
          <w:iCs/>
        </w:rPr>
        <w:t xml:space="preserve">This combined group was not the same as the submission’s proposed comparator (IPI + PD-1 inhibitor). Accordingly, </w:t>
      </w:r>
      <w:r>
        <w:t>the ESC considered that</w:t>
      </w:r>
      <w:r>
        <w:rPr>
          <w:iCs/>
        </w:rPr>
        <w:t xml:space="preserve"> the results should be interpreted with caution. Additionally, the sample size was small (44 patients in IPI </w:t>
      </w:r>
      <w:r>
        <w:rPr>
          <w:rFonts w:cstheme="minorHAnsi"/>
          <w:iCs/>
        </w:rPr>
        <w:t xml:space="preserve">± </w:t>
      </w:r>
      <w:r>
        <w:rPr>
          <w:iCs/>
        </w:rPr>
        <w:t xml:space="preserve">PD-1 inhibitor versus 40 patients in the BRAFi group) and the follow-up time was limited (5.5 to 8.4 months), resulting in high uncertainty in the overall survival outcomes. </w:t>
      </w:r>
      <w:r>
        <w:t xml:space="preserve">The ESC noted that the results for the subgroup of patients who more closely matched the proposed population (i.e. IPI + PD-1 inhibitor, n=31/44) were not presented in the submission. </w:t>
      </w:r>
    </w:p>
    <w:p w14:paraId="02898320" w14:textId="2C9C7EFD" w:rsidR="00F45E7D" w:rsidRDefault="0087463C">
      <w:pPr>
        <w:pStyle w:val="TableFigureHeading"/>
      </w:pPr>
      <w:bookmarkStart w:id="40" w:name="_Ref112043394"/>
      <w:r>
        <w:lastRenderedPageBreak/>
        <w:t xml:space="preserve">Table </w:t>
      </w:r>
      <w:r w:rsidR="00D8701A">
        <w:fldChar w:fldCharType="begin"/>
      </w:r>
      <w:r w:rsidR="00D8701A">
        <w:instrText xml:space="preserve"> SEQ Table \* ARABIC </w:instrText>
      </w:r>
      <w:r w:rsidR="00D8701A">
        <w:fldChar w:fldCharType="separate"/>
      </w:r>
      <w:r w:rsidR="00D8701A">
        <w:rPr>
          <w:noProof/>
        </w:rPr>
        <w:t>5</w:t>
      </w:r>
      <w:r w:rsidR="00D8701A">
        <w:fldChar w:fldCharType="end"/>
      </w:r>
      <w:bookmarkEnd w:id="40"/>
      <w:r>
        <w:t>: Summary of key efficacy outcomes by treatment group (overall results)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60"/>
        <w:gridCol w:w="1459"/>
        <w:gridCol w:w="809"/>
        <w:gridCol w:w="1700"/>
        <w:gridCol w:w="1418"/>
      </w:tblGrid>
      <w:tr w:rsidR="00F45E7D" w14:paraId="27F0E0CD" w14:textId="77777777">
        <w:trPr>
          <w:cantSplit/>
          <w:trHeight w:val="60"/>
          <w:tblHeader/>
        </w:trPr>
        <w:tc>
          <w:tcPr>
            <w:tcW w:w="1111" w:type="pct"/>
            <w:vMerge w:val="restart"/>
            <w:shd w:val="clear" w:color="auto" w:fill="auto"/>
            <w:tcMar>
              <w:left w:w="28" w:type="dxa"/>
              <w:right w:w="28" w:type="dxa"/>
            </w:tcMar>
          </w:tcPr>
          <w:p w14:paraId="707803D1" w14:textId="77777777" w:rsidR="00F45E7D" w:rsidRDefault="00F45E7D">
            <w:pPr>
              <w:pStyle w:val="TableText0"/>
              <w:rPr>
                <w:b/>
                <w:bCs w:val="0"/>
                <w:lang w:eastAsia="en-US"/>
              </w:rPr>
            </w:pPr>
          </w:p>
        </w:tc>
        <w:tc>
          <w:tcPr>
            <w:tcW w:w="2143" w:type="pct"/>
            <w:gridSpan w:val="3"/>
            <w:tcBorders>
              <w:bottom w:val="single" w:sz="4" w:space="0" w:color="auto"/>
            </w:tcBorders>
            <w:shd w:val="clear" w:color="auto" w:fill="auto"/>
            <w:tcMar>
              <w:left w:w="28" w:type="dxa"/>
              <w:right w:w="28" w:type="dxa"/>
            </w:tcMar>
          </w:tcPr>
          <w:p w14:paraId="473754AD" w14:textId="77777777" w:rsidR="00F45E7D" w:rsidRDefault="0087463C">
            <w:pPr>
              <w:pStyle w:val="TableText0"/>
              <w:jc w:val="center"/>
              <w:rPr>
                <w:b/>
                <w:bCs w:val="0"/>
                <w:vertAlign w:val="superscript"/>
                <w:lang w:eastAsia="en-US"/>
              </w:rPr>
            </w:pPr>
            <w:r>
              <w:rPr>
                <w:b/>
                <w:bCs w:val="0"/>
                <w:lang w:eastAsia="en-US"/>
              </w:rPr>
              <w:t>da Silva et al. (2021)</w:t>
            </w:r>
          </w:p>
        </w:tc>
        <w:tc>
          <w:tcPr>
            <w:tcW w:w="1746" w:type="pct"/>
            <w:gridSpan w:val="2"/>
            <w:tcBorders>
              <w:bottom w:val="single" w:sz="4" w:space="0" w:color="auto"/>
            </w:tcBorders>
            <w:shd w:val="clear" w:color="auto" w:fill="auto"/>
            <w:tcMar>
              <w:left w:w="28" w:type="dxa"/>
              <w:right w:w="28" w:type="dxa"/>
            </w:tcMar>
          </w:tcPr>
          <w:p w14:paraId="30B8430C" w14:textId="77777777" w:rsidR="00F45E7D" w:rsidRDefault="0087463C">
            <w:pPr>
              <w:pStyle w:val="TableText0"/>
              <w:jc w:val="center"/>
              <w:rPr>
                <w:b/>
                <w:bCs w:val="0"/>
                <w:vertAlign w:val="superscript"/>
                <w:lang w:eastAsia="en-US"/>
              </w:rPr>
            </w:pPr>
            <w:r>
              <w:rPr>
                <w:b/>
                <w:bCs w:val="0"/>
                <w:lang w:eastAsia="en-US"/>
              </w:rPr>
              <w:t>Owen et al. (2020)</w:t>
            </w:r>
            <w:r>
              <w:rPr>
                <w:b/>
                <w:bCs w:val="0"/>
                <w:vertAlign w:val="superscript"/>
                <w:lang w:eastAsia="en-US"/>
              </w:rPr>
              <w:t>#</w:t>
            </w:r>
          </w:p>
        </w:tc>
      </w:tr>
      <w:tr w:rsidR="00F45E7D" w14:paraId="7BB6E179" w14:textId="77777777">
        <w:trPr>
          <w:cantSplit/>
          <w:trHeight w:val="273"/>
          <w:tblHeader/>
        </w:trPr>
        <w:tc>
          <w:tcPr>
            <w:tcW w:w="1111" w:type="pct"/>
            <w:vMerge/>
            <w:tcMar>
              <w:left w:w="28" w:type="dxa"/>
              <w:right w:w="28" w:type="dxa"/>
            </w:tcMar>
          </w:tcPr>
          <w:p w14:paraId="5EECF036" w14:textId="77777777" w:rsidR="00F45E7D" w:rsidRDefault="00F45E7D">
            <w:pPr>
              <w:pStyle w:val="TableText0"/>
              <w:rPr>
                <w:b/>
                <w:bCs w:val="0"/>
                <w:lang w:eastAsia="en-US"/>
              </w:rPr>
            </w:pPr>
          </w:p>
        </w:tc>
        <w:tc>
          <w:tcPr>
            <w:tcW w:w="873" w:type="pct"/>
            <w:tcBorders>
              <w:bottom w:val="single" w:sz="4" w:space="0" w:color="auto"/>
            </w:tcBorders>
            <w:shd w:val="clear" w:color="auto" w:fill="auto"/>
            <w:tcMar>
              <w:left w:w="28" w:type="dxa"/>
              <w:right w:w="28" w:type="dxa"/>
            </w:tcMar>
          </w:tcPr>
          <w:p w14:paraId="42C83C5B" w14:textId="77777777" w:rsidR="00F45E7D" w:rsidRDefault="0087463C">
            <w:pPr>
              <w:pStyle w:val="TableText0"/>
              <w:jc w:val="center"/>
              <w:rPr>
                <w:b/>
                <w:bCs w:val="0"/>
                <w:lang w:eastAsia="en-US"/>
              </w:rPr>
            </w:pPr>
            <w:r>
              <w:rPr>
                <w:b/>
                <w:bCs w:val="0"/>
                <w:lang w:eastAsia="en-US"/>
              </w:rPr>
              <w:t>IPI + PD-1 inhibitor</w:t>
            </w:r>
          </w:p>
          <w:p w14:paraId="16C048C0" w14:textId="77777777" w:rsidR="00F45E7D" w:rsidRDefault="0087463C">
            <w:pPr>
              <w:pStyle w:val="TableText0"/>
              <w:jc w:val="center"/>
              <w:rPr>
                <w:b/>
                <w:bCs w:val="0"/>
                <w:lang w:eastAsia="en-US"/>
              </w:rPr>
            </w:pPr>
            <w:r>
              <w:rPr>
                <w:b/>
                <w:bCs w:val="0"/>
                <w:lang w:eastAsia="en-US"/>
              </w:rPr>
              <w:t>(n=193)</w:t>
            </w:r>
          </w:p>
        </w:tc>
        <w:tc>
          <w:tcPr>
            <w:tcW w:w="817" w:type="pct"/>
            <w:tcBorders>
              <w:bottom w:val="single" w:sz="4" w:space="0" w:color="auto"/>
            </w:tcBorders>
            <w:shd w:val="clear" w:color="auto" w:fill="auto"/>
            <w:tcMar>
              <w:left w:w="28" w:type="dxa"/>
              <w:right w:w="28" w:type="dxa"/>
            </w:tcMar>
          </w:tcPr>
          <w:p w14:paraId="69B3B17C" w14:textId="77777777" w:rsidR="00F45E7D" w:rsidRDefault="0087463C">
            <w:pPr>
              <w:pStyle w:val="TableText0"/>
              <w:jc w:val="center"/>
              <w:rPr>
                <w:b/>
                <w:bCs w:val="0"/>
                <w:lang w:eastAsia="en-US"/>
              </w:rPr>
            </w:pPr>
            <w:r>
              <w:rPr>
                <w:b/>
                <w:bCs w:val="0"/>
                <w:lang w:eastAsia="en-US"/>
              </w:rPr>
              <w:t>IPI</w:t>
            </w:r>
          </w:p>
          <w:p w14:paraId="2DACC3AE" w14:textId="77777777" w:rsidR="00F45E7D" w:rsidRDefault="0087463C">
            <w:pPr>
              <w:pStyle w:val="TableText0"/>
              <w:jc w:val="center"/>
              <w:rPr>
                <w:b/>
                <w:bCs w:val="0"/>
                <w:lang w:eastAsia="en-US"/>
              </w:rPr>
            </w:pPr>
            <w:r>
              <w:rPr>
                <w:b/>
                <w:bCs w:val="0"/>
                <w:lang w:eastAsia="en-US"/>
              </w:rPr>
              <w:t>(n=162)</w:t>
            </w:r>
          </w:p>
        </w:tc>
        <w:tc>
          <w:tcPr>
            <w:tcW w:w="453" w:type="pct"/>
            <w:tcBorders>
              <w:bottom w:val="single" w:sz="4" w:space="0" w:color="auto"/>
            </w:tcBorders>
            <w:shd w:val="clear" w:color="auto" w:fill="auto"/>
            <w:tcMar>
              <w:left w:w="28" w:type="dxa"/>
              <w:right w:w="28" w:type="dxa"/>
            </w:tcMar>
          </w:tcPr>
          <w:p w14:paraId="57DBB7B0" w14:textId="77777777" w:rsidR="00F45E7D" w:rsidRDefault="0087463C">
            <w:pPr>
              <w:pStyle w:val="TableText0"/>
              <w:jc w:val="center"/>
              <w:rPr>
                <w:b/>
                <w:bCs w:val="0"/>
                <w:lang w:eastAsia="en-US"/>
              </w:rPr>
            </w:pPr>
            <w:r>
              <w:rPr>
                <w:b/>
                <w:bCs w:val="0"/>
                <w:lang w:eastAsia="en-US"/>
              </w:rPr>
              <w:t>p value</w:t>
            </w:r>
          </w:p>
        </w:tc>
        <w:tc>
          <w:tcPr>
            <w:tcW w:w="952" w:type="pct"/>
            <w:tcBorders>
              <w:bottom w:val="single" w:sz="4" w:space="0" w:color="auto"/>
            </w:tcBorders>
            <w:shd w:val="clear" w:color="auto" w:fill="auto"/>
            <w:tcMar>
              <w:left w:w="28" w:type="dxa"/>
              <w:right w:w="28" w:type="dxa"/>
            </w:tcMar>
          </w:tcPr>
          <w:p w14:paraId="2322ADBC" w14:textId="77777777" w:rsidR="00F45E7D" w:rsidRDefault="0087463C">
            <w:pPr>
              <w:pStyle w:val="TableText0"/>
              <w:jc w:val="center"/>
              <w:rPr>
                <w:b/>
                <w:bCs w:val="0"/>
                <w:lang w:eastAsia="en-US"/>
              </w:rPr>
            </w:pPr>
            <w:r>
              <w:rPr>
                <w:b/>
                <w:bCs w:val="0"/>
                <w:lang w:eastAsia="en-US"/>
              </w:rPr>
              <w:t>IPI ± PD-1 inhibitor</w:t>
            </w:r>
            <w:r>
              <w:rPr>
                <w:b/>
                <w:bCs w:val="0"/>
                <w:vertAlign w:val="superscript"/>
                <w:lang w:eastAsia="en-US"/>
              </w:rPr>
              <w:t>a</w:t>
            </w:r>
          </w:p>
          <w:p w14:paraId="046FD420" w14:textId="77777777" w:rsidR="00F45E7D" w:rsidRDefault="0087463C">
            <w:pPr>
              <w:pStyle w:val="TableText0"/>
              <w:jc w:val="center"/>
              <w:rPr>
                <w:b/>
                <w:bCs w:val="0"/>
                <w:lang w:eastAsia="en-US"/>
              </w:rPr>
            </w:pPr>
            <w:r>
              <w:rPr>
                <w:b/>
                <w:bCs w:val="0"/>
                <w:lang w:eastAsia="en-US"/>
              </w:rPr>
              <w:t>(n=44) **</w:t>
            </w:r>
          </w:p>
        </w:tc>
        <w:tc>
          <w:tcPr>
            <w:tcW w:w="794" w:type="pct"/>
            <w:tcBorders>
              <w:bottom w:val="single" w:sz="4" w:space="0" w:color="auto"/>
            </w:tcBorders>
            <w:shd w:val="clear" w:color="auto" w:fill="auto"/>
            <w:tcMar>
              <w:left w:w="28" w:type="dxa"/>
              <w:right w:w="28" w:type="dxa"/>
            </w:tcMar>
          </w:tcPr>
          <w:p w14:paraId="51298666" w14:textId="77777777" w:rsidR="00F45E7D" w:rsidRDefault="0087463C">
            <w:pPr>
              <w:pStyle w:val="TableText0"/>
              <w:jc w:val="center"/>
              <w:rPr>
                <w:b/>
                <w:bCs w:val="0"/>
                <w:vertAlign w:val="superscript"/>
                <w:lang w:eastAsia="en-US"/>
              </w:rPr>
            </w:pPr>
            <w:r>
              <w:rPr>
                <w:b/>
                <w:bCs w:val="0"/>
                <w:lang w:eastAsia="en-US"/>
              </w:rPr>
              <w:t>BRAFi</w:t>
            </w:r>
            <w:r>
              <w:rPr>
                <w:b/>
                <w:bCs w:val="0"/>
                <w:vertAlign w:val="superscript"/>
                <w:lang w:eastAsia="en-US"/>
              </w:rPr>
              <w:t>a</w:t>
            </w:r>
          </w:p>
          <w:p w14:paraId="4115C86D" w14:textId="77777777" w:rsidR="00F45E7D" w:rsidRDefault="0087463C">
            <w:pPr>
              <w:pStyle w:val="TableText0"/>
              <w:jc w:val="center"/>
              <w:rPr>
                <w:b/>
                <w:bCs w:val="0"/>
                <w:lang w:eastAsia="en-US"/>
              </w:rPr>
            </w:pPr>
            <w:r>
              <w:rPr>
                <w:b/>
                <w:bCs w:val="0"/>
                <w:lang w:eastAsia="en-US"/>
              </w:rPr>
              <w:t>(n=40)</w:t>
            </w:r>
          </w:p>
        </w:tc>
      </w:tr>
      <w:tr w:rsidR="00F45E7D" w14:paraId="4F78FC95" w14:textId="77777777">
        <w:trPr>
          <w:cantSplit/>
          <w:trHeight w:val="260"/>
        </w:trPr>
        <w:tc>
          <w:tcPr>
            <w:tcW w:w="1111" w:type="pct"/>
            <w:shd w:val="clear" w:color="auto" w:fill="auto"/>
            <w:tcMar>
              <w:left w:w="28" w:type="dxa"/>
              <w:right w:w="28" w:type="dxa"/>
            </w:tcMar>
          </w:tcPr>
          <w:p w14:paraId="31F4E408" w14:textId="77777777" w:rsidR="00F45E7D" w:rsidRDefault="0087463C">
            <w:pPr>
              <w:pStyle w:val="TableText0"/>
              <w:rPr>
                <w:b/>
                <w:bCs w:val="0"/>
                <w:lang w:eastAsia="en-US"/>
              </w:rPr>
            </w:pPr>
            <w:r>
              <w:rPr>
                <w:b/>
                <w:bCs w:val="0"/>
                <w:lang w:eastAsia="en-US"/>
              </w:rPr>
              <w:t xml:space="preserve">Median follow up </w:t>
            </w:r>
          </w:p>
        </w:tc>
        <w:tc>
          <w:tcPr>
            <w:tcW w:w="2143" w:type="pct"/>
            <w:gridSpan w:val="3"/>
            <w:tcBorders>
              <w:top w:val="single" w:sz="4" w:space="0" w:color="auto"/>
              <w:bottom w:val="single" w:sz="4" w:space="0" w:color="auto"/>
            </w:tcBorders>
            <w:shd w:val="clear" w:color="auto" w:fill="auto"/>
            <w:tcMar>
              <w:left w:w="28" w:type="dxa"/>
              <w:right w:w="28" w:type="dxa"/>
            </w:tcMar>
          </w:tcPr>
          <w:p w14:paraId="1ADCD12A" w14:textId="77777777" w:rsidR="00F45E7D" w:rsidRDefault="0087463C">
            <w:pPr>
              <w:pStyle w:val="TableText0"/>
              <w:jc w:val="center"/>
              <w:rPr>
                <w:lang w:eastAsia="en-US"/>
              </w:rPr>
            </w:pPr>
            <w:r>
              <w:rPr>
                <w:lang w:eastAsia="en-US"/>
              </w:rPr>
              <w:t>22.1 months</w:t>
            </w:r>
          </w:p>
        </w:tc>
        <w:tc>
          <w:tcPr>
            <w:tcW w:w="1746" w:type="pct"/>
            <w:gridSpan w:val="2"/>
            <w:tcBorders>
              <w:top w:val="single" w:sz="4" w:space="0" w:color="auto"/>
              <w:bottom w:val="single" w:sz="4" w:space="0" w:color="auto"/>
            </w:tcBorders>
            <w:shd w:val="clear" w:color="auto" w:fill="auto"/>
            <w:tcMar>
              <w:left w:w="28" w:type="dxa"/>
              <w:right w:w="28" w:type="dxa"/>
            </w:tcMar>
          </w:tcPr>
          <w:p w14:paraId="2450EBF6" w14:textId="77777777" w:rsidR="00F45E7D" w:rsidRDefault="0087463C">
            <w:pPr>
              <w:pStyle w:val="TableText0"/>
              <w:jc w:val="center"/>
              <w:rPr>
                <w:lang w:eastAsia="en-US"/>
              </w:rPr>
            </w:pPr>
            <w:r>
              <w:rPr>
                <w:lang w:eastAsia="en-US"/>
              </w:rPr>
              <w:t>7.7 months</w:t>
            </w:r>
          </w:p>
        </w:tc>
      </w:tr>
      <w:tr w:rsidR="00F45E7D" w14:paraId="3861EAA4" w14:textId="77777777">
        <w:trPr>
          <w:cantSplit/>
          <w:trHeight w:val="260"/>
        </w:trPr>
        <w:tc>
          <w:tcPr>
            <w:tcW w:w="1111" w:type="pct"/>
            <w:shd w:val="clear" w:color="auto" w:fill="auto"/>
            <w:tcMar>
              <w:left w:w="28" w:type="dxa"/>
              <w:right w:w="28" w:type="dxa"/>
            </w:tcMar>
          </w:tcPr>
          <w:p w14:paraId="6F7EAD27" w14:textId="77777777" w:rsidR="00F45E7D" w:rsidRDefault="0087463C">
            <w:pPr>
              <w:pStyle w:val="TableText0"/>
              <w:rPr>
                <w:b/>
                <w:bCs w:val="0"/>
                <w:lang w:eastAsia="en-US"/>
              </w:rPr>
            </w:pPr>
            <w:r>
              <w:rPr>
                <w:b/>
                <w:bCs w:val="0"/>
                <w:lang w:eastAsia="en-US"/>
              </w:rPr>
              <w:t xml:space="preserve">Setting </w:t>
            </w:r>
          </w:p>
        </w:tc>
        <w:tc>
          <w:tcPr>
            <w:tcW w:w="2143" w:type="pct"/>
            <w:gridSpan w:val="3"/>
            <w:tcBorders>
              <w:top w:val="single" w:sz="4" w:space="0" w:color="auto"/>
              <w:bottom w:val="single" w:sz="4" w:space="0" w:color="auto"/>
            </w:tcBorders>
            <w:shd w:val="clear" w:color="auto" w:fill="auto"/>
            <w:tcMar>
              <w:left w:w="28" w:type="dxa"/>
              <w:right w:w="28" w:type="dxa"/>
            </w:tcMar>
          </w:tcPr>
          <w:p w14:paraId="69C5A6E1" w14:textId="77777777" w:rsidR="00F45E7D" w:rsidRDefault="0087463C">
            <w:pPr>
              <w:pStyle w:val="TableText0"/>
              <w:rPr>
                <w:lang w:eastAsia="en-US"/>
              </w:rPr>
            </w:pPr>
            <w:r>
              <w:rPr>
                <w:lang w:eastAsia="en-US"/>
              </w:rPr>
              <w:t>PD-1 inhibitor resistance in adjuvant and metastatic</w:t>
            </w:r>
          </w:p>
        </w:tc>
        <w:tc>
          <w:tcPr>
            <w:tcW w:w="1746" w:type="pct"/>
            <w:gridSpan w:val="2"/>
            <w:tcBorders>
              <w:top w:val="single" w:sz="4" w:space="0" w:color="auto"/>
              <w:bottom w:val="single" w:sz="4" w:space="0" w:color="auto"/>
            </w:tcBorders>
            <w:shd w:val="clear" w:color="auto" w:fill="auto"/>
            <w:tcMar>
              <w:left w:w="28" w:type="dxa"/>
              <w:right w:w="28" w:type="dxa"/>
            </w:tcMar>
          </w:tcPr>
          <w:p w14:paraId="5E9FED5D" w14:textId="77777777" w:rsidR="00F45E7D" w:rsidRDefault="0087463C">
            <w:pPr>
              <w:pStyle w:val="TableText0"/>
              <w:rPr>
                <w:lang w:eastAsia="en-US"/>
              </w:rPr>
            </w:pPr>
            <w:r>
              <w:rPr>
                <w:lang w:eastAsia="en-US"/>
              </w:rPr>
              <w:t>PD-1 inhibitor resistance in adjuvant</w:t>
            </w:r>
          </w:p>
        </w:tc>
      </w:tr>
      <w:tr w:rsidR="00F45E7D" w14:paraId="2BCDDECD" w14:textId="77777777">
        <w:trPr>
          <w:cantSplit/>
          <w:trHeight w:val="246"/>
        </w:trPr>
        <w:tc>
          <w:tcPr>
            <w:tcW w:w="5000" w:type="pct"/>
            <w:gridSpan w:val="6"/>
            <w:tcBorders>
              <w:top w:val="single" w:sz="4" w:space="0" w:color="auto"/>
            </w:tcBorders>
            <w:shd w:val="clear" w:color="auto" w:fill="auto"/>
            <w:tcMar>
              <w:left w:w="28" w:type="dxa"/>
              <w:right w:w="28" w:type="dxa"/>
            </w:tcMar>
          </w:tcPr>
          <w:p w14:paraId="1F7377F6" w14:textId="77777777" w:rsidR="00F45E7D" w:rsidRDefault="0087463C">
            <w:pPr>
              <w:pStyle w:val="TableText0"/>
              <w:rPr>
                <w:b/>
                <w:bCs w:val="0"/>
                <w:lang w:eastAsia="en-US"/>
              </w:rPr>
            </w:pPr>
            <w:r>
              <w:rPr>
                <w:b/>
                <w:bCs w:val="0"/>
                <w:lang w:eastAsia="en-US"/>
              </w:rPr>
              <w:t>OS</w:t>
            </w:r>
          </w:p>
        </w:tc>
      </w:tr>
      <w:tr w:rsidR="00F45E7D" w14:paraId="2983C3F3" w14:textId="77777777">
        <w:trPr>
          <w:cantSplit/>
          <w:trHeight w:val="246"/>
        </w:trPr>
        <w:tc>
          <w:tcPr>
            <w:tcW w:w="1111" w:type="pct"/>
            <w:tcBorders>
              <w:top w:val="single" w:sz="4" w:space="0" w:color="auto"/>
            </w:tcBorders>
            <w:shd w:val="clear" w:color="auto" w:fill="auto"/>
            <w:tcMar>
              <w:left w:w="28" w:type="dxa"/>
              <w:right w:w="28" w:type="dxa"/>
            </w:tcMar>
          </w:tcPr>
          <w:p w14:paraId="13E92E6D" w14:textId="77777777" w:rsidR="00F45E7D" w:rsidRDefault="0087463C">
            <w:pPr>
              <w:pStyle w:val="TableText0"/>
              <w:rPr>
                <w:lang w:eastAsia="en-US"/>
              </w:rPr>
            </w:pPr>
            <w:r>
              <w:rPr>
                <w:lang w:eastAsia="en-US"/>
              </w:rPr>
              <w:t xml:space="preserve"> Median, months (95% CI)</w:t>
            </w:r>
          </w:p>
        </w:tc>
        <w:tc>
          <w:tcPr>
            <w:tcW w:w="873" w:type="pct"/>
            <w:tcBorders>
              <w:top w:val="single" w:sz="4" w:space="0" w:color="auto"/>
              <w:bottom w:val="single" w:sz="4" w:space="0" w:color="auto"/>
            </w:tcBorders>
            <w:shd w:val="clear" w:color="auto" w:fill="auto"/>
            <w:tcMar>
              <w:left w:w="28" w:type="dxa"/>
              <w:right w:w="28" w:type="dxa"/>
            </w:tcMar>
          </w:tcPr>
          <w:p w14:paraId="73A6B7CD" w14:textId="77777777" w:rsidR="00F45E7D" w:rsidRDefault="0087463C">
            <w:pPr>
              <w:pStyle w:val="TableText0"/>
              <w:jc w:val="center"/>
              <w:rPr>
                <w:lang w:eastAsia="en-US"/>
              </w:rPr>
            </w:pPr>
            <w:r>
              <w:rPr>
                <w:lang w:eastAsia="en-US"/>
              </w:rPr>
              <w:t>20.4 (</w:t>
            </w:r>
            <w:r>
              <w:rPr>
                <w:lang w:eastAsia="en-GB"/>
              </w:rPr>
              <w:t>12.7, 34.8)</w:t>
            </w:r>
          </w:p>
        </w:tc>
        <w:tc>
          <w:tcPr>
            <w:tcW w:w="817" w:type="pct"/>
            <w:tcBorders>
              <w:top w:val="single" w:sz="4" w:space="0" w:color="auto"/>
              <w:bottom w:val="single" w:sz="4" w:space="0" w:color="auto"/>
            </w:tcBorders>
            <w:shd w:val="clear" w:color="auto" w:fill="auto"/>
            <w:tcMar>
              <w:left w:w="28" w:type="dxa"/>
              <w:right w:w="28" w:type="dxa"/>
            </w:tcMar>
          </w:tcPr>
          <w:p w14:paraId="5DE63A1E" w14:textId="77777777" w:rsidR="00F45E7D" w:rsidRDefault="0087463C">
            <w:pPr>
              <w:pStyle w:val="TableText0"/>
              <w:jc w:val="center"/>
              <w:rPr>
                <w:lang w:eastAsia="en-US"/>
              </w:rPr>
            </w:pPr>
            <w:r>
              <w:rPr>
                <w:lang w:eastAsia="en-US"/>
              </w:rPr>
              <w:t>8.8 (</w:t>
            </w:r>
            <w:r>
              <w:rPr>
                <w:lang w:eastAsia="en-GB"/>
              </w:rPr>
              <w:t>6.1, 11.3)</w:t>
            </w:r>
          </w:p>
        </w:tc>
        <w:tc>
          <w:tcPr>
            <w:tcW w:w="453" w:type="pct"/>
            <w:tcBorders>
              <w:top w:val="single" w:sz="4" w:space="0" w:color="auto"/>
              <w:bottom w:val="single" w:sz="4" w:space="0" w:color="auto"/>
            </w:tcBorders>
            <w:shd w:val="clear" w:color="auto" w:fill="auto"/>
            <w:tcMar>
              <w:left w:w="28" w:type="dxa"/>
              <w:right w:w="28" w:type="dxa"/>
            </w:tcMar>
          </w:tcPr>
          <w:p w14:paraId="64507A78" w14:textId="77777777" w:rsidR="00F45E7D" w:rsidRDefault="0087463C">
            <w:pPr>
              <w:pStyle w:val="TableText0"/>
              <w:jc w:val="center"/>
              <w:rPr>
                <w:lang w:eastAsia="en-US"/>
              </w:rPr>
            </w:pPr>
            <w:r>
              <w:rPr>
                <w:lang w:eastAsia="en-US"/>
              </w:rPr>
              <w:t>-</w:t>
            </w:r>
          </w:p>
        </w:tc>
        <w:tc>
          <w:tcPr>
            <w:tcW w:w="952" w:type="pct"/>
            <w:tcBorders>
              <w:top w:val="single" w:sz="4" w:space="0" w:color="auto"/>
              <w:bottom w:val="single" w:sz="4" w:space="0" w:color="auto"/>
            </w:tcBorders>
            <w:shd w:val="clear" w:color="auto" w:fill="auto"/>
            <w:tcMar>
              <w:left w:w="28" w:type="dxa"/>
              <w:right w:w="28" w:type="dxa"/>
            </w:tcMar>
          </w:tcPr>
          <w:p w14:paraId="7E774B2C" w14:textId="77777777" w:rsidR="00F45E7D" w:rsidRDefault="0087463C">
            <w:pPr>
              <w:pStyle w:val="TableText0"/>
              <w:jc w:val="center"/>
              <w:rPr>
                <w:lang w:eastAsia="en-US"/>
              </w:rPr>
            </w:pPr>
            <w:r>
              <w:rPr>
                <w:lang w:eastAsia="en-US"/>
              </w:rPr>
              <w:t>21.3</w:t>
            </w:r>
            <w:r>
              <w:rPr>
                <w:vertAlign w:val="superscript"/>
                <w:lang w:eastAsia="en-US"/>
              </w:rPr>
              <w:t xml:space="preserve">c </w:t>
            </w:r>
            <w:r>
              <w:rPr>
                <w:lang w:eastAsia="en-US"/>
              </w:rPr>
              <w:t>(17.6, NR)</w:t>
            </w:r>
          </w:p>
        </w:tc>
        <w:tc>
          <w:tcPr>
            <w:tcW w:w="794" w:type="pct"/>
            <w:tcBorders>
              <w:top w:val="single" w:sz="4" w:space="0" w:color="auto"/>
              <w:bottom w:val="single" w:sz="4" w:space="0" w:color="auto"/>
            </w:tcBorders>
            <w:shd w:val="clear" w:color="auto" w:fill="auto"/>
            <w:tcMar>
              <w:left w:w="28" w:type="dxa"/>
              <w:right w:w="28" w:type="dxa"/>
            </w:tcMar>
          </w:tcPr>
          <w:p w14:paraId="418BC14F" w14:textId="77777777" w:rsidR="00F45E7D" w:rsidRDefault="0087463C">
            <w:pPr>
              <w:pStyle w:val="TableText0"/>
              <w:jc w:val="center"/>
              <w:rPr>
                <w:lang w:eastAsia="en-US"/>
              </w:rPr>
            </w:pPr>
            <w:r>
              <w:rPr>
                <w:lang w:eastAsia="en-US"/>
              </w:rPr>
              <w:t>12.3</w:t>
            </w:r>
            <w:r>
              <w:rPr>
                <w:vertAlign w:val="superscript"/>
                <w:lang w:eastAsia="en-US"/>
              </w:rPr>
              <w:t xml:space="preserve">c </w:t>
            </w:r>
            <w:r>
              <w:rPr>
                <w:lang w:eastAsia="en-US"/>
              </w:rPr>
              <w:t>(8.7, NR)</w:t>
            </w:r>
          </w:p>
        </w:tc>
      </w:tr>
      <w:tr w:rsidR="00F45E7D" w14:paraId="21FD21BD" w14:textId="77777777">
        <w:trPr>
          <w:cantSplit/>
          <w:trHeight w:val="246"/>
        </w:trPr>
        <w:tc>
          <w:tcPr>
            <w:tcW w:w="1111" w:type="pct"/>
            <w:tcBorders>
              <w:top w:val="single" w:sz="4" w:space="0" w:color="auto"/>
            </w:tcBorders>
            <w:shd w:val="clear" w:color="auto" w:fill="auto"/>
            <w:tcMar>
              <w:left w:w="28" w:type="dxa"/>
              <w:right w:w="28" w:type="dxa"/>
            </w:tcMar>
          </w:tcPr>
          <w:p w14:paraId="3F01095C" w14:textId="77777777" w:rsidR="00F45E7D" w:rsidRDefault="0087463C">
            <w:pPr>
              <w:pStyle w:val="TableText0"/>
              <w:rPr>
                <w:lang w:eastAsia="en-US"/>
              </w:rPr>
            </w:pPr>
            <w:r>
              <w:rPr>
                <w:lang w:eastAsia="en-US"/>
              </w:rPr>
              <w:t xml:space="preserve"> HR (95% CI)</w:t>
            </w:r>
          </w:p>
        </w:tc>
        <w:tc>
          <w:tcPr>
            <w:tcW w:w="1690" w:type="pct"/>
            <w:gridSpan w:val="2"/>
            <w:tcBorders>
              <w:top w:val="single" w:sz="4" w:space="0" w:color="auto"/>
              <w:bottom w:val="single" w:sz="4" w:space="0" w:color="auto"/>
            </w:tcBorders>
            <w:shd w:val="clear" w:color="auto" w:fill="auto"/>
            <w:tcMar>
              <w:left w:w="28" w:type="dxa"/>
              <w:right w:w="28" w:type="dxa"/>
            </w:tcMar>
          </w:tcPr>
          <w:p w14:paraId="25D0DE39" w14:textId="77777777" w:rsidR="00F45E7D" w:rsidRDefault="0087463C">
            <w:pPr>
              <w:pStyle w:val="TableText0"/>
              <w:jc w:val="center"/>
              <w:rPr>
                <w:lang w:eastAsia="en-US"/>
              </w:rPr>
            </w:pPr>
            <w:r>
              <w:rPr>
                <w:lang w:eastAsia="en-US"/>
              </w:rPr>
              <w:t>0.50 (</w:t>
            </w:r>
            <w:r>
              <w:rPr>
                <w:lang w:eastAsia="en-GB"/>
              </w:rPr>
              <w:t>0.38, 0.66)</w:t>
            </w:r>
          </w:p>
        </w:tc>
        <w:tc>
          <w:tcPr>
            <w:tcW w:w="453" w:type="pct"/>
            <w:tcBorders>
              <w:top w:val="single" w:sz="4" w:space="0" w:color="auto"/>
              <w:bottom w:val="single" w:sz="4" w:space="0" w:color="auto"/>
            </w:tcBorders>
            <w:shd w:val="clear" w:color="auto" w:fill="auto"/>
            <w:tcMar>
              <w:left w:w="28" w:type="dxa"/>
              <w:right w:w="28" w:type="dxa"/>
            </w:tcMar>
          </w:tcPr>
          <w:p w14:paraId="58E9F557" w14:textId="77777777" w:rsidR="00F45E7D" w:rsidRDefault="0087463C">
            <w:pPr>
              <w:pStyle w:val="TableText0"/>
              <w:jc w:val="center"/>
              <w:rPr>
                <w:lang w:eastAsia="en-US"/>
              </w:rPr>
            </w:pPr>
            <w:r>
              <w:rPr>
                <w:lang w:eastAsia="en-GB"/>
              </w:rPr>
              <w:t>&lt;0.0001</w:t>
            </w:r>
          </w:p>
        </w:tc>
        <w:tc>
          <w:tcPr>
            <w:tcW w:w="1746" w:type="pct"/>
            <w:gridSpan w:val="2"/>
            <w:tcBorders>
              <w:top w:val="single" w:sz="4" w:space="0" w:color="auto"/>
              <w:bottom w:val="single" w:sz="4" w:space="0" w:color="auto"/>
            </w:tcBorders>
            <w:shd w:val="clear" w:color="auto" w:fill="auto"/>
            <w:tcMar>
              <w:left w:w="28" w:type="dxa"/>
              <w:right w:w="28" w:type="dxa"/>
            </w:tcMar>
          </w:tcPr>
          <w:p w14:paraId="2275F322" w14:textId="77777777" w:rsidR="00F45E7D" w:rsidRDefault="0087463C">
            <w:pPr>
              <w:pStyle w:val="TableText0"/>
              <w:jc w:val="center"/>
              <w:rPr>
                <w:lang w:eastAsia="en-US"/>
              </w:rPr>
            </w:pPr>
            <w:r>
              <w:rPr>
                <w:lang w:eastAsia="en-US"/>
              </w:rPr>
              <w:t>NR</w:t>
            </w:r>
          </w:p>
        </w:tc>
      </w:tr>
      <w:tr w:rsidR="00F45E7D" w14:paraId="73B4705D" w14:textId="77777777">
        <w:trPr>
          <w:cantSplit/>
          <w:trHeight w:val="246"/>
        </w:trPr>
        <w:tc>
          <w:tcPr>
            <w:tcW w:w="1111" w:type="pct"/>
            <w:tcBorders>
              <w:top w:val="single" w:sz="4" w:space="0" w:color="auto"/>
            </w:tcBorders>
            <w:shd w:val="clear" w:color="auto" w:fill="auto"/>
            <w:tcMar>
              <w:left w:w="28" w:type="dxa"/>
              <w:right w:w="28" w:type="dxa"/>
            </w:tcMar>
          </w:tcPr>
          <w:p w14:paraId="070426F5" w14:textId="77777777" w:rsidR="00F45E7D" w:rsidRDefault="0087463C">
            <w:pPr>
              <w:pStyle w:val="TableText0"/>
              <w:rPr>
                <w:lang w:eastAsia="en-US"/>
              </w:rPr>
            </w:pPr>
            <w:r>
              <w:rPr>
                <w:lang w:eastAsia="en-US"/>
              </w:rPr>
              <w:t xml:space="preserve"> 6-month, % (95% CI)</w:t>
            </w:r>
          </w:p>
        </w:tc>
        <w:tc>
          <w:tcPr>
            <w:tcW w:w="873" w:type="pct"/>
            <w:tcBorders>
              <w:top w:val="single" w:sz="4" w:space="0" w:color="auto"/>
              <w:bottom w:val="single" w:sz="4" w:space="0" w:color="auto"/>
            </w:tcBorders>
            <w:shd w:val="clear" w:color="auto" w:fill="auto"/>
            <w:tcMar>
              <w:left w:w="28" w:type="dxa"/>
              <w:right w:w="28" w:type="dxa"/>
            </w:tcMar>
          </w:tcPr>
          <w:p w14:paraId="45572992" w14:textId="77777777" w:rsidR="00F45E7D" w:rsidRDefault="0087463C">
            <w:pPr>
              <w:pStyle w:val="TableText0"/>
              <w:jc w:val="center"/>
              <w:rPr>
                <w:lang w:eastAsia="en-US"/>
              </w:rPr>
            </w:pPr>
            <w:r>
              <w:rPr>
                <w:lang w:eastAsia="en-US"/>
              </w:rPr>
              <w:t>~73</w:t>
            </w:r>
            <w:r>
              <w:rPr>
                <w:vertAlign w:val="superscript"/>
                <w:lang w:eastAsia="en-US"/>
              </w:rPr>
              <w:t xml:space="preserve">b </w:t>
            </w:r>
            <w:r>
              <w:rPr>
                <w:lang w:eastAsia="en-US"/>
              </w:rPr>
              <w:t>(NR)</w:t>
            </w:r>
          </w:p>
        </w:tc>
        <w:tc>
          <w:tcPr>
            <w:tcW w:w="817" w:type="pct"/>
            <w:tcBorders>
              <w:top w:val="single" w:sz="4" w:space="0" w:color="auto"/>
              <w:bottom w:val="single" w:sz="4" w:space="0" w:color="auto"/>
            </w:tcBorders>
            <w:shd w:val="clear" w:color="auto" w:fill="auto"/>
            <w:tcMar>
              <w:left w:w="28" w:type="dxa"/>
              <w:right w:w="28" w:type="dxa"/>
            </w:tcMar>
          </w:tcPr>
          <w:p w14:paraId="3BE29218" w14:textId="77777777" w:rsidR="00F45E7D" w:rsidRDefault="0087463C">
            <w:pPr>
              <w:pStyle w:val="TableText0"/>
              <w:jc w:val="center"/>
              <w:rPr>
                <w:lang w:eastAsia="en-US"/>
              </w:rPr>
            </w:pPr>
            <w:r>
              <w:rPr>
                <w:lang w:eastAsia="en-US"/>
              </w:rPr>
              <w:t>~58</w:t>
            </w:r>
            <w:r>
              <w:rPr>
                <w:vertAlign w:val="superscript"/>
                <w:lang w:eastAsia="en-US"/>
              </w:rPr>
              <w:t xml:space="preserve">b </w:t>
            </w:r>
            <w:r>
              <w:rPr>
                <w:lang w:eastAsia="en-US"/>
              </w:rPr>
              <w:t>(NR)</w:t>
            </w:r>
          </w:p>
        </w:tc>
        <w:tc>
          <w:tcPr>
            <w:tcW w:w="453" w:type="pct"/>
            <w:tcBorders>
              <w:top w:val="single" w:sz="4" w:space="0" w:color="auto"/>
              <w:bottom w:val="single" w:sz="4" w:space="0" w:color="auto"/>
            </w:tcBorders>
            <w:shd w:val="clear" w:color="auto" w:fill="auto"/>
            <w:tcMar>
              <w:left w:w="28" w:type="dxa"/>
              <w:right w:w="28" w:type="dxa"/>
            </w:tcMar>
          </w:tcPr>
          <w:p w14:paraId="7E0B6434" w14:textId="77777777" w:rsidR="00F45E7D" w:rsidRDefault="0087463C">
            <w:pPr>
              <w:pStyle w:val="TableText0"/>
              <w:jc w:val="center"/>
              <w:rPr>
                <w:lang w:eastAsia="en-US"/>
              </w:rPr>
            </w:pPr>
            <w:r>
              <w:rPr>
                <w:lang w:eastAsia="en-US"/>
              </w:rPr>
              <w:t>-</w:t>
            </w:r>
          </w:p>
        </w:tc>
        <w:tc>
          <w:tcPr>
            <w:tcW w:w="952" w:type="pct"/>
            <w:tcBorders>
              <w:top w:val="single" w:sz="4" w:space="0" w:color="auto"/>
              <w:bottom w:val="single" w:sz="4" w:space="0" w:color="auto"/>
            </w:tcBorders>
            <w:shd w:val="clear" w:color="auto" w:fill="auto"/>
            <w:tcMar>
              <w:left w:w="28" w:type="dxa"/>
              <w:right w:w="28" w:type="dxa"/>
            </w:tcMar>
          </w:tcPr>
          <w:p w14:paraId="161015A8" w14:textId="77777777" w:rsidR="00F45E7D" w:rsidRDefault="0087463C">
            <w:pPr>
              <w:pStyle w:val="TableText0"/>
              <w:jc w:val="center"/>
              <w:rPr>
                <w:lang w:eastAsia="en-US"/>
              </w:rPr>
            </w:pPr>
            <w:r>
              <w:rPr>
                <w:lang w:eastAsia="en-US"/>
              </w:rPr>
              <w:t>NR</w:t>
            </w:r>
          </w:p>
        </w:tc>
        <w:tc>
          <w:tcPr>
            <w:tcW w:w="794" w:type="pct"/>
            <w:tcBorders>
              <w:top w:val="single" w:sz="4" w:space="0" w:color="auto"/>
              <w:bottom w:val="single" w:sz="4" w:space="0" w:color="auto"/>
            </w:tcBorders>
            <w:shd w:val="clear" w:color="auto" w:fill="auto"/>
            <w:tcMar>
              <w:left w:w="28" w:type="dxa"/>
              <w:right w:w="28" w:type="dxa"/>
            </w:tcMar>
          </w:tcPr>
          <w:p w14:paraId="021B7DC4" w14:textId="77777777" w:rsidR="00F45E7D" w:rsidRDefault="0087463C">
            <w:pPr>
              <w:pStyle w:val="TableText0"/>
              <w:jc w:val="center"/>
              <w:rPr>
                <w:lang w:eastAsia="en-US"/>
              </w:rPr>
            </w:pPr>
            <w:r>
              <w:rPr>
                <w:lang w:eastAsia="en-US"/>
              </w:rPr>
              <w:t>NR</w:t>
            </w:r>
          </w:p>
        </w:tc>
      </w:tr>
      <w:tr w:rsidR="00F45E7D" w14:paraId="51ED1916" w14:textId="77777777">
        <w:trPr>
          <w:cantSplit/>
          <w:trHeight w:val="246"/>
        </w:trPr>
        <w:tc>
          <w:tcPr>
            <w:tcW w:w="1111" w:type="pct"/>
            <w:tcBorders>
              <w:top w:val="single" w:sz="4" w:space="0" w:color="auto"/>
            </w:tcBorders>
            <w:shd w:val="clear" w:color="auto" w:fill="auto"/>
            <w:tcMar>
              <w:left w:w="28" w:type="dxa"/>
              <w:right w:w="28" w:type="dxa"/>
            </w:tcMar>
          </w:tcPr>
          <w:p w14:paraId="6C478769" w14:textId="77777777" w:rsidR="00F45E7D" w:rsidRDefault="0087463C">
            <w:pPr>
              <w:pStyle w:val="TableText0"/>
              <w:rPr>
                <w:lang w:eastAsia="en-US"/>
              </w:rPr>
            </w:pPr>
            <w:r>
              <w:rPr>
                <w:lang w:eastAsia="en-US"/>
              </w:rPr>
              <w:t xml:space="preserve"> 12-month, % (95% CI)</w:t>
            </w:r>
          </w:p>
        </w:tc>
        <w:tc>
          <w:tcPr>
            <w:tcW w:w="873" w:type="pct"/>
            <w:tcBorders>
              <w:top w:val="single" w:sz="4" w:space="0" w:color="auto"/>
              <w:bottom w:val="single" w:sz="4" w:space="0" w:color="auto"/>
            </w:tcBorders>
            <w:shd w:val="clear" w:color="auto" w:fill="auto"/>
            <w:tcMar>
              <w:left w:w="28" w:type="dxa"/>
              <w:right w:w="28" w:type="dxa"/>
            </w:tcMar>
          </w:tcPr>
          <w:p w14:paraId="0F22C002" w14:textId="77777777" w:rsidR="00F45E7D" w:rsidRDefault="0087463C">
            <w:pPr>
              <w:pStyle w:val="TableText0"/>
              <w:jc w:val="center"/>
              <w:rPr>
                <w:lang w:eastAsia="en-US"/>
              </w:rPr>
            </w:pPr>
            <w:r>
              <w:rPr>
                <w:lang w:eastAsia="en-US"/>
              </w:rPr>
              <w:t>58 (51, 66)</w:t>
            </w:r>
          </w:p>
        </w:tc>
        <w:tc>
          <w:tcPr>
            <w:tcW w:w="817" w:type="pct"/>
            <w:tcBorders>
              <w:top w:val="single" w:sz="4" w:space="0" w:color="auto"/>
              <w:bottom w:val="single" w:sz="4" w:space="0" w:color="auto"/>
            </w:tcBorders>
            <w:shd w:val="clear" w:color="auto" w:fill="auto"/>
            <w:tcMar>
              <w:left w:w="28" w:type="dxa"/>
              <w:right w:w="28" w:type="dxa"/>
            </w:tcMar>
          </w:tcPr>
          <w:p w14:paraId="432CBFC1" w14:textId="77777777" w:rsidR="00F45E7D" w:rsidRDefault="0087463C">
            <w:pPr>
              <w:pStyle w:val="TableText0"/>
              <w:jc w:val="center"/>
              <w:rPr>
                <w:lang w:eastAsia="en-US"/>
              </w:rPr>
            </w:pPr>
            <w:r>
              <w:rPr>
                <w:lang w:eastAsia="en-US"/>
              </w:rPr>
              <w:t>38 (31, 48)</w:t>
            </w:r>
          </w:p>
        </w:tc>
        <w:tc>
          <w:tcPr>
            <w:tcW w:w="453" w:type="pct"/>
            <w:tcBorders>
              <w:top w:val="single" w:sz="4" w:space="0" w:color="auto"/>
              <w:bottom w:val="single" w:sz="4" w:space="0" w:color="auto"/>
            </w:tcBorders>
            <w:shd w:val="clear" w:color="auto" w:fill="auto"/>
            <w:tcMar>
              <w:left w:w="28" w:type="dxa"/>
              <w:right w:w="28" w:type="dxa"/>
            </w:tcMar>
          </w:tcPr>
          <w:p w14:paraId="26C51D57" w14:textId="77777777" w:rsidR="00F45E7D" w:rsidRDefault="0087463C">
            <w:pPr>
              <w:pStyle w:val="TableText0"/>
              <w:jc w:val="center"/>
              <w:rPr>
                <w:lang w:eastAsia="en-US"/>
              </w:rPr>
            </w:pPr>
            <w:r>
              <w:rPr>
                <w:lang w:eastAsia="en-US"/>
              </w:rPr>
              <w:t>-</w:t>
            </w:r>
          </w:p>
        </w:tc>
        <w:tc>
          <w:tcPr>
            <w:tcW w:w="952" w:type="pct"/>
            <w:tcBorders>
              <w:top w:val="single" w:sz="4" w:space="0" w:color="auto"/>
              <w:bottom w:val="single" w:sz="4" w:space="0" w:color="auto"/>
            </w:tcBorders>
            <w:shd w:val="clear" w:color="auto" w:fill="auto"/>
            <w:tcMar>
              <w:left w:w="28" w:type="dxa"/>
              <w:right w:w="28" w:type="dxa"/>
            </w:tcMar>
          </w:tcPr>
          <w:p w14:paraId="73035E5B" w14:textId="77777777" w:rsidR="00F45E7D" w:rsidRDefault="0087463C">
            <w:pPr>
              <w:pStyle w:val="TableText0"/>
              <w:jc w:val="center"/>
              <w:rPr>
                <w:lang w:eastAsia="en-US"/>
              </w:rPr>
            </w:pPr>
            <w:r>
              <w:rPr>
                <w:lang w:eastAsia="en-US"/>
              </w:rPr>
              <w:t>NR</w:t>
            </w:r>
          </w:p>
        </w:tc>
        <w:tc>
          <w:tcPr>
            <w:tcW w:w="794" w:type="pct"/>
            <w:tcBorders>
              <w:top w:val="single" w:sz="4" w:space="0" w:color="auto"/>
              <w:bottom w:val="single" w:sz="4" w:space="0" w:color="auto"/>
            </w:tcBorders>
            <w:shd w:val="clear" w:color="auto" w:fill="auto"/>
            <w:tcMar>
              <w:left w:w="28" w:type="dxa"/>
              <w:right w:w="28" w:type="dxa"/>
            </w:tcMar>
          </w:tcPr>
          <w:p w14:paraId="6347BB66" w14:textId="77777777" w:rsidR="00F45E7D" w:rsidRDefault="0087463C">
            <w:pPr>
              <w:pStyle w:val="TableText0"/>
              <w:jc w:val="center"/>
              <w:rPr>
                <w:lang w:eastAsia="en-US"/>
              </w:rPr>
            </w:pPr>
            <w:r>
              <w:rPr>
                <w:lang w:eastAsia="en-US"/>
              </w:rPr>
              <w:t>NR</w:t>
            </w:r>
          </w:p>
        </w:tc>
      </w:tr>
      <w:tr w:rsidR="00F45E7D" w14:paraId="5C70602D" w14:textId="77777777">
        <w:trPr>
          <w:cantSplit/>
          <w:trHeight w:val="246"/>
        </w:trPr>
        <w:tc>
          <w:tcPr>
            <w:tcW w:w="5000" w:type="pct"/>
            <w:gridSpan w:val="6"/>
            <w:tcBorders>
              <w:top w:val="single" w:sz="4" w:space="0" w:color="auto"/>
            </w:tcBorders>
            <w:shd w:val="clear" w:color="auto" w:fill="auto"/>
            <w:tcMar>
              <w:left w:w="28" w:type="dxa"/>
              <w:right w:w="28" w:type="dxa"/>
            </w:tcMar>
          </w:tcPr>
          <w:p w14:paraId="0FE84374" w14:textId="77777777" w:rsidR="00F45E7D" w:rsidRDefault="0087463C">
            <w:pPr>
              <w:pStyle w:val="TableText0"/>
              <w:rPr>
                <w:b/>
                <w:bCs w:val="0"/>
                <w:lang w:eastAsia="en-US"/>
              </w:rPr>
            </w:pPr>
            <w:r>
              <w:rPr>
                <w:b/>
                <w:bCs w:val="0"/>
                <w:lang w:eastAsia="en-US"/>
              </w:rPr>
              <w:t>PFS</w:t>
            </w:r>
          </w:p>
        </w:tc>
      </w:tr>
      <w:tr w:rsidR="00F45E7D" w14:paraId="1183B723" w14:textId="77777777">
        <w:trPr>
          <w:cantSplit/>
          <w:trHeight w:val="246"/>
        </w:trPr>
        <w:tc>
          <w:tcPr>
            <w:tcW w:w="1111" w:type="pct"/>
            <w:tcBorders>
              <w:top w:val="single" w:sz="4" w:space="0" w:color="auto"/>
            </w:tcBorders>
            <w:shd w:val="clear" w:color="auto" w:fill="auto"/>
            <w:tcMar>
              <w:left w:w="28" w:type="dxa"/>
              <w:right w:w="28" w:type="dxa"/>
            </w:tcMar>
          </w:tcPr>
          <w:p w14:paraId="5E269089" w14:textId="77777777" w:rsidR="00F45E7D" w:rsidRDefault="0087463C">
            <w:pPr>
              <w:pStyle w:val="TableText0"/>
              <w:rPr>
                <w:lang w:eastAsia="en-US"/>
              </w:rPr>
            </w:pPr>
            <w:r>
              <w:rPr>
                <w:lang w:eastAsia="en-US"/>
              </w:rPr>
              <w:t xml:space="preserve"> Median, months (95% CI)</w:t>
            </w:r>
          </w:p>
        </w:tc>
        <w:tc>
          <w:tcPr>
            <w:tcW w:w="873" w:type="pct"/>
            <w:tcBorders>
              <w:top w:val="single" w:sz="4" w:space="0" w:color="auto"/>
              <w:bottom w:val="single" w:sz="4" w:space="0" w:color="auto"/>
            </w:tcBorders>
            <w:shd w:val="clear" w:color="auto" w:fill="auto"/>
            <w:tcMar>
              <w:left w:w="28" w:type="dxa"/>
              <w:right w:w="28" w:type="dxa"/>
            </w:tcMar>
          </w:tcPr>
          <w:p w14:paraId="0883D115" w14:textId="77777777" w:rsidR="00F45E7D" w:rsidRDefault="0087463C">
            <w:pPr>
              <w:pStyle w:val="TableText0"/>
              <w:jc w:val="center"/>
              <w:rPr>
                <w:lang w:eastAsia="en-US"/>
              </w:rPr>
            </w:pPr>
            <w:r>
              <w:rPr>
                <w:lang w:eastAsia="en-US"/>
              </w:rPr>
              <w:t>3.0 (2.6, 3.6)</w:t>
            </w:r>
          </w:p>
        </w:tc>
        <w:tc>
          <w:tcPr>
            <w:tcW w:w="817" w:type="pct"/>
            <w:tcBorders>
              <w:top w:val="single" w:sz="4" w:space="0" w:color="auto"/>
              <w:bottom w:val="single" w:sz="4" w:space="0" w:color="auto"/>
            </w:tcBorders>
            <w:shd w:val="clear" w:color="auto" w:fill="auto"/>
            <w:tcMar>
              <w:left w:w="28" w:type="dxa"/>
              <w:right w:w="28" w:type="dxa"/>
            </w:tcMar>
          </w:tcPr>
          <w:p w14:paraId="43F8C907" w14:textId="77777777" w:rsidR="00F45E7D" w:rsidRDefault="0087463C">
            <w:pPr>
              <w:pStyle w:val="TableText0"/>
              <w:jc w:val="center"/>
              <w:rPr>
                <w:lang w:eastAsia="en-US"/>
              </w:rPr>
            </w:pPr>
            <w:r>
              <w:rPr>
                <w:lang w:eastAsia="en-US"/>
              </w:rPr>
              <w:t>2.6 (2.4, 2.9)</w:t>
            </w:r>
          </w:p>
        </w:tc>
        <w:tc>
          <w:tcPr>
            <w:tcW w:w="453" w:type="pct"/>
            <w:tcBorders>
              <w:top w:val="single" w:sz="4" w:space="0" w:color="auto"/>
              <w:bottom w:val="single" w:sz="4" w:space="0" w:color="auto"/>
            </w:tcBorders>
            <w:shd w:val="clear" w:color="auto" w:fill="auto"/>
            <w:tcMar>
              <w:left w:w="28" w:type="dxa"/>
              <w:right w:w="28" w:type="dxa"/>
            </w:tcMar>
          </w:tcPr>
          <w:p w14:paraId="3A44E670" w14:textId="77777777" w:rsidR="00F45E7D" w:rsidRDefault="0087463C">
            <w:pPr>
              <w:pStyle w:val="TableText0"/>
              <w:jc w:val="center"/>
              <w:rPr>
                <w:lang w:eastAsia="en-US"/>
              </w:rPr>
            </w:pPr>
            <w:r>
              <w:rPr>
                <w:lang w:eastAsia="en-US"/>
              </w:rPr>
              <w:t>0.0019</w:t>
            </w:r>
          </w:p>
        </w:tc>
        <w:tc>
          <w:tcPr>
            <w:tcW w:w="952" w:type="pct"/>
            <w:tcBorders>
              <w:top w:val="single" w:sz="4" w:space="0" w:color="auto"/>
              <w:bottom w:val="single" w:sz="4" w:space="0" w:color="auto"/>
            </w:tcBorders>
            <w:shd w:val="clear" w:color="auto" w:fill="auto"/>
            <w:tcMar>
              <w:left w:w="28" w:type="dxa"/>
              <w:right w:w="28" w:type="dxa"/>
            </w:tcMar>
          </w:tcPr>
          <w:p w14:paraId="004928D0" w14:textId="77777777" w:rsidR="00F45E7D" w:rsidRDefault="0087463C">
            <w:pPr>
              <w:pStyle w:val="TableText0"/>
              <w:jc w:val="center"/>
              <w:rPr>
                <w:lang w:eastAsia="en-US"/>
              </w:rPr>
            </w:pPr>
            <w:r>
              <w:rPr>
                <w:lang w:eastAsia="en-US"/>
              </w:rPr>
              <w:t>3.9 (2.7, 7.8)</w:t>
            </w:r>
          </w:p>
        </w:tc>
        <w:tc>
          <w:tcPr>
            <w:tcW w:w="794" w:type="pct"/>
            <w:tcBorders>
              <w:top w:val="single" w:sz="4" w:space="0" w:color="auto"/>
              <w:bottom w:val="single" w:sz="4" w:space="0" w:color="auto"/>
            </w:tcBorders>
            <w:shd w:val="clear" w:color="auto" w:fill="auto"/>
            <w:tcMar>
              <w:left w:w="28" w:type="dxa"/>
              <w:right w:w="28" w:type="dxa"/>
            </w:tcMar>
          </w:tcPr>
          <w:p w14:paraId="11AF6A0A" w14:textId="77777777" w:rsidR="00F45E7D" w:rsidRDefault="0087463C">
            <w:pPr>
              <w:pStyle w:val="TableText0"/>
              <w:jc w:val="center"/>
              <w:rPr>
                <w:lang w:eastAsia="en-US"/>
              </w:rPr>
            </w:pPr>
            <w:r>
              <w:rPr>
                <w:lang w:eastAsia="en-US"/>
              </w:rPr>
              <w:t>10.7 (7.1, NR)</w:t>
            </w:r>
          </w:p>
        </w:tc>
      </w:tr>
      <w:tr w:rsidR="00F45E7D" w14:paraId="34E6EB4C" w14:textId="77777777">
        <w:trPr>
          <w:cantSplit/>
          <w:trHeight w:val="246"/>
        </w:trPr>
        <w:tc>
          <w:tcPr>
            <w:tcW w:w="1111" w:type="pct"/>
            <w:tcBorders>
              <w:top w:val="single" w:sz="4" w:space="0" w:color="auto"/>
            </w:tcBorders>
            <w:shd w:val="clear" w:color="auto" w:fill="auto"/>
            <w:tcMar>
              <w:left w:w="28" w:type="dxa"/>
              <w:right w:w="28" w:type="dxa"/>
            </w:tcMar>
          </w:tcPr>
          <w:p w14:paraId="05156FB9" w14:textId="77777777" w:rsidR="00F45E7D" w:rsidRDefault="0087463C">
            <w:pPr>
              <w:pStyle w:val="TableText0"/>
              <w:rPr>
                <w:lang w:eastAsia="en-US"/>
              </w:rPr>
            </w:pPr>
            <w:r>
              <w:rPr>
                <w:lang w:eastAsia="en-US"/>
              </w:rPr>
              <w:t xml:space="preserve"> 6-month, % (95% CI)</w:t>
            </w:r>
          </w:p>
        </w:tc>
        <w:tc>
          <w:tcPr>
            <w:tcW w:w="873" w:type="pct"/>
            <w:tcBorders>
              <w:top w:val="single" w:sz="4" w:space="0" w:color="auto"/>
              <w:bottom w:val="single" w:sz="4" w:space="0" w:color="auto"/>
            </w:tcBorders>
            <w:shd w:val="clear" w:color="auto" w:fill="auto"/>
            <w:tcMar>
              <w:left w:w="28" w:type="dxa"/>
              <w:right w:w="28" w:type="dxa"/>
            </w:tcMar>
          </w:tcPr>
          <w:p w14:paraId="226BC61C" w14:textId="77777777" w:rsidR="00F45E7D" w:rsidRDefault="0087463C">
            <w:pPr>
              <w:pStyle w:val="TableText0"/>
              <w:jc w:val="center"/>
              <w:rPr>
                <w:lang w:eastAsia="en-US"/>
              </w:rPr>
            </w:pPr>
            <w:r>
              <w:rPr>
                <w:lang w:eastAsia="en-US"/>
              </w:rPr>
              <w:t>~35</w:t>
            </w:r>
            <w:r>
              <w:rPr>
                <w:vertAlign w:val="superscript"/>
                <w:lang w:eastAsia="en-US"/>
              </w:rPr>
              <w:t>b</w:t>
            </w:r>
          </w:p>
        </w:tc>
        <w:tc>
          <w:tcPr>
            <w:tcW w:w="817" w:type="pct"/>
            <w:tcBorders>
              <w:top w:val="single" w:sz="4" w:space="0" w:color="auto"/>
              <w:bottom w:val="single" w:sz="4" w:space="0" w:color="auto"/>
            </w:tcBorders>
            <w:shd w:val="clear" w:color="auto" w:fill="auto"/>
            <w:tcMar>
              <w:left w:w="28" w:type="dxa"/>
              <w:right w:w="28" w:type="dxa"/>
            </w:tcMar>
          </w:tcPr>
          <w:p w14:paraId="1B9BEB29" w14:textId="77777777" w:rsidR="00F45E7D" w:rsidRDefault="0087463C">
            <w:pPr>
              <w:pStyle w:val="TableText0"/>
              <w:jc w:val="center"/>
              <w:rPr>
                <w:lang w:eastAsia="en-US"/>
              </w:rPr>
            </w:pPr>
            <w:r>
              <w:rPr>
                <w:lang w:eastAsia="en-US"/>
              </w:rPr>
              <w:t>~19</w:t>
            </w:r>
            <w:r>
              <w:rPr>
                <w:vertAlign w:val="superscript"/>
                <w:lang w:eastAsia="en-US"/>
              </w:rPr>
              <w:t>b</w:t>
            </w:r>
          </w:p>
        </w:tc>
        <w:tc>
          <w:tcPr>
            <w:tcW w:w="453" w:type="pct"/>
            <w:tcBorders>
              <w:top w:val="single" w:sz="4" w:space="0" w:color="auto"/>
              <w:bottom w:val="single" w:sz="4" w:space="0" w:color="auto"/>
            </w:tcBorders>
            <w:shd w:val="clear" w:color="auto" w:fill="auto"/>
            <w:tcMar>
              <w:left w:w="28" w:type="dxa"/>
              <w:right w:w="28" w:type="dxa"/>
            </w:tcMar>
          </w:tcPr>
          <w:p w14:paraId="4799386B" w14:textId="77777777" w:rsidR="00F45E7D" w:rsidRDefault="0087463C">
            <w:pPr>
              <w:pStyle w:val="TableText0"/>
              <w:jc w:val="center"/>
              <w:rPr>
                <w:lang w:eastAsia="en-US"/>
              </w:rPr>
            </w:pPr>
            <w:r>
              <w:rPr>
                <w:lang w:eastAsia="en-US"/>
              </w:rPr>
              <w:t>-</w:t>
            </w:r>
          </w:p>
        </w:tc>
        <w:tc>
          <w:tcPr>
            <w:tcW w:w="952" w:type="pct"/>
            <w:tcBorders>
              <w:top w:val="single" w:sz="4" w:space="0" w:color="auto"/>
              <w:bottom w:val="single" w:sz="4" w:space="0" w:color="auto"/>
            </w:tcBorders>
            <w:shd w:val="clear" w:color="auto" w:fill="auto"/>
            <w:tcMar>
              <w:left w:w="28" w:type="dxa"/>
              <w:right w:w="28" w:type="dxa"/>
            </w:tcMar>
          </w:tcPr>
          <w:p w14:paraId="5C16475F" w14:textId="77777777" w:rsidR="00F45E7D" w:rsidRDefault="0087463C">
            <w:pPr>
              <w:pStyle w:val="TableText0"/>
              <w:jc w:val="center"/>
              <w:rPr>
                <w:lang w:eastAsia="en-US"/>
              </w:rPr>
            </w:pPr>
            <w:r>
              <w:rPr>
                <w:lang w:eastAsia="en-US"/>
              </w:rPr>
              <w:t>40 (26, 58)</w:t>
            </w:r>
          </w:p>
        </w:tc>
        <w:tc>
          <w:tcPr>
            <w:tcW w:w="794" w:type="pct"/>
            <w:tcBorders>
              <w:top w:val="single" w:sz="4" w:space="0" w:color="auto"/>
              <w:bottom w:val="single" w:sz="4" w:space="0" w:color="auto"/>
            </w:tcBorders>
            <w:shd w:val="clear" w:color="auto" w:fill="auto"/>
            <w:tcMar>
              <w:left w:w="28" w:type="dxa"/>
              <w:right w:w="28" w:type="dxa"/>
            </w:tcMar>
          </w:tcPr>
          <w:p w14:paraId="5DBCF3EE" w14:textId="77777777" w:rsidR="00F45E7D" w:rsidRDefault="0087463C">
            <w:pPr>
              <w:pStyle w:val="TableText0"/>
              <w:jc w:val="center"/>
              <w:rPr>
                <w:lang w:eastAsia="en-US"/>
              </w:rPr>
            </w:pPr>
            <w:r>
              <w:rPr>
                <w:lang w:eastAsia="en-US"/>
              </w:rPr>
              <w:t>70 (52, 93)</w:t>
            </w:r>
          </w:p>
        </w:tc>
      </w:tr>
      <w:tr w:rsidR="00F45E7D" w14:paraId="184122E5" w14:textId="77777777">
        <w:trPr>
          <w:cantSplit/>
          <w:trHeight w:val="246"/>
        </w:trPr>
        <w:tc>
          <w:tcPr>
            <w:tcW w:w="1111" w:type="pct"/>
            <w:tcBorders>
              <w:top w:val="single" w:sz="4" w:space="0" w:color="auto"/>
            </w:tcBorders>
            <w:shd w:val="clear" w:color="auto" w:fill="auto"/>
            <w:tcMar>
              <w:left w:w="28" w:type="dxa"/>
              <w:right w:w="28" w:type="dxa"/>
            </w:tcMar>
          </w:tcPr>
          <w:p w14:paraId="19DD836D" w14:textId="77777777" w:rsidR="00F45E7D" w:rsidRDefault="0087463C">
            <w:pPr>
              <w:pStyle w:val="TableText0"/>
              <w:rPr>
                <w:lang w:eastAsia="en-US"/>
              </w:rPr>
            </w:pPr>
            <w:r>
              <w:rPr>
                <w:lang w:eastAsia="en-US"/>
              </w:rPr>
              <w:t xml:space="preserve"> 12-month, % (95% CI)</w:t>
            </w:r>
          </w:p>
        </w:tc>
        <w:tc>
          <w:tcPr>
            <w:tcW w:w="873" w:type="pct"/>
            <w:tcBorders>
              <w:top w:val="single" w:sz="4" w:space="0" w:color="auto"/>
              <w:bottom w:val="single" w:sz="4" w:space="0" w:color="auto"/>
            </w:tcBorders>
            <w:shd w:val="clear" w:color="auto" w:fill="auto"/>
            <w:tcMar>
              <w:left w:w="28" w:type="dxa"/>
              <w:right w:w="28" w:type="dxa"/>
            </w:tcMar>
          </w:tcPr>
          <w:p w14:paraId="6207A4A4" w14:textId="77777777" w:rsidR="00F45E7D" w:rsidRDefault="0087463C">
            <w:pPr>
              <w:pStyle w:val="TableText0"/>
              <w:jc w:val="center"/>
              <w:rPr>
                <w:lang w:eastAsia="en-US"/>
              </w:rPr>
            </w:pPr>
            <w:r>
              <w:rPr>
                <w:lang w:eastAsia="en-US"/>
              </w:rPr>
              <w:t>24 (19, 32)</w:t>
            </w:r>
          </w:p>
        </w:tc>
        <w:tc>
          <w:tcPr>
            <w:tcW w:w="817" w:type="pct"/>
            <w:tcBorders>
              <w:top w:val="single" w:sz="4" w:space="0" w:color="auto"/>
              <w:bottom w:val="single" w:sz="4" w:space="0" w:color="auto"/>
            </w:tcBorders>
            <w:shd w:val="clear" w:color="auto" w:fill="auto"/>
            <w:tcMar>
              <w:left w:w="28" w:type="dxa"/>
              <w:right w:w="28" w:type="dxa"/>
            </w:tcMar>
          </w:tcPr>
          <w:p w14:paraId="5A4422AF" w14:textId="77777777" w:rsidR="00F45E7D" w:rsidRDefault="0087463C">
            <w:pPr>
              <w:pStyle w:val="TableText0"/>
              <w:jc w:val="center"/>
              <w:rPr>
                <w:lang w:eastAsia="en-US"/>
              </w:rPr>
            </w:pPr>
            <w:r>
              <w:rPr>
                <w:lang w:eastAsia="en-US"/>
              </w:rPr>
              <w:t>12 (8, 19)</w:t>
            </w:r>
          </w:p>
        </w:tc>
        <w:tc>
          <w:tcPr>
            <w:tcW w:w="453" w:type="pct"/>
            <w:tcBorders>
              <w:top w:val="single" w:sz="4" w:space="0" w:color="auto"/>
              <w:bottom w:val="single" w:sz="4" w:space="0" w:color="auto"/>
            </w:tcBorders>
            <w:shd w:val="clear" w:color="auto" w:fill="auto"/>
            <w:tcMar>
              <w:left w:w="28" w:type="dxa"/>
              <w:right w:w="28" w:type="dxa"/>
            </w:tcMar>
          </w:tcPr>
          <w:p w14:paraId="02F37E20" w14:textId="77777777" w:rsidR="00F45E7D" w:rsidRDefault="0087463C">
            <w:pPr>
              <w:pStyle w:val="TableText0"/>
              <w:jc w:val="center"/>
              <w:rPr>
                <w:lang w:eastAsia="en-US"/>
              </w:rPr>
            </w:pPr>
            <w:r>
              <w:rPr>
                <w:lang w:eastAsia="en-US"/>
              </w:rPr>
              <w:t>-</w:t>
            </w:r>
          </w:p>
        </w:tc>
        <w:tc>
          <w:tcPr>
            <w:tcW w:w="952" w:type="pct"/>
            <w:tcBorders>
              <w:top w:val="single" w:sz="4" w:space="0" w:color="auto"/>
              <w:bottom w:val="single" w:sz="4" w:space="0" w:color="auto"/>
            </w:tcBorders>
            <w:shd w:val="clear" w:color="auto" w:fill="auto"/>
            <w:tcMar>
              <w:left w:w="28" w:type="dxa"/>
              <w:right w:w="28" w:type="dxa"/>
            </w:tcMar>
          </w:tcPr>
          <w:p w14:paraId="523A5057" w14:textId="77777777" w:rsidR="00F45E7D" w:rsidRDefault="0087463C">
            <w:pPr>
              <w:pStyle w:val="TableText0"/>
              <w:jc w:val="center"/>
              <w:rPr>
                <w:lang w:eastAsia="en-US"/>
              </w:rPr>
            </w:pPr>
            <w:r>
              <w:rPr>
                <w:lang w:eastAsia="en-US"/>
              </w:rPr>
              <w:t>~25</w:t>
            </w:r>
            <w:r>
              <w:rPr>
                <w:vertAlign w:val="superscript"/>
                <w:lang w:eastAsia="en-US"/>
              </w:rPr>
              <w:t>b</w:t>
            </w:r>
          </w:p>
        </w:tc>
        <w:tc>
          <w:tcPr>
            <w:tcW w:w="794" w:type="pct"/>
            <w:tcBorders>
              <w:top w:val="single" w:sz="4" w:space="0" w:color="auto"/>
              <w:bottom w:val="single" w:sz="4" w:space="0" w:color="auto"/>
            </w:tcBorders>
            <w:shd w:val="clear" w:color="auto" w:fill="auto"/>
            <w:tcMar>
              <w:left w:w="28" w:type="dxa"/>
              <w:right w:w="28" w:type="dxa"/>
            </w:tcMar>
          </w:tcPr>
          <w:p w14:paraId="2228F4B9" w14:textId="77777777" w:rsidR="00F45E7D" w:rsidRDefault="0087463C">
            <w:pPr>
              <w:pStyle w:val="TableText0"/>
              <w:jc w:val="center"/>
              <w:rPr>
                <w:lang w:eastAsia="en-US"/>
              </w:rPr>
            </w:pPr>
            <w:r>
              <w:rPr>
                <w:lang w:eastAsia="en-US"/>
              </w:rPr>
              <w:t>~50</w:t>
            </w:r>
            <w:r>
              <w:rPr>
                <w:vertAlign w:val="superscript"/>
                <w:lang w:eastAsia="en-US"/>
              </w:rPr>
              <w:t>b</w:t>
            </w:r>
          </w:p>
        </w:tc>
      </w:tr>
      <w:tr w:rsidR="00F45E7D" w14:paraId="18DF4D28" w14:textId="77777777">
        <w:trPr>
          <w:cantSplit/>
          <w:trHeight w:val="246"/>
        </w:trPr>
        <w:tc>
          <w:tcPr>
            <w:tcW w:w="1111" w:type="pct"/>
            <w:tcBorders>
              <w:top w:val="single" w:sz="4" w:space="0" w:color="auto"/>
            </w:tcBorders>
            <w:shd w:val="clear" w:color="auto" w:fill="auto"/>
            <w:tcMar>
              <w:left w:w="28" w:type="dxa"/>
              <w:right w:w="28" w:type="dxa"/>
            </w:tcMar>
          </w:tcPr>
          <w:p w14:paraId="15E45BD3" w14:textId="77777777" w:rsidR="00F45E7D" w:rsidRDefault="0087463C">
            <w:pPr>
              <w:pStyle w:val="TableText0"/>
              <w:spacing w:line="259" w:lineRule="auto"/>
              <w:rPr>
                <w:lang w:eastAsia="en-US"/>
              </w:rPr>
            </w:pPr>
            <w:r>
              <w:rPr>
                <w:lang w:eastAsia="en-US"/>
              </w:rPr>
              <w:t>HR (95% CI)</w:t>
            </w:r>
          </w:p>
        </w:tc>
        <w:tc>
          <w:tcPr>
            <w:tcW w:w="1690" w:type="pct"/>
            <w:gridSpan w:val="2"/>
            <w:tcBorders>
              <w:top w:val="single" w:sz="4" w:space="0" w:color="auto"/>
              <w:bottom w:val="single" w:sz="4" w:space="0" w:color="auto"/>
            </w:tcBorders>
            <w:shd w:val="clear" w:color="auto" w:fill="auto"/>
            <w:tcMar>
              <w:left w:w="28" w:type="dxa"/>
              <w:right w:w="28" w:type="dxa"/>
            </w:tcMar>
          </w:tcPr>
          <w:p w14:paraId="74A35CB4" w14:textId="77777777" w:rsidR="00F45E7D" w:rsidRDefault="0087463C">
            <w:pPr>
              <w:pStyle w:val="TableText0"/>
              <w:spacing w:line="259" w:lineRule="auto"/>
              <w:jc w:val="center"/>
              <w:rPr>
                <w:lang w:eastAsia="en-US"/>
              </w:rPr>
            </w:pPr>
            <w:r>
              <w:rPr>
                <w:lang w:eastAsia="en-US"/>
              </w:rPr>
              <w:t>0.69 (0.55, 0.87)</w:t>
            </w:r>
          </w:p>
        </w:tc>
        <w:tc>
          <w:tcPr>
            <w:tcW w:w="453" w:type="pct"/>
            <w:tcBorders>
              <w:top w:val="single" w:sz="4" w:space="0" w:color="auto"/>
              <w:bottom w:val="single" w:sz="4" w:space="0" w:color="auto"/>
            </w:tcBorders>
            <w:shd w:val="clear" w:color="auto" w:fill="auto"/>
            <w:tcMar>
              <w:left w:w="28" w:type="dxa"/>
              <w:right w:w="28" w:type="dxa"/>
            </w:tcMar>
          </w:tcPr>
          <w:p w14:paraId="3A28684B" w14:textId="77777777" w:rsidR="00F45E7D" w:rsidRDefault="0087463C">
            <w:pPr>
              <w:pStyle w:val="TableText0"/>
              <w:spacing w:line="259" w:lineRule="auto"/>
              <w:jc w:val="center"/>
              <w:rPr>
                <w:lang w:eastAsia="en-US"/>
              </w:rPr>
            </w:pPr>
            <w:r>
              <w:rPr>
                <w:lang w:eastAsia="en-US"/>
              </w:rPr>
              <w:t>0.0019</w:t>
            </w:r>
          </w:p>
        </w:tc>
        <w:tc>
          <w:tcPr>
            <w:tcW w:w="1746" w:type="pct"/>
            <w:gridSpan w:val="2"/>
            <w:tcBorders>
              <w:top w:val="single" w:sz="4" w:space="0" w:color="auto"/>
              <w:bottom w:val="single" w:sz="4" w:space="0" w:color="auto"/>
            </w:tcBorders>
            <w:shd w:val="clear" w:color="auto" w:fill="auto"/>
            <w:tcMar>
              <w:left w:w="28" w:type="dxa"/>
              <w:right w:w="28" w:type="dxa"/>
            </w:tcMar>
          </w:tcPr>
          <w:p w14:paraId="3B35C54F" w14:textId="77777777" w:rsidR="00F45E7D" w:rsidRDefault="0087463C">
            <w:pPr>
              <w:pStyle w:val="TableText0"/>
              <w:spacing w:line="259" w:lineRule="auto"/>
              <w:jc w:val="center"/>
              <w:rPr>
                <w:rFonts w:eastAsia="MS Gothic"/>
                <w:lang w:eastAsia="en-US"/>
              </w:rPr>
            </w:pPr>
            <w:r>
              <w:rPr>
                <w:lang w:eastAsia="en-US"/>
              </w:rPr>
              <w:t>NR</w:t>
            </w:r>
          </w:p>
        </w:tc>
      </w:tr>
      <w:tr w:rsidR="00F45E7D" w14:paraId="0D1A0148" w14:textId="77777777">
        <w:trPr>
          <w:cantSplit/>
          <w:trHeight w:val="246"/>
        </w:trPr>
        <w:tc>
          <w:tcPr>
            <w:tcW w:w="5000" w:type="pct"/>
            <w:gridSpan w:val="6"/>
            <w:tcBorders>
              <w:top w:val="single" w:sz="4" w:space="0" w:color="auto"/>
            </w:tcBorders>
            <w:shd w:val="clear" w:color="auto" w:fill="auto"/>
            <w:tcMar>
              <w:left w:w="28" w:type="dxa"/>
              <w:right w:w="28" w:type="dxa"/>
            </w:tcMar>
          </w:tcPr>
          <w:p w14:paraId="499FA8C2" w14:textId="77777777" w:rsidR="00F45E7D" w:rsidRDefault="0087463C">
            <w:pPr>
              <w:pStyle w:val="TableText0"/>
              <w:rPr>
                <w:b/>
                <w:bCs w:val="0"/>
                <w:lang w:eastAsia="en-US"/>
              </w:rPr>
            </w:pPr>
            <w:r>
              <w:rPr>
                <w:b/>
                <w:bCs w:val="0"/>
                <w:lang w:eastAsia="en-US"/>
              </w:rPr>
              <w:t>ORR, n (%)</w:t>
            </w:r>
          </w:p>
        </w:tc>
      </w:tr>
      <w:tr w:rsidR="00F45E7D" w14:paraId="4A8E12BF" w14:textId="77777777">
        <w:trPr>
          <w:cantSplit/>
          <w:trHeight w:val="246"/>
        </w:trPr>
        <w:tc>
          <w:tcPr>
            <w:tcW w:w="1111" w:type="pct"/>
            <w:tcBorders>
              <w:top w:val="single" w:sz="4" w:space="0" w:color="auto"/>
            </w:tcBorders>
            <w:shd w:val="clear" w:color="auto" w:fill="auto"/>
            <w:tcMar>
              <w:left w:w="28" w:type="dxa"/>
              <w:right w:w="28" w:type="dxa"/>
            </w:tcMar>
          </w:tcPr>
          <w:p w14:paraId="39AFE2BA" w14:textId="77777777" w:rsidR="00F45E7D" w:rsidRDefault="0087463C">
            <w:pPr>
              <w:pStyle w:val="TableText0"/>
              <w:rPr>
                <w:lang w:eastAsia="en-US"/>
              </w:rPr>
            </w:pPr>
            <w:r>
              <w:rPr>
                <w:lang w:eastAsia="en-US"/>
              </w:rPr>
              <w:t>ORR (CR + PR)</w:t>
            </w:r>
          </w:p>
        </w:tc>
        <w:tc>
          <w:tcPr>
            <w:tcW w:w="873" w:type="pct"/>
            <w:tcBorders>
              <w:top w:val="single" w:sz="4" w:space="0" w:color="auto"/>
              <w:bottom w:val="single" w:sz="4" w:space="0" w:color="auto"/>
            </w:tcBorders>
            <w:shd w:val="clear" w:color="auto" w:fill="auto"/>
            <w:tcMar>
              <w:left w:w="28" w:type="dxa"/>
              <w:right w:w="28" w:type="dxa"/>
            </w:tcMar>
          </w:tcPr>
          <w:p w14:paraId="2B99BC8F" w14:textId="77777777" w:rsidR="00F45E7D" w:rsidRDefault="0087463C">
            <w:pPr>
              <w:pStyle w:val="TableText0"/>
              <w:jc w:val="center"/>
              <w:rPr>
                <w:lang w:eastAsia="en-US"/>
              </w:rPr>
            </w:pPr>
            <w:r>
              <w:rPr>
                <w:lang w:eastAsia="en-US"/>
              </w:rPr>
              <w:t>60 (31)</w:t>
            </w:r>
          </w:p>
        </w:tc>
        <w:tc>
          <w:tcPr>
            <w:tcW w:w="817" w:type="pct"/>
            <w:tcBorders>
              <w:top w:val="single" w:sz="4" w:space="0" w:color="auto"/>
              <w:bottom w:val="single" w:sz="4" w:space="0" w:color="auto"/>
            </w:tcBorders>
            <w:shd w:val="clear" w:color="auto" w:fill="auto"/>
            <w:tcMar>
              <w:left w:w="28" w:type="dxa"/>
              <w:right w:w="28" w:type="dxa"/>
            </w:tcMar>
          </w:tcPr>
          <w:p w14:paraId="43E37C43" w14:textId="77777777" w:rsidR="00F45E7D" w:rsidRDefault="0087463C">
            <w:pPr>
              <w:pStyle w:val="TableText0"/>
              <w:jc w:val="center"/>
              <w:rPr>
                <w:lang w:eastAsia="en-US"/>
              </w:rPr>
            </w:pPr>
            <w:r>
              <w:rPr>
                <w:lang w:eastAsia="en-US"/>
              </w:rPr>
              <w:t>21 (13)</w:t>
            </w:r>
          </w:p>
        </w:tc>
        <w:tc>
          <w:tcPr>
            <w:tcW w:w="453" w:type="pct"/>
            <w:tcBorders>
              <w:top w:val="single" w:sz="4" w:space="0" w:color="auto"/>
              <w:bottom w:val="single" w:sz="4" w:space="0" w:color="auto"/>
            </w:tcBorders>
            <w:shd w:val="clear" w:color="auto" w:fill="auto"/>
            <w:tcMar>
              <w:left w:w="28" w:type="dxa"/>
              <w:right w:w="28" w:type="dxa"/>
            </w:tcMar>
          </w:tcPr>
          <w:p w14:paraId="0922E6AB" w14:textId="77777777" w:rsidR="00F45E7D" w:rsidRDefault="0087463C">
            <w:pPr>
              <w:pStyle w:val="TableText0"/>
              <w:jc w:val="center"/>
              <w:rPr>
                <w:lang w:eastAsia="en-US"/>
              </w:rPr>
            </w:pPr>
            <w:r>
              <w:rPr>
                <w:lang w:eastAsia="en-US"/>
              </w:rPr>
              <w:t>&lt;0.0001</w:t>
            </w:r>
            <w:r>
              <w:t>†</w:t>
            </w:r>
          </w:p>
        </w:tc>
        <w:tc>
          <w:tcPr>
            <w:tcW w:w="952" w:type="pct"/>
            <w:tcBorders>
              <w:top w:val="single" w:sz="4" w:space="0" w:color="auto"/>
              <w:bottom w:val="single" w:sz="4" w:space="0" w:color="auto"/>
            </w:tcBorders>
            <w:shd w:val="clear" w:color="auto" w:fill="auto"/>
            <w:tcMar>
              <w:left w:w="28" w:type="dxa"/>
              <w:right w:w="28" w:type="dxa"/>
            </w:tcMar>
          </w:tcPr>
          <w:p w14:paraId="1AF7D6CF" w14:textId="77777777" w:rsidR="00F45E7D" w:rsidRDefault="0087463C">
            <w:pPr>
              <w:pStyle w:val="TableText0"/>
              <w:jc w:val="center"/>
              <w:rPr>
                <w:lang w:eastAsia="en-US"/>
              </w:rPr>
            </w:pPr>
            <w:r>
              <w:rPr>
                <w:lang w:eastAsia="en-US"/>
              </w:rPr>
              <w:t>10 (23)</w:t>
            </w:r>
          </w:p>
        </w:tc>
        <w:tc>
          <w:tcPr>
            <w:tcW w:w="794" w:type="pct"/>
            <w:tcBorders>
              <w:top w:val="single" w:sz="4" w:space="0" w:color="auto"/>
              <w:bottom w:val="single" w:sz="4" w:space="0" w:color="auto"/>
            </w:tcBorders>
            <w:shd w:val="clear" w:color="auto" w:fill="auto"/>
            <w:tcMar>
              <w:left w:w="28" w:type="dxa"/>
              <w:right w:w="28" w:type="dxa"/>
            </w:tcMar>
          </w:tcPr>
          <w:p w14:paraId="30F88EE1" w14:textId="77777777" w:rsidR="00F45E7D" w:rsidRDefault="0087463C">
            <w:pPr>
              <w:pStyle w:val="TableText0"/>
              <w:jc w:val="center"/>
              <w:rPr>
                <w:lang w:eastAsia="en-US"/>
              </w:rPr>
            </w:pPr>
            <w:r>
              <w:rPr>
                <w:lang w:eastAsia="en-US"/>
              </w:rPr>
              <w:t>27 (61)</w:t>
            </w:r>
          </w:p>
        </w:tc>
      </w:tr>
      <w:tr w:rsidR="00F45E7D" w14:paraId="5762F054" w14:textId="77777777">
        <w:trPr>
          <w:cantSplit/>
          <w:trHeight w:val="246"/>
        </w:trPr>
        <w:tc>
          <w:tcPr>
            <w:tcW w:w="1111" w:type="pct"/>
            <w:tcBorders>
              <w:top w:val="single" w:sz="4" w:space="0" w:color="auto"/>
            </w:tcBorders>
            <w:shd w:val="clear" w:color="auto" w:fill="auto"/>
            <w:tcMar>
              <w:left w:w="28" w:type="dxa"/>
              <w:right w:w="28" w:type="dxa"/>
            </w:tcMar>
          </w:tcPr>
          <w:p w14:paraId="47720E64" w14:textId="77777777" w:rsidR="00F45E7D" w:rsidRDefault="0087463C">
            <w:pPr>
              <w:pStyle w:val="TableText0"/>
              <w:rPr>
                <w:lang w:eastAsia="en-US"/>
              </w:rPr>
            </w:pPr>
            <w:r>
              <w:rPr>
                <w:lang w:eastAsia="en-US"/>
              </w:rPr>
              <w:t xml:space="preserve"> CR</w:t>
            </w:r>
          </w:p>
        </w:tc>
        <w:tc>
          <w:tcPr>
            <w:tcW w:w="873" w:type="pct"/>
            <w:tcBorders>
              <w:top w:val="single" w:sz="4" w:space="0" w:color="auto"/>
              <w:bottom w:val="single" w:sz="4" w:space="0" w:color="auto"/>
            </w:tcBorders>
            <w:shd w:val="clear" w:color="auto" w:fill="auto"/>
            <w:tcMar>
              <w:left w:w="28" w:type="dxa"/>
              <w:right w:w="28" w:type="dxa"/>
            </w:tcMar>
          </w:tcPr>
          <w:p w14:paraId="7D9EE678" w14:textId="77777777" w:rsidR="00F45E7D" w:rsidRDefault="0087463C">
            <w:pPr>
              <w:pStyle w:val="TableText0"/>
              <w:jc w:val="center"/>
              <w:rPr>
                <w:lang w:eastAsia="en-US"/>
              </w:rPr>
            </w:pPr>
            <w:r>
              <w:rPr>
                <w:lang w:eastAsia="en-US"/>
              </w:rPr>
              <w:t>21 (11)</w:t>
            </w:r>
          </w:p>
        </w:tc>
        <w:tc>
          <w:tcPr>
            <w:tcW w:w="817" w:type="pct"/>
            <w:tcBorders>
              <w:top w:val="single" w:sz="4" w:space="0" w:color="auto"/>
              <w:bottom w:val="single" w:sz="4" w:space="0" w:color="auto"/>
            </w:tcBorders>
            <w:shd w:val="clear" w:color="auto" w:fill="auto"/>
            <w:tcMar>
              <w:left w:w="28" w:type="dxa"/>
              <w:right w:w="28" w:type="dxa"/>
            </w:tcMar>
          </w:tcPr>
          <w:p w14:paraId="53FC891F" w14:textId="77777777" w:rsidR="00F45E7D" w:rsidRDefault="0087463C">
            <w:pPr>
              <w:pStyle w:val="TableText0"/>
              <w:jc w:val="center"/>
              <w:rPr>
                <w:lang w:eastAsia="en-US"/>
              </w:rPr>
            </w:pPr>
            <w:r>
              <w:rPr>
                <w:lang w:eastAsia="en-US"/>
              </w:rPr>
              <w:t>3 (2)</w:t>
            </w:r>
          </w:p>
        </w:tc>
        <w:tc>
          <w:tcPr>
            <w:tcW w:w="453" w:type="pct"/>
            <w:tcBorders>
              <w:top w:val="single" w:sz="4" w:space="0" w:color="auto"/>
              <w:bottom w:val="single" w:sz="4" w:space="0" w:color="auto"/>
            </w:tcBorders>
            <w:shd w:val="clear" w:color="auto" w:fill="auto"/>
            <w:tcMar>
              <w:left w:w="28" w:type="dxa"/>
              <w:right w:w="28" w:type="dxa"/>
            </w:tcMar>
          </w:tcPr>
          <w:p w14:paraId="1A254A19" w14:textId="77777777" w:rsidR="00F45E7D" w:rsidRDefault="0087463C">
            <w:pPr>
              <w:pStyle w:val="TableText0"/>
              <w:jc w:val="center"/>
              <w:rPr>
                <w:lang w:eastAsia="en-US"/>
              </w:rPr>
            </w:pPr>
            <w:r>
              <w:rPr>
                <w:lang w:eastAsia="en-US"/>
              </w:rPr>
              <w:t>0.0002*</w:t>
            </w:r>
          </w:p>
        </w:tc>
        <w:tc>
          <w:tcPr>
            <w:tcW w:w="952" w:type="pct"/>
            <w:tcBorders>
              <w:top w:val="single" w:sz="4" w:space="0" w:color="auto"/>
              <w:bottom w:val="single" w:sz="4" w:space="0" w:color="auto"/>
            </w:tcBorders>
            <w:shd w:val="clear" w:color="auto" w:fill="auto"/>
            <w:tcMar>
              <w:left w:w="28" w:type="dxa"/>
              <w:right w:w="28" w:type="dxa"/>
            </w:tcMar>
          </w:tcPr>
          <w:p w14:paraId="239860C6" w14:textId="77777777" w:rsidR="00F45E7D" w:rsidRDefault="0087463C">
            <w:pPr>
              <w:pStyle w:val="TableText0"/>
              <w:jc w:val="center"/>
              <w:rPr>
                <w:lang w:eastAsia="en-US"/>
              </w:rPr>
            </w:pPr>
            <w:r>
              <w:rPr>
                <w:lang w:eastAsia="en-US"/>
              </w:rPr>
              <w:t>3 (7)</w:t>
            </w:r>
          </w:p>
        </w:tc>
        <w:tc>
          <w:tcPr>
            <w:tcW w:w="794" w:type="pct"/>
            <w:tcBorders>
              <w:top w:val="single" w:sz="4" w:space="0" w:color="auto"/>
              <w:bottom w:val="single" w:sz="4" w:space="0" w:color="auto"/>
            </w:tcBorders>
            <w:shd w:val="clear" w:color="auto" w:fill="auto"/>
            <w:tcMar>
              <w:left w:w="28" w:type="dxa"/>
              <w:right w:w="28" w:type="dxa"/>
            </w:tcMar>
          </w:tcPr>
          <w:p w14:paraId="27C54E8B" w14:textId="77777777" w:rsidR="00F45E7D" w:rsidRDefault="0087463C">
            <w:pPr>
              <w:pStyle w:val="TableText0"/>
              <w:jc w:val="center"/>
              <w:rPr>
                <w:lang w:eastAsia="en-US"/>
              </w:rPr>
            </w:pPr>
            <w:r>
              <w:rPr>
                <w:lang w:eastAsia="en-US"/>
              </w:rPr>
              <w:t>12 (30)</w:t>
            </w:r>
          </w:p>
        </w:tc>
      </w:tr>
      <w:tr w:rsidR="00F45E7D" w14:paraId="3E590832" w14:textId="77777777">
        <w:trPr>
          <w:cantSplit/>
          <w:trHeight w:val="260"/>
        </w:trPr>
        <w:tc>
          <w:tcPr>
            <w:tcW w:w="1111" w:type="pct"/>
            <w:tcBorders>
              <w:top w:val="single" w:sz="4" w:space="0" w:color="auto"/>
            </w:tcBorders>
            <w:shd w:val="clear" w:color="auto" w:fill="auto"/>
            <w:tcMar>
              <w:left w:w="28" w:type="dxa"/>
              <w:right w:w="28" w:type="dxa"/>
            </w:tcMar>
          </w:tcPr>
          <w:p w14:paraId="09AAAB73" w14:textId="77777777" w:rsidR="00F45E7D" w:rsidRDefault="0087463C">
            <w:pPr>
              <w:pStyle w:val="TableText0"/>
              <w:rPr>
                <w:lang w:eastAsia="en-US"/>
              </w:rPr>
            </w:pPr>
            <w:r>
              <w:rPr>
                <w:lang w:eastAsia="en-US"/>
              </w:rPr>
              <w:t xml:space="preserve"> PR</w:t>
            </w:r>
          </w:p>
        </w:tc>
        <w:tc>
          <w:tcPr>
            <w:tcW w:w="873" w:type="pct"/>
            <w:tcBorders>
              <w:top w:val="single" w:sz="4" w:space="0" w:color="auto"/>
              <w:bottom w:val="single" w:sz="4" w:space="0" w:color="auto"/>
            </w:tcBorders>
            <w:shd w:val="clear" w:color="auto" w:fill="auto"/>
            <w:tcMar>
              <w:left w:w="28" w:type="dxa"/>
              <w:right w:w="28" w:type="dxa"/>
            </w:tcMar>
          </w:tcPr>
          <w:p w14:paraId="73800196" w14:textId="77777777" w:rsidR="00F45E7D" w:rsidRDefault="0087463C">
            <w:pPr>
              <w:pStyle w:val="TableText0"/>
              <w:jc w:val="center"/>
              <w:rPr>
                <w:lang w:eastAsia="en-US"/>
              </w:rPr>
            </w:pPr>
            <w:r>
              <w:rPr>
                <w:lang w:eastAsia="en-US"/>
              </w:rPr>
              <w:t>39 (20)</w:t>
            </w:r>
          </w:p>
        </w:tc>
        <w:tc>
          <w:tcPr>
            <w:tcW w:w="817" w:type="pct"/>
            <w:tcBorders>
              <w:top w:val="single" w:sz="4" w:space="0" w:color="auto"/>
              <w:bottom w:val="single" w:sz="4" w:space="0" w:color="auto"/>
            </w:tcBorders>
            <w:shd w:val="clear" w:color="auto" w:fill="auto"/>
            <w:tcMar>
              <w:left w:w="28" w:type="dxa"/>
              <w:right w:w="28" w:type="dxa"/>
            </w:tcMar>
          </w:tcPr>
          <w:p w14:paraId="10C9DB25" w14:textId="77777777" w:rsidR="00F45E7D" w:rsidRDefault="0087463C">
            <w:pPr>
              <w:pStyle w:val="TableText0"/>
              <w:jc w:val="center"/>
              <w:rPr>
                <w:lang w:eastAsia="en-US"/>
              </w:rPr>
            </w:pPr>
            <w:r>
              <w:rPr>
                <w:lang w:eastAsia="en-US"/>
              </w:rPr>
              <w:t>18 (11)</w:t>
            </w:r>
          </w:p>
        </w:tc>
        <w:tc>
          <w:tcPr>
            <w:tcW w:w="453" w:type="pct"/>
            <w:tcBorders>
              <w:top w:val="single" w:sz="4" w:space="0" w:color="auto"/>
              <w:bottom w:val="single" w:sz="4" w:space="0" w:color="auto"/>
            </w:tcBorders>
            <w:shd w:val="clear" w:color="auto" w:fill="auto"/>
            <w:tcMar>
              <w:left w:w="28" w:type="dxa"/>
              <w:right w:w="28" w:type="dxa"/>
            </w:tcMar>
          </w:tcPr>
          <w:p w14:paraId="2AE8D377" w14:textId="77777777" w:rsidR="00F45E7D" w:rsidRDefault="0087463C">
            <w:pPr>
              <w:pStyle w:val="TableText0"/>
              <w:jc w:val="center"/>
              <w:rPr>
                <w:lang w:eastAsia="en-US"/>
              </w:rPr>
            </w:pPr>
            <w:r>
              <w:rPr>
                <w:lang w:eastAsia="en-US"/>
              </w:rPr>
              <w:t>-</w:t>
            </w:r>
          </w:p>
        </w:tc>
        <w:tc>
          <w:tcPr>
            <w:tcW w:w="952" w:type="pct"/>
            <w:tcBorders>
              <w:top w:val="single" w:sz="4" w:space="0" w:color="auto"/>
              <w:bottom w:val="single" w:sz="4" w:space="0" w:color="auto"/>
            </w:tcBorders>
            <w:shd w:val="clear" w:color="auto" w:fill="auto"/>
            <w:tcMar>
              <w:left w:w="28" w:type="dxa"/>
              <w:right w:w="28" w:type="dxa"/>
            </w:tcMar>
          </w:tcPr>
          <w:p w14:paraId="41053879" w14:textId="77777777" w:rsidR="00F45E7D" w:rsidRDefault="0087463C">
            <w:pPr>
              <w:pStyle w:val="TableText0"/>
              <w:jc w:val="center"/>
              <w:rPr>
                <w:lang w:eastAsia="en-US"/>
              </w:rPr>
            </w:pPr>
            <w:r>
              <w:rPr>
                <w:lang w:eastAsia="en-US"/>
              </w:rPr>
              <w:t>7 (16)</w:t>
            </w:r>
          </w:p>
        </w:tc>
        <w:tc>
          <w:tcPr>
            <w:tcW w:w="794" w:type="pct"/>
            <w:tcBorders>
              <w:top w:val="single" w:sz="4" w:space="0" w:color="auto"/>
              <w:bottom w:val="single" w:sz="4" w:space="0" w:color="auto"/>
            </w:tcBorders>
            <w:shd w:val="clear" w:color="auto" w:fill="auto"/>
            <w:tcMar>
              <w:left w:w="28" w:type="dxa"/>
              <w:right w:w="28" w:type="dxa"/>
            </w:tcMar>
          </w:tcPr>
          <w:p w14:paraId="0054554D" w14:textId="77777777" w:rsidR="00F45E7D" w:rsidRDefault="0087463C">
            <w:pPr>
              <w:pStyle w:val="TableText0"/>
              <w:jc w:val="center"/>
              <w:rPr>
                <w:lang w:eastAsia="en-US"/>
              </w:rPr>
            </w:pPr>
            <w:r>
              <w:rPr>
                <w:lang w:eastAsia="en-US"/>
              </w:rPr>
              <w:t>15 (37.5)</w:t>
            </w:r>
          </w:p>
        </w:tc>
      </w:tr>
      <w:tr w:rsidR="00F45E7D" w14:paraId="53A7B9B7" w14:textId="77777777">
        <w:trPr>
          <w:cantSplit/>
          <w:trHeight w:val="260"/>
        </w:trPr>
        <w:tc>
          <w:tcPr>
            <w:tcW w:w="1111" w:type="pct"/>
            <w:shd w:val="clear" w:color="auto" w:fill="auto"/>
            <w:tcMar>
              <w:left w:w="28" w:type="dxa"/>
              <w:right w:w="28" w:type="dxa"/>
            </w:tcMar>
          </w:tcPr>
          <w:p w14:paraId="789C39DB" w14:textId="77777777" w:rsidR="00F45E7D" w:rsidRDefault="0087463C">
            <w:pPr>
              <w:pStyle w:val="TableText0"/>
              <w:rPr>
                <w:lang w:eastAsia="en-US"/>
              </w:rPr>
            </w:pPr>
            <w:r>
              <w:rPr>
                <w:lang w:eastAsia="en-US"/>
              </w:rPr>
              <w:t xml:space="preserve"> SD</w:t>
            </w:r>
          </w:p>
        </w:tc>
        <w:tc>
          <w:tcPr>
            <w:tcW w:w="873" w:type="pct"/>
            <w:tcBorders>
              <w:top w:val="single" w:sz="4" w:space="0" w:color="auto"/>
              <w:bottom w:val="single" w:sz="4" w:space="0" w:color="auto"/>
            </w:tcBorders>
            <w:shd w:val="clear" w:color="auto" w:fill="auto"/>
            <w:tcMar>
              <w:left w:w="28" w:type="dxa"/>
              <w:right w:w="28" w:type="dxa"/>
            </w:tcMar>
          </w:tcPr>
          <w:p w14:paraId="1C649107" w14:textId="77777777" w:rsidR="00F45E7D" w:rsidRDefault="0087463C">
            <w:pPr>
              <w:pStyle w:val="TableText0"/>
              <w:jc w:val="center"/>
              <w:rPr>
                <w:lang w:eastAsia="en-US"/>
              </w:rPr>
            </w:pPr>
            <w:r>
              <w:rPr>
                <w:lang w:eastAsia="en-US"/>
              </w:rPr>
              <w:t>17 (9)</w:t>
            </w:r>
          </w:p>
        </w:tc>
        <w:tc>
          <w:tcPr>
            <w:tcW w:w="817" w:type="pct"/>
            <w:tcBorders>
              <w:top w:val="single" w:sz="4" w:space="0" w:color="auto"/>
              <w:bottom w:val="single" w:sz="4" w:space="0" w:color="auto"/>
            </w:tcBorders>
            <w:shd w:val="clear" w:color="auto" w:fill="auto"/>
            <w:tcMar>
              <w:left w:w="28" w:type="dxa"/>
              <w:right w:w="28" w:type="dxa"/>
            </w:tcMar>
          </w:tcPr>
          <w:p w14:paraId="591C86CB" w14:textId="77777777" w:rsidR="00F45E7D" w:rsidRDefault="0087463C">
            <w:pPr>
              <w:pStyle w:val="TableText0"/>
              <w:jc w:val="center"/>
              <w:rPr>
                <w:lang w:eastAsia="en-US"/>
              </w:rPr>
            </w:pPr>
            <w:r>
              <w:rPr>
                <w:lang w:eastAsia="en-US"/>
              </w:rPr>
              <w:t>23 (14)</w:t>
            </w:r>
          </w:p>
        </w:tc>
        <w:tc>
          <w:tcPr>
            <w:tcW w:w="453" w:type="pct"/>
            <w:tcBorders>
              <w:top w:val="single" w:sz="4" w:space="0" w:color="auto"/>
              <w:bottom w:val="single" w:sz="4" w:space="0" w:color="auto"/>
            </w:tcBorders>
            <w:shd w:val="clear" w:color="auto" w:fill="auto"/>
            <w:tcMar>
              <w:left w:w="28" w:type="dxa"/>
              <w:right w:w="28" w:type="dxa"/>
            </w:tcMar>
          </w:tcPr>
          <w:p w14:paraId="366BFE00" w14:textId="77777777" w:rsidR="00F45E7D" w:rsidRDefault="0087463C">
            <w:pPr>
              <w:pStyle w:val="TableText0"/>
              <w:jc w:val="center"/>
              <w:rPr>
                <w:lang w:eastAsia="en-US"/>
              </w:rPr>
            </w:pPr>
            <w:r>
              <w:rPr>
                <w:lang w:eastAsia="en-US"/>
              </w:rPr>
              <w:t>-</w:t>
            </w:r>
          </w:p>
        </w:tc>
        <w:tc>
          <w:tcPr>
            <w:tcW w:w="952" w:type="pct"/>
            <w:tcBorders>
              <w:top w:val="single" w:sz="4" w:space="0" w:color="auto"/>
              <w:bottom w:val="single" w:sz="4" w:space="0" w:color="auto"/>
            </w:tcBorders>
            <w:shd w:val="clear" w:color="auto" w:fill="auto"/>
            <w:tcMar>
              <w:left w:w="28" w:type="dxa"/>
              <w:right w:w="28" w:type="dxa"/>
            </w:tcMar>
          </w:tcPr>
          <w:p w14:paraId="67FC2130" w14:textId="77777777" w:rsidR="00F45E7D" w:rsidRDefault="0087463C">
            <w:pPr>
              <w:pStyle w:val="TableText0"/>
              <w:jc w:val="center"/>
              <w:rPr>
                <w:lang w:eastAsia="en-US"/>
              </w:rPr>
            </w:pPr>
            <w:r>
              <w:rPr>
                <w:lang w:eastAsia="en-US"/>
              </w:rPr>
              <w:t>5 (11)</w:t>
            </w:r>
          </w:p>
        </w:tc>
        <w:tc>
          <w:tcPr>
            <w:tcW w:w="794" w:type="pct"/>
            <w:tcBorders>
              <w:top w:val="single" w:sz="4" w:space="0" w:color="auto"/>
              <w:bottom w:val="single" w:sz="4" w:space="0" w:color="auto"/>
            </w:tcBorders>
            <w:shd w:val="clear" w:color="auto" w:fill="auto"/>
            <w:tcMar>
              <w:left w:w="28" w:type="dxa"/>
              <w:right w:w="28" w:type="dxa"/>
            </w:tcMar>
          </w:tcPr>
          <w:p w14:paraId="4E920A73" w14:textId="77777777" w:rsidR="00F45E7D" w:rsidRDefault="0087463C">
            <w:pPr>
              <w:pStyle w:val="TableText0"/>
              <w:jc w:val="center"/>
              <w:rPr>
                <w:lang w:eastAsia="en-US"/>
              </w:rPr>
            </w:pPr>
            <w:r>
              <w:rPr>
                <w:lang w:eastAsia="en-US"/>
              </w:rPr>
              <w:t>5 (12.5)</w:t>
            </w:r>
          </w:p>
        </w:tc>
      </w:tr>
      <w:tr w:rsidR="00F45E7D" w14:paraId="4B12E937" w14:textId="77777777">
        <w:trPr>
          <w:cantSplit/>
          <w:trHeight w:val="260"/>
        </w:trPr>
        <w:tc>
          <w:tcPr>
            <w:tcW w:w="1111" w:type="pct"/>
            <w:shd w:val="clear" w:color="auto" w:fill="auto"/>
            <w:tcMar>
              <w:left w:w="28" w:type="dxa"/>
              <w:right w:w="28" w:type="dxa"/>
            </w:tcMar>
          </w:tcPr>
          <w:p w14:paraId="648C7672" w14:textId="77777777" w:rsidR="00F45E7D" w:rsidRDefault="0087463C">
            <w:pPr>
              <w:pStyle w:val="TableText0"/>
              <w:rPr>
                <w:lang w:eastAsia="en-US"/>
              </w:rPr>
            </w:pPr>
            <w:r>
              <w:rPr>
                <w:lang w:eastAsia="en-US"/>
              </w:rPr>
              <w:t xml:space="preserve"> PD</w:t>
            </w:r>
          </w:p>
        </w:tc>
        <w:tc>
          <w:tcPr>
            <w:tcW w:w="873" w:type="pct"/>
            <w:tcBorders>
              <w:top w:val="single" w:sz="4" w:space="0" w:color="auto"/>
              <w:bottom w:val="single" w:sz="4" w:space="0" w:color="auto"/>
            </w:tcBorders>
            <w:shd w:val="clear" w:color="auto" w:fill="auto"/>
            <w:tcMar>
              <w:left w:w="28" w:type="dxa"/>
              <w:right w:w="28" w:type="dxa"/>
            </w:tcMar>
          </w:tcPr>
          <w:p w14:paraId="7BA8F2DD" w14:textId="77777777" w:rsidR="00F45E7D" w:rsidRDefault="0087463C">
            <w:pPr>
              <w:pStyle w:val="TableText0"/>
              <w:jc w:val="center"/>
              <w:rPr>
                <w:lang w:eastAsia="en-US"/>
              </w:rPr>
            </w:pPr>
            <w:r>
              <w:rPr>
                <w:lang w:eastAsia="en-US"/>
              </w:rPr>
              <w:t>116 (60)</w:t>
            </w:r>
          </w:p>
        </w:tc>
        <w:tc>
          <w:tcPr>
            <w:tcW w:w="817" w:type="pct"/>
            <w:tcBorders>
              <w:top w:val="single" w:sz="4" w:space="0" w:color="auto"/>
              <w:bottom w:val="single" w:sz="4" w:space="0" w:color="auto"/>
            </w:tcBorders>
            <w:shd w:val="clear" w:color="auto" w:fill="auto"/>
            <w:tcMar>
              <w:left w:w="28" w:type="dxa"/>
              <w:right w:w="28" w:type="dxa"/>
            </w:tcMar>
          </w:tcPr>
          <w:p w14:paraId="1B7A075E" w14:textId="77777777" w:rsidR="00F45E7D" w:rsidRDefault="0087463C">
            <w:pPr>
              <w:pStyle w:val="TableText0"/>
              <w:jc w:val="center"/>
              <w:rPr>
                <w:lang w:eastAsia="en-US"/>
              </w:rPr>
            </w:pPr>
            <w:r>
              <w:rPr>
                <w:lang w:eastAsia="en-US"/>
              </w:rPr>
              <w:t>118 (73)</w:t>
            </w:r>
          </w:p>
        </w:tc>
        <w:tc>
          <w:tcPr>
            <w:tcW w:w="453" w:type="pct"/>
            <w:tcBorders>
              <w:top w:val="single" w:sz="4" w:space="0" w:color="auto"/>
              <w:bottom w:val="single" w:sz="4" w:space="0" w:color="auto"/>
            </w:tcBorders>
            <w:shd w:val="clear" w:color="auto" w:fill="auto"/>
            <w:tcMar>
              <w:left w:w="28" w:type="dxa"/>
              <w:right w:w="28" w:type="dxa"/>
            </w:tcMar>
          </w:tcPr>
          <w:p w14:paraId="33795706" w14:textId="77777777" w:rsidR="00F45E7D" w:rsidRDefault="0087463C">
            <w:pPr>
              <w:pStyle w:val="TableText0"/>
              <w:jc w:val="center"/>
              <w:rPr>
                <w:lang w:eastAsia="en-US"/>
              </w:rPr>
            </w:pPr>
            <w:r>
              <w:rPr>
                <w:lang w:eastAsia="en-US"/>
              </w:rPr>
              <w:t>-</w:t>
            </w:r>
          </w:p>
        </w:tc>
        <w:tc>
          <w:tcPr>
            <w:tcW w:w="952" w:type="pct"/>
            <w:tcBorders>
              <w:top w:val="single" w:sz="4" w:space="0" w:color="auto"/>
              <w:bottom w:val="single" w:sz="4" w:space="0" w:color="auto"/>
            </w:tcBorders>
            <w:shd w:val="clear" w:color="auto" w:fill="auto"/>
            <w:tcMar>
              <w:left w:w="28" w:type="dxa"/>
              <w:right w:w="28" w:type="dxa"/>
            </w:tcMar>
          </w:tcPr>
          <w:p w14:paraId="510C4BA8" w14:textId="77777777" w:rsidR="00F45E7D" w:rsidRDefault="0087463C">
            <w:pPr>
              <w:pStyle w:val="TableText0"/>
              <w:jc w:val="center"/>
              <w:rPr>
                <w:lang w:eastAsia="en-US"/>
              </w:rPr>
            </w:pPr>
            <w:r>
              <w:rPr>
                <w:lang w:eastAsia="en-US"/>
              </w:rPr>
              <w:t>23 (52)</w:t>
            </w:r>
          </w:p>
        </w:tc>
        <w:tc>
          <w:tcPr>
            <w:tcW w:w="794" w:type="pct"/>
            <w:tcBorders>
              <w:top w:val="single" w:sz="4" w:space="0" w:color="auto"/>
              <w:bottom w:val="single" w:sz="4" w:space="0" w:color="auto"/>
            </w:tcBorders>
            <w:shd w:val="clear" w:color="auto" w:fill="auto"/>
            <w:tcMar>
              <w:left w:w="28" w:type="dxa"/>
              <w:right w:w="28" w:type="dxa"/>
            </w:tcMar>
          </w:tcPr>
          <w:p w14:paraId="5FBF5B00" w14:textId="77777777" w:rsidR="00F45E7D" w:rsidRDefault="0087463C">
            <w:pPr>
              <w:pStyle w:val="TableText0"/>
              <w:jc w:val="center"/>
              <w:rPr>
                <w:lang w:eastAsia="en-US"/>
              </w:rPr>
            </w:pPr>
            <w:r>
              <w:rPr>
                <w:lang w:eastAsia="en-US"/>
              </w:rPr>
              <w:t>1 (2.5)</w:t>
            </w:r>
          </w:p>
        </w:tc>
      </w:tr>
      <w:tr w:rsidR="00F45E7D" w14:paraId="2A2600A9" w14:textId="77777777">
        <w:trPr>
          <w:cantSplit/>
          <w:trHeight w:val="260"/>
        </w:trPr>
        <w:tc>
          <w:tcPr>
            <w:tcW w:w="1111" w:type="pct"/>
            <w:shd w:val="clear" w:color="auto" w:fill="auto"/>
            <w:tcMar>
              <w:left w:w="28" w:type="dxa"/>
              <w:right w:w="28" w:type="dxa"/>
            </w:tcMar>
          </w:tcPr>
          <w:p w14:paraId="2F89B122" w14:textId="77777777" w:rsidR="00F45E7D" w:rsidRDefault="0087463C">
            <w:pPr>
              <w:pStyle w:val="TableText0"/>
              <w:rPr>
                <w:lang w:eastAsia="en-US"/>
              </w:rPr>
            </w:pPr>
            <w:r>
              <w:rPr>
                <w:lang w:eastAsia="en-US"/>
              </w:rPr>
              <w:t xml:space="preserve"> Not reached</w:t>
            </w:r>
          </w:p>
        </w:tc>
        <w:tc>
          <w:tcPr>
            <w:tcW w:w="873" w:type="pct"/>
            <w:tcBorders>
              <w:top w:val="single" w:sz="4" w:space="0" w:color="auto"/>
              <w:bottom w:val="single" w:sz="4" w:space="0" w:color="auto"/>
            </w:tcBorders>
            <w:shd w:val="clear" w:color="auto" w:fill="auto"/>
            <w:tcMar>
              <w:left w:w="28" w:type="dxa"/>
              <w:right w:w="28" w:type="dxa"/>
            </w:tcMar>
          </w:tcPr>
          <w:p w14:paraId="505D2A23" w14:textId="77777777" w:rsidR="00F45E7D" w:rsidRDefault="0087463C">
            <w:pPr>
              <w:pStyle w:val="TableText0"/>
              <w:jc w:val="center"/>
              <w:rPr>
                <w:lang w:eastAsia="en-US"/>
              </w:rPr>
            </w:pPr>
            <w:r>
              <w:rPr>
                <w:lang w:eastAsia="en-US"/>
              </w:rPr>
              <w:t>-</w:t>
            </w:r>
          </w:p>
        </w:tc>
        <w:tc>
          <w:tcPr>
            <w:tcW w:w="817" w:type="pct"/>
            <w:tcBorders>
              <w:top w:val="single" w:sz="4" w:space="0" w:color="auto"/>
              <w:bottom w:val="single" w:sz="4" w:space="0" w:color="auto"/>
            </w:tcBorders>
            <w:shd w:val="clear" w:color="auto" w:fill="auto"/>
            <w:tcMar>
              <w:left w:w="28" w:type="dxa"/>
              <w:right w:w="28" w:type="dxa"/>
            </w:tcMar>
          </w:tcPr>
          <w:p w14:paraId="212650D1" w14:textId="77777777" w:rsidR="00F45E7D" w:rsidRDefault="0087463C">
            <w:pPr>
              <w:pStyle w:val="TableText0"/>
              <w:jc w:val="center"/>
              <w:rPr>
                <w:lang w:eastAsia="en-US"/>
              </w:rPr>
            </w:pPr>
            <w:r>
              <w:rPr>
                <w:lang w:eastAsia="en-US"/>
              </w:rPr>
              <w:t>-</w:t>
            </w:r>
          </w:p>
        </w:tc>
        <w:tc>
          <w:tcPr>
            <w:tcW w:w="453" w:type="pct"/>
            <w:tcBorders>
              <w:top w:val="single" w:sz="4" w:space="0" w:color="auto"/>
              <w:bottom w:val="single" w:sz="4" w:space="0" w:color="auto"/>
            </w:tcBorders>
            <w:shd w:val="clear" w:color="auto" w:fill="auto"/>
            <w:tcMar>
              <w:left w:w="28" w:type="dxa"/>
              <w:right w:w="28" w:type="dxa"/>
            </w:tcMar>
          </w:tcPr>
          <w:p w14:paraId="55F71C12" w14:textId="77777777" w:rsidR="00F45E7D" w:rsidRDefault="0087463C">
            <w:pPr>
              <w:pStyle w:val="TableText0"/>
              <w:jc w:val="center"/>
              <w:rPr>
                <w:lang w:eastAsia="en-US"/>
              </w:rPr>
            </w:pPr>
            <w:r>
              <w:rPr>
                <w:lang w:eastAsia="en-US"/>
              </w:rPr>
              <w:t>-</w:t>
            </w:r>
          </w:p>
        </w:tc>
        <w:tc>
          <w:tcPr>
            <w:tcW w:w="952" w:type="pct"/>
            <w:tcBorders>
              <w:top w:val="single" w:sz="4" w:space="0" w:color="auto"/>
              <w:bottom w:val="single" w:sz="4" w:space="0" w:color="auto"/>
            </w:tcBorders>
            <w:shd w:val="clear" w:color="auto" w:fill="auto"/>
            <w:tcMar>
              <w:left w:w="28" w:type="dxa"/>
              <w:right w:w="28" w:type="dxa"/>
            </w:tcMar>
          </w:tcPr>
          <w:p w14:paraId="03FCB695" w14:textId="77777777" w:rsidR="00F45E7D" w:rsidRDefault="0087463C">
            <w:pPr>
              <w:pStyle w:val="TableText0"/>
              <w:jc w:val="center"/>
              <w:rPr>
                <w:lang w:eastAsia="en-US"/>
              </w:rPr>
            </w:pPr>
            <w:r>
              <w:rPr>
                <w:lang w:eastAsia="en-US"/>
              </w:rPr>
              <w:t>6 (14)</w:t>
            </w:r>
          </w:p>
        </w:tc>
        <w:tc>
          <w:tcPr>
            <w:tcW w:w="794" w:type="pct"/>
            <w:tcBorders>
              <w:top w:val="single" w:sz="4" w:space="0" w:color="auto"/>
              <w:bottom w:val="single" w:sz="4" w:space="0" w:color="auto"/>
            </w:tcBorders>
            <w:shd w:val="clear" w:color="auto" w:fill="auto"/>
            <w:tcMar>
              <w:left w:w="28" w:type="dxa"/>
              <w:right w:w="28" w:type="dxa"/>
            </w:tcMar>
          </w:tcPr>
          <w:p w14:paraId="10F53604" w14:textId="77777777" w:rsidR="00F45E7D" w:rsidRDefault="0087463C">
            <w:pPr>
              <w:pStyle w:val="TableText0"/>
              <w:jc w:val="center"/>
              <w:rPr>
                <w:lang w:eastAsia="en-US"/>
              </w:rPr>
            </w:pPr>
            <w:r>
              <w:rPr>
                <w:lang w:eastAsia="en-US"/>
              </w:rPr>
              <w:t>7 (17.5)</w:t>
            </w:r>
          </w:p>
        </w:tc>
      </w:tr>
      <w:tr w:rsidR="00F45E7D" w14:paraId="1F4DC8A2" w14:textId="77777777">
        <w:trPr>
          <w:cantSplit/>
          <w:trHeight w:val="260"/>
        </w:trPr>
        <w:tc>
          <w:tcPr>
            <w:tcW w:w="1111" w:type="pct"/>
            <w:shd w:val="clear" w:color="auto" w:fill="auto"/>
            <w:tcMar>
              <w:left w:w="28" w:type="dxa"/>
              <w:right w:w="28" w:type="dxa"/>
            </w:tcMar>
          </w:tcPr>
          <w:p w14:paraId="0EF418A2" w14:textId="77777777" w:rsidR="00F45E7D" w:rsidRDefault="0087463C">
            <w:pPr>
              <w:pStyle w:val="TableText0"/>
              <w:rPr>
                <w:lang w:eastAsia="en-US"/>
              </w:rPr>
            </w:pPr>
            <w:r>
              <w:rPr>
                <w:lang w:eastAsia="en-US"/>
              </w:rPr>
              <w:t>DCR (CR + PR + SD)</w:t>
            </w:r>
          </w:p>
        </w:tc>
        <w:tc>
          <w:tcPr>
            <w:tcW w:w="873" w:type="pct"/>
            <w:tcBorders>
              <w:top w:val="single" w:sz="4" w:space="0" w:color="auto"/>
              <w:bottom w:val="single" w:sz="4" w:space="0" w:color="auto"/>
            </w:tcBorders>
            <w:shd w:val="clear" w:color="auto" w:fill="auto"/>
            <w:tcMar>
              <w:left w:w="28" w:type="dxa"/>
              <w:right w:w="28" w:type="dxa"/>
            </w:tcMar>
          </w:tcPr>
          <w:p w14:paraId="4561AC09" w14:textId="77777777" w:rsidR="00F45E7D" w:rsidRDefault="0087463C">
            <w:pPr>
              <w:pStyle w:val="TableText0"/>
              <w:jc w:val="center"/>
              <w:rPr>
                <w:lang w:eastAsia="en-US"/>
              </w:rPr>
            </w:pPr>
            <w:r>
              <w:rPr>
                <w:lang w:eastAsia="en-US"/>
              </w:rPr>
              <w:t>77 (40)</w:t>
            </w:r>
          </w:p>
        </w:tc>
        <w:tc>
          <w:tcPr>
            <w:tcW w:w="817" w:type="pct"/>
            <w:tcBorders>
              <w:top w:val="single" w:sz="4" w:space="0" w:color="auto"/>
              <w:bottom w:val="single" w:sz="4" w:space="0" w:color="auto"/>
            </w:tcBorders>
            <w:shd w:val="clear" w:color="auto" w:fill="auto"/>
            <w:tcMar>
              <w:left w:w="28" w:type="dxa"/>
              <w:right w:w="28" w:type="dxa"/>
            </w:tcMar>
          </w:tcPr>
          <w:p w14:paraId="4F119D0D" w14:textId="77777777" w:rsidR="00F45E7D" w:rsidRDefault="0087463C">
            <w:pPr>
              <w:pStyle w:val="TableText0"/>
              <w:jc w:val="center"/>
              <w:rPr>
                <w:lang w:eastAsia="en-US"/>
              </w:rPr>
            </w:pPr>
            <w:r>
              <w:rPr>
                <w:lang w:eastAsia="en-US"/>
              </w:rPr>
              <w:t>44 (27)</w:t>
            </w:r>
          </w:p>
        </w:tc>
        <w:tc>
          <w:tcPr>
            <w:tcW w:w="453" w:type="pct"/>
            <w:tcBorders>
              <w:top w:val="single" w:sz="4" w:space="0" w:color="auto"/>
              <w:bottom w:val="single" w:sz="4" w:space="0" w:color="auto"/>
            </w:tcBorders>
            <w:shd w:val="clear" w:color="auto" w:fill="auto"/>
            <w:tcMar>
              <w:left w:w="28" w:type="dxa"/>
              <w:right w:w="28" w:type="dxa"/>
            </w:tcMar>
          </w:tcPr>
          <w:p w14:paraId="71C2D602" w14:textId="77777777" w:rsidR="00F45E7D" w:rsidRDefault="0087463C">
            <w:pPr>
              <w:pStyle w:val="TableText0"/>
              <w:jc w:val="center"/>
              <w:rPr>
                <w:lang w:eastAsia="en-US"/>
              </w:rPr>
            </w:pPr>
            <w:r>
              <w:rPr>
                <w:lang w:eastAsia="en-US"/>
              </w:rPr>
              <w:t>0.016</w:t>
            </w:r>
            <w:r>
              <w:t>†</w:t>
            </w:r>
          </w:p>
        </w:tc>
        <w:tc>
          <w:tcPr>
            <w:tcW w:w="952" w:type="pct"/>
            <w:tcBorders>
              <w:top w:val="single" w:sz="4" w:space="0" w:color="auto"/>
              <w:bottom w:val="single" w:sz="4" w:space="0" w:color="auto"/>
            </w:tcBorders>
            <w:shd w:val="clear" w:color="auto" w:fill="auto"/>
            <w:tcMar>
              <w:left w:w="28" w:type="dxa"/>
              <w:right w:w="28" w:type="dxa"/>
            </w:tcMar>
          </w:tcPr>
          <w:p w14:paraId="5A990635" w14:textId="77777777" w:rsidR="00F45E7D" w:rsidRDefault="0087463C">
            <w:pPr>
              <w:pStyle w:val="TableText0"/>
              <w:jc w:val="center"/>
              <w:rPr>
                <w:lang w:eastAsia="en-US"/>
              </w:rPr>
            </w:pPr>
            <w:r>
              <w:rPr>
                <w:lang w:eastAsia="en-US"/>
              </w:rPr>
              <w:t>15 (34)</w:t>
            </w:r>
          </w:p>
        </w:tc>
        <w:tc>
          <w:tcPr>
            <w:tcW w:w="794" w:type="pct"/>
            <w:tcBorders>
              <w:top w:val="single" w:sz="4" w:space="0" w:color="auto"/>
              <w:bottom w:val="single" w:sz="4" w:space="0" w:color="auto"/>
            </w:tcBorders>
            <w:shd w:val="clear" w:color="auto" w:fill="auto"/>
            <w:tcMar>
              <w:left w:w="28" w:type="dxa"/>
              <w:right w:w="28" w:type="dxa"/>
            </w:tcMar>
          </w:tcPr>
          <w:p w14:paraId="3B900648" w14:textId="77777777" w:rsidR="00F45E7D" w:rsidRDefault="0087463C">
            <w:pPr>
              <w:pStyle w:val="TableText0"/>
              <w:jc w:val="center"/>
              <w:rPr>
                <w:lang w:eastAsia="en-US"/>
              </w:rPr>
            </w:pPr>
            <w:r>
              <w:rPr>
                <w:lang w:eastAsia="en-US"/>
              </w:rPr>
              <w:t>32 (80)</w:t>
            </w:r>
          </w:p>
        </w:tc>
      </w:tr>
    </w:tbl>
    <w:p w14:paraId="0616A57A" w14:textId="77777777" w:rsidR="00F45E7D" w:rsidRDefault="0087463C">
      <w:pPr>
        <w:pStyle w:val="TableFigureFooter"/>
      </w:pPr>
      <w:r>
        <w:t>Source: Table 27, pp62, 63 of the submission and Table 31, p70 of the submission.</w:t>
      </w:r>
    </w:p>
    <w:p w14:paraId="2DD6FCC2" w14:textId="77777777" w:rsidR="00F45E7D" w:rsidRDefault="0087463C">
      <w:pPr>
        <w:pStyle w:val="TableFigureFooter"/>
      </w:pPr>
      <w:r>
        <w:t>BRAFi = BRAF inhibitor; CI = confidence interval; CR = complete response; DCR = disease control rate; HR = hazard ratio; IPI = ipilimumab; ORR = objective response rate; OS = overall survival; PD = progressive disease; PD-1 = programmed death-1; PFS = progression-free survival; PR = partial response; SD = stable disease</w:t>
      </w:r>
    </w:p>
    <w:p w14:paraId="2BAB643D" w14:textId="77777777" w:rsidR="00F45E7D" w:rsidRDefault="0087463C">
      <w:pPr>
        <w:pStyle w:val="TableFigureFooter"/>
        <w:rPr>
          <w:rFonts w:eastAsiaTheme="majorEastAsia" w:cstheme="majorBidi"/>
          <w:bCs/>
        </w:rPr>
      </w:pPr>
      <w:r>
        <w:rPr>
          <w:rFonts w:eastAsiaTheme="majorEastAsia" w:cstheme="majorBidi"/>
          <w:bCs/>
        </w:rPr>
        <w:t>† Pearson’s X2 test with Yates’ correction</w:t>
      </w:r>
    </w:p>
    <w:p w14:paraId="69312FC1" w14:textId="77777777" w:rsidR="00F45E7D" w:rsidRDefault="0087463C">
      <w:pPr>
        <w:pStyle w:val="TableFigureFooter"/>
        <w:rPr>
          <w:rFonts w:eastAsiaTheme="majorEastAsia" w:cstheme="majorBidi"/>
          <w:bCs/>
        </w:rPr>
      </w:pPr>
      <w:r>
        <w:rPr>
          <w:rFonts w:eastAsiaTheme="majorEastAsia" w:cstheme="majorBidi"/>
          <w:bCs/>
        </w:rPr>
        <w:t>* Pearson’s X2 test</w:t>
      </w:r>
    </w:p>
    <w:p w14:paraId="1F01F6C7" w14:textId="77777777" w:rsidR="00F45E7D" w:rsidRDefault="0087463C">
      <w:pPr>
        <w:pStyle w:val="TableFigureFooter"/>
        <w:rPr>
          <w:rFonts w:eastAsiaTheme="majorEastAsia" w:cstheme="majorBidi"/>
          <w:bCs/>
        </w:rPr>
      </w:pPr>
      <w:r>
        <w:rPr>
          <w:rFonts w:eastAsiaTheme="majorEastAsia" w:cstheme="majorBidi"/>
          <w:bCs/>
        </w:rPr>
        <w:t>** Includes one patient who was treated on a clinical trial with IPI, nivolumab and IDO-inhibitor and one treated with IPI + TLR9-agonist.</w:t>
      </w:r>
    </w:p>
    <w:p w14:paraId="2964E6D8" w14:textId="77777777" w:rsidR="00F45E7D" w:rsidRDefault="0087463C">
      <w:pPr>
        <w:pStyle w:val="TableFigureFooter"/>
        <w:rPr>
          <w:snapToGrid/>
        </w:rPr>
      </w:pPr>
      <w:r>
        <w:rPr>
          <w:iCs/>
          <w:vertAlign w:val="superscript"/>
        </w:rPr>
        <w:t>#</w:t>
      </w:r>
      <w:r>
        <w:rPr>
          <w:iCs/>
        </w:rPr>
        <w:t xml:space="preserve"> There were inconsistencies in how Owen et al (2020) reported the number of patients in each treatment arm, which was also noted in the submission (p57). It might have been because not all patients were able to be evaluated.</w:t>
      </w:r>
    </w:p>
    <w:p w14:paraId="1EF8A8F0" w14:textId="77777777" w:rsidR="00F45E7D" w:rsidRDefault="0087463C">
      <w:pPr>
        <w:pStyle w:val="TableFigureFooter"/>
        <w:rPr>
          <w:rFonts w:eastAsiaTheme="majorEastAsia" w:cstheme="majorBidi"/>
          <w:bCs/>
        </w:rPr>
      </w:pPr>
      <w:r>
        <w:rPr>
          <w:rFonts w:eastAsiaTheme="majorEastAsia" w:cstheme="majorBidi"/>
          <w:bCs/>
          <w:vertAlign w:val="superscript"/>
        </w:rPr>
        <w:t xml:space="preserve">a </w:t>
      </w:r>
      <w:r>
        <w:rPr>
          <w:rFonts w:eastAsiaTheme="majorEastAsia" w:cstheme="majorBidi"/>
          <w:bCs/>
        </w:rPr>
        <w:t>ORR total has been adjusted to reflect CR + PR as reported in Table S3 to match the reporting method for da Silva et al (2021) and allow naïve comparison across trials</w:t>
      </w:r>
    </w:p>
    <w:p w14:paraId="4475C911" w14:textId="77777777" w:rsidR="00F45E7D" w:rsidRDefault="0087463C">
      <w:pPr>
        <w:pStyle w:val="TableFigureFooter"/>
        <w:rPr>
          <w:rFonts w:eastAsiaTheme="majorEastAsia" w:cstheme="majorBidi"/>
          <w:bCs/>
        </w:rPr>
      </w:pPr>
      <w:r>
        <w:rPr>
          <w:rFonts w:eastAsiaTheme="majorEastAsia" w:cstheme="majorBidi"/>
          <w:bCs/>
          <w:vertAlign w:val="superscript"/>
        </w:rPr>
        <w:t xml:space="preserve">b </w:t>
      </w:r>
      <w:r>
        <w:rPr>
          <w:rFonts w:eastAsiaTheme="majorEastAsia" w:cstheme="majorBidi"/>
          <w:bCs/>
        </w:rPr>
        <w:t>Value read from figure, not reported separately</w:t>
      </w:r>
    </w:p>
    <w:p w14:paraId="75AF6EC2" w14:textId="0941ABA8" w:rsidR="006722CE" w:rsidRDefault="0087463C">
      <w:pPr>
        <w:pStyle w:val="TableFigureFooter"/>
      </w:pPr>
      <w:r>
        <w:rPr>
          <w:vertAlign w:val="superscript"/>
        </w:rPr>
        <w:t xml:space="preserve">c </w:t>
      </w:r>
      <w:r>
        <w:t>OS reported for first-line therapy only</w:t>
      </w:r>
    </w:p>
    <w:p w14:paraId="37630FF4" w14:textId="77777777" w:rsidR="006722CE" w:rsidRDefault="006722CE">
      <w:pPr>
        <w:jc w:val="left"/>
        <w:rPr>
          <w:rFonts w:ascii="Arial Narrow" w:hAnsi="Arial Narrow"/>
          <w:snapToGrid w:val="0"/>
          <w:sz w:val="18"/>
          <w:szCs w:val="22"/>
        </w:rPr>
      </w:pPr>
      <w:r>
        <w:br w:type="page"/>
      </w:r>
    </w:p>
    <w:p w14:paraId="663903A8" w14:textId="59C0C0D0" w:rsidR="00F45E7D" w:rsidRDefault="0087463C">
      <w:pPr>
        <w:pStyle w:val="TableFigureHeading"/>
      </w:pPr>
      <w:bookmarkStart w:id="41" w:name="_Ref112278019"/>
      <w:bookmarkStart w:id="42" w:name="_Hlk113685950"/>
      <w:r>
        <w:t xml:space="preserve">Table </w:t>
      </w:r>
      <w:r w:rsidR="00D8701A">
        <w:fldChar w:fldCharType="begin"/>
      </w:r>
      <w:r w:rsidR="00D8701A">
        <w:instrText xml:space="preserve"> SEQ Table \* ARABIC </w:instrText>
      </w:r>
      <w:r w:rsidR="00D8701A">
        <w:fldChar w:fldCharType="separate"/>
      </w:r>
      <w:r w:rsidR="00D8701A">
        <w:rPr>
          <w:noProof/>
        </w:rPr>
        <w:t>6</w:t>
      </w:r>
      <w:r w:rsidR="00D8701A">
        <w:fldChar w:fldCharType="end"/>
      </w:r>
      <w:bookmarkEnd w:id="41"/>
      <w:r>
        <w:t>: Subgroup response results by prior PD-1 inhibitor in the adjuvant versus metastatic setting from the da Silva et al (2021) study</w:t>
      </w:r>
    </w:p>
    <w:tbl>
      <w:tblPr>
        <w:tblStyle w:val="TableGrid"/>
        <w:tblW w:w="8784" w:type="dxa"/>
        <w:tblLayout w:type="fixed"/>
        <w:tblCellMar>
          <w:left w:w="28" w:type="dxa"/>
          <w:right w:w="28" w:type="dxa"/>
        </w:tblCellMar>
        <w:tblLook w:val="04A0" w:firstRow="1" w:lastRow="0" w:firstColumn="1" w:lastColumn="0" w:noHBand="0" w:noVBand="1"/>
      </w:tblPr>
      <w:tblGrid>
        <w:gridCol w:w="1521"/>
        <w:gridCol w:w="1309"/>
        <w:gridCol w:w="1255"/>
        <w:gridCol w:w="1260"/>
        <w:gridCol w:w="9"/>
        <w:gridCol w:w="1103"/>
        <w:gridCol w:w="1193"/>
        <w:gridCol w:w="1134"/>
      </w:tblGrid>
      <w:tr w:rsidR="00F45E7D" w14:paraId="080A0909" w14:textId="77777777">
        <w:tc>
          <w:tcPr>
            <w:tcW w:w="1521" w:type="dxa"/>
            <w:vMerge w:val="restart"/>
          </w:tcPr>
          <w:p w14:paraId="344E358C" w14:textId="77777777" w:rsidR="00F45E7D" w:rsidRDefault="00F45E7D">
            <w:pPr>
              <w:pStyle w:val="TableText0"/>
            </w:pPr>
          </w:p>
        </w:tc>
        <w:tc>
          <w:tcPr>
            <w:tcW w:w="3833" w:type="dxa"/>
            <w:gridSpan w:val="4"/>
            <w:vAlign w:val="center"/>
          </w:tcPr>
          <w:p w14:paraId="37691CD1" w14:textId="77777777" w:rsidR="00F45E7D" w:rsidRDefault="0087463C">
            <w:pPr>
              <w:pStyle w:val="TableText0"/>
              <w:jc w:val="center"/>
            </w:pPr>
            <w:r>
              <w:rPr>
                <w:b/>
                <w:lang w:eastAsia="en-US"/>
              </w:rPr>
              <w:t>IPI + PD-1 inhibitor</w:t>
            </w:r>
          </w:p>
        </w:tc>
        <w:tc>
          <w:tcPr>
            <w:tcW w:w="3430" w:type="dxa"/>
            <w:gridSpan w:val="3"/>
            <w:vAlign w:val="center"/>
          </w:tcPr>
          <w:p w14:paraId="5683596A" w14:textId="77777777" w:rsidR="00F45E7D" w:rsidRDefault="0087463C">
            <w:pPr>
              <w:pStyle w:val="TableText0"/>
              <w:jc w:val="center"/>
            </w:pPr>
            <w:r>
              <w:rPr>
                <w:b/>
                <w:lang w:eastAsia="en-US"/>
              </w:rPr>
              <w:t>IPI</w:t>
            </w:r>
          </w:p>
        </w:tc>
      </w:tr>
      <w:tr w:rsidR="00F45E7D" w14:paraId="693BC52A" w14:textId="77777777">
        <w:tc>
          <w:tcPr>
            <w:tcW w:w="1521" w:type="dxa"/>
            <w:vMerge/>
          </w:tcPr>
          <w:p w14:paraId="0409435D" w14:textId="77777777" w:rsidR="00F45E7D" w:rsidRDefault="00F45E7D">
            <w:pPr>
              <w:pStyle w:val="TableText0"/>
            </w:pPr>
          </w:p>
        </w:tc>
        <w:tc>
          <w:tcPr>
            <w:tcW w:w="1309" w:type="dxa"/>
          </w:tcPr>
          <w:p w14:paraId="7269F6E3" w14:textId="77777777" w:rsidR="00F45E7D" w:rsidRDefault="0087463C">
            <w:pPr>
              <w:pStyle w:val="TableText0"/>
              <w:jc w:val="center"/>
              <w:rPr>
                <w:b/>
                <w:bCs w:val="0"/>
              </w:rPr>
            </w:pPr>
            <w:r>
              <w:rPr>
                <w:b/>
                <w:bCs w:val="0"/>
              </w:rPr>
              <w:t>Full cohort</w:t>
            </w:r>
          </w:p>
          <w:p w14:paraId="663153D4" w14:textId="77777777" w:rsidR="00F45E7D" w:rsidRDefault="0087463C">
            <w:pPr>
              <w:pStyle w:val="TableText0"/>
              <w:jc w:val="center"/>
              <w:rPr>
                <w:b/>
                <w:bCs w:val="0"/>
              </w:rPr>
            </w:pPr>
            <w:r>
              <w:rPr>
                <w:b/>
                <w:bCs w:val="0"/>
              </w:rPr>
              <w:t>N=193</w:t>
            </w:r>
          </w:p>
          <w:p w14:paraId="0D69E57A" w14:textId="77777777" w:rsidR="00F45E7D" w:rsidRDefault="00F45E7D">
            <w:pPr>
              <w:pStyle w:val="TableText0"/>
              <w:jc w:val="center"/>
              <w:rPr>
                <w:b/>
                <w:bCs w:val="0"/>
              </w:rPr>
            </w:pPr>
          </w:p>
        </w:tc>
        <w:tc>
          <w:tcPr>
            <w:tcW w:w="1255" w:type="dxa"/>
            <w:shd w:val="clear" w:color="auto" w:fill="D9D9D9" w:themeFill="background1" w:themeFillShade="D9"/>
          </w:tcPr>
          <w:p w14:paraId="32953DA8" w14:textId="77777777" w:rsidR="00F45E7D" w:rsidRDefault="0087463C">
            <w:pPr>
              <w:pStyle w:val="TableText0"/>
              <w:jc w:val="center"/>
              <w:rPr>
                <w:b/>
                <w:bCs w:val="0"/>
                <w:lang w:eastAsia="en-US"/>
              </w:rPr>
            </w:pPr>
            <w:r>
              <w:rPr>
                <w:b/>
                <w:bCs w:val="0"/>
                <w:lang w:eastAsia="en-US"/>
              </w:rPr>
              <w:t>Prior</w:t>
            </w:r>
            <w:r>
              <w:rPr>
                <w:b/>
              </w:rPr>
              <w:t xml:space="preserve"> PD-1 inhibitor</w:t>
            </w:r>
            <w:r>
              <w:rPr>
                <w:b/>
                <w:bCs w:val="0"/>
                <w:lang w:eastAsia="en-US"/>
              </w:rPr>
              <w:t xml:space="preserve"> in adjuvant setting</w:t>
            </w:r>
          </w:p>
          <w:p w14:paraId="226B22AF" w14:textId="77777777" w:rsidR="00F45E7D" w:rsidRDefault="0087463C">
            <w:pPr>
              <w:pStyle w:val="TableText0"/>
              <w:jc w:val="center"/>
              <w:rPr>
                <w:b/>
              </w:rPr>
            </w:pPr>
            <w:r>
              <w:rPr>
                <w:b/>
                <w:bCs w:val="0"/>
                <w:lang w:eastAsia="en-US"/>
              </w:rPr>
              <w:t>N=36</w:t>
            </w:r>
          </w:p>
        </w:tc>
        <w:tc>
          <w:tcPr>
            <w:tcW w:w="1260" w:type="dxa"/>
          </w:tcPr>
          <w:p w14:paraId="031E6673" w14:textId="77777777" w:rsidR="00F45E7D" w:rsidRDefault="0087463C">
            <w:pPr>
              <w:pStyle w:val="TableText0"/>
              <w:jc w:val="center"/>
              <w:rPr>
                <w:b/>
                <w:bCs w:val="0"/>
                <w:lang w:eastAsia="en-US"/>
              </w:rPr>
            </w:pPr>
            <w:r>
              <w:rPr>
                <w:b/>
                <w:bCs w:val="0"/>
                <w:lang w:eastAsia="en-US"/>
              </w:rPr>
              <w:t>Prior PD-1 inhibitor in metastatic setting</w:t>
            </w:r>
          </w:p>
          <w:p w14:paraId="404CF935" w14:textId="77777777" w:rsidR="00F45E7D" w:rsidRDefault="0087463C">
            <w:pPr>
              <w:pStyle w:val="TableText0"/>
              <w:jc w:val="center"/>
              <w:rPr>
                <w:b/>
              </w:rPr>
            </w:pPr>
            <w:r>
              <w:rPr>
                <w:b/>
                <w:bCs w:val="0"/>
              </w:rPr>
              <w:t>N=157</w:t>
            </w:r>
          </w:p>
        </w:tc>
        <w:tc>
          <w:tcPr>
            <w:tcW w:w="1112" w:type="dxa"/>
            <w:gridSpan w:val="2"/>
          </w:tcPr>
          <w:p w14:paraId="64013F45" w14:textId="77777777" w:rsidR="00F45E7D" w:rsidRDefault="0087463C">
            <w:pPr>
              <w:pStyle w:val="TableText0"/>
              <w:jc w:val="center"/>
              <w:rPr>
                <w:b/>
                <w:bCs w:val="0"/>
              </w:rPr>
            </w:pPr>
            <w:r>
              <w:rPr>
                <w:b/>
                <w:bCs w:val="0"/>
              </w:rPr>
              <w:t>Full cohort</w:t>
            </w:r>
          </w:p>
          <w:p w14:paraId="1EE522D2" w14:textId="77777777" w:rsidR="00F45E7D" w:rsidRDefault="0087463C">
            <w:pPr>
              <w:pStyle w:val="TableText0"/>
              <w:jc w:val="center"/>
              <w:rPr>
                <w:b/>
                <w:bCs w:val="0"/>
              </w:rPr>
            </w:pPr>
            <w:r>
              <w:rPr>
                <w:b/>
                <w:bCs w:val="0"/>
              </w:rPr>
              <w:t>N=162</w:t>
            </w:r>
          </w:p>
        </w:tc>
        <w:tc>
          <w:tcPr>
            <w:tcW w:w="1193" w:type="dxa"/>
            <w:shd w:val="clear" w:color="auto" w:fill="D9D9D9" w:themeFill="background1" w:themeFillShade="D9"/>
          </w:tcPr>
          <w:p w14:paraId="57758337" w14:textId="77777777" w:rsidR="00F45E7D" w:rsidRDefault="0087463C">
            <w:pPr>
              <w:pStyle w:val="TableText0"/>
              <w:jc w:val="center"/>
              <w:rPr>
                <w:b/>
                <w:bCs w:val="0"/>
                <w:lang w:eastAsia="en-US"/>
              </w:rPr>
            </w:pPr>
            <w:r>
              <w:rPr>
                <w:b/>
                <w:bCs w:val="0"/>
                <w:lang w:eastAsia="en-US"/>
              </w:rPr>
              <w:t>Prior PD-1 inhibitor in adjuvant setting</w:t>
            </w:r>
          </w:p>
          <w:p w14:paraId="5237C645" w14:textId="77777777" w:rsidR="00F45E7D" w:rsidRDefault="0087463C">
            <w:pPr>
              <w:pStyle w:val="TableText0"/>
              <w:jc w:val="center"/>
              <w:rPr>
                <w:b/>
              </w:rPr>
            </w:pPr>
            <w:r>
              <w:rPr>
                <w:b/>
                <w:bCs w:val="0"/>
              </w:rPr>
              <w:t>N=8</w:t>
            </w:r>
          </w:p>
        </w:tc>
        <w:tc>
          <w:tcPr>
            <w:tcW w:w="1134" w:type="dxa"/>
          </w:tcPr>
          <w:p w14:paraId="40BE377B" w14:textId="77777777" w:rsidR="00F45E7D" w:rsidRDefault="0087463C">
            <w:pPr>
              <w:pStyle w:val="TableText0"/>
              <w:jc w:val="center"/>
              <w:rPr>
                <w:b/>
                <w:bCs w:val="0"/>
                <w:lang w:eastAsia="en-US"/>
              </w:rPr>
            </w:pPr>
            <w:r>
              <w:rPr>
                <w:b/>
                <w:bCs w:val="0"/>
                <w:lang w:eastAsia="en-US"/>
              </w:rPr>
              <w:t>Prior PD-1 inhibitor in metastatic setting</w:t>
            </w:r>
          </w:p>
          <w:p w14:paraId="5C635188" w14:textId="77777777" w:rsidR="00F45E7D" w:rsidRDefault="0087463C">
            <w:pPr>
              <w:pStyle w:val="TableText0"/>
              <w:jc w:val="center"/>
              <w:rPr>
                <w:b/>
                <w:bCs w:val="0"/>
              </w:rPr>
            </w:pPr>
            <w:r>
              <w:rPr>
                <w:b/>
                <w:bCs w:val="0"/>
                <w:lang w:eastAsia="en-US"/>
              </w:rPr>
              <w:t>N=154</w:t>
            </w:r>
          </w:p>
        </w:tc>
      </w:tr>
      <w:tr w:rsidR="00F45E7D" w14:paraId="4D7E3A02" w14:textId="77777777">
        <w:tc>
          <w:tcPr>
            <w:tcW w:w="1521" w:type="dxa"/>
          </w:tcPr>
          <w:p w14:paraId="3507D8A4" w14:textId="77777777" w:rsidR="00F45E7D" w:rsidRDefault="0087463C">
            <w:pPr>
              <w:pStyle w:val="TableText0"/>
            </w:pPr>
            <w:r>
              <w:rPr>
                <w:lang w:eastAsia="en-US"/>
              </w:rPr>
              <w:t>ORR, n/N (%)</w:t>
            </w:r>
          </w:p>
        </w:tc>
        <w:tc>
          <w:tcPr>
            <w:tcW w:w="1309" w:type="dxa"/>
          </w:tcPr>
          <w:p w14:paraId="090ED323" w14:textId="77777777" w:rsidR="00F45E7D" w:rsidRDefault="0087463C">
            <w:pPr>
              <w:pStyle w:val="TableText0"/>
              <w:jc w:val="center"/>
            </w:pPr>
            <w:r>
              <w:rPr>
                <w:lang w:eastAsia="en-US"/>
              </w:rPr>
              <w:t>60/193 (31%)</w:t>
            </w:r>
          </w:p>
        </w:tc>
        <w:tc>
          <w:tcPr>
            <w:tcW w:w="1255" w:type="dxa"/>
            <w:shd w:val="clear" w:color="auto" w:fill="D9D9D9" w:themeFill="background1" w:themeFillShade="D9"/>
          </w:tcPr>
          <w:p w14:paraId="18C6AB1A" w14:textId="77777777" w:rsidR="00F45E7D" w:rsidRDefault="0087463C">
            <w:pPr>
              <w:pStyle w:val="TableText0"/>
              <w:jc w:val="center"/>
            </w:pPr>
            <w:r>
              <w:rPr>
                <w:lang w:eastAsia="en-US"/>
              </w:rPr>
              <w:t>13/36 (36%)</w:t>
            </w:r>
          </w:p>
        </w:tc>
        <w:tc>
          <w:tcPr>
            <w:tcW w:w="1260" w:type="dxa"/>
          </w:tcPr>
          <w:p w14:paraId="189EBF91" w14:textId="77777777" w:rsidR="00F45E7D" w:rsidRDefault="0087463C">
            <w:pPr>
              <w:pStyle w:val="TableText0"/>
              <w:jc w:val="center"/>
            </w:pPr>
            <w:r>
              <w:rPr>
                <w:lang w:eastAsia="en-US"/>
              </w:rPr>
              <w:t>47/157 (30%)</w:t>
            </w:r>
          </w:p>
        </w:tc>
        <w:tc>
          <w:tcPr>
            <w:tcW w:w="1112" w:type="dxa"/>
            <w:gridSpan w:val="2"/>
          </w:tcPr>
          <w:p w14:paraId="1D27DD38" w14:textId="77777777" w:rsidR="00F45E7D" w:rsidRDefault="0087463C">
            <w:pPr>
              <w:pStyle w:val="TableText0"/>
              <w:jc w:val="center"/>
            </w:pPr>
            <w:r>
              <w:rPr>
                <w:lang w:eastAsia="en-US"/>
              </w:rPr>
              <w:t>21/162 (13%)</w:t>
            </w:r>
          </w:p>
        </w:tc>
        <w:tc>
          <w:tcPr>
            <w:tcW w:w="1193" w:type="dxa"/>
            <w:shd w:val="clear" w:color="auto" w:fill="D9D9D9" w:themeFill="background1" w:themeFillShade="D9"/>
          </w:tcPr>
          <w:p w14:paraId="1D5E6205" w14:textId="77777777" w:rsidR="00F45E7D" w:rsidRDefault="0087463C">
            <w:pPr>
              <w:pStyle w:val="TableText0"/>
              <w:jc w:val="center"/>
            </w:pPr>
            <w:r>
              <w:rPr>
                <w:lang w:eastAsia="en-US"/>
              </w:rPr>
              <w:t>1/8 (13%)</w:t>
            </w:r>
          </w:p>
        </w:tc>
        <w:tc>
          <w:tcPr>
            <w:tcW w:w="1134" w:type="dxa"/>
          </w:tcPr>
          <w:p w14:paraId="48E327E4" w14:textId="77777777" w:rsidR="00F45E7D" w:rsidRDefault="0087463C">
            <w:pPr>
              <w:pStyle w:val="TableText0"/>
              <w:jc w:val="center"/>
            </w:pPr>
            <w:r>
              <w:rPr>
                <w:lang w:eastAsia="en-US"/>
              </w:rPr>
              <w:t>20/154 (13%)</w:t>
            </w:r>
          </w:p>
        </w:tc>
      </w:tr>
      <w:tr w:rsidR="00F45E7D" w14:paraId="548C29F9" w14:textId="77777777">
        <w:tc>
          <w:tcPr>
            <w:tcW w:w="1521" w:type="dxa"/>
          </w:tcPr>
          <w:p w14:paraId="7E8432F1" w14:textId="77777777" w:rsidR="00F45E7D" w:rsidRDefault="0087463C">
            <w:pPr>
              <w:pStyle w:val="TableText0"/>
            </w:pPr>
            <w:r>
              <w:t xml:space="preserve">Median PFS, months </w:t>
            </w:r>
            <w:r>
              <w:rPr>
                <w:lang w:eastAsia="en-US"/>
              </w:rPr>
              <w:t>(95% CI)</w:t>
            </w:r>
          </w:p>
        </w:tc>
        <w:tc>
          <w:tcPr>
            <w:tcW w:w="1309" w:type="dxa"/>
            <w:vAlign w:val="center"/>
          </w:tcPr>
          <w:p w14:paraId="30A34E0C" w14:textId="77777777" w:rsidR="00F45E7D" w:rsidRDefault="0087463C">
            <w:pPr>
              <w:pStyle w:val="TableText0"/>
              <w:jc w:val="center"/>
            </w:pPr>
            <w:r>
              <w:rPr>
                <w:lang w:eastAsia="en-US"/>
              </w:rPr>
              <w:t>3.0 (2.6, 3.6)</w:t>
            </w:r>
          </w:p>
        </w:tc>
        <w:tc>
          <w:tcPr>
            <w:tcW w:w="1255" w:type="dxa"/>
            <w:shd w:val="clear" w:color="auto" w:fill="D9D9D9" w:themeFill="background1" w:themeFillShade="D9"/>
            <w:vAlign w:val="center"/>
          </w:tcPr>
          <w:p w14:paraId="03F5FE00" w14:textId="77777777" w:rsidR="00F45E7D" w:rsidRDefault="0087463C">
            <w:pPr>
              <w:pStyle w:val="TableText0"/>
              <w:jc w:val="center"/>
            </w:pPr>
            <w:r>
              <w:rPr>
                <w:lang w:eastAsia="en-US"/>
              </w:rPr>
              <w:t>3.3 (2.5, NR)</w:t>
            </w:r>
          </w:p>
        </w:tc>
        <w:tc>
          <w:tcPr>
            <w:tcW w:w="1260" w:type="dxa"/>
            <w:vAlign w:val="center"/>
          </w:tcPr>
          <w:p w14:paraId="0F1DFF19" w14:textId="77777777" w:rsidR="00F45E7D" w:rsidRDefault="0087463C">
            <w:pPr>
              <w:pStyle w:val="TableText0"/>
              <w:jc w:val="center"/>
            </w:pPr>
            <w:r>
              <w:rPr>
                <w:lang w:eastAsia="en-US"/>
              </w:rPr>
              <w:t>3.0 (2.3, 3.5)</w:t>
            </w:r>
          </w:p>
        </w:tc>
        <w:tc>
          <w:tcPr>
            <w:tcW w:w="1112" w:type="dxa"/>
            <w:gridSpan w:val="2"/>
            <w:vAlign w:val="center"/>
          </w:tcPr>
          <w:p w14:paraId="0CD0254C" w14:textId="77777777" w:rsidR="00F45E7D" w:rsidRDefault="0087463C">
            <w:pPr>
              <w:pStyle w:val="TableText0"/>
              <w:jc w:val="center"/>
            </w:pPr>
            <w:r>
              <w:rPr>
                <w:lang w:eastAsia="en-US"/>
              </w:rPr>
              <w:t>2.6 (2.4, 2.9)</w:t>
            </w:r>
          </w:p>
        </w:tc>
        <w:tc>
          <w:tcPr>
            <w:tcW w:w="1193" w:type="dxa"/>
            <w:shd w:val="clear" w:color="auto" w:fill="D9D9D9" w:themeFill="background1" w:themeFillShade="D9"/>
            <w:vAlign w:val="center"/>
          </w:tcPr>
          <w:p w14:paraId="28338577" w14:textId="77777777" w:rsidR="00F45E7D" w:rsidRDefault="0087463C">
            <w:pPr>
              <w:pStyle w:val="TableText0"/>
              <w:jc w:val="center"/>
            </w:pPr>
            <w:r>
              <w:rPr>
                <w:lang w:eastAsia="en-US"/>
              </w:rPr>
              <w:t>2.5 (1.8, NR)</w:t>
            </w:r>
          </w:p>
        </w:tc>
        <w:tc>
          <w:tcPr>
            <w:tcW w:w="1134" w:type="dxa"/>
            <w:vAlign w:val="center"/>
          </w:tcPr>
          <w:p w14:paraId="5B93EA30" w14:textId="77777777" w:rsidR="00F45E7D" w:rsidRDefault="0087463C">
            <w:pPr>
              <w:pStyle w:val="TableText0"/>
              <w:jc w:val="center"/>
            </w:pPr>
            <w:r>
              <w:rPr>
                <w:lang w:eastAsia="en-US"/>
              </w:rPr>
              <w:t>2.6 (2.4, 2.9)</w:t>
            </w:r>
          </w:p>
        </w:tc>
      </w:tr>
      <w:tr w:rsidR="00F45E7D" w14:paraId="6EFDD2A4" w14:textId="77777777">
        <w:tc>
          <w:tcPr>
            <w:tcW w:w="1521" w:type="dxa"/>
          </w:tcPr>
          <w:p w14:paraId="20331CEF" w14:textId="77777777" w:rsidR="00F45E7D" w:rsidRDefault="0087463C">
            <w:pPr>
              <w:pStyle w:val="TableText0"/>
            </w:pPr>
            <w:r>
              <w:rPr>
                <w:lang w:eastAsia="en-US"/>
              </w:rPr>
              <w:t>12-month PFS</w:t>
            </w:r>
          </w:p>
        </w:tc>
        <w:tc>
          <w:tcPr>
            <w:tcW w:w="1309" w:type="dxa"/>
            <w:vAlign w:val="center"/>
          </w:tcPr>
          <w:p w14:paraId="63E9D0BE" w14:textId="77777777" w:rsidR="00F45E7D" w:rsidRDefault="0087463C">
            <w:pPr>
              <w:pStyle w:val="TableText0"/>
              <w:jc w:val="center"/>
            </w:pPr>
            <w:r>
              <w:rPr>
                <w:lang w:eastAsia="en-US"/>
              </w:rPr>
              <w:t>24%</w:t>
            </w:r>
          </w:p>
        </w:tc>
        <w:tc>
          <w:tcPr>
            <w:tcW w:w="1255" w:type="dxa"/>
            <w:shd w:val="clear" w:color="auto" w:fill="D9D9D9" w:themeFill="background1" w:themeFillShade="D9"/>
            <w:vAlign w:val="center"/>
          </w:tcPr>
          <w:p w14:paraId="1BF9F3A6" w14:textId="77777777" w:rsidR="00F45E7D" w:rsidRDefault="0087463C">
            <w:pPr>
              <w:pStyle w:val="TableText0"/>
              <w:jc w:val="center"/>
            </w:pPr>
            <w:r>
              <w:rPr>
                <w:lang w:eastAsia="en-US"/>
              </w:rPr>
              <w:t>47%</w:t>
            </w:r>
          </w:p>
        </w:tc>
        <w:tc>
          <w:tcPr>
            <w:tcW w:w="1260" w:type="dxa"/>
            <w:vAlign w:val="center"/>
          </w:tcPr>
          <w:p w14:paraId="5F04ECFD" w14:textId="77777777" w:rsidR="00F45E7D" w:rsidRDefault="0087463C">
            <w:pPr>
              <w:pStyle w:val="TableText0"/>
              <w:jc w:val="center"/>
            </w:pPr>
            <w:r>
              <w:rPr>
                <w:lang w:eastAsia="en-US"/>
              </w:rPr>
              <w:t>22%</w:t>
            </w:r>
          </w:p>
        </w:tc>
        <w:tc>
          <w:tcPr>
            <w:tcW w:w="1112" w:type="dxa"/>
            <w:gridSpan w:val="2"/>
            <w:vAlign w:val="center"/>
          </w:tcPr>
          <w:p w14:paraId="5B047CE7" w14:textId="77777777" w:rsidR="00F45E7D" w:rsidRDefault="0087463C">
            <w:pPr>
              <w:pStyle w:val="TableText0"/>
              <w:jc w:val="center"/>
            </w:pPr>
            <w:r>
              <w:rPr>
                <w:lang w:eastAsia="en-US"/>
              </w:rPr>
              <w:t>12%</w:t>
            </w:r>
          </w:p>
        </w:tc>
        <w:tc>
          <w:tcPr>
            <w:tcW w:w="1193" w:type="dxa"/>
            <w:shd w:val="clear" w:color="auto" w:fill="D9D9D9" w:themeFill="background1" w:themeFillShade="D9"/>
            <w:vAlign w:val="center"/>
          </w:tcPr>
          <w:p w14:paraId="56387F56" w14:textId="77777777" w:rsidR="00F45E7D" w:rsidRDefault="0087463C">
            <w:pPr>
              <w:pStyle w:val="TableText0"/>
              <w:jc w:val="center"/>
            </w:pPr>
            <w:r>
              <w:rPr>
                <w:lang w:eastAsia="en-US"/>
              </w:rPr>
              <w:t>25%</w:t>
            </w:r>
          </w:p>
        </w:tc>
        <w:tc>
          <w:tcPr>
            <w:tcW w:w="1134" w:type="dxa"/>
            <w:vAlign w:val="center"/>
          </w:tcPr>
          <w:p w14:paraId="5079E2C7" w14:textId="77777777" w:rsidR="00F45E7D" w:rsidRDefault="0087463C">
            <w:pPr>
              <w:pStyle w:val="TableText0"/>
              <w:jc w:val="center"/>
            </w:pPr>
            <w:r>
              <w:rPr>
                <w:lang w:eastAsia="en-US"/>
              </w:rPr>
              <w:t>13%</w:t>
            </w:r>
          </w:p>
        </w:tc>
      </w:tr>
      <w:tr w:rsidR="00F45E7D" w14:paraId="3A51B833" w14:textId="77777777">
        <w:tc>
          <w:tcPr>
            <w:tcW w:w="1521" w:type="dxa"/>
          </w:tcPr>
          <w:p w14:paraId="1A86E26E" w14:textId="77777777" w:rsidR="00F45E7D" w:rsidRDefault="0087463C">
            <w:pPr>
              <w:pStyle w:val="TableText0"/>
            </w:pPr>
            <w:r>
              <w:t xml:space="preserve">Median OS, months </w:t>
            </w:r>
            <w:r>
              <w:rPr>
                <w:lang w:eastAsia="en-US"/>
              </w:rPr>
              <w:t>(95% CI)</w:t>
            </w:r>
          </w:p>
        </w:tc>
        <w:tc>
          <w:tcPr>
            <w:tcW w:w="1309" w:type="dxa"/>
            <w:vAlign w:val="center"/>
          </w:tcPr>
          <w:p w14:paraId="43A94B63" w14:textId="77777777" w:rsidR="00F45E7D" w:rsidRDefault="0087463C">
            <w:pPr>
              <w:pStyle w:val="TableText0"/>
              <w:jc w:val="center"/>
            </w:pPr>
            <w:r>
              <w:rPr>
                <w:lang w:eastAsia="en-US"/>
              </w:rPr>
              <w:t>20.4 (12.7, 34.8)</w:t>
            </w:r>
          </w:p>
        </w:tc>
        <w:tc>
          <w:tcPr>
            <w:tcW w:w="1255" w:type="dxa"/>
            <w:shd w:val="clear" w:color="auto" w:fill="D9D9D9" w:themeFill="background1" w:themeFillShade="D9"/>
            <w:vAlign w:val="center"/>
          </w:tcPr>
          <w:p w14:paraId="50BDDBFF" w14:textId="77777777" w:rsidR="00F45E7D" w:rsidRDefault="0087463C">
            <w:pPr>
              <w:pStyle w:val="TableText0"/>
              <w:jc w:val="center"/>
            </w:pPr>
            <w:r>
              <w:rPr>
                <w:lang w:eastAsia="en-US"/>
              </w:rPr>
              <w:t>NR</w:t>
            </w:r>
          </w:p>
        </w:tc>
        <w:tc>
          <w:tcPr>
            <w:tcW w:w="1260" w:type="dxa"/>
            <w:vAlign w:val="center"/>
          </w:tcPr>
          <w:p w14:paraId="1EADA6F9" w14:textId="77777777" w:rsidR="00F45E7D" w:rsidRDefault="0087463C">
            <w:pPr>
              <w:pStyle w:val="TableText0"/>
              <w:jc w:val="center"/>
            </w:pPr>
            <w:r>
              <w:rPr>
                <w:lang w:eastAsia="en-US"/>
              </w:rPr>
              <w:t>16.7 (10.7, 32.8)</w:t>
            </w:r>
          </w:p>
        </w:tc>
        <w:tc>
          <w:tcPr>
            <w:tcW w:w="1112" w:type="dxa"/>
            <w:gridSpan w:val="2"/>
            <w:vAlign w:val="center"/>
          </w:tcPr>
          <w:p w14:paraId="06EB5010" w14:textId="77777777" w:rsidR="00F45E7D" w:rsidRDefault="0087463C">
            <w:pPr>
              <w:pStyle w:val="TableText0"/>
              <w:jc w:val="center"/>
            </w:pPr>
            <w:r>
              <w:rPr>
                <w:lang w:eastAsia="en-US"/>
              </w:rPr>
              <w:t>8.8 (6.1, 11.3)</w:t>
            </w:r>
          </w:p>
        </w:tc>
        <w:tc>
          <w:tcPr>
            <w:tcW w:w="1193" w:type="dxa"/>
            <w:shd w:val="clear" w:color="auto" w:fill="D9D9D9" w:themeFill="background1" w:themeFillShade="D9"/>
            <w:vAlign w:val="center"/>
          </w:tcPr>
          <w:p w14:paraId="0C6B32BC" w14:textId="77777777" w:rsidR="00F45E7D" w:rsidRDefault="0087463C">
            <w:pPr>
              <w:pStyle w:val="TableText0"/>
              <w:jc w:val="center"/>
            </w:pPr>
            <w:r>
              <w:rPr>
                <w:lang w:eastAsia="en-US"/>
              </w:rPr>
              <w:t>11.2 (9.2, NR)</w:t>
            </w:r>
          </w:p>
        </w:tc>
        <w:tc>
          <w:tcPr>
            <w:tcW w:w="1134" w:type="dxa"/>
            <w:vAlign w:val="center"/>
          </w:tcPr>
          <w:p w14:paraId="0785FD43" w14:textId="77777777" w:rsidR="00F45E7D" w:rsidRDefault="0087463C">
            <w:pPr>
              <w:pStyle w:val="TableText0"/>
              <w:jc w:val="center"/>
            </w:pPr>
            <w:r>
              <w:rPr>
                <w:lang w:eastAsia="en-US"/>
              </w:rPr>
              <w:t>8.5 (5.6-10.6)</w:t>
            </w:r>
          </w:p>
        </w:tc>
      </w:tr>
      <w:tr w:rsidR="00F45E7D" w14:paraId="18AAF3E9" w14:textId="77777777">
        <w:tc>
          <w:tcPr>
            <w:tcW w:w="1521" w:type="dxa"/>
          </w:tcPr>
          <w:p w14:paraId="6C145397" w14:textId="77777777" w:rsidR="00F45E7D" w:rsidRDefault="0087463C">
            <w:pPr>
              <w:pStyle w:val="TableText0"/>
            </w:pPr>
            <w:r>
              <w:rPr>
                <w:lang w:eastAsia="en-US"/>
              </w:rPr>
              <w:t>12-month OS</w:t>
            </w:r>
          </w:p>
        </w:tc>
        <w:tc>
          <w:tcPr>
            <w:tcW w:w="1309" w:type="dxa"/>
          </w:tcPr>
          <w:p w14:paraId="62D7CA9B" w14:textId="77777777" w:rsidR="00F45E7D" w:rsidRDefault="0087463C">
            <w:pPr>
              <w:pStyle w:val="TableText0"/>
              <w:jc w:val="center"/>
            </w:pPr>
            <w:r>
              <w:rPr>
                <w:lang w:eastAsia="en-US"/>
              </w:rPr>
              <w:t>58%</w:t>
            </w:r>
          </w:p>
        </w:tc>
        <w:tc>
          <w:tcPr>
            <w:tcW w:w="1255" w:type="dxa"/>
            <w:shd w:val="clear" w:color="auto" w:fill="D9D9D9" w:themeFill="background1" w:themeFillShade="D9"/>
          </w:tcPr>
          <w:p w14:paraId="0B8474CD" w14:textId="77777777" w:rsidR="00F45E7D" w:rsidRDefault="0087463C">
            <w:pPr>
              <w:pStyle w:val="TableText0"/>
              <w:jc w:val="center"/>
            </w:pPr>
            <w:r>
              <w:rPr>
                <w:lang w:eastAsia="en-US"/>
              </w:rPr>
              <w:t>75%</w:t>
            </w:r>
          </w:p>
        </w:tc>
        <w:tc>
          <w:tcPr>
            <w:tcW w:w="1260" w:type="dxa"/>
          </w:tcPr>
          <w:p w14:paraId="7381A3CD" w14:textId="77777777" w:rsidR="00F45E7D" w:rsidRDefault="0087463C">
            <w:pPr>
              <w:pStyle w:val="TableText0"/>
              <w:jc w:val="center"/>
            </w:pPr>
            <w:r>
              <w:rPr>
                <w:lang w:eastAsia="en-US"/>
              </w:rPr>
              <w:t>55%</w:t>
            </w:r>
          </w:p>
        </w:tc>
        <w:tc>
          <w:tcPr>
            <w:tcW w:w="1112" w:type="dxa"/>
            <w:gridSpan w:val="2"/>
          </w:tcPr>
          <w:p w14:paraId="4F75ECAD" w14:textId="77777777" w:rsidR="00F45E7D" w:rsidRDefault="0087463C">
            <w:pPr>
              <w:pStyle w:val="TableText0"/>
              <w:jc w:val="center"/>
            </w:pPr>
            <w:r>
              <w:rPr>
                <w:lang w:eastAsia="en-US"/>
              </w:rPr>
              <w:t>38%</w:t>
            </w:r>
          </w:p>
        </w:tc>
        <w:tc>
          <w:tcPr>
            <w:tcW w:w="1193" w:type="dxa"/>
            <w:shd w:val="clear" w:color="auto" w:fill="D9D9D9" w:themeFill="background1" w:themeFillShade="D9"/>
          </w:tcPr>
          <w:p w14:paraId="7A0596C4" w14:textId="77777777" w:rsidR="00F45E7D" w:rsidRDefault="0087463C">
            <w:pPr>
              <w:pStyle w:val="TableText0"/>
              <w:jc w:val="center"/>
            </w:pPr>
            <w:r>
              <w:rPr>
                <w:lang w:eastAsia="en-US"/>
              </w:rPr>
              <w:t>38%</w:t>
            </w:r>
          </w:p>
        </w:tc>
        <w:tc>
          <w:tcPr>
            <w:tcW w:w="1134" w:type="dxa"/>
          </w:tcPr>
          <w:p w14:paraId="4375C8F3" w14:textId="77777777" w:rsidR="00F45E7D" w:rsidRDefault="0087463C">
            <w:pPr>
              <w:pStyle w:val="TableText0"/>
              <w:jc w:val="center"/>
            </w:pPr>
            <w:r>
              <w:rPr>
                <w:lang w:eastAsia="en-US"/>
              </w:rPr>
              <w:t>38%</w:t>
            </w:r>
          </w:p>
        </w:tc>
      </w:tr>
    </w:tbl>
    <w:bookmarkEnd w:id="42"/>
    <w:p w14:paraId="715BFF1E" w14:textId="77777777" w:rsidR="00F45E7D" w:rsidRDefault="0087463C">
      <w:pPr>
        <w:pStyle w:val="TableFigureFooter"/>
      </w:pPr>
      <w:r>
        <w:t>Source: Table 30, p70 of the submission.</w:t>
      </w:r>
    </w:p>
    <w:p w14:paraId="71571B0E" w14:textId="77777777" w:rsidR="00F45E7D" w:rsidRDefault="0087463C">
      <w:pPr>
        <w:pStyle w:val="TableFigureFooter"/>
        <w:rPr>
          <w:bCs/>
          <w:snapToGrid/>
        </w:rPr>
      </w:pPr>
      <w:r>
        <w:t>CI = confidence interval; IPI = ipilimumab; NR = not reported; ORR = objective response rate; OS = overall survival; PFS = progression-free survival; PD-1 = programmed death-1.</w:t>
      </w:r>
    </w:p>
    <w:p w14:paraId="35B5DD5A" w14:textId="77777777" w:rsidR="00F45E7D" w:rsidRDefault="0087463C">
      <w:pPr>
        <w:pStyle w:val="3-BodyText"/>
        <w:ind w:left="709"/>
      </w:pPr>
      <w:r>
        <w:t>Results for the whole study population of da Silva et al (2021) (N=355) demonstrated that:</w:t>
      </w:r>
    </w:p>
    <w:p w14:paraId="1CF98383" w14:textId="77777777" w:rsidR="00F45E7D" w:rsidRDefault="0087463C">
      <w:pPr>
        <w:pStyle w:val="3-BodyText"/>
        <w:numPr>
          <w:ilvl w:val="0"/>
          <w:numId w:val="9"/>
        </w:numPr>
      </w:pPr>
      <w:r>
        <w:t>overall survival (OS) was statistically significantly longer in the IPI + PD-1 inhibitor group (median 20.4 months; 95% CI: 12.7, 34.8) than in the IPI monotherapy group (median 8.8 months; 95% CI: 6.1, 11.3), with a hazard ratio (HR) of 0.50 (95% CI: 0.38, 0.66);</w:t>
      </w:r>
    </w:p>
    <w:p w14:paraId="2B370CD0" w14:textId="77777777" w:rsidR="00F45E7D" w:rsidRDefault="0087463C">
      <w:pPr>
        <w:pStyle w:val="3-BodyText"/>
        <w:numPr>
          <w:ilvl w:val="0"/>
          <w:numId w:val="9"/>
        </w:numPr>
      </w:pPr>
      <w:r>
        <w:t>progression-free survival (PFS) was statistically significantly longer in the IPI + PD-1 inhibitor group (median 3.0 months; 95% CI: 2.6, 3.6) than in the IPI group (median 2.6 months; 95% CI: 2.4, 2.9). The HR was 0.69 (95% CI: 0.55, 0.87); and</w:t>
      </w:r>
    </w:p>
    <w:p w14:paraId="79F34154" w14:textId="77777777" w:rsidR="00F45E7D" w:rsidRDefault="0087463C">
      <w:pPr>
        <w:pStyle w:val="3-BodyText"/>
        <w:numPr>
          <w:ilvl w:val="0"/>
          <w:numId w:val="9"/>
        </w:numPr>
      </w:pPr>
      <w:r>
        <w:t>the objective response rate (ORR) was higher with IPI + PD-1 inhibitor (31%) than with IPI monotherapy (13%).</w:t>
      </w:r>
    </w:p>
    <w:p w14:paraId="041E3572" w14:textId="77777777" w:rsidR="00F45E7D" w:rsidRDefault="0087463C">
      <w:pPr>
        <w:pStyle w:val="3-BodyText"/>
        <w:ind w:left="709"/>
      </w:pPr>
      <w:bookmarkStart w:id="43" w:name="_Hlk112190507"/>
      <w:r>
        <w:t>The key observations highlighted in the submission for the relevant subgroup from da Silva (i.e., those who received adjuvant PD-1 inhibitor and developed resistance, N = 44) were:</w:t>
      </w:r>
    </w:p>
    <w:bookmarkEnd w:id="43"/>
    <w:p w14:paraId="15F508B2" w14:textId="77777777" w:rsidR="00F45E7D" w:rsidRDefault="0087463C">
      <w:pPr>
        <w:pStyle w:val="3-BodyText"/>
        <w:numPr>
          <w:ilvl w:val="0"/>
          <w:numId w:val="9"/>
        </w:numPr>
      </w:pPr>
      <w:r>
        <w:t>the treatment response (ORR) and the proportion of patients both progression-free (12 months PFS) and alive at 12 months (12 months OS) were greater in the IPI + PD-1 inhibitor subgroup, compared to the IPI monotherapy group (ORR: IPI + PD-1 inhibitor 36% versus IPI 13%; 12-month PFS: IPI + PD-1 inhibitor 47% versus IPI 25%; and 12-month OS: IPI + PD-1 inhibitor subgroup 75% versus IPI 38%);</w:t>
      </w:r>
    </w:p>
    <w:p w14:paraId="745B4391" w14:textId="77777777" w:rsidR="00F45E7D" w:rsidRDefault="0087463C">
      <w:pPr>
        <w:pStyle w:val="3-BodyText"/>
        <w:numPr>
          <w:ilvl w:val="0"/>
          <w:numId w:val="9"/>
        </w:numPr>
      </w:pPr>
      <w:r>
        <w:rPr>
          <w:iCs/>
        </w:rPr>
        <w:t>the data were immature</w:t>
      </w:r>
      <w:r>
        <w:t xml:space="preserve"> as median OS for the IPI + PD-1 inhibitor subgroup was not reached. The median OS for the relevant IPI arm was 11.2 months (95% CI: 9.2, NR); and</w:t>
      </w:r>
    </w:p>
    <w:p w14:paraId="6C3C06A3" w14:textId="77777777" w:rsidR="00F45E7D" w:rsidRDefault="0087463C">
      <w:pPr>
        <w:pStyle w:val="3-BodyText"/>
        <w:numPr>
          <w:ilvl w:val="0"/>
          <w:numId w:val="9"/>
        </w:numPr>
        <w:rPr>
          <w:iCs/>
        </w:rPr>
      </w:pPr>
      <w:r>
        <w:rPr>
          <w:iCs/>
        </w:rPr>
        <w:lastRenderedPageBreak/>
        <w:t>the subgroup analysis was underpowered as the study was not designed to detect the differences in clinical efficacy between IPI + PD-1 inhibitor versus IPI monotherapy in the target group. Patient numbers in both arms of the subgroup were small (36 in IPI + PD-1 inhibitor arm versus 8 in IPI arm) meaning the reported results were highly uncertain.</w:t>
      </w:r>
    </w:p>
    <w:p w14:paraId="55D789E2" w14:textId="77777777" w:rsidR="00F45E7D" w:rsidRDefault="0087463C">
      <w:pPr>
        <w:pStyle w:val="3-BodyText"/>
        <w:ind w:left="709"/>
      </w:pPr>
      <w:r>
        <w:t>Results from Owen et al (2020) demonstrated that:</w:t>
      </w:r>
    </w:p>
    <w:p w14:paraId="48D187E1" w14:textId="77777777" w:rsidR="00F45E7D" w:rsidRDefault="0087463C">
      <w:pPr>
        <w:pStyle w:val="3-BodyText"/>
        <w:numPr>
          <w:ilvl w:val="0"/>
          <w:numId w:val="9"/>
        </w:numPr>
        <w:ind w:left="1134" w:hanging="425"/>
      </w:pPr>
      <w:r>
        <w:t xml:space="preserve">PFS was shorter in the IPI </w:t>
      </w:r>
      <w:r>
        <w:rPr>
          <w:rFonts w:cstheme="minorHAnsi"/>
        </w:rPr>
        <w:t>±</w:t>
      </w:r>
      <w:r>
        <w:t xml:space="preserve"> PD-1 inhibitor group (median 3.9 months; 95% CI: 2.7, 7.8) than in the BRAFi group (median 10.7 months; 95% CI: 7.1, NR);</w:t>
      </w:r>
    </w:p>
    <w:p w14:paraId="2956A858" w14:textId="77777777" w:rsidR="00F45E7D" w:rsidRDefault="0087463C">
      <w:pPr>
        <w:pStyle w:val="3-BodyText"/>
        <w:numPr>
          <w:ilvl w:val="0"/>
          <w:numId w:val="9"/>
        </w:numPr>
        <w:ind w:left="1134" w:hanging="425"/>
      </w:pPr>
      <w:r>
        <w:t xml:space="preserve">OS was longer in the IPI </w:t>
      </w:r>
      <w:r>
        <w:rPr>
          <w:rFonts w:cstheme="minorHAnsi"/>
        </w:rPr>
        <w:t>±</w:t>
      </w:r>
      <w:r>
        <w:t xml:space="preserve"> PD-1 inhibitor group (median 21.3 months; 95% CI: 17.6, NR) than in the BRAFi group (median 12.3 months; 95% CI: 8.7, NR). The submission noted the contradicting trend between PFS and OS between IPI </w:t>
      </w:r>
      <w:r>
        <w:rPr>
          <w:rFonts w:cstheme="minorHAnsi"/>
        </w:rPr>
        <w:t>±</w:t>
      </w:r>
      <w:r>
        <w:t xml:space="preserve"> PD-1 inhibitor vs BRAFi, and that the positive PFS in the BRAFi treatment tended to not translate into OS; and</w:t>
      </w:r>
    </w:p>
    <w:p w14:paraId="7C84F721" w14:textId="77777777" w:rsidR="00F45E7D" w:rsidRDefault="0087463C">
      <w:pPr>
        <w:pStyle w:val="3-BodyText"/>
        <w:numPr>
          <w:ilvl w:val="0"/>
          <w:numId w:val="9"/>
        </w:numPr>
        <w:ind w:left="1134" w:hanging="425"/>
      </w:pPr>
      <w:r>
        <w:t xml:space="preserve">ORR was lower with IPI </w:t>
      </w:r>
      <w:r>
        <w:rPr>
          <w:rFonts w:cstheme="minorHAnsi"/>
        </w:rPr>
        <w:t>±</w:t>
      </w:r>
      <w:r>
        <w:t xml:space="preserve"> PD-1 inhibitor (23%) than with BRAFi monotherapy (61%).</w:t>
      </w:r>
    </w:p>
    <w:p w14:paraId="1409B1EA" w14:textId="0EF94811" w:rsidR="00F45E7D" w:rsidRDefault="0087463C">
      <w:pPr>
        <w:pStyle w:val="3-BodyText"/>
        <w:ind w:left="709"/>
      </w:pPr>
      <w:r>
        <w:t xml:space="preserve">The submission also presented an unanchored, side-by-side comparison of efficacy outcomes for adjuvant pre-treated patients who received NIVO + IPI retreatment from da Silva et al (2021) and the patient access program, the OMCP (see </w:t>
      </w:r>
      <w:r>
        <w:fldChar w:fldCharType="begin"/>
      </w:r>
      <w:r>
        <w:instrText xml:space="preserve"> REF _Ref112280545 \h </w:instrText>
      </w:r>
      <w:r>
        <w:fldChar w:fldCharType="separate"/>
      </w:r>
      <w:r w:rsidR="00D8701A">
        <w:t xml:space="preserve">Table </w:t>
      </w:r>
      <w:r w:rsidR="00D8701A">
        <w:rPr>
          <w:noProof/>
        </w:rPr>
        <w:t>8</w:t>
      </w:r>
      <w:r>
        <w:fldChar w:fldCharType="end"/>
      </w:r>
      <w:r>
        <w:t>).</w:t>
      </w:r>
    </w:p>
    <w:p w14:paraId="52FB1A79" w14:textId="6AD4D519" w:rsidR="00F45E7D" w:rsidRDefault="0087463C">
      <w:pPr>
        <w:pStyle w:val="3-BodyText"/>
        <w:ind w:left="709" w:hanging="709"/>
        <w:rPr>
          <w:iCs/>
        </w:rPr>
      </w:pPr>
      <w:r>
        <w:t xml:space="preserve">The submission highlighted the differences in characteristics between OMCP patients and those in da Silva et al (2021) - see </w:t>
      </w:r>
      <w:r>
        <w:fldChar w:fldCharType="begin"/>
      </w:r>
      <w:r>
        <w:instrText xml:space="preserve"> REF _Ref106301201 \h  \* MERGEFORMAT </w:instrText>
      </w:r>
      <w:r>
        <w:fldChar w:fldCharType="separate"/>
      </w:r>
      <w:r w:rsidR="00D8701A" w:rsidRPr="00D8701A">
        <w:t>Table 7</w:t>
      </w:r>
      <w:r>
        <w:fldChar w:fldCharType="end"/>
      </w:r>
      <w:r>
        <w:t xml:space="preserve">. </w:t>
      </w:r>
      <w:r>
        <w:rPr>
          <w:iCs/>
        </w:rPr>
        <w:t>The patient characteristics of the relevant subgroups from da Silva et al (2021) were not compared with the OMCP patients.</w:t>
      </w:r>
    </w:p>
    <w:p w14:paraId="06338434" w14:textId="5B56DE4E" w:rsidR="00F45E7D" w:rsidRDefault="0087463C">
      <w:pPr>
        <w:pStyle w:val="TableFigureHeading"/>
      </w:pPr>
      <w:bookmarkStart w:id="44" w:name="_Ref106301201"/>
      <w:bookmarkStart w:id="45" w:name="_Toc107845775"/>
      <w:r>
        <w:rPr>
          <w:snapToGrid w:val="0"/>
        </w:rPr>
        <w:lastRenderedPageBreak/>
        <w:t xml:space="preserve">Table </w:t>
      </w:r>
      <w:r>
        <w:rPr>
          <w:snapToGrid w:val="0"/>
        </w:rPr>
        <w:fldChar w:fldCharType="begin"/>
      </w:r>
      <w:r>
        <w:rPr>
          <w:snapToGrid w:val="0"/>
        </w:rPr>
        <w:instrText xml:space="preserve"> SEQ Table \* ARABIC </w:instrText>
      </w:r>
      <w:r>
        <w:rPr>
          <w:snapToGrid w:val="0"/>
        </w:rPr>
        <w:fldChar w:fldCharType="separate"/>
      </w:r>
      <w:r w:rsidR="00D8701A">
        <w:rPr>
          <w:noProof/>
          <w:snapToGrid w:val="0"/>
        </w:rPr>
        <w:t>7</w:t>
      </w:r>
      <w:r>
        <w:rPr>
          <w:snapToGrid w:val="0"/>
        </w:rPr>
        <w:fldChar w:fldCharType="end"/>
      </w:r>
      <w:bookmarkEnd w:id="44"/>
      <w:r>
        <w:rPr>
          <w:snapToGrid w:val="0"/>
        </w:rPr>
        <w:t xml:space="preserve">: Differences in patient characteristics between the da Silva study and </w:t>
      </w:r>
      <w:r>
        <w:t xml:space="preserve">the OMCP </w:t>
      </w:r>
      <w:bookmarkEnd w:id="45"/>
      <w:r>
        <w:t>patients</w:t>
      </w:r>
    </w:p>
    <w:tbl>
      <w:tblPr>
        <w:tblStyle w:val="TableGrid"/>
        <w:tblW w:w="8784" w:type="dxa"/>
        <w:tblLook w:val="04A0" w:firstRow="1" w:lastRow="0" w:firstColumn="1" w:lastColumn="0" w:noHBand="0" w:noVBand="1"/>
      </w:tblPr>
      <w:tblGrid>
        <w:gridCol w:w="1555"/>
        <w:gridCol w:w="1984"/>
        <w:gridCol w:w="1559"/>
        <w:gridCol w:w="3686"/>
      </w:tblGrid>
      <w:tr w:rsidR="00F45E7D" w14:paraId="70F50A2B" w14:textId="77777777">
        <w:tc>
          <w:tcPr>
            <w:tcW w:w="1555" w:type="dxa"/>
            <w:shd w:val="clear" w:color="auto" w:fill="auto"/>
            <w:tcMar>
              <w:left w:w="28" w:type="dxa"/>
              <w:right w:w="28" w:type="dxa"/>
            </w:tcMar>
          </w:tcPr>
          <w:p w14:paraId="0163761E" w14:textId="77777777" w:rsidR="00F45E7D" w:rsidRDefault="0087463C">
            <w:pPr>
              <w:pStyle w:val="TableText0"/>
              <w:rPr>
                <w:b/>
                <w:bCs w:val="0"/>
              </w:rPr>
            </w:pPr>
            <w:r>
              <w:rPr>
                <w:b/>
                <w:bCs w:val="0"/>
              </w:rPr>
              <w:t>Patient characteristic</w:t>
            </w:r>
          </w:p>
        </w:tc>
        <w:tc>
          <w:tcPr>
            <w:tcW w:w="1984" w:type="dxa"/>
            <w:shd w:val="clear" w:color="auto" w:fill="auto"/>
            <w:tcMar>
              <w:left w:w="28" w:type="dxa"/>
              <w:right w:w="28" w:type="dxa"/>
            </w:tcMar>
          </w:tcPr>
          <w:p w14:paraId="5FB70B5A" w14:textId="77777777" w:rsidR="00F45E7D" w:rsidRDefault="0087463C">
            <w:pPr>
              <w:pStyle w:val="TableText0"/>
              <w:jc w:val="center"/>
              <w:rPr>
                <w:b/>
                <w:bCs w:val="0"/>
              </w:rPr>
            </w:pPr>
            <w:r>
              <w:rPr>
                <w:b/>
                <w:bCs w:val="0"/>
              </w:rPr>
              <w:t>da Silva et al (2021)</w:t>
            </w:r>
          </w:p>
          <w:p w14:paraId="0C3B6D37" w14:textId="77777777" w:rsidR="00F45E7D" w:rsidRDefault="0087463C">
            <w:pPr>
              <w:pStyle w:val="TableText0"/>
              <w:jc w:val="center"/>
              <w:rPr>
                <w:b/>
                <w:bCs w:val="0"/>
              </w:rPr>
            </w:pPr>
            <w:r>
              <w:rPr>
                <w:b/>
                <w:bCs w:val="0"/>
              </w:rPr>
              <w:t>(N = 355)</w:t>
            </w:r>
          </w:p>
        </w:tc>
        <w:tc>
          <w:tcPr>
            <w:tcW w:w="1559" w:type="dxa"/>
            <w:shd w:val="clear" w:color="auto" w:fill="auto"/>
            <w:tcMar>
              <w:left w:w="28" w:type="dxa"/>
              <w:right w:w="28" w:type="dxa"/>
            </w:tcMar>
          </w:tcPr>
          <w:p w14:paraId="5ED99D09" w14:textId="77777777" w:rsidR="00F45E7D" w:rsidRDefault="0087463C">
            <w:pPr>
              <w:pStyle w:val="TableText0"/>
              <w:jc w:val="center"/>
              <w:rPr>
                <w:b/>
                <w:bCs w:val="0"/>
              </w:rPr>
            </w:pPr>
            <w:r>
              <w:rPr>
                <w:b/>
                <w:bCs w:val="0"/>
              </w:rPr>
              <w:t>OMCP</w:t>
            </w:r>
          </w:p>
          <w:p w14:paraId="5D6A5C1A" w14:textId="77777777" w:rsidR="00F45E7D" w:rsidRDefault="0087463C">
            <w:pPr>
              <w:pStyle w:val="TableText0"/>
              <w:jc w:val="center"/>
              <w:rPr>
                <w:b/>
                <w:bCs w:val="0"/>
              </w:rPr>
            </w:pPr>
            <w:r>
              <w:rPr>
                <w:b/>
                <w:bCs w:val="0"/>
              </w:rPr>
              <w:t>(n = 148)</w:t>
            </w:r>
          </w:p>
        </w:tc>
        <w:tc>
          <w:tcPr>
            <w:tcW w:w="3686" w:type="dxa"/>
            <w:shd w:val="clear" w:color="auto" w:fill="auto"/>
            <w:tcMar>
              <w:left w:w="28" w:type="dxa"/>
              <w:right w:w="28" w:type="dxa"/>
            </w:tcMar>
          </w:tcPr>
          <w:p w14:paraId="545C389F" w14:textId="77777777" w:rsidR="00F45E7D" w:rsidRDefault="0087463C">
            <w:pPr>
              <w:pStyle w:val="TableText0"/>
              <w:rPr>
                <w:b/>
                <w:bCs w:val="0"/>
              </w:rPr>
            </w:pPr>
            <w:r>
              <w:rPr>
                <w:b/>
                <w:bCs w:val="0"/>
              </w:rPr>
              <w:t>Discussion</w:t>
            </w:r>
          </w:p>
        </w:tc>
      </w:tr>
      <w:tr w:rsidR="00F45E7D" w14:paraId="43E25513" w14:textId="77777777">
        <w:trPr>
          <w:trHeight w:val="462"/>
        </w:trPr>
        <w:tc>
          <w:tcPr>
            <w:tcW w:w="1555" w:type="dxa"/>
            <w:shd w:val="clear" w:color="auto" w:fill="auto"/>
            <w:tcMar>
              <w:left w:w="28" w:type="dxa"/>
              <w:right w:w="28" w:type="dxa"/>
            </w:tcMar>
          </w:tcPr>
          <w:p w14:paraId="03940EBB" w14:textId="77777777" w:rsidR="00F45E7D" w:rsidRDefault="0087463C">
            <w:pPr>
              <w:pStyle w:val="TableText0"/>
            </w:pPr>
            <w:r>
              <w:t>Median age</w:t>
            </w:r>
          </w:p>
        </w:tc>
        <w:tc>
          <w:tcPr>
            <w:tcW w:w="1984" w:type="dxa"/>
            <w:shd w:val="clear" w:color="auto" w:fill="auto"/>
            <w:tcMar>
              <w:left w:w="28" w:type="dxa"/>
              <w:right w:w="28" w:type="dxa"/>
            </w:tcMar>
          </w:tcPr>
          <w:p w14:paraId="6205E031" w14:textId="77777777" w:rsidR="00F45E7D" w:rsidRDefault="0087463C">
            <w:pPr>
              <w:pStyle w:val="TableText0"/>
              <w:jc w:val="center"/>
            </w:pPr>
            <w:r>
              <w:t>IPI + PD-1 inhibitor arm: 61 years</w:t>
            </w:r>
          </w:p>
          <w:p w14:paraId="1676A3DA" w14:textId="77777777" w:rsidR="00F45E7D" w:rsidRDefault="0087463C">
            <w:pPr>
              <w:pStyle w:val="TableText0"/>
              <w:jc w:val="center"/>
            </w:pPr>
            <w:r>
              <w:t>IPI arm: 67 years</w:t>
            </w:r>
          </w:p>
        </w:tc>
        <w:tc>
          <w:tcPr>
            <w:tcW w:w="1559" w:type="dxa"/>
            <w:shd w:val="clear" w:color="auto" w:fill="auto"/>
            <w:tcMar>
              <w:left w:w="28" w:type="dxa"/>
              <w:right w:w="28" w:type="dxa"/>
            </w:tcMar>
          </w:tcPr>
          <w:p w14:paraId="607892D2" w14:textId="77777777" w:rsidR="00F45E7D" w:rsidRDefault="0087463C">
            <w:pPr>
              <w:pStyle w:val="TableText0"/>
              <w:jc w:val="center"/>
            </w:pPr>
            <w:r>
              <w:t>67 years</w:t>
            </w:r>
          </w:p>
        </w:tc>
        <w:tc>
          <w:tcPr>
            <w:tcW w:w="3686" w:type="dxa"/>
            <w:shd w:val="clear" w:color="auto" w:fill="auto"/>
            <w:tcMar>
              <w:left w:w="28" w:type="dxa"/>
              <w:right w:w="28" w:type="dxa"/>
            </w:tcMar>
          </w:tcPr>
          <w:p w14:paraId="0CA57E13" w14:textId="77777777" w:rsidR="00F45E7D" w:rsidRDefault="0087463C">
            <w:pPr>
              <w:pStyle w:val="TableText0"/>
            </w:pPr>
            <w:r>
              <w:t>A typical Australian patient (as reflected in by the OMCP patients) might be older than the da Silva population.</w:t>
            </w:r>
          </w:p>
        </w:tc>
      </w:tr>
      <w:tr w:rsidR="00F45E7D" w14:paraId="37B0DD70" w14:textId="77777777">
        <w:trPr>
          <w:trHeight w:val="151"/>
        </w:trPr>
        <w:tc>
          <w:tcPr>
            <w:tcW w:w="1555" w:type="dxa"/>
            <w:shd w:val="clear" w:color="auto" w:fill="auto"/>
            <w:tcMar>
              <w:left w:w="28" w:type="dxa"/>
              <w:right w:w="28" w:type="dxa"/>
            </w:tcMar>
          </w:tcPr>
          <w:p w14:paraId="5CE6A041" w14:textId="77777777" w:rsidR="00F45E7D" w:rsidRDefault="0087463C">
            <w:pPr>
              <w:pStyle w:val="TableText0"/>
            </w:pPr>
            <w:r>
              <w:t>Gender</w:t>
            </w:r>
          </w:p>
        </w:tc>
        <w:tc>
          <w:tcPr>
            <w:tcW w:w="1984" w:type="dxa"/>
            <w:shd w:val="clear" w:color="auto" w:fill="auto"/>
            <w:tcMar>
              <w:left w:w="28" w:type="dxa"/>
              <w:right w:w="28" w:type="dxa"/>
            </w:tcMar>
          </w:tcPr>
          <w:p w14:paraId="169EBC1A" w14:textId="77777777" w:rsidR="00F45E7D" w:rsidRDefault="0087463C">
            <w:pPr>
              <w:pStyle w:val="TableText0"/>
              <w:jc w:val="center"/>
            </w:pPr>
            <w:r>
              <w:t>Male = 64%</w:t>
            </w:r>
          </w:p>
        </w:tc>
        <w:tc>
          <w:tcPr>
            <w:tcW w:w="1559" w:type="dxa"/>
            <w:shd w:val="clear" w:color="auto" w:fill="auto"/>
            <w:tcMar>
              <w:left w:w="28" w:type="dxa"/>
              <w:right w:w="28" w:type="dxa"/>
            </w:tcMar>
          </w:tcPr>
          <w:p w14:paraId="62A2E6CB" w14:textId="77777777" w:rsidR="00F45E7D" w:rsidRDefault="0087463C">
            <w:pPr>
              <w:pStyle w:val="TableText0"/>
              <w:jc w:val="center"/>
            </w:pPr>
            <w:r>
              <w:t>Male = 66%</w:t>
            </w:r>
          </w:p>
        </w:tc>
        <w:tc>
          <w:tcPr>
            <w:tcW w:w="3686" w:type="dxa"/>
            <w:shd w:val="clear" w:color="auto" w:fill="auto"/>
            <w:tcMar>
              <w:left w:w="28" w:type="dxa"/>
              <w:right w:w="28" w:type="dxa"/>
            </w:tcMar>
          </w:tcPr>
          <w:p w14:paraId="1E7CE02D" w14:textId="77777777" w:rsidR="00F45E7D" w:rsidRDefault="0087463C">
            <w:pPr>
              <w:pStyle w:val="TableText0"/>
              <w:rPr>
                <w:iCs/>
              </w:rPr>
            </w:pPr>
            <w:r>
              <w:rPr>
                <w:iCs/>
              </w:rPr>
              <w:t>-</w:t>
            </w:r>
          </w:p>
        </w:tc>
      </w:tr>
      <w:tr w:rsidR="00F45E7D" w14:paraId="64E2E4DC" w14:textId="77777777">
        <w:trPr>
          <w:trHeight w:val="461"/>
        </w:trPr>
        <w:tc>
          <w:tcPr>
            <w:tcW w:w="1555" w:type="dxa"/>
            <w:shd w:val="clear" w:color="auto" w:fill="auto"/>
            <w:tcMar>
              <w:left w:w="28" w:type="dxa"/>
              <w:right w:w="28" w:type="dxa"/>
            </w:tcMar>
          </w:tcPr>
          <w:p w14:paraId="172BE948" w14:textId="77777777" w:rsidR="00F45E7D" w:rsidRDefault="0087463C">
            <w:pPr>
              <w:pStyle w:val="TableText0"/>
            </w:pPr>
            <w:r>
              <w:t xml:space="preserve">BRAF status </w:t>
            </w:r>
          </w:p>
        </w:tc>
        <w:tc>
          <w:tcPr>
            <w:tcW w:w="1984" w:type="dxa"/>
            <w:shd w:val="clear" w:color="auto" w:fill="auto"/>
            <w:tcMar>
              <w:left w:w="28" w:type="dxa"/>
              <w:right w:w="28" w:type="dxa"/>
            </w:tcMar>
          </w:tcPr>
          <w:p w14:paraId="0AA12F99" w14:textId="77777777" w:rsidR="00F45E7D" w:rsidRDefault="0087463C">
            <w:pPr>
              <w:pStyle w:val="TableText0"/>
              <w:jc w:val="center"/>
            </w:pPr>
            <w:r>
              <w:t>WT and NRAS: 51.3%</w:t>
            </w:r>
          </w:p>
          <w:p w14:paraId="64ABBC26" w14:textId="77777777" w:rsidR="00F45E7D" w:rsidRDefault="0087463C">
            <w:pPr>
              <w:pStyle w:val="TableText0"/>
              <w:jc w:val="center"/>
            </w:pPr>
            <w:r>
              <w:t>BRAF mutant: 29.3%</w:t>
            </w:r>
          </w:p>
          <w:p w14:paraId="2B5DE728" w14:textId="77777777" w:rsidR="00F45E7D" w:rsidRDefault="0087463C">
            <w:pPr>
              <w:pStyle w:val="TableText0"/>
              <w:jc w:val="center"/>
            </w:pPr>
            <w:r>
              <w:t>NRAS: 19.4%</w:t>
            </w:r>
          </w:p>
        </w:tc>
        <w:tc>
          <w:tcPr>
            <w:tcW w:w="1559" w:type="dxa"/>
            <w:shd w:val="clear" w:color="auto" w:fill="auto"/>
            <w:tcMar>
              <w:left w:w="28" w:type="dxa"/>
              <w:right w:w="28" w:type="dxa"/>
            </w:tcMar>
          </w:tcPr>
          <w:p w14:paraId="4C79ABD8" w14:textId="77777777" w:rsidR="00F45E7D" w:rsidRDefault="0087463C">
            <w:pPr>
              <w:pStyle w:val="TableText0"/>
              <w:jc w:val="center"/>
            </w:pPr>
            <w:r>
              <w:t>WT/non-V600: 64%</w:t>
            </w:r>
          </w:p>
          <w:p w14:paraId="72C24DCA" w14:textId="77777777" w:rsidR="00F45E7D" w:rsidRDefault="0087463C">
            <w:pPr>
              <w:pStyle w:val="TableText0"/>
              <w:jc w:val="center"/>
            </w:pPr>
            <w:r>
              <w:t>BRAF mutant: 34%</w:t>
            </w:r>
          </w:p>
        </w:tc>
        <w:tc>
          <w:tcPr>
            <w:tcW w:w="3686" w:type="dxa"/>
            <w:shd w:val="clear" w:color="auto" w:fill="auto"/>
            <w:tcMar>
              <w:left w:w="28" w:type="dxa"/>
              <w:right w:w="28" w:type="dxa"/>
            </w:tcMar>
          </w:tcPr>
          <w:p w14:paraId="232F33CC" w14:textId="77777777" w:rsidR="00F45E7D" w:rsidRDefault="0087463C">
            <w:pPr>
              <w:pStyle w:val="TableText0"/>
              <w:rPr>
                <w:iCs/>
              </w:rPr>
            </w:pPr>
            <w:r>
              <w:rPr>
                <w:iCs/>
              </w:rPr>
              <w:t>Large differences in BRAF status between the studied population and the OMCP patients</w:t>
            </w:r>
          </w:p>
        </w:tc>
      </w:tr>
      <w:tr w:rsidR="00F45E7D" w14:paraId="61BCF79F" w14:textId="77777777">
        <w:trPr>
          <w:trHeight w:val="461"/>
        </w:trPr>
        <w:tc>
          <w:tcPr>
            <w:tcW w:w="1555" w:type="dxa"/>
            <w:shd w:val="clear" w:color="auto" w:fill="auto"/>
            <w:tcMar>
              <w:left w:w="28" w:type="dxa"/>
              <w:right w:w="28" w:type="dxa"/>
            </w:tcMar>
          </w:tcPr>
          <w:p w14:paraId="6F72BE43" w14:textId="77777777" w:rsidR="00F45E7D" w:rsidRDefault="0087463C">
            <w:pPr>
              <w:pStyle w:val="TableText0"/>
            </w:pPr>
            <w:r>
              <w:t xml:space="preserve">Median time to recurrence after commencing PD-1 inhibitor monotherapy </w:t>
            </w:r>
          </w:p>
        </w:tc>
        <w:tc>
          <w:tcPr>
            <w:tcW w:w="1984" w:type="dxa"/>
            <w:shd w:val="clear" w:color="auto" w:fill="auto"/>
            <w:tcMar>
              <w:left w:w="28" w:type="dxa"/>
              <w:right w:w="28" w:type="dxa"/>
            </w:tcMar>
          </w:tcPr>
          <w:p w14:paraId="1FF9F139" w14:textId="77777777" w:rsidR="00F45E7D" w:rsidRDefault="0087463C">
            <w:pPr>
              <w:pStyle w:val="TableText0"/>
              <w:jc w:val="center"/>
            </w:pPr>
            <w:r>
              <w:t xml:space="preserve">IPI + PD-1 inhibitor arm: 2.9 months </w:t>
            </w:r>
            <w:r>
              <w:br/>
              <w:t>(IQR: 2.1, 6.7)</w:t>
            </w:r>
          </w:p>
          <w:p w14:paraId="52A7EC4D" w14:textId="77777777" w:rsidR="00F45E7D" w:rsidRDefault="0087463C">
            <w:pPr>
              <w:pStyle w:val="TableText0"/>
              <w:jc w:val="center"/>
            </w:pPr>
            <w:r>
              <w:t xml:space="preserve">IPI arm: 3.0 months </w:t>
            </w:r>
            <w:r>
              <w:br/>
              <w:t xml:space="preserve">(IQR: 2.5, 5.7) </w:t>
            </w:r>
          </w:p>
        </w:tc>
        <w:tc>
          <w:tcPr>
            <w:tcW w:w="1559" w:type="dxa"/>
            <w:shd w:val="clear" w:color="auto" w:fill="auto"/>
            <w:tcMar>
              <w:left w:w="28" w:type="dxa"/>
              <w:right w:w="28" w:type="dxa"/>
            </w:tcMar>
          </w:tcPr>
          <w:p w14:paraId="0F212296" w14:textId="77777777" w:rsidR="00F45E7D" w:rsidRDefault="0087463C">
            <w:pPr>
              <w:pStyle w:val="TableText0"/>
              <w:jc w:val="center"/>
            </w:pPr>
            <w:r>
              <w:t xml:space="preserve">5.5 months </w:t>
            </w:r>
            <w:r>
              <w:br/>
              <w:t>(Range: 0.3, 18.1)</w:t>
            </w:r>
          </w:p>
        </w:tc>
        <w:tc>
          <w:tcPr>
            <w:tcW w:w="3686" w:type="dxa"/>
            <w:shd w:val="clear" w:color="auto" w:fill="auto"/>
            <w:tcMar>
              <w:left w:w="28" w:type="dxa"/>
              <w:right w:w="28" w:type="dxa"/>
            </w:tcMar>
          </w:tcPr>
          <w:p w14:paraId="05389B74" w14:textId="77777777" w:rsidR="00F45E7D" w:rsidRDefault="0087463C">
            <w:pPr>
              <w:pStyle w:val="TableText0"/>
            </w:pPr>
            <w:r>
              <w:t>Median time to recurrence was longer in the OMCP patients.</w:t>
            </w:r>
          </w:p>
          <w:p w14:paraId="67B06524" w14:textId="77777777" w:rsidR="00F45E7D" w:rsidRDefault="00F45E7D">
            <w:pPr>
              <w:pStyle w:val="TableText0"/>
            </w:pPr>
          </w:p>
          <w:p w14:paraId="7524F229" w14:textId="77777777" w:rsidR="00F45E7D" w:rsidRDefault="0087463C">
            <w:pPr>
              <w:pStyle w:val="TableText0"/>
            </w:pPr>
            <w:r>
              <w:t>The submission noted the possible reasons:</w:t>
            </w:r>
          </w:p>
          <w:p w14:paraId="256B182A" w14:textId="77777777" w:rsidR="00F45E7D" w:rsidRDefault="0087463C">
            <w:pPr>
              <w:pStyle w:val="TableText0"/>
              <w:numPr>
                <w:ilvl w:val="0"/>
                <w:numId w:val="11"/>
              </w:numPr>
              <w:ind w:left="176" w:hanging="99"/>
            </w:pPr>
            <w:r>
              <w:t>earlier stage of disease at adjuvant treatment</w:t>
            </w:r>
          </w:p>
          <w:p w14:paraId="188AD41C" w14:textId="77777777" w:rsidR="00F45E7D" w:rsidRDefault="0087463C">
            <w:pPr>
              <w:pStyle w:val="TableText0"/>
              <w:numPr>
                <w:ilvl w:val="0"/>
                <w:numId w:val="11"/>
              </w:numPr>
              <w:ind w:left="176" w:hanging="99"/>
            </w:pPr>
            <w:r>
              <w:t>higher proportion of complete surgical resection prior to adjuvant treatment or many other factors</w:t>
            </w:r>
          </w:p>
          <w:p w14:paraId="20F7E946" w14:textId="77777777" w:rsidR="00F45E7D" w:rsidRDefault="0087463C">
            <w:pPr>
              <w:pStyle w:val="TableText0"/>
              <w:numPr>
                <w:ilvl w:val="0"/>
                <w:numId w:val="11"/>
              </w:numPr>
              <w:ind w:left="176" w:hanging="99"/>
            </w:pPr>
            <w:r>
              <w:t xml:space="preserve">more robust health in the Australian population </w:t>
            </w:r>
          </w:p>
        </w:tc>
      </w:tr>
      <w:tr w:rsidR="00F45E7D" w14:paraId="15BBB86E" w14:textId="77777777">
        <w:trPr>
          <w:trHeight w:val="461"/>
        </w:trPr>
        <w:tc>
          <w:tcPr>
            <w:tcW w:w="1555" w:type="dxa"/>
            <w:shd w:val="clear" w:color="auto" w:fill="auto"/>
            <w:tcMar>
              <w:left w:w="28" w:type="dxa"/>
              <w:right w:w="28" w:type="dxa"/>
            </w:tcMar>
          </w:tcPr>
          <w:p w14:paraId="29747CC2" w14:textId="77777777" w:rsidR="00F45E7D" w:rsidRDefault="0087463C">
            <w:pPr>
              <w:pStyle w:val="TableText0"/>
            </w:pPr>
            <w:r>
              <w:t>Adjuvant PD-1 monotherapy</w:t>
            </w:r>
          </w:p>
        </w:tc>
        <w:tc>
          <w:tcPr>
            <w:tcW w:w="1984" w:type="dxa"/>
            <w:shd w:val="clear" w:color="auto" w:fill="auto"/>
            <w:tcMar>
              <w:left w:w="28" w:type="dxa"/>
              <w:right w:w="28" w:type="dxa"/>
            </w:tcMar>
          </w:tcPr>
          <w:p w14:paraId="74E2EAD3" w14:textId="77777777" w:rsidR="00F45E7D" w:rsidRDefault="0087463C">
            <w:pPr>
              <w:pStyle w:val="TableText0"/>
              <w:jc w:val="center"/>
            </w:pPr>
            <w:r>
              <w:t>100%</w:t>
            </w:r>
          </w:p>
        </w:tc>
        <w:tc>
          <w:tcPr>
            <w:tcW w:w="1559" w:type="dxa"/>
            <w:shd w:val="clear" w:color="auto" w:fill="auto"/>
            <w:tcMar>
              <w:left w:w="28" w:type="dxa"/>
              <w:right w:w="28" w:type="dxa"/>
            </w:tcMar>
          </w:tcPr>
          <w:p w14:paraId="4057A460" w14:textId="77777777" w:rsidR="00F45E7D" w:rsidRDefault="0087463C">
            <w:pPr>
              <w:pStyle w:val="TableText0"/>
              <w:jc w:val="center"/>
            </w:pPr>
            <w:r>
              <w:t xml:space="preserve">100% </w:t>
            </w:r>
          </w:p>
        </w:tc>
        <w:tc>
          <w:tcPr>
            <w:tcW w:w="3686" w:type="dxa"/>
            <w:shd w:val="clear" w:color="auto" w:fill="auto"/>
            <w:tcMar>
              <w:left w:w="28" w:type="dxa"/>
              <w:right w:w="28" w:type="dxa"/>
            </w:tcMar>
          </w:tcPr>
          <w:p w14:paraId="7D49DD4C" w14:textId="77777777" w:rsidR="00F45E7D" w:rsidRDefault="0087463C">
            <w:pPr>
              <w:pStyle w:val="TableText0"/>
              <w:rPr>
                <w:iCs/>
              </w:rPr>
            </w:pPr>
            <w:r>
              <w:rPr>
                <w:iCs/>
              </w:rPr>
              <w:t xml:space="preserve"> -</w:t>
            </w:r>
          </w:p>
        </w:tc>
      </w:tr>
      <w:tr w:rsidR="00F45E7D" w14:paraId="778FE2CD" w14:textId="77777777">
        <w:trPr>
          <w:trHeight w:val="461"/>
        </w:trPr>
        <w:tc>
          <w:tcPr>
            <w:tcW w:w="1555" w:type="dxa"/>
            <w:shd w:val="clear" w:color="auto" w:fill="auto"/>
            <w:tcMar>
              <w:left w:w="28" w:type="dxa"/>
              <w:right w:w="28" w:type="dxa"/>
            </w:tcMar>
          </w:tcPr>
          <w:p w14:paraId="5D9F0556" w14:textId="77777777" w:rsidR="00F45E7D" w:rsidRDefault="0087463C">
            <w:pPr>
              <w:pStyle w:val="TableText0"/>
            </w:pPr>
            <w:r>
              <w:t xml:space="preserve">Systemic therapy between PD-1 inhibitor and study treatment </w:t>
            </w:r>
          </w:p>
        </w:tc>
        <w:tc>
          <w:tcPr>
            <w:tcW w:w="1984" w:type="dxa"/>
            <w:shd w:val="clear" w:color="auto" w:fill="auto"/>
            <w:tcMar>
              <w:left w:w="28" w:type="dxa"/>
              <w:right w:w="28" w:type="dxa"/>
            </w:tcMar>
          </w:tcPr>
          <w:p w14:paraId="389CA8FB" w14:textId="77777777" w:rsidR="00F45E7D" w:rsidRDefault="0087463C">
            <w:pPr>
              <w:pStyle w:val="TableText0"/>
              <w:jc w:val="center"/>
            </w:pPr>
            <w:r>
              <w:t xml:space="preserve">16% </w:t>
            </w:r>
          </w:p>
        </w:tc>
        <w:tc>
          <w:tcPr>
            <w:tcW w:w="1559" w:type="dxa"/>
            <w:shd w:val="clear" w:color="auto" w:fill="auto"/>
            <w:tcMar>
              <w:left w:w="28" w:type="dxa"/>
              <w:right w:w="28" w:type="dxa"/>
            </w:tcMar>
          </w:tcPr>
          <w:p w14:paraId="6D0B7EDF" w14:textId="77777777" w:rsidR="00F45E7D" w:rsidRDefault="0087463C">
            <w:pPr>
              <w:pStyle w:val="TableText0"/>
              <w:jc w:val="center"/>
            </w:pPr>
            <w:r>
              <w:t>0%</w:t>
            </w:r>
          </w:p>
        </w:tc>
        <w:tc>
          <w:tcPr>
            <w:tcW w:w="3686" w:type="dxa"/>
            <w:shd w:val="clear" w:color="auto" w:fill="auto"/>
            <w:tcMar>
              <w:left w:w="28" w:type="dxa"/>
              <w:right w:w="28" w:type="dxa"/>
            </w:tcMar>
          </w:tcPr>
          <w:p w14:paraId="6D0F1B1C" w14:textId="77777777" w:rsidR="00F45E7D" w:rsidRDefault="0087463C">
            <w:pPr>
              <w:pStyle w:val="TableText0"/>
            </w:pPr>
            <w:r>
              <w:t xml:space="preserve">The submission noted that the use of other systemic treatment between adjuvant PD-1 inhibitor and the study drugs was not associated with increased response or survival. </w:t>
            </w:r>
            <w:r>
              <w:rPr>
                <w:iCs/>
              </w:rPr>
              <w:t>This difference is unlikely to impact the assessment of clinical outcomes in an Australian setting.</w:t>
            </w:r>
          </w:p>
        </w:tc>
      </w:tr>
    </w:tbl>
    <w:p w14:paraId="65FCC662" w14:textId="77777777" w:rsidR="00F45E7D" w:rsidRDefault="0087463C">
      <w:pPr>
        <w:pStyle w:val="TableFigureFooter"/>
      </w:pPr>
      <w:r>
        <w:t>Source: Table 35, pp77-78, and Table 36, p79 of the submission.</w:t>
      </w:r>
    </w:p>
    <w:p w14:paraId="2D539DCE" w14:textId="77777777" w:rsidR="00F45E7D" w:rsidRDefault="0087463C">
      <w:pPr>
        <w:pStyle w:val="TableFigureFooter"/>
      </w:pPr>
      <w:r>
        <w:t>IPI = ipilimumab; IQR = interquartile range; NRAS = NRAS mutation; OMCP = Opdivo Melanoma Continuation Program; PD-1 = programmed death-1; WT = wild type.</w:t>
      </w:r>
    </w:p>
    <w:p w14:paraId="7BD9B981" w14:textId="28373AA8" w:rsidR="00F45E7D" w:rsidRDefault="0087463C">
      <w:pPr>
        <w:pStyle w:val="TableFigureHeading"/>
      </w:pPr>
      <w:bookmarkStart w:id="46" w:name="_Ref112280545"/>
      <w:bookmarkStart w:id="47" w:name="_Hlk111643108"/>
      <w:r>
        <w:t xml:space="preserve">Table </w:t>
      </w:r>
      <w:r w:rsidR="00D8701A">
        <w:fldChar w:fldCharType="begin"/>
      </w:r>
      <w:r w:rsidR="00D8701A">
        <w:instrText xml:space="preserve"> SEQ Table \* ARABIC </w:instrText>
      </w:r>
      <w:r w:rsidR="00D8701A">
        <w:fldChar w:fldCharType="separate"/>
      </w:r>
      <w:r w:rsidR="00D8701A">
        <w:rPr>
          <w:noProof/>
        </w:rPr>
        <w:t>8</w:t>
      </w:r>
      <w:r w:rsidR="00D8701A">
        <w:fldChar w:fldCharType="end"/>
      </w:r>
      <w:bookmarkEnd w:id="46"/>
      <w:r>
        <w:t>: Unanchored, side-by-side c</w:t>
      </w:r>
      <w:r>
        <w:rPr>
          <w:rStyle w:val="CommentReference"/>
          <w:b/>
          <w:szCs w:val="24"/>
        </w:rPr>
        <w:t xml:space="preserve">omparison of efficacy outcomes with IPI + </w:t>
      </w:r>
      <w:bookmarkEnd w:id="47"/>
      <w:r>
        <w:rPr>
          <w:rStyle w:val="CommentReference"/>
          <w:b/>
          <w:szCs w:val="24"/>
        </w:rPr>
        <w:t>PD-1 inhibitor treatment from patients in da Silva et al (2021) who had received adjuvant PD-1 inhibitor monotherapy* and the OMCP</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2835"/>
        <w:gridCol w:w="2693"/>
      </w:tblGrid>
      <w:tr w:rsidR="00F45E7D" w14:paraId="4B1F88AC" w14:textId="77777777">
        <w:trPr>
          <w:trHeight w:val="250"/>
        </w:trPr>
        <w:tc>
          <w:tcPr>
            <w:tcW w:w="1853" w:type="pct"/>
            <w:shd w:val="clear" w:color="auto" w:fill="auto"/>
            <w:tcMar>
              <w:top w:w="0" w:type="dxa"/>
              <w:left w:w="108" w:type="dxa"/>
              <w:bottom w:w="0" w:type="dxa"/>
              <w:right w:w="108" w:type="dxa"/>
            </w:tcMar>
            <w:hideMark/>
          </w:tcPr>
          <w:p w14:paraId="6AAE899D" w14:textId="77777777" w:rsidR="00F45E7D" w:rsidRDefault="0087463C">
            <w:pPr>
              <w:pStyle w:val="TableText0"/>
              <w:rPr>
                <w:b/>
                <w:bCs w:val="0"/>
              </w:rPr>
            </w:pPr>
            <w:r>
              <w:rPr>
                <w:b/>
                <w:bCs w:val="0"/>
              </w:rPr>
              <w:t> </w:t>
            </w:r>
          </w:p>
        </w:tc>
        <w:tc>
          <w:tcPr>
            <w:tcW w:w="1614" w:type="pct"/>
            <w:shd w:val="clear" w:color="auto" w:fill="auto"/>
            <w:tcMar>
              <w:top w:w="0" w:type="dxa"/>
              <w:left w:w="108" w:type="dxa"/>
              <w:bottom w:w="0" w:type="dxa"/>
              <w:right w:w="108" w:type="dxa"/>
            </w:tcMar>
            <w:vAlign w:val="center"/>
            <w:hideMark/>
          </w:tcPr>
          <w:p w14:paraId="44E240B3" w14:textId="77777777" w:rsidR="00F45E7D" w:rsidRDefault="0087463C">
            <w:pPr>
              <w:pStyle w:val="TableText0"/>
              <w:jc w:val="center"/>
              <w:rPr>
                <w:b/>
                <w:bCs w:val="0"/>
              </w:rPr>
            </w:pPr>
            <w:r>
              <w:rPr>
                <w:b/>
                <w:bCs w:val="0"/>
              </w:rPr>
              <w:t>da Silva et al (2021)</w:t>
            </w:r>
          </w:p>
          <w:p w14:paraId="36D8E5C0" w14:textId="77777777" w:rsidR="00F45E7D" w:rsidRDefault="0087463C">
            <w:pPr>
              <w:pStyle w:val="TableText0"/>
              <w:jc w:val="center"/>
              <w:rPr>
                <w:b/>
                <w:bCs w:val="0"/>
              </w:rPr>
            </w:pPr>
            <w:r>
              <w:rPr>
                <w:b/>
                <w:bCs w:val="0"/>
              </w:rPr>
              <w:t xml:space="preserve"> (n=36)</w:t>
            </w:r>
          </w:p>
        </w:tc>
        <w:tc>
          <w:tcPr>
            <w:tcW w:w="1533" w:type="pct"/>
            <w:shd w:val="clear" w:color="auto" w:fill="auto"/>
            <w:tcMar>
              <w:top w:w="0" w:type="dxa"/>
              <w:left w:w="108" w:type="dxa"/>
              <w:bottom w:w="0" w:type="dxa"/>
              <w:right w:w="108" w:type="dxa"/>
            </w:tcMar>
            <w:vAlign w:val="center"/>
            <w:hideMark/>
          </w:tcPr>
          <w:p w14:paraId="39F2BE9B" w14:textId="77777777" w:rsidR="00F45E7D" w:rsidRDefault="0087463C">
            <w:pPr>
              <w:pStyle w:val="TableText0"/>
              <w:jc w:val="center"/>
              <w:rPr>
                <w:b/>
                <w:bCs w:val="0"/>
              </w:rPr>
            </w:pPr>
            <w:r>
              <w:rPr>
                <w:b/>
                <w:bCs w:val="0"/>
              </w:rPr>
              <w:t>OMCP data</w:t>
            </w:r>
          </w:p>
          <w:p w14:paraId="30872191" w14:textId="77777777" w:rsidR="00F45E7D" w:rsidRDefault="0087463C">
            <w:pPr>
              <w:pStyle w:val="TableText0"/>
              <w:jc w:val="center"/>
              <w:rPr>
                <w:b/>
                <w:bCs w:val="0"/>
              </w:rPr>
            </w:pPr>
            <w:r>
              <w:rPr>
                <w:b/>
                <w:bCs w:val="0"/>
              </w:rPr>
              <w:t>(n=42)</w:t>
            </w:r>
            <w:r>
              <w:rPr>
                <w:b/>
                <w:bCs w:val="0"/>
                <w:vertAlign w:val="superscript"/>
              </w:rPr>
              <w:t>#</w:t>
            </w:r>
          </w:p>
        </w:tc>
      </w:tr>
      <w:tr w:rsidR="00F45E7D" w14:paraId="7113726A" w14:textId="77777777">
        <w:tc>
          <w:tcPr>
            <w:tcW w:w="5000" w:type="pct"/>
            <w:gridSpan w:val="3"/>
            <w:shd w:val="clear" w:color="auto" w:fill="auto"/>
            <w:tcMar>
              <w:top w:w="0" w:type="dxa"/>
              <w:left w:w="108" w:type="dxa"/>
              <w:bottom w:w="0" w:type="dxa"/>
              <w:right w:w="108" w:type="dxa"/>
            </w:tcMar>
            <w:hideMark/>
          </w:tcPr>
          <w:p w14:paraId="13CB15E3" w14:textId="77777777" w:rsidR="00F45E7D" w:rsidRDefault="0087463C">
            <w:pPr>
              <w:pStyle w:val="TableText0"/>
              <w:rPr>
                <w:b/>
                <w:bCs w:val="0"/>
              </w:rPr>
            </w:pPr>
            <w:r>
              <w:rPr>
                <w:b/>
                <w:bCs w:val="0"/>
              </w:rPr>
              <w:t>Response, %</w:t>
            </w:r>
          </w:p>
        </w:tc>
      </w:tr>
      <w:tr w:rsidR="00F45E7D" w14:paraId="12B3BFD8" w14:textId="77777777">
        <w:tc>
          <w:tcPr>
            <w:tcW w:w="1853" w:type="pct"/>
            <w:shd w:val="clear" w:color="auto" w:fill="auto"/>
            <w:tcMar>
              <w:top w:w="0" w:type="dxa"/>
              <w:left w:w="108" w:type="dxa"/>
              <w:bottom w:w="0" w:type="dxa"/>
              <w:right w:w="108" w:type="dxa"/>
            </w:tcMar>
          </w:tcPr>
          <w:p w14:paraId="12193B41" w14:textId="77777777" w:rsidR="00F45E7D" w:rsidRDefault="0087463C">
            <w:pPr>
              <w:pStyle w:val="TableText0"/>
            </w:pPr>
            <w:r>
              <w:t>ORR (CR + PR)</w:t>
            </w:r>
          </w:p>
        </w:tc>
        <w:tc>
          <w:tcPr>
            <w:tcW w:w="1614" w:type="pct"/>
            <w:shd w:val="clear" w:color="auto" w:fill="auto"/>
            <w:tcMar>
              <w:top w:w="0" w:type="dxa"/>
              <w:left w:w="108" w:type="dxa"/>
              <w:bottom w:w="0" w:type="dxa"/>
              <w:right w:w="108" w:type="dxa"/>
            </w:tcMar>
            <w:vAlign w:val="center"/>
          </w:tcPr>
          <w:p w14:paraId="6D02F212" w14:textId="77777777" w:rsidR="00F45E7D" w:rsidRDefault="0087463C">
            <w:pPr>
              <w:pStyle w:val="TableText0"/>
              <w:jc w:val="center"/>
            </w:pPr>
            <w:r>
              <w:t>36</w:t>
            </w:r>
          </w:p>
        </w:tc>
        <w:tc>
          <w:tcPr>
            <w:tcW w:w="1533" w:type="pct"/>
            <w:shd w:val="clear" w:color="auto" w:fill="auto"/>
            <w:tcMar>
              <w:top w:w="0" w:type="dxa"/>
              <w:left w:w="108" w:type="dxa"/>
              <w:bottom w:w="0" w:type="dxa"/>
              <w:right w:w="108" w:type="dxa"/>
            </w:tcMar>
            <w:vAlign w:val="center"/>
          </w:tcPr>
          <w:p w14:paraId="250D84FE" w14:textId="77777777" w:rsidR="00F45E7D" w:rsidRDefault="0087463C">
            <w:pPr>
              <w:pStyle w:val="TableText0"/>
              <w:jc w:val="center"/>
            </w:pPr>
            <w:r>
              <w:t>47.6</w:t>
            </w:r>
          </w:p>
        </w:tc>
      </w:tr>
      <w:tr w:rsidR="00F45E7D" w14:paraId="57D66E4C" w14:textId="77777777">
        <w:tc>
          <w:tcPr>
            <w:tcW w:w="1853" w:type="pct"/>
            <w:shd w:val="clear" w:color="auto" w:fill="auto"/>
            <w:tcMar>
              <w:top w:w="0" w:type="dxa"/>
              <w:left w:w="108" w:type="dxa"/>
              <w:bottom w:w="0" w:type="dxa"/>
              <w:right w:w="108" w:type="dxa"/>
            </w:tcMar>
            <w:hideMark/>
          </w:tcPr>
          <w:p w14:paraId="14D38475" w14:textId="77777777" w:rsidR="00F45E7D" w:rsidRDefault="0087463C">
            <w:pPr>
              <w:pStyle w:val="TableText0"/>
            </w:pPr>
            <w:r>
              <w:t xml:space="preserve">CR </w:t>
            </w:r>
          </w:p>
        </w:tc>
        <w:tc>
          <w:tcPr>
            <w:tcW w:w="1614" w:type="pct"/>
            <w:shd w:val="clear" w:color="auto" w:fill="auto"/>
            <w:tcMar>
              <w:top w:w="0" w:type="dxa"/>
              <w:left w:w="108" w:type="dxa"/>
              <w:bottom w:w="0" w:type="dxa"/>
              <w:right w:w="108" w:type="dxa"/>
            </w:tcMar>
            <w:vAlign w:val="center"/>
            <w:hideMark/>
          </w:tcPr>
          <w:p w14:paraId="118D3ED2" w14:textId="77777777" w:rsidR="00F45E7D" w:rsidRDefault="0087463C">
            <w:pPr>
              <w:pStyle w:val="TableText0"/>
              <w:jc w:val="center"/>
            </w:pPr>
            <w:r>
              <w:t>NR</w:t>
            </w:r>
          </w:p>
        </w:tc>
        <w:tc>
          <w:tcPr>
            <w:tcW w:w="1533" w:type="pct"/>
            <w:shd w:val="clear" w:color="auto" w:fill="auto"/>
            <w:tcMar>
              <w:top w:w="0" w:type="dxa"/>
              <w:left w:w="108" w:type="dxa"/>
              <w:bottom w:w="0" w:type="dxa"/>
              <w:right w:w="108" w:type="dxa"/>
            </w:tcMar>
            <w:vAlign w:val="center"/>
            <w:hideMark/>
          </w:tcPr>
          <w:p w14:paraId="72AFA83F" w14:textId="77777777" w:rsidR="00F45E7D" w:rsidRDefault="0087463C">
            <w:pPr>
              <w:pStyle w:val="TableText0"/>
              <w:jc w:val="center"/>
            </w:pPr>
            <w:r>
              <w:t>16.7</w:t>
            </w:r>
          </w:p>
        </w:tc>
      </w:tr>
      <w:tr w:rsidR="00F45E7D" w14:paraId="4058968B" w14:textId="77777777">
        <w:tc>
          <w:tcPr>
            <w:tcW w:w="1853" w:type="pct"/>
            <w:shd w:val="clear" w:color="auto" w:fill="auto"/>
            <w:tcMar>
              <w:top w:w="0" w:type="dxa"/>
              <w:left w:w="108" w:type="dxa"/>
              <w:bottom w:w="0" w:type="dxa"/>
              <w:right w:w="108" w:type="dxa"/>
            </w:tcMar>
            <w:hideMark/>
          </w:tcPr>
          <w:p w14:paraId="58524BB9" w14:textId="77777777" w:rsidR="00F45E7D" w:rsidRDefault="0087463C">
            <w:pPr>
              <w:pStyle w:val="TableText0"/>
            </w:pPr>
            <w:r>
              <w:t xml:space="preserve">PR </w:t>
            </w:r>
          </w:p>
        </w:tc>
        <w:tc>
          <w:tcPr>
            <w:tcW w:w="1614" w:type="pct"/>
            <w:shd w:val="clear" w:color="auto" w:fill="auto"/>
            <w:tcMar>
              <w:top w:w="0" w:type="dxa"/>
              <w:left w:w="108" w:type="dxa"/>
              <w:bottom w:w="0" w:type="dxa"/>
              <w:right w:w="108" w:type="dxa"/>
            </w:tcMar>
            <w:vAlign w:val="center"/>
            <w:hideMark/>
          </w:tcPr>
          <w:p w14:paraId="682FEA8C" w14:textId="77777777" w:rsidR="00F45E7D" w:rsidRDefault="0087463C">
            <w:pPr>
              <w:pStyle w:val="TableText0"/>
              <w:jc w:val="center"/>
            </w:pPr>
            <w:r>
              <w:t>NR</w:t>
            </w:r>
          </w:p>
        </w:tc>
        <w:tc>
          <w:tcPr>
            <w:tcW w:w="1533" w:type="pct"/>
            <w:shd w:val="clear" w:color="auto" w:fill="auto"/>
            <w:tcMar>
              <w:top w:w="0" w:type="dxa"/>
              <w:left w:w="108" w:type="dxa"/>
              <w:bottom w:w="0" w:type="dxa"/>
              <w:right w:w="108" w:type="dxa"/>
            </w:tcMar>
            <w:vAlign w:val="center"/>
            <w:hideMark/>
          </w:tcPr>
          <w:p w14:paraId="1145DDBF" w14:textId="77777777" w:rsidR="00F45E7D" w:rsidRDefault="0087463C">
            <w:pPr>
              <w:pStyle w:val="TableText0"/>
              <w:jc w:val="center"/>
            </w:pPr>
            <w:r>
              <w:t>31.0</w:t>
            </w:r>
          </w:p>
        </w:tc>
      </w:tr>
      <w:tr w:rsidR="00F45E7D" w14:paraId="1AE5BDED" w14:textId="77777777">
        <w:tc>
          <w:tcPr>
            <w:tcW w:w="1853" w:type="pct"/>
            <w:shd w:val="clear" w:color="auto" w:fill="auto"/>
            <w:tcMar>
              <w:top w:w="0" w:type="dxa"/>
              <w:left w:w="108" w:type="dxa"/>
              <w:bottom w:w="0" w:type="dxa"/>
              <w:right w:w="108" w:type="dxa"/>
            </w:tcMar>
            <w:hideMark/>
          </w:tcPr>
          <w:p w14:paraId="21942824" w14:textId="77777777" w:rsidR="00F45E7D" w:rsidRDefault="0087463C">
            <w:pPr>
              <w:pStyle w:val="TableText0"/>
            </w:pPr>
            <w:r>
              <w:t xml:space="preserve">SD </w:t>
            </w:r>
          </w:p>
        </w:tc>
        <w:tc>
          <w:tcPr>
            <w:tcW w:w="1614" w:type="pct"/>
            <w:shd w:val="clear" w:color="auto" w:fill="auto"/>
            <w:tcMar>
              <w:top w:w="0" w:type="dxa"/>
              <w:left w:w="108" w:type="dxa"/>
              <w:bottom w:w="0" w:type="dxa"/>
              <w:right w:w="108" w:type="dxa"/>
            </w:tcMar>
            <w:vAlign w:val="center"/>
            <w:hideMark/>
          </w:tcPr>
          <w:p w14:paraId="4BD4B828" w14:textId="77777777" w:rsidR="00F45E7D" w:rsidRDefault="0087463C">
            <w:pPr>
              <w:pStyle w:val="TableText0"/>
              <w:jc w:val="center"/>
            </w:pPr>
            <w:r>
              <w:t>NR</w:t>
            </w:r>
          </w:p>
        </w:tc>
        <w:tc>
          <w:tcPr>
            <w:tcW w:w="1533" w:type="pct"/>
            <w:shd w:val="clear" w:color="auto" w:fill="auto"/>
            <w:tcMar>
              <w:top w:w="0" w:type="dxa"/>
              <w:left w:w="108" w:type="dxa"/>
              <w:bottom w:w="0" w:type="dxa"/>
              <w:right w:w="108" w:type="dxa"/>
            </w:tcMar>
            <w:vAlign w:val="center"/>
            <w:hideMark/>
          </w:tcPr>
          <w:p w14:paraId="3AA9B085" w14:textId="77777777" w:rsidR="00F45E7D" w:rsidRDefault="0087463C">
            <w:pPr>
              <w:pStyle w:val="TableText0"/>
              <w:jc w:val="center"/>
            </w:pPr>
            <w:r>
              <w:t>7.1</w:t>
            </w:r>
          </w:p>
        </w:tc>
      </w:tr>
      <w:tr w:rsidR="00F45E7D" w14:paraId="5A5E4682" w14:textId="77777777">
        <w:tc>
          <w:tcPr>
            <w:tcW w:w="1853" w:type="pct"/>
            <w:shd w:val="clear" w:color="auto" w:fill="auto"/>
            <w:tcMar>
              <w:top w:w="0" w:type="dxa"/>
              <w:left w:w="108" w:type="dxa"/>
              <w:bottom w:w="0" w:type="dxa"/>
              <w:right w:w="108" w:type="dxa"/>
            </w:tcMar>
            <w:hideMark/>
          </w:tcPr>
          <w:p w14:paraId="7AB3FE3E" w14:textId="77777777" w:rsidR="00F45E7D" w:rsidRDefault="0087463C">
            <w:pPr>
              <w:pStyle w:val="TableText0"/>
            </w:pPr>
            <w:r>
              <w:t xml:space="preserve">PD </w:t>
            </w:r>
          </w:p>
        </w:tc>
        <w:tc>
          <w:tcPr>
            <w:tcW w:w="1614" w:type="pct"/>
            <w:shd w:val="clear" w:color="auto" w:fill="auto"/>
            <w:tcMar>
              <w:top w:w="0" w:type="dxa"/>
              <w:left w:w="108" w:type="dxa"/>
              <w:bottom w:w="0" w:type="dxa"/>
              <w:right w:w="108" w:type="dxa"/>
            </w:tcMar>
            <w:vAlign w:val="center"/>
            <w:hideMark/>
          </w:tcPr>
          <w:p w14:paraId="662D85DC" w14:textId="77777777" w:rsidR="00F45E7D" w:rsidRDefault="0087463C">
            <w:pPr>
              <w:pStyle w:val="TableText0"/>
              <w:jc w:val="center"/>
            </w:pPr>
            <w:r>
              <w:t>NR</w:t>
            </w:r>
          </w:p>
        </w:tc>
        <w:tc>
          <w:tcPr>
            <w:tcW w:w="1533" w:type="pct"/>
            <w:shd w:val="clear" w:color="auto" w:fill="auto"/>
            <w:tcMar>
              <w:top w:w="0" w:type="dxa"/>
              <w:left w:w="108" w:type="dxa"/>
              <w:bottom w:w="0" w:type="dxa"/>
              <w:right w:w="108" w:type="dxa"/>
            </w:tcMar>
            <w:vAlign w:val="center"/>
            <w:hideMark/>
          </w:tcPr>
          <w:p w14:paraId="7B753424" w14:textId="77777777" w:rsidR="00F45E7D" w:rsidRDefault="0087463C">
            <w:pPr>
              <w:pStyle w:val="TableText0"/>
              <w:jc w:val="center"/>
            </w:pPr>
            <w:r>
              <w:t>45.2</w:t>
            </w:r>
          </w:p>
        </w:tc>
      </w:tr>
      <w:tr w:rsidR="00F45E7D" w14:paraId="0A86B032" w14:textId="77777777">
        <w:tc>
          <w:tcPr>
            <w:tcW w:w="5000" w:type="pct"/>
            <w:gridSpan w:val="3"/>
            <w:shd w:val="clear" w:color="auto" w:fill="auto"/>
            <w:tcMar>
              <w:top w:w="0" w:type="dxa"/>
              <w:left w:w="108" w:type="dxa"/>
              <w:bottom w:w="0" w:type="dxa"/>
              <w:right w:w="108" w:type="dxa"/>
            </w:tcMar>
          </w:tcPr>
          <w:p w14:paraId="6DC3C5C3" w14:textId="77777777" w:rsidR="00F45E7D" w:rsidRDefault="0087463C">
            <w:pPr>
              <w:pStyle w:val="TableText0"/>
              <w:rPr>
                <w:b/>
                <w:bCs w:val="0"/>
              </w:rPr>
            </w:pPr>
            <w:r>
              <w:rPr>
                <w:b/>
                <w:bCs w:val="0"/>
              </w:rPr>
              <w:t>Progression-free survival</w:t>
            </w:r>
          </w:p>
        </w:tc>
      </w:tr>
      <w:tr w:rsidR="00F45E7D" w14:paraId="5A65D098" w14:textId="77777777">
        <w:tc>
          <w:tcPr>
            <w:tcW w:w="1853" w:type="pct"/>
            <w:shd w:val="clear" w:color="auto" w:fill="auto"/>
            <w:tcMar>
              <w:top w:w="0" w:type="dxa"/>
              <w:left w:w="108" w:type="dxa"/>
              <w:bottom w:w="0" w:type="dxa"/>
              <w:right w:w="108" w:type="dxa"/>
            </w:tcMar>
            <w:hideMark/>
          </w:tcPr>
          <w:p w14:paraId="6C22266F" w14:textId="77777777" w:rsidR="00F45E7D" w:rsidRDefault="0087463C">
            <w:pPr>
              <w:pStyle w:val="TableText0"/>
            </w:pPr>
            <w:r>
              <w:t>Median PFS, months (95% CI)</w:t>
            </w:r>
          </w:p>
        </w:tc>
        <w:tc>
          <w:tcPr>
            <w:tcW w:w="1614" w:type="pct"/>
            <w:shd w:val="clear" w:color="auto" w:fill="auto"/>
            <w:tcMar>
              <w:top w:w="0" w:type="dxa"/>
              <w:left w:w="108" w:type="dxa"/>
              <w:bottom w:w="0" w:type="dxa"/>
              <w:right w:w="108" w:type="dxa"/>
            </w:tcMar>
            <w:hideMark/>
          </w:tcPr>
          <w:p w14:paraId="752959F8" w14:textId="77777777" w:rsidR="00F45E7D" w:rsidRDefault="0087463C">
            <w:pPr>
              <w:pStyle w:val="TableText0"/>
              <w:jc w:val="center"/>
            </w:pPr>
            <w:r>
              <w:t>3.3 (2.5, NR)</w:t>
            </w:r>
          </w:p>
        </w:tc>
        <w:tc>
          <w:tcPr>
            <w:tcW w:w="1533" w:type="pct"/>
            <w:shd w:val="clear" w:color="auto" w:fill="auto"/>
            <w:tcMar>
              <w:top w:w="0" w:type="dxa"/>
              <w:left w:w="108" w:type="dxa"/>
              <w:bottom w:w="0" w:type="dxa"/>
              <w:right w:w="108" w:type="dxa"/>
            </w:tcMar>
            <w:hideMark/>
          </w:tcPr>
          <w:p w14:paraId="4E6D83CB" w14:textId="77777777" w:rsidR="00F45E7D" w:rsidRDefault="0087463C">
            <w:pPr>
              <w:pStyle w:val="TableText0"/>
              <w:jc w:val="center"/>
            </w:pPr>
            <w:r>
              <w:t>4.93 (2.3, NR)</w:t>
            </w:r>
          </w:p>
        </w:tc>
      </w:tr>
      <w:tr w:rsidR="00F45E7D" w14:paraId="3277241F" w14:textId="77777777">
        <w:tc>
          <w:tcPr>
            <w:tcW w:w="1853" w:type="pct"/>
            <w:shd w:val="clear" w:color="auto" w:fill="auto"/>
            <w:tcMar>
              <w:top w:w="0" w:type="dxa"/>
              <w:left w:w="108" w:type="dxa"/>
              <w:bottom w:w="0" w:type="dxa"/>
              <w:right w:w="108" w:type="dxa"/>
            </w:tcMar>
            <w:hideMark/>
          </w:tcPr>
          <w:p w14:paraId="0F004CDC" w14:textId="77777777" w:rsidR="00F45E7D" w:rsidRDefault="0087463C">
            <w:pPr>
              <w:pStyle w:val="TableText0"/>
            </w:pPr>
            <w:r>
              <w:t>12-month PFS (%)</w:t>
            </w:r>
          </w:p>
        </w:tc>
        <w:tc>
          <w:tcPr>
            <w:tcW w:w="1614" w:type="pct"/>
            <w:shd w:val="clear" w:color="auto" w:fill="auto"/>
            <w:tcMar>
              <w:top w:w="0" w:type="dxa"/>
              <w:left w:w="108" w:type="dxa"/>
              <w:bottom w:w="0" w:type="dxa"/>
              <w:right w:w="108" w:type="dxa"/>
            </w:tcMar>
            <w:hideMark/>
          </w:tcPr>
          <w:p w14:paraId="19914E25" w14:textId="77777777" w:rsidR="00F45E7D" w:rsidRDefault="0087463C">
            <w:pPr>
              <w:pStyle w:val="TableText0"/>
              <w:jc w:val="center"/>
            </w:pPr>
            <w:r>
              <w:t>47%</w:t>
            </w:r>
          </w:p>
        </w:tc>
        <w:tc>
          <w:tcPr>
            <w:tcW w:w="1533" w:type="pct"/>
            <w:shd w:val="clear" w:color="auto" w:fill="auto"/>
            <w:tcMar>
              <w:top w:w="0" w:type="dxa"/>
              <w:left w:w="108" w:type="dxa"/>
              <w:bottom w:w="0" w:type="dxa"/>
              <w:right w:w="108" w:type="dxa"/>
            </w:tcMar>
            <w:hideMark/>
          </w:tcPr>
          <w:p w14:paraId="766F9A16" w14:textId="77777777" w:rsidR="00F45E7D" w:rsidRDefault="0087463C">
            <w:pPr>
              <w:pStyle w:val="TableText0"/>
              <w:jc w:val="center"/>
              <w:rPr>
                <w:highlight w:val="yellow"/>
              </w:rPr>
            </w:pPr>
            <w:r>
              <w:t>48%</w:t>
            </w:r>
          </w:p>
        </w:tc>
      </w:tr>
      <w:tr w:rsidR="00F45E7D" w14:paraId="77F83A0C" w14:textId="77777777">
        <w:tc>
          <w:tcPr>
            <w:tcW w:w="5000" w:type="pct"/>
            <w:gridSpan w:val="3"/>
            <w:shd w:val="clear" w:color="auto" w:fill="auto"/>
            <w:tcMar>
              <w:top w:w="0" w:type="dxa"/>
              <w:left w:w="108" w:type="dxa"/>
              <w:bottom w:w="0" w:type="dxa"/>
              <w:right w:w="108" w:type="dxa"/>
            </w:tcMar>
          </w:tcPr>
          <w:p w14:paraId="1FB182EB" w14:textId="77777777" w:rsidR="00F45E7D" w:rsidRDefault="0087463C">
            <w:pPr>
              <w:pStyle w:val="TableText0"/>
              <w:rPr>
                <w:b/>
                <w:bCs w:val="0"/>
              </w:rPr>
            </w:pPr>
            <w:r>
              <w:rPr>
                <w:b/>
                <w:bCs w:val="0"/>
              </w:rPr>
              <w:t>Overall survival</w:t>
            </w:r>
          </w:p>
        </w:tc>
      </w:tr>
      <w:tr w:rsidR="00F45E7D" w14:paraId="0A72322E" w14:textId="77777777">
        <w:tc>
          <w:tcPr>
            <w:tcW w:w="1853" w:type="pct"/>
            <w:shd w:val="clear" w:color="auto" w:fill="auto"/>
            <w:tcMar>
              <w:top w:w="0" w:type="dxa"/>
              <w:left w:w="108" w:type="dxa"/>
              <w:bottom w:w="0" w:type="dxa"/>
              <w:right w:w="108" w:type="dxa"/>
            </w:tcMar>
            <w:hideMark/>
          </w:tcPr>
          <w:p w14:paraId="08D7E5E9" w14:textId="77777777" w:rsidR="00F45E7D" w:rsidRDefault="0087463C">
            <w:pPr>
              <w:pStyle w:val="TableText0"/>
            </w:pPr>
            <w:r>
              <w:t>Median OS, months (95% CI)</w:t>
            </w:r>
          </w:p>
        </w:tc>
        <w:tc>
          <w:tcPr>
            <w:tcW w:w="1614" w:type="pct"/>
            <w:shd w:val="clear" w:color="auto" w:fill="auto"/>
            <w:tcMar>
              <w:top w:w="0" w:type="dxa"/>
              <w:left w:w="108" w:type="dxa"/>
              <w:bottom w:w="0" w:type="dxa"/>
              <w:right w:w="108" w:type="dxa"/>
            </w:tcMar>
          </w:tcPr>
          <w:p w14:paraId="5D9BBF62" w14:textId="77777777" w:rsidR="00F45E7D" w:rsidRDefault="0087463C">
            <w:pPr>
              <w:pStyle w:val="TableText0"/>
              <w:jc w:val="center"/>
            </w:pPr>
            <w:r>
              <w:t>NR</w:t>
            </w:r>
          </w:p>
        </w:tc>
        <w:tc>
          <w:tcPr>
            <w:tcW w:w="1533" w:type="pct"/>
            <w:shd w:val="clear" w:color="auto" w:fill="auto"/>
            <w:tcMar>
              <w:top w:w="0" w:type="dxa"/>
              <w:left w:w="108" w:type="dxa"/>
              <w:bottom w:w="0" w:type="dxa"/>
              <w:right w:w="108" w:type="dxa"/>
            </w:tcMar>
          </w:tcPr>
          <w:p w14:paraId="3B0A0518" w14:textId="77777777" w:rsidR="00F45E7D" w:rsidRDefault="0087463C">
            <w:pPr>
              <w:pStyle w:val="TableText0"/>
              <w:jc w:val="center"/>
            </w:pPr>
            <w:r>
              <w:t>17.7 (11.5, NR)</w:t>
            </w:r>
          </w:p>
        </w:tc>
      </w:tr>
      <w:tr w:rsidR="00F45E7D" w14:paraId="4068D1D6" w14:textId="77777777">
        <w:tc>
          <w:tcPr>
            <w:tcW w:w="1853" w:type="pct"/>
            <w:shd w:val="clear" w:color="auto" w:fill="auto"/>
            <w:tcMar>
              <w:top w:w="0" w:type="dxa"/>
              <w:left w:w="108" w:type="dxa"/>
              <w:bottom w:w="0" w:type="dxa"/>
              <w:right w:w="108" w:type="dxa"/>
            </w:tcMar>
            <w:hideMark/>
          </w:tcPr>
          <w:p w14:paraId="59FBB4A0" w14:textId="77777777" w:rsidR="00F45E7D" w:rsidRDefault="0087463C">
            <w:pPr>
              <w:pStyle w:val="TableText0"/>
            </w:pPr>
            <w:r>
              <w:t>12-month OS (%)</w:t>
            </w:r>
          </w:p>
        </w:tc>
        <w:tc>
          <w:tcPr>
            <w:tcW w:w="1614" w:type="pct"/>
            <w:shd w:val="clear" w:color="auto" w:fill="auto"/>
            <w:tcMar>
              <w:top w:w="0" w:type="dxa"/>
              <w:left w:w="108" w:type="dxa"/>
              <w:bottom w:w="0" w:type="dxa"/>
              <w:right w:w="108" w:type="dxa"/>
            </w:tcMar>
            <w:hideMark/>
          </w:tcPr>
          <w:p w14:paraId="284D3485" w14:textId="77777777" w:rsidR="00F45E7D" w:rsidRDefault="0087463C">
            <w:pPr>
              <w:pStyle w:val="TableText0"/>
              <w:jc w:val="center"/>
            </w:pPr>
            <w:r>
              <w:t>75%</w:t>
            </w:r>
          </w:p>
        </w:tc>
        <w:tc>
          <w:tcPr>
            <w:tcW w:w="1533" w:type="pct"/>
            <w:shd w:val="clear" w:color="auto" w:fill="auto"/>
            <w:tcMar>
              <w:top w:w="0" w:type="dxa"/>
              <w:left w:w="108" w:type="dxa"/>
              <w:bottom w:w="0" w:type="dxa"/>
              <w:right w:w="108" w:type="dxa"/>
            </w:tcMar>
            <w:hideMark/>
          </w:tcPr>
          <w:p w14:paraId="34E4965A" w14:textId="77777777" w:rsidR="00F45E7D" w:rsidRDefault="0087463C">
            <w:pPr>
              <w:pStyle w:val="TableText0"/>
              <w:jc w:val="center"/>
            </w:pPr>
            <w:r>
              <w:t>64%</w:t>
            </w:r>
          </w:p>
        </w:tc>
      </w:tr>
    </w:tbl>
    <w:p w14:paraId="1046E21A" w14:textId="77777777" w:rsidR="00F45E7D" w:rsidRDefault="0087463C">
      <w:pPr>
        <w:pStyle w:val="FooterTableFigure"/>
      </w:pPr>
      <w:r>
        <w:t>Source: Table 34, p76 of the submission</w:t>
      </w:r>
    </w:p>
    <w:p w14:paraId="0A5CAD61" w14:textId="77777777" w:rsidR="00F45E7D" w:rsidRDefault="0087463C">
      <w:pPr>
        <w:pStyle w:val="FooterTableFigure"/>
      </w:pPr>
      <w:r>
        <w:t>CI = confidence interval; CR = complete response; IPI = ipilimumab; NR = not reported; OS = overall survival; PD = progressive disease; PD-1 inhibitor = anti-programmed death-1; PFS = progression-free survival; PR = partial response; SD = stable disease.</w:t>
      </w:r>
    </w:p>
    <w:p w14:paraId="207422FB" w14:textId="77777777" w:rsidR="00F45E7D" w:rsidRDefault="0087463C">
      <w:pPr>
        <w:pStyle w:val="FooterTableFigure"/>
        <w:rPr>
          <w:iCs/>
        </w:rPr>
      </w:pPr>
      <w:r>
        <w:rPr>
          <w:iCs/>
        </w:rPr>
        <w:lastRenderedPageBreak/>
        <w:t>* This subgroup of patients in da Silva et al (2021) were those who were treated with IPI + PD-1 inhibitor following treatment with a PD-1 inhibitor in the adjuvant setting and who developed resistance (36/44 patients; 8/44 patients received IPI).</w:t>
      </w:r>
    </w:p>
    <w:p w14:paraId="226EA844" w14:textId="77777777" w:rsidR="00F45E7D" w:rsidRDefault="0087463C">
      <w:pPr>
        <w:pStyle w:val="FooterTableFigure"/>
      </w:pPr>
      <w:r>
        <w:rPr>
          <w:vertAlign w:val="superscript"/>
        </w:rPr>
        <w:t xml:space="preserve"># </w:t>
      </w:r>
      <w:r>
        <w:t>Outcome data was available for 42 patients in the OMCP.</w:t>
      </w:r>
    </w:p>
    <w:p w14:paraId="0A39EB35" w14:textId="77777777" w:rsidR="00F45E7D" w:rsidRDefault="0087463C">
      <w:pPr>
        <w:pStyle w:val="4-SubsectionHeading"/>
      </w:pPr>
      <w:bookmarkStart w:id="48" w:name="_Toc22897642"/>
      <w:bookmarkStart w:id="49" w:name="_Toc112548519"/>
      <w:bookmarkStart w:id="50" w:name="_Toc114052258"/>
      <w:r>
        <w:t>Comparative harms</w:t>
      </w:r>
      <w:bookmarkEnd w:id="48"/>
      <w:bookmarkEnd w:id="49"/>
      <w:bookmarkEnd w:id="50"/>
    </w:p>
    <w:p w14:paraId="6B011410" w14:textId="77777777" w:rsidR="00F45E7D" w:rsidRDefault="0087463C">
      <w:pPr>
        <w:pStyle w:val="3-BodyText"/>
        <w:rPr>
          <w:b/>
        </w:rPr>
      </w:pPr>
      <w:r>
        <w:t>The submission stated that the intervention (NIVO + IPI) and comparators (IPI or BRAFi) under analysis have been TGA registered and listed on the PBS for several years, and therefore, their safety profiles are well known to clinicians.</w:t>
      </w:r>
    </w:p>
    <w:p w14:paraId="236B926A" w14:textId="59C3B175" w:rsidR="00F45E7D" w:rsidRDefault="0087463C">
      <w:pPr>
        <w:pStyle w:val="3-BodyText"/>
        <w:ind w:left="709"/>
      </w:pPr>
      <w:r>
        <w:t xml:space="preserve">Adverse event data from da Silva et al (2021) is presented in </w:t>
      </w:r>
      <w:r>
        <w:fldChar w:fldCharType="begin"/>
      </w:r>
      <w:r>
        <w:instrText xml:space="preserve"> REF _Ref112280623 \h  \* MERGEFORMAT </w:instrText>
      </w:r>
      <w:r>
        <w:fldChar w:fldCharType="separate"/>
      </w:r>
      <w:r w:rsidR="00D8701A">
        <w:t>Table 9</w:t>
      </w:r>
      <w:r>
        <w:fldChar w:fldCharType="end"/>
      </w:r>
      <w:r>
        <w:t>. The following observations were noted:</w:t>
      </w:r>
    </w:p>
    <w:p w14:paraId="70DCB5DC" w14:textId="77777777" w:rsidR="00F45E7D" w:rsidRDefault="0087463C">
      <w:pPr>
        <w:pStyle w:val="3-BodyText"/>
        <w:numPr>
          <w:ilvl w:val="0"/>
          <w:numId w:val="9"/>
        </w:numPr>
      </w:pPr>
      <w:r>
        <w:t>The</w:t>
      </w:r>
      <w:bookmarkStart w:id="51" w:name="_Toc22897644"/>
      <w:r>
        <w:t xml:space="preserve"> proportion of treatment-related grade 3-5 adverse events was similar in the IPI + PD-1 inhibitor group (31%) versus in the IPI group (33%). The most frequent Grade 3-5 treatment-related adverse events (TRAE) reported were diarrhoea or colitis (12%) and elevated liver enzymes (12%).</w:t>
      </w:r>
    </w:p>
    <w:bookmarkEnd w:id="51"/>
    <w:p w14:paraId="5E39B274" w14:textId="77777777" w:rsidR="00F45E7D" w:rsidRDefault="0087463C">
      <w:pPr>
        <w:pStyle w:val="3-BodyText"/>
        <w:numPr>
          <w:ilvl w:val="0"/>
          <w:numId w:val="9"/>
        </w:numPr>
        <w:rPr>
          <w:iCs/>
        </w:rPr>
      </w:pPr>
      <w:r>
        <w:rPr>
          <w:iCs/>
        </w:rPr>
        <w:t xml:space="preserve">It was noted that patients in the IPI </w:t>
      </w:r>
      <w:r>
        <w:rPr>
          <w:rFonts w:cstheme="minorHAnsi"/>
          <w:iCs/>
        </w:rPr>
        <w:t>±</w:t>
      </w:r>
      <w:r>
        <w:rPr>
          <w:iCs/>
        </w:rPr>
        <w:t xml:space="preserve"> PD-1 inhibitor group did not seem to have worse toxicity outcomes than those in the IPI monotherapy group. This may have been because those with severe adverse events with PD-1 inhibitor monotherapy might not have been offered (or declined to use) further immunotherapy.</w:t>
      </w:r>
    </w:p>
    <w:p w14:paraId="667FFDF4" w14:textId="1716BD48" w:rsidR="00F45E7D" w:rsidRDefault="0087463C">
      <w:pPr>
        <w:pStyle w:val="TableFigureHeading"/>
      </w:pPr>
      <w:bookmarkStart w:id="52" w:name="_Ref112280623"/>
      <w:r>
        <w:lastRenderedPageBreak/>
        <w:t xml:space="preserve">Table </w:t>
      </w:r>
      <w:r w:rsidR="00D8701A">
        <w:fldChar w:fldCharType="begin"/>
      </w:r>
      <w:r w:rsidR="00D8701A">
        <w:instrText xml:space="preserve"> SEQ Table \* ARABIC </w:instrText>
      </w:r>
      <w:r w:rsidR="00D8701A">
        <w:fldChar w:fldCharType="separate"/>
      </w:r>
      <w:r w:rsidR="00D8701A">
        <w:rPr>
          <w:noProof/>
        </w:rPr>
        <w:t>9</w:t>
      </w:r>
      <w:r w:rsidR="00D8701A">
        <w:fldChar w:fldCharType="end"/>
      </w:r>
      <w:bookmarkEnd w:id="52"/>
      <w:r>
        <w:t>: Summary of key adverse events in the da Silva et al. (2021)</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3"/>
        <w:gridCol w:w="709"/>
        <w:gridCol w:w="709"/>
        <w:gridCol w:w="709"/>
        <w:gridCol w:w="567"/>
        <w:gridCol w:w="708"/>
        <w:gridCol w:w="709"/>
        <w:gridCol w:w="709"/>
        <w:gridCol w:w="570"/>
        <w:gridCol w:w="566"/>
        <w:gridCol w:w="709"/>
      </w:tblGrid>
      <w:tr w:rsidR="00F45E7D" w14:paraId="523443B2" w14:textId="77777777">
        <w:trPr>
          <w:trHeight w:val="178"/>
        </w:trPr>
        <w:tc>
          <w:tcPr>
            <w:tcW w:w="2263" w:type="dxa"/>
            <w:vAlign w:val="center"/>
          </w:tcPr>
          <w:p w14:paraId="573E7678" w14:textId="77777777" w:rsidR="00F45E7D" w:rsidRDefault="00F45E7D">
            <w:pPr>
              <w:pStyle w:val="TableText0"/>
              <w:rPr>
                <w:sz w:val="18"/>
              </w:rPr>
            </w:pPr>
          </w:p>
        </w:tc>
        <w:tc>
          <w:tcPr>
            <w:tcW w:w="3402" w:type="dxa"/>
            <w:gridSpan w:val="5"/>
            <w:vAlign w:val="center"/>
          </w:tcPr>
          <w:p w14:paraId="1253CAF7" w14:textId="77777777" w:rsidR="00F45E7D" w:rsidRDefault="0087463C">
            <w:pPr>
              <w:pStyle w:val="TableText0"/>
              <w:jc w:val="center"/>
              <w:rPr>
                <w:b/>
                <w:sz w:val="18"/>
              </w:rPr>
            </w:pPr>
            <w:r>
              <w:rPr>
                <w:b/>
                <w:sz w:val="18"/>
              </w:rPr>
              <w:t>Ipilimumab plus PD-1 inhibitor group (n=193)</w:t>
            </w:r>
          </w:p>
        </w:tc>
        <w:tc>
          <w:tcPr>
            <w:tcW w:w="3263" w:type="dxa"/>
            <w:gridSpan w:val="5"/>
            <w:vAlign w:val="center"/>
          </w:tcPr>
          <w:p w14:paraId="339E1264" w14:textId="77777777" w:rsidR="00F45E7D" w:rsidRDefault="0087463C">
            <w:pPr>
              <w:pStyle w:val="TableText0"/>
              <w:jc w:val="center"/>
              <w:rPr>
                <w:b/>
                <w:sz w:val="18"/>
              </w:rPr>
            </w:pPr>
            <w:r>
              <w:rPr>
                <w:b/>
                <w:sz w:val="18"/>
              </w:rPr>
              <w:t>Ipilimumab group (n=162)</w:t>
            </w:r>
          </w:p>
        </w:tc>
      </w:tr>
      <w:tr w:rsidR="00F45E7D" w14:paraId="57D980DF" w14:textId="77777777">
        <w:trPr>
          <w:trHeight w:val="266"/>
        </w:trPr>
        <w:tc>
          <w:tcPr>
            <w:tcW w:w="2263" w:type="dxa"/>
            <w:vAlign w:val="center"/>
          </w:tcPr>
          <w:p w14:paraId="3A15D470" w14:textId="77777777" w:rsidR="00F45E7D" w:rsidRDefault="0087463C">
            <w:pPr>
              <w:pStyle w:val="TableText0"/>
              <w:rPr>
                <w:b/>
                <w:sz w:val="18"/>
              </w:rPr>
            </w:pPr>
            <w:r>
              <w:rPr>
                <w:b/>
                <w:sz w:val="18"/>
              </w:rPr>
              <w:t>Adverse events</w:t>
            </w:r>
          </w:p>
        </w:tc>
        <w:tc>
          <w:tcPr>
            <w:tcW w:w="709" w:type="dxa"/>
            <w:vAlign w:val="center"/>
          </w:tcPr>
          <w:p w14:paraId="72839F2E" w14:textId="77777777" w:rsidR="00F45E7D" w:rsidRDefault="0087463C">
            <w:pPr>
              <w:pStyle w:val="TableText0"/>
              <w:jc w:val="center"/>
              <w:rPr>
                <w:b/>
                <w:sz w:val="18"/>
              </w:rPr>
            </w:pPr>
            <w:r>
              <w:rPr>
                <w:b/>
                <w:sz w:val="18"/>
              </w:rPr>
              <w:t>Grade</w:t>
            </w:r>
          </w:p>
          <w:p w14:paraId="3E7EA764" w14:textId="77777777" w:rsidR="00F45E7D" w:rsidRDefault="0087463C">
            <w:pPr>
              <w:pStyle w:val="TableText0"/>
              <w:jc w:val="center"/>
              <w:rPr>
                <w:b/>
                <w:sz w:val="18"/>
              </w:rPr>
            </w:pPr>
            <w:r>
              <w:rPr>
                <w:b/>
                <w:sz w:val="18"/>
              </w:rPr>
              <w:t>1–2</w:t>
            </w:r>
          </w:p>
        </w:tc>
        <w:tc>
          <w:tcPr>
            <w:tcW w:w="709" w:type="dxa"/>
            <w:vAlign w:val="center"/>
          </w:tcPr>
          <w:p w14:paraId="1BE86E96" w14:textId="77777777" w:rsidR="00F45E7D" w:rsidRDefault="0087463C">
            <w:pPr>
              <w:pStyle w:val="TableText0"/>
              <w:jc w:val="center"/>
              <w:rPr>
                <w:b/>
                <w:sz w:val="18"/>
              </w:rPr>
            </w:pPr>
            <w:r>
              <w:rPr>
                <w:b/>
                <w:sz w:val="18"/>
              </w:rPr>
              <w:t>Grade</w:t>
            </w:r>
          </w:p>
          <w:p w14:paraId="3EE7405E" w14:textId="77777777" w:rsidR="00F45E7D" w:rsidRDefault="0087463C">
            <w:pPr>
              <w:pStyle w:val="TableText0"/>
              <w:jc w:val="center"/>
              <w:rPr>
                <w:b/>
                <w:sz w:val="18"/>
              </w:rPr>
            </w:pPr>
            <w:r>
              <w:rPr>
                <w:b/>
                <w:sz w:val="18"/>
              </w:rPr>
              <w:t>3</w:t>
            </w:r>
          </w:p>
        </w:tc>
        <w:tc>
          <w:tcPr>
            <w:tcW w:w="709" w:type="dxa"/>
            <w:vAlign w:val="center"/>
          </w:tcPr>
          <w:p w14:paraId="489D21C0" w14:textId="77777777" w:rsidR="00F45E7D" w:rsidRDefault="0087463C">
            <w:pPr>
              <w:pStyle w:val="TableText0"/>
              <w:jc w:val="center"/>
              <w:rPr>
                <w:b/>
                <w:sz w:val="18"/>
              </w:rPr>
            </w:pPr>
            <w:r>
              <w:rPr>
                <w:b/>
                <w:sz w:val="18"/>
              </w:rPr>
              <w:t>Grade</w:t>
            </w:r>
          </w:p>
          <w:p w14:paraId="4F24A727" w14:textId="77777777" w:rsidR="00F45E7D" w:rsidRDefault="0087463C">
            <w:pPr>
              <w:pStyle w:val="TableText0"/>
              <w:jc w:val="center"/>
              <w:rPr>
                <w:b/>
                <w:sz w:val="18"/>
              </w:rPr>
            </w:pPr>
            <w:r>
              <w:rPr>
                <w:b/>
                <w:sz w:val="18"/>
              </w:rPr>
              <w:t>4</w:t>
            </w:r>
          </w:p>
        </w:tc>
        <w:tc>
          <w:tcPr>
            <w:tcW w:w="567" w:type="dxa"/>
            <w:vAlign w:val="center"/>
          </w:tcPr>
          <w:p w14:paraId="4C2D6C4B" w14:textId="77777777" w:rsidR="00F45E7D" w:rsidRDefault="0087463C">
            <w:pPr>
              <w:pStyle w:val="TableText0"/>
              <w:jc w:val="center"/>
              <w:rPr>
                <w:b/>
                <w:sz w:val="18"/>
              </w:rPr>
            </w:pPr>
            <w:r>
              <w:rPr>
                <w:b/>
                <w:sz w:val="18"/>
              </w:rPr>
              <w:t>Grade</w:t>
            </w:r>
          </w:p>
          <w:p w14:paraId="05A04D05" w14:textId="77777777" w:rsidR="00F45E7D" w:rsidRDefault="0087463C">
            <w:pPr>
              <w:pStyle w:val="TableText0"/>
              <w:jc w:val="center"/>
              <w:rPr>
                <w:b/>
                <w:sz w:val="18"/>
              </w:rPr>
            </w:pPr>
            <w:r>
              <w:rPr>
                <w:b/>
                <w:sz w:val="18"/>
              </w:rPr>
              <w:t>5</w:t>
            </w:r>
          </w:p>
        </w:tc>
        <w:tc>
          <w:tcPr>
            <w:tcW w:w="708" w:type="dxa"/>
            <w:vAlign w:val="center"/>
          </w:tcPr>
          <w:p w14:paraId="71B76F23" w14:textId="77777777" w:rsidR="00F45E7D" w:rsidRDefault="0087463C">
            <w:pPr>
              <w:pStyle w:val="TableText0"/>
              <w:jc w:val="center"/>
              <w:rPr>
                <w:b/>
                <w:sz w:val="18"/>
              </w:rPr>
            </w:pPr>
            <w:r>
              <w:rPr>
                <w:b/>
                <w:sz w:val="18"/>
              </w:rPr>
              <w:t>Grade</w:t>
            </w:r>
          </w:p>
          <w:p w14:paraId="252F8601" w14:textId="77777777" w:rsidR="00F45E7D" w:rsidRDefault="0087463C">
            <w:pPr>
              <w:pStyle w:val="TableText0"/>
              <w:jc w:val="center"/>
              <w:rPr>
                <w:b/>
                <w:sz w:val="18"/>
              </w:rPr>
            </w:pPr>
            <w:r>
              <w:rPr>
                <w:b/>
                <w:sz w:val="18"/>
              </w:rPr>
              <w:t>3–5</w:t>
            </w:r>
          </w:p>
        </w:tc>
        <w:tc>
          <w:tcPr>
            <w:tcW w:w="709" w:type="dxa"/>
            <w:vAlign w:val="center"/>
          </w:tcPr>
          <w:p w14:paraId="2B34AA9B" w14:textId="77777777" w:rsidR="00F45E7D" w:rsidRDefault="0087463C">
            <w:pPr>
              <w:pStyle w:val="TableText0"/>
              <w:jc w:val="center"/>
              <w:rPr>
                <w:b/>
                <w:sz w:val="18"/>
              </w:rPr>
            </w:pPr>
            <w:r>
              <w:rPr>
                <w:b/>
                <w:sz w:val="18"/>
              </w:rPr>
              <w:t>Grade</w:t>
            </w:r>
          </w:p>
          <w:p w14:paraId="1E81D8C6" w14:textId="77777777" w:rsidR="00F45E7D" w:rsidRDefault="0087463C">
            <w:pPr>
              <w:pStyle w:val="TableText0"/>
              <w:jc w:val="center"/>
              <w:rPr>
                <w:b/>
                <w:sz w:val="18"/>
              </w:rPr>
            </w:pPr>
            <w:r>
              <w:rPr>
                <w:b/>
                <w:sz w:val="18"/>
              </w:rPr>
              <w:t>1–2</w:t>
            </w:r>
          </w:p>
        </w:tc>
        <w:tc>
          <w:tcPr>
            <w:tcW w:w="709" w:type="dxa"/>
            <w:vAlign w:val="center"/>
          </w:tcPr>
          <w:p w14:paraId="7665DCF2" w14:textId="77777777" w:rsidR="00F45E7D" w:rsidRDefault="0087463C">
            <w:pPr>
              <w:pStyle w:val="TableText0"/>
              <w:jc w:val="center"/>
              <w:rPr>
                <w:b/>
                <w:sz w:val="18"/>
              </w:rPr>
            </w:pPr>
            <w:r>
              <w:rPr>
                <w:b/>
                <w:sz w:val="18"/>
              </w:rPr>
              <w:t>Grade</w:t>
            </w:r>
          </w:p>
          <w:p w14:paraId="3CDA38E2" w14:textId="77777777" w:rsidR="00F45E7D" w:rsidRDefault="0087463C">
            <w:pPr>
              <w:pStyle w:val="TableText0"/>
              <w:jc w:val="center"/>
              <w:rPr>
                <w:b/>
                <w:sz w:val="18"/>
              </w:rPr>
            </w:pPr>
            <w:r>
              <w:rPr>
                <w:b/>
                <w:sz w:val="18"/>
              </w:rPr>
              <w:t>3</w:t>
            </w:r>
          </w:p>
        </w:tc>
        <w:tc>
          <w:tcPr>
            <w:tcW w:w="570" w:type="dxa"/>
            <w:vAlign w:val="center"/>
          </w:tcPr>
          <w:p w14:paraId="1AC51171" w14:textId="77777777" w:rsidR="00F45E7D" w:rsidRDefault="0087463C">
            <w:pPr>
              <w:pStyle w:val="TableText0"/>
              <w:jc w:val="center"/>
              <w:rPr>
                <w:b/>
                <w:sz w:val="18"/>
              </w:rPr>
            </w:pPr>
            <w:r>
              <w:rPr>
                <w:b/>
                <w:sz w:val="18"/>
              </w:rPr>
              <w:t>Grade</w:t>
            </w:r>
          </w:p>
          <w:p w14:paraId="153ADFA4" w14:textId="77777777" w:rsidR="00F45E7D" w:rsidRDefault="0087463C">
            <w:pPr>
              <w:pStyle w:val="TableText0"/>
              <w:jc w:val="center"/>
              <w:rPr>
                <w:b/>
                <w:sz w:val="18"/>
              </w:rPr>
            </w:pPr>
            <w:r>
              <w:rPr>
                <w:b/>
                <w:sz w:val="18"/>
              </w:rPr>
              <w:t>4</w:t>
            </w:r>
          </w:p>
        </w:tc>
        <w:tc>
          <w:tcPr>
            <w:tcW w:w="566" w:type="dxa"/>
            <w:vAlign w:val="center"/>
          </w:tcPr>
          <w:p w14:paraId="0EA243EA" w14:textId="77777777" w:rsidR="00F45E7D" w:rsidRDefault="0087463C">
            <w:pPr>
              <w:pStyle w:val="TableText0"/>
              <w:jc w:val="center"/>
              <w:rPr>
                <w:b/>
                <w:sz w:val="18"/>
              </w:rPr>
            </w:pPr>
            <w:r>
              <w:rPr>
                <w:b/>
                <w:sz w:val="18"/>
              </w:rPr>
              <w:t>Grade</w:t>
            </w:r>
          </w:p>
          <w:p w14:paraId="0214175E" w14:textId="77777777" w:rsidR="00F45E7D" w:rsidRDefault="0087463C">
            <w:pPr>
              <w:pStyle w:val="TableText0"/>
              <w:jc w:val="center"/>
              <w:rPr>
                <w:b/>
                <w:sz w:val="18"/>
              </w:rPr>
            </w:pPr>
            <w:r>
              <w:rPr>
                <w:b/>
                <w:sz w:val="18"/>
              </w:rPr>
              <w:t>5</w:t>
            </w:r>
          </w:p>
        </w:tc>
        <w:tc>
          <w:tcPr>
            <w:tcW w:w="709" w:type="dxa"/>
            <w:vAlign w:val="center"/>
          </w:tcPr>
          <w:p w14:paraId="57D11CD5" w14:textId="77777777" w:rsidR="00F45E7D" w:rsidRDefault="0087463C">
            <w:pPr>
              <w:pStyle w:val="TableText0"/>
              <w:jc w:val="center"/>
              <w:rPr>
                <w:b/>
                <w:sz w:val="18"/>
              </w:rPr>
            </w:pPr>
            <w:r>
              <w:rPr>
                <w:b/>
                <w:sz w:val="18"/>
              </w:rPr>
              <w:t>Grade</w:t>
            </w:r>
          </w:p>
          <w:p w14:paraId="0C4BED41" w14:textId="77777777" w:rsidR="00F45E7D" w:rsidRDefault="0087463C">
            <w:pPr>
              <w:pStyle w:val="TableText0"/>
              <w:jc w:val="center"/>
              <w:rPr>
                <w:b/>
                <w:sz w:val="18"/>
              </w:rPr>
            </w:pPr>
            <w:r>
              <w:rPr>
                <w:b/>
                <w:sz w:val="18"/>
              </w:rPr>
              <w:t>3–5</w:t>
            </w:r>
          </w:p>
        </w:tc>
      </w:tr>
      <w:tr w:rsidR="00F45E7D" w14:paraId="59851890" w14:textId="77777777">
        <w:trPr>
          <w:trHeight w:val="243"/>
        </w:trPr>
        <w:tc>
          <w:tcPr>
            <w:tcW w:w="2263" w:type="dxa"/>
            <w:vAlign w:val="center"/>
          </w:tcPr>
          <w:p w14:paraId="4E31D5EF" w14:textId="77777777" w:rsidR="00F45E7D" w:rsidRDefault="0087463C">
            <w:pPr>
              <w:pStyle w:val="TableText0"/>
              <w:rPr>
                <w:sz w:val="18"/>
              </w:rPr>
            </w:pPr>
            <w:r>
              <w:rPr>
                <w:sz w:val="18"/>
              </w:rPr>
              <w:t xml:space="preserve">Number of patients with at least one adverse event </w:t>
            </w:r>
          </w:p>
        </w:tc>
        <w:tc>
          <w:tcPr>
            <w:tcW w:w="709" w:type="dxa"/>
            <w:tcMar>
              <w:left w:w="0" w:type="dxa"/>
              <w:right w:w="0" w:type="dxa"/>
            </w:tcMar>
            <w:vAlign w:val="center"/>
          </w:tcPr>
          <w:p w14:paraId="68E91361" w14:textId="77777777" w:rsidR="00F45E7D" w:rsidRDefault="0087463C">
            <w:pPr>
              <w:pStyle w:val="TableText0"/>
              <w:jc w:val="center"/>
              <w:rPr>
                <w:sz w:val="18"/>
              </w:rPr>
            </w:pPr>
            <w:r>
              <w:rPr>
                <w:sz w:val="18"/>
              </w:rPr>
              <w:t>102 (53%)</w:t>
            </w:r>
          </w:p>
        </w:tc>
        <w:tc>
          <w:tcPr>
            <w:tcW w:w="709" w:type="dxa"/>
            <w:vAlign w:val="center"/>
          </w:tcPr>
          <w:p w14:paraId="50995D1C" w14:textId="77777777" w:rsidR="00F45E7D" w:rsidRDefault="0087463C">
            <w:pPr>
              <w:pStyle w:val="TableText0"/>
              <w:jc w:val="center"/>
              <w:rPr>
                <w:sz w:val="18"/>
              </w:rPr>
            </w:pPr>
            <w:r>
              <w:rPr>
                <w:sz w:val="18"/>
              </w:rPr>
              <w:t>42 (22%)</w:t>
            </w:r>
          </w:p>
        </w:tc>
        <w:tc>
          <w:tcPr>
            <w:tcW w:w="709" w:type="dxa"/>
            <w:vAlign w:val="center"/>
          </w:tcPr>
          <w:p w14:paraId="2695D217" w14:textId="77777777" w:rsidR="00F45E7D" w:rsidRDefault="0087463C">
            <w:pPr>
              <w:pStyle w:val="TableText0"/>
              <w:jc w:val="center"/>
              <w:rPr>
                <w:sz w:val="18"/>
              </w:rPr>
            </w:pPr>
            <w:r>
              <w:rPr>
                <w:sz w:val="18"/>
              </w:rPr>
              <w:t>19 (10%)</w:t>
            </w:r>
          </w:p>
        </w:tc>
        <w:tc>
          <w:tcPr>
            <w:tcW w:w="567" w:type="dxa"/>
            <w:vAlign w:val="center"/>
          </w:tcPr>
          <w:p w14:paraId="5CA98ACE" w14:textId="77777777" w:rsidR="00F45E7D" w:rsidRDefault="0087463C">
            <w:pPr>
              <w:pStyle w:val="TableText0"/>
              <w:jc w:val="center"/>
              <w:rPr>
                <w:sz w:val="18"/>
              </w:rPr>
            </w:pPr>
            <w:r>
              <w:rPr>
                <w:sz w:val="18"/>
              </w:rPr>
              <w:t>0</w:t>
            </w:r>
          </w:p>
        </w:tc>
        <w:tc>
          <w:tcPr>
            <w:tcW w:w="708" w:type="dxa"/>
            <w:vAlign w:val="center"/>
          </w:tcPr>
          <w:p w14:paraId="6F3EE17E" w14:textId="77777777" w:rsidR="00F45E7D" w:rsidRDefault="0087463C">
            <w:pPr>
              <w:pStyle w:val="TableText0"/>
              <w:jc w:val="center"/>
              <w:rPr>
                <w:sz w:val="18"/>
              </w:rPr>
            </w:pPr>
            <w:r>
              <w:rPr>
                <w:sz w:val="18"/>
              </w:rPr>
              <w:t>59 (31%)</w:t>
            </w:r>
          </w:p>
        </w:tc>
        <w:tc>
          <w:tcPr>
            <w:tcW w:w="709" w:type="dxa"/>
            <w:vAlign w:val="center"/>
          </w:tcPr>
          <w:p w14:paraId="5A5D84C0" w14:textId="77777777" w:rsidR="00F45E7D" w:rsidRDefault="0087463C">
            <w:pPr>
              <w:pStyle w:val="TableText0"/>
              <w:jc w:val="center"/>
              <w:rPr>
                <w:sz w:val="18"/>
              </w:rPr>
            </w:pPr>
            <w:r>
              <w:rPr>
                <w:sz w:val="18"/>
              </w:rPr>
              <w:t>69 (43%)</w:t>
            </w:r>
          </w:p>
        </w:tc>
        <w:tc>
          <w:tcPr>
            <w:tcW w:w="709" w:type="dxa"/>
            <w:vAlign w:val="center"/>
          </w:tcPr>
          <w:p w14:paraId="50BA9BD5" w14:textId="77777777" w:rsidR="00F45E7D" w:rsidRDefault="0087463C">
            <w:pPr>
              <w:pStyle w:val="TableText0"/>
              <w:jc w:val="center"/>
              <w:rPr>
                <w:sz w:val="18"/>
              </w:rPr>
            </w:pPr>
            <w:r>
              <w:rPr>
                <w:sz w:val="18"/>
              </w:rPr>
              <w:t>50 (31%)</w:t>
            </w:r>
          </w:p>
        </w:tc>
        <w:tc>
          <w:tcPr>
            <w:tcW w:w="570" w:type="dxa"/>
            <w:vAlign w:val="center"/>
          </w:tcPr>
          <w:p w14:paraId="21F90B4E" w14:textId="77777777" w:rsidR="00F45E7D" w:rsidRDefault="0087463C">
            <w:pPr>
              <w:pStyle w:val="TableText0"/>
              <w:jc w:val="center"/>
              <w:rPr>
                <w:sz w:val="18"/>
              </w:rPr>
            </w:pPr>
            <w:r>
              <w:rPr>
                <w:bCs w:val="0"/>
                <w:sz w:val="18"/>
              </w:rPr>
              <w:t xml:space="preserve">4 </w:t>
            </w:r>
            <w:r>
              <w:rPr>
                <w:sz w:val="18"/>
              </w:rPr>
              <w:t>(2%)</w:t>
            </w:r>
          </w:p>
        </w:tc>
        <w:tc>
          <w:tcPr>
            <w:tcW w:w="566" w:type="dxa"/>
            <w:vAlign w:val="center"/>
          </w:tcPr>
          <w:p w14:paraId="6A336967" w14:textId="77777777" w:rsidR="00F45E7D" w:rsidRDefault="0087463C">
            <w:pPr>
              <w:pStyle w:val="TableText0"/>
              <w:jc w:val="center"/>
              <w:rPr>
                <w:sz w:val="18"/>
              </w:rPr>
            </w:pPr>
            <w:r>
              <w:rPr>
                <w:bCs w:val="0"/>
                <w:sz w:val="18"/>
              </w:rPr>
              <w:t xml:space="preserve">1 </w:t>
            </w:r>
            <w:r>
              <w:rPr>
                <w:sz w:val="18"/>
              </w:rPr>
              <w:t>(1%)</w:t>
            </w:r>
          </w:p>
        </w:tc>
        <w:tc>
          <w:tcPr>
            <w:tcW w:w="709" w:type="dxa"/>
            <w:vAlign w:val="center"/>
          </w:tcPr>
          <w:p w14:paraId="515F8BDA" w14:textId="77777777" w:rsidR="00F45E7D" w:rsidRDefault="0087463C">
            <w:pPr>
              <w:pStyle w:val="TableText0"/>
              <w:jc w:val="center"/>
              <w:rPr>
                <w:sz w:val="18"/>
              </w:rPr>
            </w:pPr>
            <w:r>
              <w:rPr>
                <w:sz w:val="18"/>
              </w:rPr>
              <w:t>54 (33%)</w:t>
            </w:r>
          </w:p>
        </w:tc>
      </w:tr>
      <w:tr w:rsidR="00F45E7D" w14:paraId="127EADB0" w14:textId="77777777">
        <w:trPr>
          <w:trHeight w:val="42"/>
        </w:trPr>
        <w:tc>
          <w:tcPr>
            <w:tcW w:w="2263" w:type="dxa"/>
            <w:vAlign w:val="center"/>
          </w:tcPr>
          <w:p w14:paraId="620C3B81" w14:textId="77777777" w:rsidR="00F45E7D" w:rsidRDefault="0087463C">
            <w:pPr>
              <w:pStyle w:val="TableText0"/>
              <w:rPr>
                <w:sz w:val="18"/>
              </w:rPr>
            </w:pPr>
            <w:r>
              <w:rPr>
                <w:sz w:val="18"/>
              </w:rPr>
              <w:t xml:space="preserve">Gastrointestinal </w:t>
            </w:r>
          </w:p>
        </w:tc>
        <w:tc>
          <w:tcPr>
            <w:tcW w:w="709" w:type="dxa"/>
            <w:vAlign w:val="center"/>
          </w:tcPr>
          <w:p w14:paraId="0A53B2FC" w14:textId="77777777" w:rsidR="00F45E7D" w:rsidRDefault="0087463C">
            <w:pPr>
              <w:pStyle w:val="TableText0"/>
              <w:jc w:val="center"/>
              <w:rPr>
                <w:sz w:val="18"/>
              </w:rPr>
            </w:pPr>
            <w:r>
              <w:rPr>
                <w:sz w:val="18"/>
              </w:rPr>
              <w:t>46 (24%)</w:t>
            </w:r>
          </w:p>
        </w:tc>
        <w:tc>
          <w:tcPr>
            <w:tcW w:w="709" w:type="dxa"/>
            <w:vAlign w:val="center"/>
          </w:tcPr>
          <w:p w14:paraId="48062F55" w14:textId="77777777" w:rsidR="00F45E7D" w:rsidRDefault="0087463C">
            <w:pPr>
              <w:pStyle w:val="TableText0"/>
              <w:jc w:val="center"/>
              <w:rPr>
                <w:sz w:val="18"/>
              </w:rPr>
            </w:pPr>
            <w:r>
              <w:rPr>
                <w:sz w:val="18"/>
              </w:rPr>
              <w:t>27 (14%)</w:t>
            </w:r>
          </w:p>
        </w:tc>
        <w:tc>
          <w:tcPr>
            <w:tcW w:w="709" w:type="dxa"/>
            <w:vAlign w:val="center"/>
          </w:tcPr>
          <w:p w14:paraId="3052BC27" w14:textId="77777777" w:rsidR="00F45E7D" w:rsidRDefault="0087463C">
            <w:pPr>
              <w:pStyle w:val="TableText0"/>
              <w:jc w:val="center"/>
              <w:rPr>
                <w:sz w:val="18"/>
              </w:rPr>
            </w:pPr>
            <w:r>
              <w:rPr>
                <w:sz w:val="18"/>
              </w:rPr>
              <w:t>19 (10%)</w:t>
            </w:r>
          </w:p>
        </w:tc>
        <w:tc>
          <w:tcPr>
            <w:tcW w:w="567" w:type="dxa"/>
            <w:vAlign w:val="center"/>
          </w:tcPr>
          <w:p w14:paraId="7108E9B3" w14:textId="77777777" w:rsidR="00F45E7D" w:rsidRDefault="0087463C">
            <w:pPr>
              <w:pStyle w:val="TableText0"/>
              <w:jc w:val="center"/>
              <w:rPr>
                <w:sz w:val="18"/>
              </w:rPr>
            </w:pPr>
            <w:r>
              <w:rPr>
                <w:sz w:val="18"/>
              </w:rPr>
              <w:t>0</w:t>
            </w:r>
          </w:p>
        </w:tc>
        <w:tc>
          <w:tcPr>
            <w:tcW w:w="708" w:type="dxa"/>
            <w:vAlign w:val="center"/>
          </w:tcPr>
          <w:p w14:paraId="7DFA6771" w14:textId="77777777" w:rsidR="00F45E7D" w:rsidRDefault="0087463C">
            <w:pPr>
              <w:pStyle w:val="TableText0"/>
              <w:jc w:val="center"/>
              <w:rPr>
                <w:sz w:val="18"/>
              </w:rPr>
            </w:pPr>
            <w:r>
              <w:rPr>
                <w:sz w:val="18"/>
              </w:rPr>
              <w:t>46 (24%)</w:t>
            </w:r>
          </w:p>
        </w:tc>
        <w:tc>
          <w:tcPr>
            <w:tcW w:w="709" w:type="dxa"/>
            <w:vAlign w:val="center"/>
          </w:tcPr>
          <w:p w14:paraId="0A5F5E27" w14:textId="77777777" w:rsidR="00F45E7D" w:rsidRDefault="0087463C">
            <w:pPr>
              <w:pStyle w:val="TableText0"/>
              <w:jc w:val="center"/>
              <w:rPr>
                <w:sz w:val="18"/>
              </w:rPr>
            </w:pPr>
            <w:r>
              <w:rPr>
                <w:sz w:val="18"/>
              </w:rPr>
              <w:t>27 (17%)</w:t>
            </w:r>
          </w:p>
        </w:tc>
        <w:tc>
          <w:tcPr>
            <w:tcW w:w="709" w:type="dxa"/>
            <w:vAlign w:val="center"/>
          </w:tcPr>
          <w:p w14:paraId="07ABBAA4" w14:textId="77777777" w:rsidR="00F45E7D" w:rsidRDefault="0087463C">
            <w:pPr>
              <w:pStyle w:val="TableText0"/>
              <w:jc w:val="center"/>
              <w:rPr>
                <w:sz w:val="18"/>
              </w:rPr>
            </w:pPr>
            <w:r>
              <w:rPr>
                <w:sz w:val="18"/>
              </w:rPr>
              <w:t>43 (27%)</w:t>
            </w:r>
          </w:p>
        </w:tc>
        <w:tc>
          <w:tcPr>
            <w:tcW w:w="570" w:type="dxa"/>
            <w:vAlign w:val="center"/>
          </w:tcPr>
          <w:p w14:paraId="6223C918" w14:textId="77777777" w:rsidR="00F45E7D" w:rsidRDefault="0087463C">
            <w:pPr>
              <w:pStyle w:val="TableText0"/>
              <w:jc w:val="center"/>
              <w:rPr>
                <w:sz w:val="18"/>
              </w:rPr>
            </w:pPr>
            <w:r>
              <w:rPr>
                <w:bCs w:val="0"/>
                <w:sz w:val="18"/>
              </w:rPr>
              <w:t xml:space="preserve">4 </w:t>
            </w:r>
            <w:r>
              <w:rPr>
                <w:sz w:val="18"/>
              </w:rPr>
              <w:t>(2%)</w:t>
            </w:r>
          </w:p>
        </w:tc>
        <w:tc>
          <w:tcPr>
            <w:tcW w:w="566" w:type="dxa"/>
            <w:vAlign w:val="center"/>
          </w:tcPr>
          <w:p w14:paraId="11E67B4F" w14:textId="77777777" w:rsidR="00F45E7D" w:rsidRDefault="0087463C">
            <w:pPr>
              <w:pStyle w:val="TableText0"/>
              <w:jc w:val="center"/>
              <w:rPr>
                <w:sz w:val="18"/>
              </w:rPr>
            </w:pPr>
            <w:r>
              <w:rPr>
                <w:bCs w:val="0"/>
                <w:sz w:val="18"/>
              </w:rPr>
              <w:t xml:space="preserve">1 </w:t>
            </w:r>
            <w:r>
              <w:rPr>
                <w:sz w:val="18"/>
              </w:rPr>
              <w:t>(1%)</w:t>
            </w:r>
          </w:p>
        </w:tc>
        <w:tc>
          <w:tcPr>
            <w:tcW w:w="709" w:type="dxa"/>
            <w:vAlign w:val="center"/>
          </w:tcPr>
          <w:p w14:paraId="52153427" w14:textId="77777777" w:rsidR="00F45E7D" w:rsidRDefault="0087463C">
            <w:pPr>
              <w:pStyle w:val="TableText0"/>
              <w:jc w:val="center"/>
              <w:rPr>
                <w:sz w:val="18"/>
              </w:rPr>
            </w:pPr>
            <w:r>
              <w:rPr>
                <w:sz w:val="18"/>
              </w:rPr>
              <w:t>48 (30%)</w:t>
            </w:r>
          </w:p>
        </w:tc>
      </w:tr>
      <w:tr w:rsidR="00F45E7D" w14:paraId="60AC29CF" w14:textId="77777777">
        <w:trPr>
          <w:trHeight w:val="42"/>
        </w:trPr>
        <w:tc>
          <w:tcPr>
            <w:tcW w:w="2263" w:type="dxa"/>
            <w:vAlign w:val="center"/>
          </w:tcPr>
          <w:p w14:paraId="20D9F389" w14:textId="77777777" w:rsidR="00F45E7D" w:rsidRDefault="0087463C">
            <w:pPr>
              <w:pStyle w:val="TableText0"/>
              <w:rPr>
                <w:sz w:val="18"/>
              </w:rPr>
            </w:pPr>
            <w:r>
              <w:rPr>
                <w:sz w:val="18"/>
              </w:rPr>
              <w:t xml:space="preserve">Diarrhoea or colitis </w:t>
            </w:r>
          </w:p>
        </w:tc>
        <w:tc>
          <w:tcPr>
            <w:tcW w:w="709" w:type="dxa"/>
            <w:vAlign w:val="center"/>
          </w:tcPr>
          <w:p w14:paraId="646083E4" w14:textId="77777777" w:rsidR="00F45E7D" w:rsidRDefault="0087463C">
            <w:pPr>
              <w:pStyle w:val="TableText0"/>
              <w:jc w:val="center"/>
              <w:rPr>
                <w:sz w:val="18"/>
              </w:rPr>
            </w:pPr>
            <w:r>
              <w:rPr>
                <w:sz w:val="18"/>
              </w:rPr>
              <w:t>38 (20%)</w:t>
            </w:r>
          </w:p>
        </w:tc>
        <w:tc>
          <w:tcPr>
            <w:tcW w:w="709" w:type="dxa"/>
            <w:vAlign w:val="center"/>
          </w:tcPr>
          <w:p w14:paraId="65B0B9B6" w14:textId="77777777" w:rsidR="00F45E7D" w:rsidRDefault="0087463C">
            <w:pPr>
              <w:pStyle w:val="TableText0"/>
              <w:jc w:val="center"/>
              <w:rPr>
                <w:sz w:val="18"/>
              </w:rPr>
            </w:pPr>
            <w:r>
              <w:rPr>
                <w:sz w:val="18"/>
              </w:rPr>
              <w:t>18 (9%)</w:t>
            </w:r>
          </w:p>
        </w:tc>
        <w:tc>
          <w:tcPr>
            <w:tcW w:w="709" w:type="dxa"/>
            <w:vAlign w:val="center"/>
          </w:tcPr>
          <w:p w14:paraId="47D16CEF" w14:textId="77777777" w:rsidR="00F45E7D" w:rsidRDefault="0087463C">
            <w:pPr>
              <w:pStyle w:val="TableText0"/>
              <w:jc w:val="center"/>
              <w:rPr>
                <w:sz w:val="18"/>
              </w:rPr>
            </w:pPr>
            <w:r>
              <w:rPr>
                <w:bCs w:val="0"/>
                <w:sz w:val="18"/>
              </w:rPr>
              <w:t xml:space="preserve">5 </w:t>
            </w:r>
            <w:r>
              <w:rPr>
                <w:sz w:val="18"/>
              </w:rPr>
              <w:t>(3%)</w:t>
            </w:r>
          </w:p>
        </w:tc>
        <w:tc>
          <w:tcPr>
            <w:tcW w:w="567" w:type="dxa"/>
            <w:vAlign w:val="center"/>
          </w:tcPr>
          <w:p w14:paraId="484CE34B" w14:textId="77777777" w:rsidR="00F45E7D" w:rsidRDefault="0087463C">
            <w:pPr>
              <w:pStyle w:val="TableText0"/>
              <w:jc w:val="center"/>
              <w:rPr>
                <w:sz w:val="18"/>
              </w:rPr>
            </w:pPr>
            <w:r>
              <w:rPr>
                <w:sz w:val="18"/>
              </w:rPr>
              <w:t>0</w:t>
            </w:r>
          </w:p>
        </w:tc>
        <w:tc>
          <w:tcPr>
            <w:tcW w:w="708" w:type="dxa"/>
            <w:vAlign w:val="center"/>
          </w:tcPr>
          <w:p w14:paraId="48B87F40" w14:textId="77777777" w:rsidR="00F45E7D" w:rsidRDefault="0087463C">
            <w:pPr>
              <w:pStyle w:val="TableText0"/>
              <w:jc w:val="center"/>
              <w:rPr>
                <w:sz w:val="18"/>
              </w:rPr>
            </w:pPr>
            <w:r>
              <w:rPr>
                <w:sz w:val="18"/>
              </w:rPr>
              <w:t>23 (12%)</w:t>
            </w:r>
          </w:p>
        </w:tc>
        <w:tc>
          <w:tcPr>
            <w:tcW w:w="709" w:type="dxa"/>
            <w:vAlign w:val="center"/>
          </w:tcPr>
          <w:p w14:paraId="68F68D45" w14:textId="77777777" w:rsidR="00F45E7D" w:rsidRDefault="0087463C">
            <w:pPr>
              <w:pStyle w:val="TableText0"/>
              <w:jc w:val="center"/>
              <w:rPr>
                <w:sz w:val="18"/>
              </w:rPr>
            </w:pPr>
            <w:r>
              <w:rPr>
                <w:sz w:val="18"/>
              </w:rPr>
              <w:t>14 (9%)</w:t>
            </w:r>
          </w:p>
        </w:tc>
        <w:tc>
          <w:tcPr>
            <w:tcW w:w="709" w:type="dxa"/>
            <w:vAlign w:val="center"/>
          </w:tcPr>
          <w:p w14:paraId="559673CC" w14:textId="77777777" w:rsidR="00F45E7D" w:rsidRDefault="0087463C">
            <w:pPr>
              <w:pStyle w:val="TableText0"/>
              <w:jc w:val="center"/>
              <w:rPr>
                <w:sz w:val="18"/>
              </w:rPr>
            </w:pPr>
            <w:r>
              <w:rPr>
                <w:sz w:val="18"/>
              </w:rPr>
              <w:t>30 (19%)</w:t>
            </w:r>
          </w:p>
        </w:tc>
        <w:tc>
          <w:tcPr>
            <w:tcW w:w="570" w:type="dxa"/>
            <w:vAlign w:val="center"/>
          </w:tcPr>
          <w:p w14:paraId="07E529E3" w14:textId="77777777" w:rsidR="00F45E7D" w:rsidRDefault="0087463C">
            <w:pPr>
              <w:pStyle w:val="TableText0"/>
              <w:jc w:val="center"/>
              <w:rPr>
                <w:sz w:val="18"/>
              </w:rPr>
            </w:pPr>
            <w:r>
              <w:rPr>
                <w:bCs w:val="0"/>
                <w:sz w:val="18"/>
              </w:rPr>
              <w:t xml:space="preserve">2 </w:t>
            </w:r>
            <w:r>
              <w:rPr>
                <w:sz w:val="18"/>
              </w:rPr>
              <w:t>(1%)</w:t>
            </w:r>
          </w:p>
        </w:tc>
        <w:tc>
          <w:tcPr>
            <w:tcW w:w="566" w:type="dxa"/>
            <w:vAlign w:val="center"/>
          </w:tcPr>
          <w:p w14:paraId="7D849598" w14:textId="77777777" w:rsidR="00F45E7D" w:rsidRDefault="0087463C">
            <w:pPr>
              <w:pStyle w:val="TableText0"/>
              <w:jc w:val="center"/>
              <w:rPr>
                <w:sz w:val="18"/>
              </w:rPr>
            </w:pPr>
            <w:r>
              <w:rPr>
                <w:sz w:val="18"/>
              </w:rPr>
              <w:t>1 (1%)</w:t>
            </w:r>
          </w:p>
        </w:tc>
        <w:tc>
          <w:tcPr>
            <w:tcW w:w="709" w:type="dxa"/>
            <w:vAlign w:val="center"/>
          </w:tcPr>
          <w:p w14:paraId="626BE7E5" w14:textId="77777777" w:rsidR="00F45E7D" w:rsidRDefault="0087463C">
            <w:pPr>
              <w:pStyle w:val="TableText0"/>
              <w:jc w:val="center"/>
              <w:rPr>
                <w:sz w:val="18"/>
              </w:rPr>
            </w:pPr>
            <w:r>
              <w:rPr>
                <w:sz w:val="18"/>
              </w:rPr>
              <w:t>33 (20%)</w:t>
            </w:r>
          </w:p>
        </w:tc>
      </w:tr>
      <w:tr w:rsidR="00F45E7D" w14:paraId="0D596A0B" w14:textId="77777777">
        <w:trPr>
          <w:trHeight w:val="170"/>
        </w:trPr>
        <w:tc>
          <w:tcPr>
            <w:tcW w:w="2263" w:type="dxa"/>
            <w:vAlign w:val="center"/>
          </w:tcPr>
          <w:p w14:paraId="47CCE070" w14:textId="77777777" w:rsidR="00F45E7D" w:rsidRDefault="0087463C">
            <w:pPr>
              <w:pStyle w:val="TableText0"/>
              <w:rPr>
                <w:sz w:val="18"/>
              </w:rPr>
            </w:pPr>
            <w:r>
              <w:rPr>
                <w:sz w:val="18"/>
              </w:rPr>
              <w:t xml:space="preserve">Increased alanine aminotransferase or aspartate aminotransferase </w:t>
            </w:r>
          </w:p>
        </w:tc>
        <w:tc>
          <w:tcPr>
            <w:tcW w:w="709" w:type="dxa"/>
            <w:vAlign w:val="center"/>
          </w:tcPr>
          <w:p w14:paraId="19CAF44B" w14:textId="77777777" w:rsidR="00F45E7D" w:rsidRDefault="0087463C">
            <w:pPr>
              <w:pStyle w:val="TableText0"/>
              <w:jc w:val="center"/>
              <w:rPr>
                <w:sz w:val="18"/>
              </w:rPr>
            </w:pPr>
            <w:r>
              <w:rPr>
                <w:sz w:val="18"/>
              </w:rPr>
              <w:t>15 (8%)</w:t>
            </w:r>
          </w:p>
        </w:tc>
        <w:tc>
          <w:tcPr>
            <w:tcW w:w="709" w:type="dxa"/>
            <w:vAlign w:val="center"/>
          </w:tcPr>
          <w:p w14:paraId="1A0A9F4A" w14:textId="77777777" w:rsidR="00F45E7D" w:rsidRDefault="0087463C">
            <w:pPr>
              <w:pStyle w:val="TableText0"/>
              <w:jc w:val="center"/>
              <w:rPr>
                <w:sz w:val="18"/>
              </w:rPr>
            </w:pPr>
            <w:r>
              <w:rPr>
                <w:sz w:val="18"/>
              </w:rPr>
              <w:t>11 (6%)</w:t>
            </w:r>
          </w:p>
        </w:tc>
        <w:tc>
          <w:tcPr>
            <w:tcW w:w="709" w:type="dxa"/>
            <w:vAlign w:val="center"/>
          </w:tcPr>
          <w:p w14:paraId="248D9CA5" w14:textId="77777777" w:rsidR="00F45E7D" w:rsidRDefault="0087463C">
            <w:pPr>
              <w:pStyle w:val="TableText0"/>
              <w:jc w:val="center"/>
              <w:rPr>
                <w:sz w:val="18"/>
              </w:rPr>
            </w:pPr>
            <w:r>
              <w:rPr>
                <w:sz w:val="18"/>
              </w:rPr>
              <w:t>13 (7%)</w:t>
            </w:r>
          </w:p>
        </w:tc>
        <w:tc>
          <w:tcPr>
            <w:tcW w:w="567" w:type="dxa"/>
            <w:vAlign w:val="center"/>
          </w:tcPr>
          <w:p w14:paraId="67BF39B6" w14:textId="77777777" w:rsidR="00F45E7D" w:rsidRDefault="0087463C">
            <w:pPr>
              <w:pStyle w:val="TableText0"/>
              <w:jc w:val="center"/>
              <w:rPr>
                <w:sz w:val="18"/>
              </w:rPr>
            </w:pPr>
            <w:r>
              <w:rPr>
                <w:sz w:val="18"/>
              </w:rPr>
              <w:t>0</w:t>
            </w:r>
          </w:p>
        </w:tc>
        <w:tc>
          <w:tcPr>
            <w:tcW w:w="708" w:type="dxa"/>
            <w:vAlign w:val="center"/>
          </w:tcPr>
          <w:p w14:paraId="2E15D7CE" w14:textId="77777777" w:rsidR="00F45E7D" w:rsidRDefault="0087463C">
            <w:pPr>
              <w:pStyle w:val="TableText0"/>
              <w:jc w:val="center"/>
              <w:rPr>
                <w:sz w:val="18"/>
              </w:rPr>
            </w:pPr>
            <w:r>
              <w:rPr>
                <w:sz w:val="18"/>
              </w:rPr>
              <w:t>24 (12%)</w:t>
            </w:r>
          </w:p>
        </w:tc>
        <w:tc>
          <w:tcPr>
            <w:tcW w:w="709" w:type="dxa"/>
            <w:vAlign w:val="center"/>
          </w:tcPr>
          <w:p w14:paraId="1704C7C4" w14:textId="77777777" w:rsidR="00F45E7D" w:rsidRDefault="0087463C">
            <w:pPr>
              <w:pStyle w:val="TableText0"/>
              <w:jc w:val="center"/>
              <w:rPr>
                <w:sz w:val="18"/>
              </w:rPr>
            </w:pPr>
            <w:r>
              <w:rPr>
                <w:bCs w:val="0"/>
                <w:sz w:val="18"/>
              </w:rPr>
              <w:t xml:space="preserve">9 </w:t>
            </w:r>
            <w:r>
              <w:rPr>
                <w:sz w:val="18"/>
              </w:rPr>
              <w:t>(6%)</w:t>
            </w:r>
          </w:p>
        </w:tc>
        <w:tc>
          <w:tcPr>
            <w:tcW w:w="709" w:type="dxa"/>
            <w:vAlign w:val="center"/>
          </w:tcPr>
          <w:p w14:paraId="2D705A15" w14:textId="77777777" w:rsidR="00F45E7D" w:rsidRDefault="0087463C">
            <w:pPr>
              <w:pStyle w:val="TableText0"/>
              <w:jc w:val="center"/>
              <w:rPr>
                <w:sz w:val="18"/>
              </w:rPr>
            </w:pPr>
            <w:r>
              <w:rPr>
                <w:sz w:val="18"/>
              </w:rPr>
              <w:t>13 (8%)</w:t>
            </w:r>
          </w:p>
        </w:tc>
        <w:tc>
          <w:tcPr>
            <w:tcW w:w="570" w:type="dxa"/>
            <w:vAlign w:val="center"/>
          </w:tcPr>
          <w:p w14:paraId="4A3CB417" w14:textId="77777777" w:rsidR="00F45E7D" w:rsidRDefault="0087463C">
            <w:pPr>
              <w:pStyle w:val="TableText0"/>
              <w:jc w:val="center"/>
              <w:rPr>
                <w:sz w:val="18"/>
              </w:rPr>
            </w:pPr>
            <w:r>
              <w:rPr>
                <w:sz w:val="18"/>
              </w:rPr>
              <w:t>2 (1%)</w:t>
            </w:r>
          </w:p>
        </w:tc>
        <w:tc>
          <w:tcPr>
            <w:tcW w:w="566" w:type="dxa"/>
            <w:vAlign w:val="center"/>
          </w:tcPr>
          <w:p w14:paraId="15D5B5BE" w14:textId="77777777" w:rsidR="00F45E7D" w:rsidRDefault="0087463C">
            <w:pPr>
              <w:pStyle w:val="TableText0"/>
              <w:jc w:val="center"/>
              <w:rPr>
                <w:sz w:val="18"/>
              </w:rPr>
            </w:pPr>
            <w:r>
              <w:rPr>
                <w:sz w:val="18"/>
              </w:rPr>
              <w:t>0</w:t>
            </w:r>
          </w:p>
        </w:tc>
        <w:tc>
          <w:tcPr>
            <w:tcW w:w="709" w:type="dxa"/>
            <w:vAlign w:val="center"/>
          </w:tcPr>
          <w:p w14:paraId="42A9F644" w14:textId="77777777" w:rsidR="00F45E7D" w:rsidRDefault="0087463C">
            <w:pPr>
              <w:pStyle w:val="TableText0"/>
              <w:jc w:val="center"/>
              <w:rPr>
                <w:sz w:val="18"/>
              </w:rPr>
            </w:pPr>
            <w:r>
              <w:rPr>
                <w:sz w:val="18"/>
              </w:rPr>
              <w:t>15 (9%)</w:t>
            </w:r>
          </w:p>
        </w:tc>
      </w:tr>
      <w:tr w:rsidR="00F45E7D" w14:paraId="0EAF1200" w14:textId="77777777">
        <w:trPr>
          <w:trHeight w:val="85"/>
        </w:trPr>
        <w:tc>
          <w:tcPr>
            <w:tcW w:w="2263" w:type="dxa"/>
            <w:vAlign w:val="center"/>
          </w:tcPr>
          <w:p w14:paraId="3A45EB95" w14:textId="77777777" w:rsidR="00F45E7D" w:rsidRDefault="0087463C">
            <w:pPr>
              <w:pStyle w:val="TableText0"/>
              <w:rPr>
                <w:sz w:val="18"/>
              </w:rPr>
            </w:pPr>
            <w:r>
              <w:rPr>
                <w:sz w:val="18"/>
              </w:rPr>
              <w:t xml:space="preserve">Nausea or vomiting </w:t>
            </w:r>
          </w:p>
        </w:tc>
        <w:tc>
          <w:tcPr>
            <w:tcW w:w="709" w:type="dxa"/>
            <w:vAlign w:val="center"/>
          </w:tcPr>
          <w:p w14:paraId="276B86D3" w14:textId="77777777" w:rsidR="00F45E7D" w:rsidRDefault="0087463C">
            <w:pPr>
              <w:pStyle w:val="TableText0"/>
              <w:jc w:val="center"/>
              <w:rPr>
                <w:sz w:val="18"/>
              </w:rPr>
            </w:pPr>
            <w:r>
              <w:rPr>
                <w:sz w:val="18"/>
              </w:rPr>
              <w:t>0</w:t>
            </w:r>
          </w:p>
        </w:tc>
        <w:tc>
          <w:tcPr>
            <w:tcW w:w="709" w:type="dxa"/>
            <w:vAlign w:val="center"/>
          </w:tcPr>
          <w:p w14:paraId="6320225E" w14:textId="77777777" w:rsidR="00F45E7D" w:rsidRDefault="0087463C">
            <w:pPr>
              <w:pStyle w:val="TableText0"/>
              <w:jc w:val="center"/>
              <w:rPr>
                <w:sz w:val="18"/>
              </w:rPr>
            </w:pPr>
            <w:r>
              <w:rPr>
                <w:sz w:val="18"/>
              </w:rPr>
              <w:t>0</w:t>
            </w:r>
          </w:p>
        </w:tc>
        <w:tc>
          <w:tcPr>
            <w:tcW w:w="709" w:type="dxa"/>
            <w:vAlign w:val="center"/>
          </w:tcPr>
          <w:p w14:paraId="62D3688E" w14:textId="77777777" w:rsidR="00F45E7D" w:rsidRDefault="0087463C">
            <w:pPr>
              <w:pStyle w:val="TableText0"/>
              <w:jc w:val="center"/>
              <w:rPr>
                <w:sz w:val="18"/>
              </w:rPr>
            </w:pPr>
            <w:r>
              <w:rPr>
                <w:sz w:val="18"/>
              </w:rPr>
              <w:t>0</w:t>
            </w:r>
          </w:p>
        </w:tc>
        <w:tc>
          <w:tcPr>
            <w:tcW w:w="567" w:type="dxa"/>
            <w:vAlign w:val="center"/>
          </w:tcPr>
          <w:p w14:paraId="635F0BD1" w14:textId="77777777" w:rsidR="00F45E7D" w:rsidRDefault="0087463C">
            <w:pPr>
              <w:pStyle w:val="TableText0"/>
              <w:jc w:val="center"/>
              <w:rPr>
                <w:sz w:val="18"/>
              </w:rPr>
            </w:pPr>
            <w:r>
              <w:rPr>
                <w:sz w:val="18"/>
              </w:rPr>
              <w:t>0</w:t>
            </w:r>
          </w:p>
        </w:tc>
        <w:tc>
          <w:tcPr>
            <w:tcW w:w="708" w:type="dxa"/>
            <w:vAlign w:val="center"/>
          </w:tcPr>
          <w:p w14:paraId="505530E9" w14:textId="77777777" w:rsidR="00F45E7D" w:rsidRDefault="0087463C">
            <w:pPr>
              <w:pStyle w:val="TableText0"/>
              <w:jc w:val="center"/>
              <w:rPr>
                <w:sz w:val="18"/>
              </w:rPr>
            </w:pPr>
            <w:r>
              <w:rPr>
                <w:sz w:val="18"/>
              </w:rPr>
              <w:t>0</w:t>
            </w:r>
          </w:p>
        </w:tc>
        <w:tc>
          <w:tcPr>
            <w:tcW w:w="709" w:type="dxa"/>
            <w:vAlign w:val="center"/>
          </w:tcPr>
          <w:p w14:paraId="6F422845" w14:textId="77777777" w:rsidR="00F45E7D" w:rsidRDefault="0087463C">
            <w:pPr>
              <w:pStyle w:val="TableText0"/>
              <w:jc w:val="center"/>
              <w:rPr>
                <w:sz w:val="18"/>
              </w:rPr>
            </w:pPr>
            <w:r>
              <w:rPr>
                <w:sz w:val="18"/>
              </w:rPr>
              <w:t>4 (2%)</w:t>
            </w:r>
          </w:p>
        </w:tc>
        <w:tc>
          <w:tcPr>
            <w:tcW w:w="709" w:type="dxa"/>
            <w:vAlign w:val="center"/>
          </w:tcPr>
          <w:p w14:paraId="580FBFCC" w14:textId="77777777" w:rsidR="00F45E7D" w:rsidRDefault="0087463C">
            <w:pPr>
              <w:pStyle w:val="TableText0"/>
              <w:jc w:val="center"/>
              <w:rPr>
                <w:sz w:val="18"/>
              </w:rPr>
            </w:pPr>
            <w:r>
              <w:rPr>
                <w:sz w:val="18"/>
              </w:rPr>
              <w:t>0</w:t>
            </w:r>
          </w:p>
        </w:tc>
        <w:tc>
          <w:tcPr>
            <w:tcW w:w="570" w:type="dxa"/>
            <w:vAlign w:val="center"/>
          </w:tcPr>
          <w:p w14:paraId="6F3DE221" w14:textId="77777777" w:rsidR="00F45E7D" w:rsidRDefault="0087463C">
            <w:pPr>
              <w:pStyle w:val="TableText0"/>
              <w:jc w:val="center"/>
              <w:rPr>
                <w:sz w:val="18"/>
              </w:rPr>
            </w:pPr>
            <w:r>
              <w:rPr>
                <w:sz w:val="18"/>
              </w:rPr>
              <w:t>0</w:t>
            </w:r>
          </w:p>
        </w:tc>
        <w:tc>
          <w:tcPr>
            <w:tcW w:w="566" w:type="dxa"/>
            <w:vAlign w:val="center"/>
          </w:tcPr>
          <w:p w14:paraId="3418F0D8" w14:textId="77777777" w:rsidR="00F45E7D" w:rsidRDefault="0087463C">
            <w:pPr>
              <w:pStyle w:val="TableText0"/>
              <w:jc w:val="center"/>
              <w:rPr>
                <w:sz w:val="18"/>
              </w:rPr>
            </w:pPr>
            <w:r>
              <w:rPr>
                <w:sz w:val="18"/>
              </w:rPr>
              <w:t>0</w:t>
            </w:r>
          </w:p>
        </w:tc>
        <w:tc>
          <w:tcPr>
            <w:tcW w:w="709" w:type="dxa"/>
            <w:vAlign w:val="center"/>
          </w:tcPr>
          <w:p w14:paraId="3BDC54D4" w14:textId="77777777" w:rsidR="00F45E7D" w:rsidRDefault="0087463C">
            <w:pPr>
              <w:pStyle w:val="TableText0"/>
              <w:jc w:val="center"/>
              <w:rPr>
                <w:sz w:val="18"/>
              </w:rPr>
            </w:pPr>
            <w:r>
              <w:rPr>
                <w:sz w:val="18"/>
              </w:rPr>
              <w:t>0</w:t>
            </w:r>
          </w:p>
        </w:tc>
      </w:tr>
      <w:tr w:rsidR="00F45E7D" w14:paraId="61904CBB" w14:textId="77777777">
        <w:trPr>
          <w:trHeight w:val="85"/>
        </w:trPr>
        <w:tc>
          <w:tcPr>
            <w:tcW w:w="2263" w:type="dxa"/>
            <w:vAlign w:val="center"/>
          </w:tcPr>
          <w:p w14:paraId="6D523A54" w14:textId="77777777" w:rsidR="00F45E7D" w:rsidRDefault="0087463C">
            <w:pPr>
              <w:pStyle w:val="TableText0"/>
              <w:rPr>
                <w:sz w:val="18"/>
              </w:rPr>
            </w:pPr>
            <w:r>
              <w:rPr>
                <w:sz w:val="18"/>
              </w:rPr>
              <w:t xml:space="preserve">Increased amylase or lipase </w:t>
            </w:r>
          </w:p>
        </w:tc>
        <w:tc>
          <w:tcPr>
            <w:tcW w:w="709" w:type="dxa"/>
            <w:vAlign w:val="center"/>
          </w:tcPr>
          <w:p w14:paraId="0694886D" w14:textId="77777777" w:rsidR="00F45E7D" w:rsidRDefault="0087463C">
            <w:pPr>
              <w:pStyle w:val="TableText0"/>
              <w:jc w:val="center"/>
              <w:rPr>
                <w:sz w:val="18"/>
              </w:rPr>
            </w:pPr>
            <w:r>
              <w:rPr>
                <w:sz w:val="18"/>
              </w:rPr>
              <w:t>1 (1%)</w:t>
            </w:r>
          </w:p>
        </w:tc>
        <w:tc>
          <w:tcPr>
            <w:tcW w:w="709" w:type="dxa"/>
            <w:vAlign w:val="center"/>
          </w:tcPr>
          <w:p w14:paraId="0B428442" w14:textId="77777777" w:rsidR="00F45E7D" w:rsidRDefault="0087463C">
            <w:pPr>
              <w:pStyle w:val="TableText0"/>
              <w:jc w:val="center"/>
              <w:rPr>
                <w:sz w:val="18"/>
              </w:rPr>
            </w:pPr>
            <w:r>
              <w:rPr>
                <w:sz w:val="18"/>
              </w:rPr>
              <w:t>0</w:t>
            </w:r>
          </w:p>
        </w:tc>
        <w:tc>
          <w:tcPr>
            <w:tcW w:w="709" w:type="dxa"/>
            <w:vAlign w:val="center"/>
          </w:tcPr>
          <w:p w14:paraId="11D89678" w14:textId="77777777" w:rsidR="00F45E7D" w:rsidRDefault="0087463C">
            <w:pPr>
              <w:pStyle w:val="TableText0"/>
              <w:jc w:val="center"/>
              <w:rPr>
                <w:sz w:val="18"/>
              </w:rPr>
            </w:pPr>
            <w:r>
              <w:rPr>
                <w:sz w:val="18"/>
              </w:rPr>
              <w:t>1 (1%)</w:t>
            </w:r>
          </w:p>
        </w:tc>
        <w:tc>
          <w:tcPr>
            <w:tcW w:w="567" w:type="dxa"/>
            <w:vAlign w:val="center"/>
          </w:tcPr>
          <w:p w14:paraId="3D113FCD" w14:textId="77777777" w:rsidR="00F45E7D" w:rsidRDefault="0087463C">
            <w:pPr>
              <w:pStyle w:val="TableText0"/>
              <w:jc w:val="center"/>
              <w:rPr>
                <w:sz w:val="18"/>
              </w:rPr>
            </w:pPr>
            <w:r>
              <w:rPr>
                <w:sz w:val="18"/>
              </w:rPr>
              <w:t>0</w:t>
            </w:r>
          </w:p>
        </w:tc>
        <w:tc>
          <w:tcPr>
            <w:tcW w:w="708" w:type="dxa"/>
            <w:vAlign w:val="center"/>
          </w:tcPr>
          <w:p w14:paraId="59C97CE1" w14:textId="77777777" w:rsidR="00F45E7D" w:rsidRDefault="0087463C">
            <w:pPr>
              <w:pStyle w:val="TableText0"/>
              <w:jc w:val="center"/>
              <w:rPr>
                <w:sz w:val="18"/>
              </w:rPr>
            </w:pPr>
            <w:r>
              <w:rPr>
                <w:sz w:val="18"/>
              </w:rPr>
              <w:t>1 (1%)</w:t>
            </w:r>
          </w:p>
        </w:tc>
        <w:tc>
          <w:tcPr>
            <w:tcW w:w="709" w:type="dxa"/>
            <w:vAlign w:val="center"/>
          </w:tcPr>
          <w:p w14:paraId="21C8A2AD" w14:textId="77777777" w:rsidR="00F45E7D" w:rsidRDefault="0087463C">
            <w:pPr>
              <w:pStyle w:val="TableText0"/>
              <w:jc w:val="center"/>
              <w:rPr>
                <w:sz w:val="18"/>
              </w:rPr>
            </w:pPr>
            <w:r>
              <w:rPr>
                <w:sz w:val="18"/>
              </w:rPr>
              <w:t>0</w:t>
            </w:r>
          </w:p>
        </w:tc>
        <w:tc>
          <w:tcPr>
            <w:tcW w:w="709" w:type="dxa"/>
            <w:vAlign w:val="center"/>
          </w:tcPr>
          <w:p w14:paraId="29157FA5" w14:textId="77777777" w:rsidR="00F45E7D" w:rsidRDefault="0087463C">
            <w:pPr>
              <w:pStyle w:val="TableText0"/>
              <w:jc w:val="center"/>
              <w:rPr>
                <w:sz w:val="18"/>
              </w:rPr>
            </w:pPr>
            <w:r>
              <w:rPr>
                <w:sz w:val="18"/>
              </w:rPr>
              <w:t>2 (1%)</w:t>
            </w:r>
          </w:p>
        </w:tc>
        <w:tc>
          <w:tcPr>
            <w:tcW w:w="570" w:type="dxa"/>
            <w:vAlign w:val="center"/>
          </w:tcPr>
          <w:p w14:paraId="38CEAAA5" w14:textId="77777777" w:rsidR="00F45E7D" w:rsidRDefault="0087463C">
            <w:pPr>
              <w:pStyle w:val="TableText0"/>
              <w:jc w:val="center"/>
              <w:rPr>
                <w:sz w:val="18"/>
              </w:rPr>
            </w:pPr>
            <w:r>
              <w:rPr>
                <w:sz w:val="18"/>
              </w:rPr>
              <w:t>0</w:t>
            </w:r>
          </w:p>
        </w:tc>
        <w:tc>
          <w:tcPr>
            <w:tcW w:w="566" w:type="dxa"/>
            <w:vAlign w:val="center"/>
          </w:tcPr>
          <w:p w14:paraId="6B753D47" w14:textId="77777777" w:rsidR="00F45E7D" w:rsidRDefault="0087463C">
            <w:pPr>
              <w:pStyle w:val="TableText0"/>
              <w:jc w:val="center"/>
              <w:rPr>
                <w:sz w:val="18"/>
              </w:rPr>
            </w:pPr>
            <w:r>
              <w:rPr>
                <w:sz w:val="18"/>
              </w:rPr>
              <w:t>0</w:t>
            </w:r>
          </w:p>
        </w:tc>
        <w:tc>
          <w:tcPr>
            <w:tcW w:w="709" w:type="dxa"/>
            <w:vAlign w:val="center"/>
          </w:tcPr>
          <w:p w14:paraId="0BBCB59F" w14:textId="77777777" w:rsidR="00F45E7D" w:rsidRDefault="0087463C">
            <w:pPr>
              <w:pStyle w:val="TableText0"/>
              <w:jc w:val="center"/>
              <w:rPr>
                <w:sz w:val="18"/>
              </w:rPr>
            </w:pPr>
            <w:r>
              <w:rPr>
                <w:sz w:val="18"/>
              </w:rPr>
              <w:t>2 (1%)</w:t>
            </w:r>
          </w:p>
        </w:tc>
      </w:tr>
      <w:tr w:rsidR="00F45E7D" w14:paraId="59BEEB2C" w14:textId="77777777">
        <w:trPr>
          <w:trHeight w:val="85"/>
        </w:trPr>
        <w:tc>
          <w:tcPr>
            <w:tcW w:w="2263" w:type="dxa"/>
            <w:vAlign w:val="center"/>
          </w:tcPr>
          <w:p w14:paraId="77DC9612" w14:textId="77777777" w:rsidR="00F45E7D" w:rsidRDefault="0087463C">
            <w:pPr>
              <w:pStyle w:val="TableText0"/>
              <w:rPr>
                <w:sz w:val="18"/>
              </w:rPr>
            </w:pPr>
            <w:r>
              <w:rPr>
                <w:sz w:val="18"/>
              </w:rPr>
              <w:t xml:space="preserve">Skin </w:t>
            </w:r>
          </w:p>
        </w:tc>
        <w:tc>
          <w:tcPr>
            <w:tcW w:w="709" w:type="dxa"/>
            <w:vAlign w:val="center"/>
          </w:tcPr>
          <w:p w14:paraId="64761F35" w14:textId="77777777" w:rsidR="00F45E7D" w:rsidRDefault="0087463C">
            <w:pPr>
              <w:pStyle w:val="TableText0"/>
              <w:jc w:val="center"/>
              <w:rPr>
                <w:sz w:val="18"/>
              </w:rPr>
            </w:pPr>
            <w:r>
              <w:rPr>
                <w:sz w:val="18"/>
              </w:rPr>
              <w:t>42 (22%)</w:t>
            </w:r>
          </w:p>
        </w:tc>
        <w:tc>
          <w:tcPr>
            <w:tcW w:w="709" w:type="dxa"/>
            <w:vAlign w:val="center"/>
          </w:tcPr>
          <w:p w14:paraId="22981909" w14:textId="77777777" w:rsidR="00F45E7D" w:rsidRDefault="0087463C">
            <w:pPr>
              <w:pStyle w:val="TableText0"/>
              <w:jc w:val="center"/>
              <w:rPr>
                <w:sz w:val="18"/>
              </w:rPr>
            </w:pPr>
            <w:r>
              <w:rPr>
                <w:bCs w:val="0"/>
                <w:sz w:val="18"/>
              </w:rPr>
              <w:t xml:space="preserve">4 </w:t>
            </w:r>
            <w:r>
              <w:rPr>
                <w:sz w:val="18"/>
              </w:rPr>
              <w:t>(2%)</w:t>
            </w:r>
          </w:p>
        </w:tc>
        <w:tc>
          <w:tcPr>
            <w:tcW w:w="709" w:type="dxa"/>
            <w:vAlign w:val="center"/>
          </w:tcPr>
          <w:p w14:paraId="40052D82" w14:textId="77777777" w:rsidR="00F45E7D" w:rsidRDefault="0087463C">
            <w:pPr>
              <w:pStyle w:val="TableText0"/>
              <w:jc w:val="center"/>
              <w:rPr>
                <w:sz w:val="18"/>
              </w:rPr>
            </w:pPr>
            <w:r>
              <w:rPr>
                <w:sz w:val="18"/>
              </w:rPr>
              <w:t>0</w:t>
            </w:r>
          </w:p>
        </w:tc>
        <w:tc>
          <w:tcPr>
            <w:tcW w:w="567" w:type="dxa"/>
            <w:vAlign w:val="center"/>
          </w:tcPr>
          <w:p w14:paraId="21AFB9C2" w14:textId="77777777" w:rsidR="00F45E7D" w:rsidRDefault="0087463C">
            <w:pPr>
              <w:pStyle w:val="TableText0"/>
              <w:jc w:val="center"/>
              <w:rPr>
                <w:sz w:val="18"/>
              </w:rPr>
            </w:pPr>
            <w:r>
              <w:rPr>
                <w:sz w:val="18"/>
              </w:rPr>
              <w:t>0</w:t>
            </w:r>
          </w:p>
        </w:tc>
        <w:tc>
          <w:tcPr>
            <w:tcW w:w="708" w:type="dxa"/>
            <w:vAlign w:val="center"/>
          </w:tcPr>
          <w:p w14:paraId="6D75FFAC" w14:textId="77777777" w:rsidR="00F45E7D" w:rsidRDefault="0087463C">
            <w:pPr>
              <w:pStyle w:val="TableText0"/>
              <w:jc w:val="center"/>
              <w:rPr>
                <w:sz w:val="18"/>
              </w:rPr>
            </w:pPr>
            <w:r>
              <w:rPr>
                <w:bCs w:val="0"/>
                <w:sz w:val="18"/>
              </w:rPr>
              <w:t xml:space="preserve">4 </w:t>
            </w:r>
            <w:r>
              <w:rPr>
                <w:sz w:val="18"/>
              </w:rPr>
              <w:t>(2%)</w:t>
            </w:r>
          </w:p>
        </w:tc>
        <w:tc>
          <w:tcPr>
            <w:tcW w:w="709" w:type="dxa"/>
            <w:vAlign w:val="center"/>
          </w:tcPr>
          <w:p w14:paraId="62DE4C2A" w14:textId="77777777" w:rsidR="00F45E7D" w:rsidRDefault="0087463C">
            <w:pPr>
              <w:pStyle w:val="TableText0"/>
              <w:jc w:val="center"/>
              <w:rPr>
                <w:sz w:val="18"/>
              </w:rPr>
            </w:pPr>
            <w:r>
              <w:rPr>
                <w:sz w:val="18"/>
              </w:rPr>
              <w:t>27 (17%)</w:t>
            </w:r>
          </w:p>
        </w:tc>
        <w:tc>
          <w:tcPr>
            <w:tcW w:w="709" w:type="dxa"/>
            <w:vAlign w:val="center"/>
          </w:tcPr>
          <w:p w14:paraId="051CC9A5" w14:textId="77777777" w:rsidR="00F45E7D" w:rsidRDefault="0087463C">
            <w:pPr>
              <w:pStyle w:val="TableText0"/>
              <w:jc w:val="center"/>
              <w:rPr>
                <w:sz w:val="18"/>
              </w:rPr>
            </w:pPr>
            <w:r>
              <w:rPr>
                <w:bCs w:val="0"/>
                <w:sz w:val="18"/>
              </w:rPr>
              <w:t xml:space="preserve">2 </w:t>
            </w:r>
            <w:r>
              <w:rPr>
                <w:sz w:val="18"/>
              </w:rPr>
              <w:t>(1%)</w:t>
            </w:r>
          </w:p>
        </w:tc>
        <w:tc>
          <w:tcPr>
            <w:tcW w:w="570" w:type="dxa"/>
            <w:vAlign w:val="center"/>
          </w:tcPr>
          <w:p w14:paraId="3C705F03" w14:textId="77777777" w:rsidR="00F45E7D" w:rsidRDefault="0087463C">
            <w:pPr>
              <w:pStyle w:val="TableText0"/>
              <w:jc w:val="center"/>
              <w:rPr>
                <w:sz w:val="18"/>
              </w:rPr>
            </w:pPr>
            <w:r>
              <w:rPr>
                <w:sz w:val="18"/>
              </w:rPr>
              <w:t>0</w:t>
            </w:r>
          </w:p>
        </w:tc>
        <w:tc>
          <w:tcPr>
            <w:tcW w:w="566" w:type="dxa"/>
            <w:vAlign w:val="center"/>
          </w:tcPr>
          <w:p w14:paraId="3DF9C60A" w14:textId="77777777" w:rsidR="00F45E7D" w:rsidRDefault="0087463C">
            <w:pPr>
              <w:pStyle w:val="TableText0"/>
              <w:jc w:val="center"/>
              <w:rPr>
                <w:sz w:val="18"/>
              </w:rPr>
            </w:pPr>
            <w:r>
              <w:rPr>
                <w:sz w:val="18"/>
              </w:rPr>
              <w:t>0</w:t>
            </w:r>
          </w:p>
        </w:tc>
        <w:tc>
          <w:tcPr>
            <w:tcW w:w="709" w:type="dxa"/>
            <w:vAlign w:val="center"/>
          </w:tcPr>
          <w:p w14:paraId="322F4034" w14:textId="77777777" w:rsidR="00F45E7D" w:rsidRDefault="0087463C">
            <w:pPr>
              <w:pStyle w:val="TableText0"/>
              <w:jc w:val="center"/>
              <w:rPr>
                <w:sz w:val="18"/>
              </w:rPr>
            </w:pPr>
            <w:r>
              <w:rPr>
                <w:bCs w:val="0"/>
                <w:sz w:val="18"/>
              </w:rPr>
              <w:t xml:space="preserve">2 </w:t>
            </w:r>
            <w:r>
              <w:rPr>
                <w:sz w:val="18"/>
              </w:rPr>
              <w:t>(1%)</w:t>
            </w:r>
          </w:p>
        </w:tc>
      </w:tr>
      <w:tr w:rsidR="00F45E7D" w14:paraId="4F351E28" w14:textId="77777777">
        <w:trPr>
          <w:trHeight w:val="85"/>
        </w:trPr>
        <w:tc>
          <w:tcPr>
            <w:tcW w:w="2263" w:type="dxa"/>
            <w:vAlign w:val="center"/>
          </w:tcPr>
          <w:p w14:paraId="0C50E07D" w14:textId="77777777" w:rsidR="00F45E7D" w:rsidRDefault="0087463C">
            <w:pPr>
              <w:pStyle w:val="TableText0"/>
              <w:rPr>
                <w:sz w:val="18"/>
              </w:rPr>
            </w:pPr>
            <w:r>
              <w:rPr>
                <w:sz w:val="18"/>
              </w:rPr>
              <w:t xml:space="preserve">Rash or pruritus </w:t>
            </w:r>
          </w:p>
        </w:tc>
        <w:tc>
          <w:tcPr>
            <w:tcW w:w="709" w:type="dxa"/>
            <w:vAlign w:val="center"/>
          </w:tcPr>
          <w:p w14:paraId="15C0C54C" w14:textId="77777777" w:rsidR="00F45E7D" w:rsidRDefault="0087463C">
            <w:pPr>
              <w:pStyle w:val="TableText0"/>
              <w:jc w:val="center"/>
              <w:rPr>
                <w:sz w:val="18"/>
              </w:rPr>
            </w:pPr>
            <w:r>
              <w:rPr>
                <w:sz w:val="18"/>
              </w:rPr>
              <w:t>39 (20%)</w:t>
            </w:r>
          </w:p>
        </w:tc>
        <w:tc>
          <w:tcPr>
            <w:tcW w:w="709" w:type="dxa"/>
            <w:vAlign w:val="center"/>
          </w:tcPr>
          <w:p w14:paraId="1F5DBCB1" w14:textId="77777777" w:rsidR="00F45E7D" w:rsidRDefault="0087463C">
            <w:pPr>
              <w:pStyle w:val="TableText0"/>
              <w:jc w:val="center"/>
              <w:rPr>
                <w:sz w:val="18"/>
              </w:rPr>
            </w:pPr>
            <w:r>
              <w:rPr>
                <w:bCs w:val="0"/>
                <w:sz w:val="18"/>
              </w:rPr>
              <w:t xml:space="preserve">3 </w:t>
            </w:r>
            <w:r>
              <w:rPr>
                <w:sz w:val="18"/>
              </w:rPr>
              <w:t>(2%)</w:t>
            </w:r>
          </w:p>
        </w:tc>
        <w:tc>
          <w:tcPr>
            <w:tcW w:w="709" w:type="dxa"/>
            <w:vAlign w:val="center"/>
          </w:tcPr>
          <w:p w14:paraId="6A1CA219" w14:textId="77777777" w:rsidR="00F45E7D" w:rsidRDefault="0087463C">
            <w:pPr>
              <w:pStyle w:val="TableText0"/>
              <w:jc w:val="center"/>
              <w:rPr>
                <w:sz w:val="18"/>
              </w:rPr>
            </w:pPr>
            <w:r>
              <w:rPr>
                <w:sz w:val="18"/>
              </w:rPr>
              <w:t>0</w:t>
            </w:r>
          </w:p>
        </w:tc>
        <w:tc>
          <w:tcPr>
            <w:tcW w:w="567" w:type="dxa"/>
            <w:vAlign w:val="center"/>
          </w:tcPr>
          <w:p w14:paraId="67838414" w14:textId="77777777" w:rsidR="00F45E7D" w:rsidRDefault="0087463C">
            <w:pPr>
              <w:pStyle w:val="TableText0"/>
              <w:jc w:val="center"/>
              <w:rPr>
                <w:sz w:val="18"/>
              </w:rPr>
            </w:pPr>
            <w:r>
              <w:rPr>
                <w:sz w:val="18"/>
              </w:rPr>
              <w:t>0</w:t>
            </w:r>
          </w:p>
        </w:tc>
        <w:tc>
          <w:tcPr>
            <w:tcW w:w="708" w:type="dxa"/>
            <w:vAlign w:val="center"/>
          </w:tcPr>
          <w:p w14:paraId="3B6EDBCB" w14:textId="77777777" w:rsidR="00F45E7D" w:rsidRDefault="0087463C">
            <w:pPr>
              <w:pStyle w:val="TableText0"/>
              <w:jc w:val="center"/>
              <w:rPr>
                <w:sz w:val="18"/>
              </w:rPr>
            </w:pPr>
            <w:r>
              <w:rPr>
                <w:bCs w:val="0"/>
                <w:sz w:val="18"/>
              </w:rPr>
              <w:t xml:space="preserve">3 </w:t>
            </w:r>
            <w:r>
              <w:rPr>
                <w:sz w:val="18"/>
              </w:rPr>
              <w:t>(2%)</w:t>
            </w:r>
          </w:p>
        </w:tc>
        <w:tc>
          <w:tcPr>
            <w:tcW w:w="709" w:type="dxa"/>
            <w:vAlign w:val="center"/>
          </w:tcPr>
          <w:p w14:paraId="26F2BD22" w14:textId="77777777" w:rsidR="00F45E7D" w:rsidRDefault="0087463C">
            <w:pPr>
              <w:pStyle w:val="TableText0"/>
              <w:jc w:val="center"/>
              <w:rPr>
                <w:sz w:val="18"/>
              </w:rPr>
            </w:pPr>
            <w:r>
              <w:rPr>
                <w:sz w:val="18"/>
              </w:rPr>
              <w:t>27 (17%)</w:t>
            </w:r>
          </w:p>
        </w:tc>
        <w:tc>
          <w:tcPr>
            <w:tcW w:w="709" w:type="dxa"/>
            <w:vAlign w:val="center"/>
          </w:tcPr>
          <w:p w14:paraId="494E98A5" w14:textId="77777777" w:rsidR="00F45E7D" w:rsidRDefault="0087463C">
            <w:pPr>
              <w:pStyle w:val="TableText0"/>
              <w:jc w:val="center"/>
              <w:rPr>
                <w:sz w:val="18"/>
              </w:rPr>
            </w:pPr>
            <w:r>
              <w:rPr>
                <w:bCs w:val="0"/>
                <w:sz w:val="18"/>
              </w:rPr>
              <w:t xml:space="preserve">2 </w:t>
            </w:r>
            <w:r>
              <w:rPr>
                <w:sz w:val="18"/>
              </w:rPr>
              <w:t>(1%)</w:t>
            </w:r>
          </w:p>
        </w:tc>
        <w:tc>
          <w:tcPr>
            <w:tcW w:w="570" w:type="dxa"/>
            <w:vAlign w:val="center"/>
          </w:tcPr>
          <w:p w14:paraId="6742BCDE" w14:textId="77777777" w:rsidR="00F45E7D" w:rsidRDefault="0087463C">
            <w:pPr>
              <w:pStyle w:val="TableText0"/>
              <w:jc w:val="center"/>
              <w:rPr>
                <w:sz w:val="18"/>
              </w:rPr>
            </w:pPr>
            <w:r>
              <w:rPr>
                <w:sz w:val="18"/>
              </w:rPr>
              <w:t>0</w:t>
            </w:r>
          </w:p>
        </w:tc>
        <w:tc>
          <w:tcPr>
            <w:tcW w:w="566" w:type="dxa"/>
            <w:vAlign w:val="center"/>
          </w:tcPr>
          <w:p w14:paraId="06548311" w14:textId="77777777" w:rsidR="00F45E7D" w:rsidRDefault="0087463C">
            <w:pPr>
              <w:pStyle w:val="TableText0"/>
              <w:jc w:val="center"/>
              <w:rPr>
                <w:sz w:val="18"/>
              </w:rPr>
            </w:pPr>
            <w:r>
              <w:rPr>
                <w:sz w:val="18"/>
              </w:rPr>
              <w:t>0</w:t>
            </w:r>
          </w:p>
        </w:tc>
        <w:tc>
          <w:tcPr>
            <w:tcW w:w="709" w:type="dxa"/>
            <w:vAlign w:val="center"/>
          </w:tcPr>
          <w:p w14:paraId="7334E4A9" w14:textId="77777777" w:rsidR="00F45E7D" w:rsidRDefault="0087463C">
            <w:pPr>
              <w:pStyle w:val="TableText0"/>
              <w:jc w:val="center"/>
              <w:rPr>
                <w:sz w:val="18"/>
              </w:rPr>
            </w:pPr>
            <w:r>
              <w:rPr>
                <w:bCs w:val="0"/>
                <w:sz w:val="18"/>
              </w:rPr>
              <w:t xml:space="preserve">2 </w:t>
            </w:r>
            <w:r>
              <w:rPr>
                <w:sz w:val="18"/>
              </w:rPr>
              <w:t>(1%)</w:t>
            </w:r>
          </w:p>
        </w:tc>
      </w:tr>
      <w:tr w:rsidR="00F45E7D" w14:paraId="59F31237" w14:textId="77777777">
        <w:trPr>
          <w:trHeight w:val="85"/>
        </w:trPr>
        <w:tc>
          <w:tcPr>
            <w:tcW w:w="2263" w:type="dxa"/>
            <w:vAlign w:val="center"/>
          </w:tcPr>
          <w:p w14:paraId="43D2BAA0" w14:textId="77777777" w:rsidR="00F45E7D" w:rsidRDefault="0087463C">
            <w:pPr>
              <w:pStyle w:val="TableText0"/>
              <w:rPr>
                <w:sz w:val="18"/>
              </w:rPr>
            </w:pPr>
            <w:r>
              <w:rPr>
                <w:sz w:val="18"/>
              </w:rPr>
              <w:t xml:space="preserve">Vitiligo </w:t>
            </w:r>
          </w:p>
        </w:tc>
        <w:tc>
          <w:tcPr>
            <w:tcW w:w="709" w:type="dxa"/>
            <w:vAlign w:val="center"/>
          </w:tcPr>
          <w:p w14:paraId="064E5AA7" w14:textId="77777777" w:rsidR="00F45E7D" w:rsidRDefault="0087463C">
            <w:pPr>
              <w:pStyle w:val="TableText0"/>
              <w:jc w:val="center"/>
              <w:rPr>
                <w:sz w:val="18"/>
              </w:rPr>
            </w:pPr>
            <w:r>
              <w:rPr>
                <w:sz w:val="18"/>
              </w:rPr>
              <w:t>3 (2%)</w:t>
            </w:r>
          </w:p>
        </w:tc>
        <w:tc>
          <w:tcPr>
            <w:tcW w:w="709" w:type="dxa"/>
            <w:vAlign w:val="center"/>
          </w:tcPr>
          <w:p w14:paraId="06F879EF" w14:textId="77777777" w:rsidR="00F45E7D" w:rsidRDefault="0087463C">
            <w:pPr>
              <w:pStyle w:val="TableText0"/>
              <w:jc w:val="center"/>
              <w:rPr>
                <w:sz w:val="18"/>
              </w:rPr>
            </w:pPr>
            <w:r>
              <w:rPr>
                <w:sz w:val="18"/>
              </w:rPr>
              <w:t>0</w:t>
            </w:r>
          </w:p>
        </w:tc>
        <w:tc>
          <w:tcPr>
            <w:tcW w:w="709" w:type="dxa"/>
            <w:vAlign w:val="center"/>
          </w:tcPr>
          <w:p w14:paraId="056A8152" w14:textId="77777777" w:rsidR="00F45E7D" w:rsidRDefault="0087463C">
            <w:pPr>
              <w:pStyle w:val="TableText0"/>
              <w:jc w:val="center"/>
              <w:rPr>
                <w:sz w:val="18"/>
              </w:rPr>
            </w:pPr>
            <w:r>
              <w:rPr>
                <w:sz w:val="18"/>
              </w:rPr>
              <w:t>0</w:t>
            </w:r>
          </w:p>
        </w:tc>
        <w:tc>
          <w:tcPr>
            <w:tcW w:w="567" w:type="dxa"/>
            <w:vAlign w:val="center"/>
          </w:tcPr>
          <w:p w14:paraId="61EFE2CE" w14:textId="77777777" w:rsidR="00F45E7D" w:rsidRDefault="0087463C">
            <w:pPr>
              <w:pStyle w:val="TableText0"/>
              <w:jc w:val="center"/>
              <w:rPr>
                <w:sz w:val="18"/>
              </w:rPr>
            </w:pPr>
            <w:r>
              <w:rPr>
                <w:sz w:val="18"/>
              </w:rPr>
              <w:t>0</w:t>
            </w:r>
          </w:p>
        </w:tc>
        <w:tc>
          <w:tcPr>
            <w:tcW w:w="708" w:type="dxa"/>
            <w:vAlign w:val="center"/>
          </w:tcPr>
          <w:p w14:paraId="4ADCE5A2" w14:textId="77777777" w:rsidR="00F45E7D" w:rsidRDefault="0087463C">
            <w:pPr>
              <w:pStyle w:val="TableText0"/>
              <w:jc w:val="center"/>
              <w:rPr>
                <w:sz w:val="18"/>
              </w:rPr>
            </w:pPr>
            <w:r>
              <w:rPr>
                <w:sz w:val="18"/>
              </w:rPr>
              <w:t>0</w:t>
            </w:r>
          </w:p>
        </w:tc>
        <w:tc>
          <w:tcPr>
            <w:tcW w:w="709" w:type="dxa"/>
            <w:vAlign w:val="center"/>
          </w:tcPr>
          <w:p w14:paraId="176247CE" w14:textId="77777777" w:rsidR="00F45E7D" w:rsidRDefault="0087463C">
            <w:pPr>
              <w:pStyle w:val="TableText0"/>
              <w:jc w:val="center"/>
              <w:rPr>
                <w:sz w:val="18"/>
              </w:rPr>
            </w:pPr>
            <w:r>
              <w:rPr>
                <w:sz w:val="18"/>
              </w:rPr>
              <w:t>0</w:t>
            </w:r>
          </w:p>
        </w:tc>
        <w:tc>
          <w:tcPr>
            <w:tcW w:w="709" w:type="dxa"/>
            <w:vAlign w:val="center"/>
          </w:tcPr>
          <w:p w14:paraId="3069560B" w14:textId="77777777" w:rsidR="00F45E7D" w:rsidRDefault="0087463C">
            <w:pPr>
              <w:pStyle w:val="TableText0"/>
              <w:jc w:val="center"/>
              <w:rPr>
                <w:sz w:val="18"/>
              </w:rPr>
            </w:pPr>
            <w:r>
              <w:rPr>
                <w:sz w:val="18"/>
              </w:rPr>
              <w:t>0</w:t>
            </w:r>
          </w:p>
        </w:tc>
        <w:tc>
          <w:tcPr>
            <w:tcW w:w="570" w:type="dxa"/>
            <w:vAlign w:val="center"/>
          </w:tcPr>
          <w:p w14:paraId="5416C447" w14:textId="77777777" w:rsidR="00F45E7D" w:rsidRDefault="0087463C">
            <w:pPr>
              <w:pStyle w:val="TableText0"/>
              <w:jc w:val="center"/>
              <w:rPr>
                <w:sz w:val="18"/>
              </w:rPr>
            </w:pPr>
            <w:r>
              <w:rPr>
                <w:sz w:val="18"/>
              </w:rPr>
              <w:t>0</w:t>
            </w:r>
          </w:p>
        </w:tc>
        <w:tc>
          <w:tcPr>
            <w:tcW w:w="566" w:type="dxa"/>
            <w:vAlign w:val="center"/>
          </w:tcPr>
          <w:p w14:paraId="0874C14C" w14:textId="77777777" w:rsidR="00F45E7D" w:rsidRDefault="0087463C">
            <w:pPr>
              <w:pStyle w:val="TableText0"/>
              <w:jc w:val="center"/>
              <w:rPr>
                <w:sz w:val="18"/>
              </w:rPr>
            </w:pPr>
            <w:r>
              <w:rPr>
                <w:sz w:val="18"/>
              </w:rPr>
              <w:t>0</w:t>
            </w:r>
          </w:p>
        </w:tc>
        <w:tc>
          <w:tcPr>
            <w:tcW w:w="709" w:type="dxa"/>
            <w:vAlign w:val="center"/>
          </w:tcPr>
          <w:p w14:paraId="02282A80" w14:textId="77777777" w:rsidR="00F45E7D" w:rsidRDefault="0087463C">
            <w:pPr>
              <w:pStyle w:val="TableText0"/>
              <w:jc w:val="center"/>
              <w:rPr>
                <w:sz w:val="18"/>
              </w:rPr>
            </w:pPr>
            <w:r>
              <w:rPr>
                <w:sz w:val="18"/>
              </w:rPr>
              <w:t>0</w:t>
            </w:r>
          </w:p>
        </w:tc>
      </w:tr>
      <w:tr w:rsidR="00F45E7D" w14:paraId="5A0F5DE7" w14:textId="77777777">
        <w:trPr>
          <w:trHeight w:val="85"/>
        </w:trPr>
        <w:tc>
          <w:tcPr>
            <w:tcW w:w="2263" w:type="dxa"/>
            <w:vAlign w:val="center"/>
          </w:tcPr>
          <w:p w14:paraId="5D0EBE25" w14:textId="77777777" w:rsidR="00F45E7D" w:rsidRDefault="0087463C">
            <w:pPr>
              <w:pStyle w:val="TableText0"/>
              <w:rPr>
                <w:sz w:val="18"/>
              </w:rPr>
            </w:pPr>
            <w:r>
              <w:rPr>
                <w:sz w:val="18"/>
              </w:rPr>
              <w:t xml:space="preserve">Bullous pemphigoid </w:t>
            </w:r>
          </w:p>
        </w:tc>
        <w:tc>
          <w:tcPr>
            <w:tcW w:w="709" w:type="dxa"/>
            <w:vAlign w:val="center"/>
          </w:tcPr>
          <w:p w14:paraId="19A16D15" w14:textId="77777777" w:rsidR="00F45E7D" w:rsidRDefault="0087463C">
            <w:pPr>
              <w:pStyle w:val="TableText0"/>
              <w:jc w:val="center"/>
              <w:rPr>
                <w:sz w:val="18"/>
              </w:rPr>
            </w:pPr>
            <w:r>
              <w:rPr>
                <w:sz w:val="18"/>
              </w:rPr>
              <w:t>0</w:t>
            </w:r>
          </w:p>
        </w:tc>
        <w:tc>
          <w:tcPr>
            <w:tcW w:w="709" w:type="dxa"/>
            <w:vAlign w:val="center"/>
          </w:tcPr>
          <w:p w14:paraId="60E277B9" w14:textId="77777777" w:rsidR="00F45E7D" w:rsidRDefault="0087463C">
            <w:pPr>
              <w:pStyle w:val="TableText0"/>
              <w:jc w:val="center"/>
              <w:rPr>
                <w:sz w:val="18"/>
              </w:rPr>
            </w:pPr>
            <w:r>
              <w:rPr>
                <w:sz w:val="18"/>
              </w:rPr>
              <w:t>1 (1%)</w:t>
            </w:r>
          </w:p>
        </w:tc>
        <w:tc>
          <w:tcPr>
            <w:tcW w:w="709" w:type="dxa"/>
            <w:vAlign w:val="center"/>
          </w:tcPr>
          <w:p w14:paraId="6B17DDC7" w14:textId="77777777" w:rsidR="00F45E7D" w:rsidRDefault="0087463C">
            <w:pPr>
              <w:pStyle w:val="TableText0"/>
              <w:jc w:val="center"/>
              <w:rPr>
                <w:sz w:val="18"/>
              </w:rPr>
            </w:pPr>
            <w:r>
              <w:rPr>
                <w:sz w:val="18"/>
              </w:rPr>
              <w:t>0</w:t>
            </w:r>
          </w:p>
        </w:tc>
        <w:tc>
          <w:tcPr>
            <w:tcW w:w="567" w:type="dxa"/>
            <w:vAlign w:val="center"/>
          </w:tcPr>
          <w:p w14:paraId="0DA418E0" w14:textId="77777777" w:rsidR="00F45E7D" w:rsidRDefault="0087463C">
            <w:pPr>
              <w:pStyle w:val="TableText0"/>
              <w:jc w:val="center"/>
              <w:rPr>
                <w:sz w:val="18"/>
              </w:rPr>
            </w:pPr>
            <w:r>
              <w:rPr>
                <w:sz w:val="18"/>
              </w:rPr>
              <w:t>0</w:t>
            </w:r>
          </w:p>
        </w:tc>
        <w:tc>
          <w:tcPr>
            <w:tcW w:w="708" w:type="dxa"/>
            <w:vAlign w:val="center"/>
          </w:tcPr>
          <w:p w14:paraId="6B5B0D55" w14:textId="77777777" w:rsidR="00F45E7D" w:rsidRDefault="0087463C">
            <w:pPr>
              <w:pStyle w:val="TableText0"/>
              <w:jc w:val="center"/>
              <w:rPr>
                <w:sz w:val="18"/>
              </w:rPr>
            </w:pPr>
            <w:r>
              <w:rPr>
                <w:sz w:val="18"/>
              </w:rPr>
              <w:t>1 (1%)</w:t>
            </w:r>
          </w:p>
        </w:tc>
        <w:tc>
          <w:tcPr>
            <w:tcW w:w="709" w:type="dxa"/>
            <w:vAlign w:val="center"/>
          </w:tcPr>
          <w:p w14:paraId="1F1B6C6B" w14:textId="77777777" w:rsidR="00F45E7D" w:rsidRDefault="0087463C">
            <w:pPr>
              <w:pStyle w:val="TableText0"/>
              <w:jc w:val="center"/>
              <w:rPr>
                <w:sz w:val="18"/>
              </w:rPr>
            </w:pPr>
            <w:r>
              <w:rPr>
                <w:sz w:val="18"/>
              </w:rPr>
              <w:t>0</w:t>
            </w:r>
          </w:p>
        </w:tc>
        <w:tc>
          <w:tcPr>
            <w:tcW w:w="709" w:type="dxa"/>
            <w:vAlign w:val="center"/>
          </w:tcPr>
          <w:p w14:paraId="7A1B0621" w14:textId="77777777" w:rsidR="00F45E7D" w:rsidRDefault="0087463C">
            <w:pPr>
              <w:pStyle w:val="TableText0"/>
              <w:jc w:val="center"/>
              <w:rPr>
                <w:sz w:val="18"/>
              </w:rPr>
            </w:pPr>
            <w:r>
              <w:rPr>
                <w:sz w:val="18"/>
              </w:rPr>
              <w:t>0</w:t>
            </w:r>
          </w:p>
        </w:tc>
        <w:tc>
          <w:tcPr>
            <w:tcW w:w="570" w:type="dxa"/>
            <w:vAlign w:val="center"/>
          </w:tcPr>
          <w:p w14:paraId="79C72834" w14:textId="77777777" w:rsidR="00F45E7D" w:rsidRDefault="0087463C">
            <w:pPr>
              <w:pStyle w:val="TableText0"/>
              <w:jc w:val="center"/>
              <w:rPr>
                <w:sz w:val="18"/>
              </w:rPr>
            </w:pPr>
            <w:r>
              <w:rPr>
                <w:sz w:val="18"/>
              </w:rPr>
              <w:t>0</w:t>
            </w:r>
          </w:p>
        </w:tc>
        <w:tc>
          <w:tcPr>
            <w:tcW w:w="566" w:type="dxa"/>
            <w:vAlign w:val="center"/>
          </w:tcPr>
          <w:p w14:paraId="685E5BC8" w14:textId="77777777" w:rsidR="00F45E7D" w:rsidRDefault="0087463C">
            <w:pPr>
              <w:pStyle w:val="TableText0"/>
              <w:jc w:val="center"/>
              <w:rPr>
                <w:sz w:val="18"/>
              </w:rPr>
            </w:pPr>
            <w:r>
              <w:rPr>
                <w:sz w:val="18"/>
              </w:rPr>
              <w:t>0</w:t>
            </w:r>
          </w:p>
        </w:tc>
        <w:tc>
          <w:tcPr>
            <w:tcW w:w="709" w:type="dxa"/>
            <w:vAlign w:val="center"/>
          </w:tcPr>
          <w:p w14:paraId="06F40278" w14:textId="77777777" w:rsidR="00F45E7D" w:rsidRDefault="0087463C">
            <w:pPr>
              <w:pStyle w:val="TableText0"/>
              <w:jc w:val="center"/>
              <w:rPr>
                <w:sz w:val="18"/>
              </w:rPr>
            </w:pPr>
            <w:r>
              <w:rPr>
                <w:sz w:val="18"/>
              </w:rPr>
              <w:t>0</w:t>
            </w:r>
          </w:p>
        </w:tc>
      </w:tr>
      <w:tr w:rsidR="00F45E7D" w14:paraId="381B953E" w14:textId="77777777">
        <w:trPr>
          <w:trHeight w:val="170"/>
        </w:trPr>
        <w:tc>
          <w:tcPr>
            <w:tcW w:w="2263" w:type="dxa"/>
            <w:vAlign w:val="center"/>
          </w:tcPr>
          <w:p w14:paraId="1A925C7C" w14:textId="77777777" w:rsidR="00F45E7D" w:rsidRDefault="0087463C">
            <w:pPr>
              <w:pStyle w:val="TableText0"/>
              <w:rPr>
                <w:sz w:val="18"/>
              </w:rPr>
            </w:pPr>
            <w:r>
              <w:rPr>
                <w:sz w:val="18"/>
              </w:rPr>
              <w:t xml:space="preserve">Hypophysitis, hypothyroidism, or hyperthyroidism </w:t>
            </w:r>
          </w:p>
        </w:tc>
        <w:tc>
          <w:tcPr>
            <w:tcW w:w="709" w:type="dxa"/>
            <w:vAlign w:val="center"/>
          </w:tcPr>
          <w:p w14:paraId="7BF2B44B" w14:textId="77777777" w:rsidR="00F45E7D" w:rsidRDefault="0087463C">
            <w:pPr>
              <w:pStyle w:val="TableText0"/>
              <w:jc w:val="center"/>
              <w:rPr>
                <w:sz w:val="18"/>
              </w:rPr>
            </w:pPr>
            <w:r>
              <w:rPr>
                <w:sz w:val="18"/>
              </w:rPr>
              <w:t>30 (16%)</w:t>
            </w:r>
          </w:p>
        </w:tc>
        <w:tc>
          <w:tcPr>
            <w:tcW w:w="709" w:type="dxa"/>
            <w:vAlign w:val="center"/>
          </w:tcPr>
          <w:p w14:paraId="28FBAABE" w14:textId="77777777" w:rsidR="00F45E7D" w:rsidRDefault="0087463C">
            <w:pPr>
              <w:pStyle w:val="TableText0"/>
              <w:jc w:val="center"/>
              <w:rPr>
                <w:sz w:val="18"/>
              </w:rPr>
            </w:pPr>
            <w:r>
              <w:rPr>
                <w:bCs w:val="0"/>
                <w:sz w:val="18"/>
              </w:rPr>
              <w:t xml:space="preserve">3 </w:t>
            </w:r>
            <w:r>
              <w:rPr>
                <w:sz w:val="18"/>
              </w:rPr>
              <w:t>(2%)</w:t>
            </w:r>
          </w:p>
        </w:tc>
        <w:tc>
          <w:tcPr>
            <w:tcW w:w="709" w:type="dxa"/>
            <w:vAlign w:val="center"/>
          </w:tcPr>
          <w:p w14:paraId="59D1FA7D" w14:textId="77777777" w:rsidR="00F45E7D" w:rsidRDefault="0087463C">
            <w:pPr>
              <w:pStyle w:val="TableText0"/>
              <w:jc w:val="center"/>
              <w:rPr>
                <w:sz w:val="18"/>
              </w:rPr>
            </w:pPr>
            <w:r>
              <w:rPr>
                <w:sz w:val="18"/>
              </w:rPr>
              <w:t>0</w:t>
            </w:r>
          </w:p>
        </w:tc>
        <w:tc>
          <w:tcPr>
            <w:tcW w:w="567" w:type="dxa"/>
            <w:vAlign w:val="center"/>
          </w:tcPr>
          <w:p w14:paraId="6783617A" w14:textId="77777777" w:rsidR="00F45E7D" w:rsidRDefault="0087463C">
            <w:pPr>
              <w:pStyle w:val="TableText0"/>
              <w:jc w:val="center"/>
              <w:rPr>
                <w:sz w:val="18"/>
              </w:rPr>
            </w:pPr>
            <w:r>
              <w:rPr>
                <w:sz w:val="18"/>
              </w:rPr>
              <w:t>0</w:t>
            </w:r>
          </w:p>
        </w:tc>
        <w:tc>
          <w:tcPr>
            <w:tcW w:w="708" w:type="dxa"/>
            <w:vAlign w:val="center"/>
          </w:tcPr>
          <w:p w14:paraId="363F7DE1" w14:textId="77777777" w:rsidR="00F45E7D" w:rsidRDefault="0087463C">
            <w:pPr>
              <w:pStyle w:val="TableText0"/>
              <w:jc w:val="center"/>
              <w:rPr>
                <w:sz w:val="18"/>
              </w:rPr>
            </w:pPr>
            <w:r>
              <w:rPr>
                <w:bCs w:val="0"/>
                <w:sz w:val="18"/>
              </w:rPr>
              <w:t xml:space="preserve">3 </w:t>
            </w:r>
            <w:r>
              <w:rPr>
                <w:sz w:val="18"/>
              </w:rPr>
              <w:t>(2%)</w:t>
            </w:r>
          </w:p>
        </w:tc>
        <w:tc>
          <w:tcPr>
            <w:tcW w:w="709" w:type="dxa"/>
            <w:vAlign w:val="center"/>
          </w:tcPr>
          <w:p w14:paraId="3CCD048B" w14:textId="77777777" w:rsidR="00F45E7D" w:rsidRDefault="0087463C">
            <w:pPr>
              <w:pStyle w:val="TableText0"/>
              <w:jc w:val="center"/>
              <w:rPr>
                <w:sz w:val="18"/>
              </w:rPr>
            </w:pPr>
            <w:r>
              <w:rPr>
                <w:sz w:val="18"/>
              </w:rPr>
              <w:t>9</w:t>
            </w:r>
          </w:p>
          <w:p w14:paraId="2034203D" w14:textId="77777777" w:rsidR="00F45E7D" w:rsidRDefault="0087463C">
            <w:pPr>
              <w:pStyle w:val="TableText0"/>
              <w:jc w:val="center"/>
              <w:rPr>
                <w:sz w:val="18"/>
              </w:rPr>
            </w:pPr>
            <w:r>
              <w:rPr>
                <w:sz w:val="18"/>
              </w:rPr>
              <w:t>(6%)</w:t>
            </w:r>
          </w:p>
        </w:tc>
        <w:tc>
          <w:tcPr>
            <w:tcW w:w="709" w:type="dxa"/>
            <w:vAlign w:val="center"/>
          </w:tcPr>
          <w:p w14:paraId="0AC5928A" w14:textId="77777777" w:rsidR="00F45E7D" w:rsidRDefault="0087463C">
            <w:pPr>
              <w:pStyle w:val="TableText0"/>
              <w:jc w:val="center"/>
              <w:rPr>
                <w:sz w:val="18"/>
              </w:rPr>
            </w:pPr>
            <w:r>
              <w:rPr>
                <w:bCs w:val="0"/>
                <w:sz w:val="18"/>
              </w:rPr>
              <w:t xml:space="preserve">2 </w:t>
            </w:r>
            <w:r>
              <w:rPr>
                <w:sz w:val="18"/>
              </w:rPr>
              <w:t>(1%)</w:t>
            </w:r>
          </w:p>
        </w:tc>
        <w:tc>
          <w:tcPr>
            <w:tcW w:w="570" w:type="dxa"/>
            <w:vAlign w:val="center"/>
          </w:tcPr>
          <w:p w14:paraId="58936B75" w14:textId="77777777" w:rsidR="00F45E7D" w:rsidRDefault="0087463C">
            <w:pPr>
              <w:pStyle w:val="TableText0"/>
              <w:jc w:val="center"/>
              <w:rPr>
                <w:sz w:val="18"/>
              </w:rPr>
            </w:pPr>
            <w:r>
              <w:rPr>
                <w:sz w:val="18"/>
              </w:rPr>
              <w:t>0</w:t>
            </w:r>
          </w:p>
        </w:tc>
        <w:tc>
          <w:tcPr>
            <w:tcW w:w="566" w:type="dxa"/>
            <w:vAlign w:val="center"/>
          </w:tcPr>
          <w:p w14:paraId="2A8E519B" w14:textId="77777777" w:rsidR="00F45E7D" w:rsidRDefault="0087463C">
            <w:pPr>
              <w:pStyle w:val="TableText0"/>
              <w:jc w:val="center"/>
              <w:rPr>
                <w:sz w:val="18"/>
              </w:rPr>
            </w:pPr>
            <w:r>
              <w:rPr>
                <w:sz w:val="18"/>
              </w:rPr>
              <w:t>0</w:t>
            </w:r>
          </w:p>
        </w:tc>
        <w:tc>
          <w:tcPr>
            <w:tcW w:w="709" w:type="dxa"/>
            <w:vAlign w:val="center"/>
          </w:tcPr>
          <w:p w14:paraId="30DD6294" w14:textId="77777777" w:rsidR="00F45E7D" w:rsidRDefault="0087463C">
            <w:pPr>
              <w:pStyle w:val="TableText0"/>
              <w:jc w:val="center"/>
              <w:rPr>
                <w:sz w:val="18"/>
              </w:rPr>
            </w:pPr>
            <w:r>
              <w:rPr>
                <w:bCs w:val="0"/>
                <w:sz w:val="18"/>
              </w:rPr>
              <w:t xml:space="preserve">2 </w:t>
            </w:r>
            <w:r>
              <w:rPr>
                <w:sz w:val="18"/>
              </w:rPr>
              <w:t>(1%)</w:t>
            </w:r>
          </w:p>
        </w:tc>
      </w:tr>
      <w:tr w:rsidR="00F45E7D" w14:paraId="6BE094F7" w14:textId="77777777">
        <w:trPr>
          <w:trHeight w:val="85"/>
        </w:trPr>
        <w:tc>
          <w:tcPr>
            <w:tcW w:w="2263" w:type="dxa"/>
            <w:vAlign w:val="center"/>
          </w:tcPr>
          <w:p w14:paraId="15393E52" w14:textId="77777777" w:rsidR="00F45E7D" w:rsidRDefault="0087463C">
            <w:pPr>
              <w:pStyle w:val="TableText0"/>
              <w:rPr>
                <w:sz w:val="18"/>
              </w:rPr>
            </w:pPr>
            <w:r>
              <w:rPr>
                <w:sz w:val="18"/>
              </w:rPr>
              <w:t xml:space="preserve">Fatigue </w:t>
            </w:r>
          </w:p>
        </w:tc>
        <w:tc>
          <w:tcPr>
            <w:tcW w:w="709" w:type="dxa"/>
            <w:vAlign w:val="center"/>
          </w:tcPr>
          <w:p w14:paraId="50189E9D" w14:textId="77777777" w:rsidR="00F45E7D" w:rsidRDefault="0087463C">
            <w:pPr>
              <w:pStyle w:val="TableText0"/>
              <w:jc w:val="center"/>
              <w:rPr>
                <w:sz w:val="18"/>
              </w:rPr>
            </w:pPr>
            <w:r>
              <w:rPr>
                <w:sz w:val="18"/>
              </w:rPr>
              <w:t>14 (7%)</w:t>
            </w:r>
          </w:p>
        </w:tc>
        <w:tc>
          <w:tcPr>
            <w:tcW w:w="709" w:type="dxa"/>
            <w:vAlign w:val="center"/>
          </w:tcPr>
          <w:p w14:paraId="5B89CA2B" w14:textId="77777777" w:rsidR="00F45E7D" w:rsidRDefault="0087463C">
            <w:pPr>
              <w:pStyle w:val="TableText0"/>
              <w:jc w:val="center"/>
              <w:rPr>
                <w:sz w:val="18"/>
              </w:rPr>
            </w:pPr>
            <w:r>
              <w:rPr>
                <w:sz w:val="18"/>
              </w:rPr>
              <w:t>0</w:t>
            </w:r>
          </w:p>
        </w:tc>
        <w:tc>
          <w:tcPr>
            <w:tcW w:w="709" w:type="dxa"/>
            <w:vAlign w:val="center"/>
          </w:tcPr>
          <w:p w14:paraId="501DCB5B" w14:textId="77777777" w:rsidR="00F45E7D" w:rsidRDefault="0087463C">
            <w:pPr>
              <w:pStyle w:val="TableText0"/>
              <w:jc w:val="center"/>
              <w:rPr>
                <w:sz w:val="18"/>
              </w:rPr>
            </w:pPr>
            <w:r>
              <w:rPr>
                <w:sz w:val="18"/>
              </w:rPr>
              <w:t>0</w:t>
            </w:r>
          </w:p>
        </w:tc>
        <w:tc>
          <w:tcPr>
            <w:tcW w:w="567" w:type="dxa"/>
            <w:vAlign w:val="center"/>
          </w:tcPr>
          <w:p w14:paraId="220F45F1" w14:textId="77777777" w:rsidR="00F45E7D" w:rsidRDefault="0087463C">
            <w:pPr>
              <w:pStyle w:val="TableText0"/>
              <w:jc w:val="center"/>
              <w:rPr>
                <w:sz w:val="18"/>
              </w:rPr>
            </w:pPr>
            <w:r>
              <w:rPr>
                <w:sz w:val="18"/>
              </w:rPr>
              <w:t>0</w:t>
            </w:r>
          </w:p>
        </w:tc>
        <w:tc>
          <w:tcPr>
            <w:tcW w:w="708" w:type="dxa"/>
            <w:vAlign w:val="center"/>
          </w:tcPr>
          <w:p w14:paraId="3EFAE6E6" w14:textId="77777777" w:rsidR="00F45E7D" w:rsidRDefault="0087463C">
            <w:pPr>
              <w:pStyle w:val="TableText0"/>
              <w:jc w:val="center"/>
              <w:rPr>
                <w:sz w:val="18"/>
              </w:rPr>
            </w:pPr>
            <w:r>
              <w:rPr>
                <w:sz w:val="18"/>
              </w:rPr>
              <w:t>0</w:t>
            </w:r>
          </w:p>
        </w:tc>
        <w:tc>
          <w:tcPr>
            <w:tcW w:w="709" w:type="dxa"/>
            <w:vAlign w:val="center"/>
          </w:tcPr>
          <w:p w14:paraId="3A78CFCF" w14:textId="77777777" w:rsidR="00F45E7D" w:rsidRDefault="0087463C">
            <w:pPr>
              <w:pStyle w:val="TableText0"/>
              <w:jc w:val="center"/>
              <w:rPr>
                <w:sz w:val="18"/>
              </w:rPr>
            </w:pPr>
            <w:r>
              <w:rPr>
                <w:sz w:val="18"/>
              </w:rPr>
              <w:t>7 (4%)</w:t>
            </w:r>
          </w:p>
        </w:tc>
        <w:tc>
          <w:tcPr>
            <w:tcW w:w="709" w:type="dxa"/>
            <w:vAlign w:val="center"/>
          </w:tcPr>
          <w:p w14:paraId="47C91243" w14:textId="77777777" w:rsidR="00F45E7D" w:rsidRDefault="0087463C">
            <w:pPr>
              <w:pStyle w:val="TableText0"/>
              <w:jc w:val="center"/>
              <w:rPr>
                <w:sz w:val="18"/>
              </w:rPr>
            </w:pPr>
            <w:r>
              <w:rPr>
                <w:sz w:val="18"/>
              </w:rPr>
              <w:t>0</w:t>
            </w:r>
          </w:p>
        </w:tc>
        <w:tc>
          <w:tcPr>
            <w:tcW w:w="570" w:type="dxa"/>
            <w:vAlign w:val="center"/>
          </w:tcPr>
          <w:p w14:paraId="07CE7AEC" w14:textId="77777777" w:rsidR="00F45E7D" w:rsidRDefault="0087463C">
            <w:pPr>
              <w:pStyle w:val="TableText0"/>
              <w:jc w:val="center"/>
              <w:rPr>
                <w:sz w:val="18"/>
              </w:rPr>
            </w:pPr>
            <w:r>
              <w:rPr>
                <w:sz w:val="18"/>
              </w:rPr>
              <w:t>0</w:t>
            </w:r>
          </w:p>
        </w:tc>
        <w:tc>
          <w:tcPr>
            <w:tcW w:w="566" w:type="dxa"/>
            <w:vAlign w:val="center"/>
          </w:tcPr>
          <w:p w14:paraId="174E5666" w14:textId="77777777" w:rsidR="00F45E7D" w:rsidRDefault="0087463C">
            <w:pPr>
              <w:pStyle w:val="TableText0"/>
              <w:jc w:val="center"/>
              <w:rPr>
                <w:sz w:val="18"/>
              </w:rPr>
            </w:pPr>
            <w:r>
              <w:rPr>
                <w:sz w:val="18"/>
              </w:rPr>
              <w:t>0</w:t>
            </w:r>
          </w:p>
        </w:tc>
        <w:tc>
          <w:tcPr>
            <w:tcW w:w="709" w:type="dxa"/>
            <w:vAlign w:val="center"/>
          </w:tcPr>
          <w:p w14:paraId="33555668" w14:textId="77777777" w:rsidR="00F45E7D" w:rsidRDefault="0087463C">
            <w:pPr>
              <w:pStyle w:val="TableText0"/>
              <w:jc w:val="center"/>
              <w:rPr>
                <w:sz w:val="18"/>
              </w:rPr>
            </w:pPr>
            <w:r>
              <w:rPr>
                <w:sz w:val="18"/>
              </w:rPr>
              <w:t>0</w:t>
            </w:r>
          </w:p>
        </w:tc>
      </w:tr>
      <w:tr w:rsidR="00F45E7D" w14:paraId="71FDE9CA" w14:textId="77777777">
        <w:trPr>
          <w:trHeight w:val="85"/>
        </w:trPr>
        <w:tc>
          <w:tcPr>
            <w:tcW w:w="2263" w:type="dxa"/>
            <w:vAlign w:val="center"/>
          </w:tcPr>
          <w:p w14:paraId="21BFC8FC" w14:textId="77777777" w:rsidR="00F45E7D" w:rsidRDefault="0087463C">
            <w:pPr>
              <w:pStyle w:val="TableText0"/>
              <w:rPr>
                <w:sz w:val="18"/>
              </w:rPr>
            </w:pPr>
            <w:r>
              <w:rPr>
                <w:sz w:val="18"/>
              </w:rPr>
              <w:t xml:space="preserve">Respiratory pneumonitis </w:t>
            </w:r>
          </w:p>
        </w:tc>
        <w:tc>
          <w:tcPr>
            <w:tcW w:w="709" w:type="dxa"/>
            <w:vAlign w:val="center"/>
          </w:tcPr>
          <w:p w14:paraId="558E2BC2" w14:textId="77777777" w:rsidR="00F45E7D" w:rsidRDefault="0087463C">
            <w:pPr>
              <w:pStyle w:val="TableText0"/>
              <w:jc w:val="center"/>
              <w:rPr>
                <w:sz w:val="18"/>
              </w:rPr>
            </w:pPr>
            <w:r>
              <w:rPr>
                <w:sz w:val="18"/>
              </w:rPr>
              <w:t>10 (5%)</w:t>
            </w:r>
          </w:p>
        </w:tc>
        <w:tc>
          <w:tcPr>
            <w:tcW w:w="709" w:type="dxa"/>
            <w:vAlign w:val="center"/>
          </w:tcPr>
          <w:p w14:paraId="4A31A4DE" w14:textId="77777777" w:rsidR="00F45E7D" w:rsidRDefault="0087463C">
            <w:pPr>
              <w:pStyle w:val="TableText0"/>
              <w:jc w:val="center"/>
              <w:rPr>
                <w:sz w:val="18"/>
              </w:rPr>
            </w:pPr>
            <w:r>
              <w:rPr>
                <w:bCs w:val="0"/>
                <w:sz w:val="18"/>
              </w:rPr>
              <w:t xml:space="preserve">2 </w:t>
            </w:r>
            <w:r>
              <w:rPr>
                <w:sz w:val="18"/>
              </w:rPr>
              <w:t>(1%)</w:t>
            </w:r>
          </w:p>
        </w:tc>
        <w:tc>
          <w:tcPr>
            <w:tcW w:w="709" w:type="dxa"/>
            <w:vAlign w:val="center"/>
          </w:tcPr>
          <w:p w14:paraId="6D8EA7FF" w14:textId="77777777" w:rsidR="00F45E7D" w:rsidRDefault="0087463C">
            <w:pPr>
              <w:pStyle w:val="TableText0"/>
              <w:jc w:val="center"/>
              <w:rPr>
                <w:sz w:val="18"/>
              </w:rPr>
            </w:pPr>
            <w:r>
              <w:rPr>
                <w:sz w:val="18"/>
              </w:rPr>
              <w:t>0</w:t>
            </w:r>
          </w:p>
        </w:tc>
        <w:tc>
          <w:tcPr>
            <w:tcW w:w="567" w:type="dxa"/>
            <w:vAlign w:val="center"/>
          </w:tcPr>
          <w:p w14:paraId="14CFC931" w14:textId="77777777" w:rsidR="00F45E7D" w:rsidRDefault="0087463C">
            <w:pPr>
              <w:pStyle w:val="TableText0"/>
              <w:jc w:val="center"/>
              <w:rPr>
                <w:sz w:val="18"/>
              </w:rPr>
            </w:pPr>
            <w:r>
              <w:rPr>
                <w:sz w:val="18"/>
              </w:rPr>
              <w:t>0</w:t>
            </w:r>
          </w:p>
        </w:tc>
        <w:tc>
          <w:tcPr>
            <w:tcW w:w="708" w:type="dxa"/>
            <w:vAlign w:val="center"/>
          </w:tcPr>
          <w:p w14:paraId="0266117B" w14:textId="77777777" w:rsidR="00F45E7D" w:rsidRDefault="0087463C">
            <w:pPr>
              <w:pStyle w:val="TableText0"/>
              <w:jc w:val="center"/>
              <w:rPr>
                <w:sz w:val="18"/>
              </w:rPr>
            </w:pPr>
            <w:r>
              <w:rPr>
                <w:bCs w:val="0"/>
                <w:sz w:val="18"/>
              </w:rPr>
              <w:t xml:space="preserve">2 </w:t>
            </w:r>
            <w:r>
              <w:rPr>
                <w:sz w:val="18"/>
              </w:rPr>
              <w:t>(1%)</w:t>
            </w:r>
          </w:p>
        </w:tc>
        <w:tc>
          <w:tcPr>
            <w:tcW w:w="709" w:type="dxa"/>
            <w:vAlign w:val="center"/>
          </w:tcPr>
          <w:p w14:paraId="20B94366" w14:textId="77777777" w:rsidR="00F45E7D" w:rsidRDefault="0087463C">
            <w:pPr>
              <w:pStyle w:val="TableText0"/>
              <w:jc w:val="center"/>
              <w:rPr>
                <w:sz w:val="18"/>
              </w:rPr>
            </w:pPr>
            <w:r>
              <w:rPr>
                <w:bCs w:val="0"/>
                <w:sz w:val="18"/>
              </w:rPr>
              <w:t xml:space="preserve">5 </w:t>
            </w:r>
            <w:r>
              <w:rPr>
                <w:sz w:val="18"/>
              </w:rPr>
              <w:t>(3%)</w:t>
            </w:r>
          </w:p>
        </w:tc>
        <w:tc>
          <w:tcPr>
            <w:tcW w:w="709" w:type="dxa"/>
            <w:vAlign w:val="center"/>
          </w:tcPr>
          <w:p w14:paraId="7E5B5DDF" w14:textId="77777777" w:rsidR="00F45E7D" w:rsidRDefault="0087463C">
            <w:pPr>
              <w:pStyle w:val="TableText0"/>
              <w:jc w:val="center"/>
              <w:rPr>
                <w:sz w:val="18"/>
              </w:rPr>
            </w:pPr>
            <w:r>
              <w:rPr>
                <w:bCs w:val="0"/>
                <w:sz w:val="18"/>
              </w:rPr>
              <w:t xml:space="preserve">1 </w:t>
            </w:r>
            <w:r>
              <w:rPr>
                <w:sz w:val="18"/>
              </w:rPr>
              <w:t>(1%)</w:t>
            </w:r>
          </w:p>
        </w:tc>
        <w:tc>
          <w:tcPr>
            <w:tcW w:w="570" w:type="dxa"/>
            <w:vAlign w:val="center"/>
          </w:tcPr>
          <w:p w14:paraId="122D1F3D" w14:textId="77777777" w:rsidR="00F45E7D" w:rsidRDefault="0087463C">
            <w:pPr>
              <w:pStyle w:val="TableText0"/>
              <w:jc w:val="center"/>
              <w:rPr>
                <w:sz w:val="18"/>
              </w:rPr>
            </w:pPr>
            <w:r>
              <w:rPr>
                <w:sz w:val="18"/>
              </w:rPr>
              <w:t>0</w:t>
            </w:r>
          </w:p>
        </w:tc>
        <w:tc>
          <w:tcPr>
            <w:tcW w:w="566" w:type="dxa"/>
            <w:vAlign w:val="center"/>
          </w:tcPr>
          <w:p w14:paraId="681417F0" w14:textId="77777777" w:rsidR="00F45E7D" w:rsidRDefault="0087463C">
            <w:pPr>
              <w:pStyle w:val="TableText0"/>
              <w:jc w:val="center"/>
              <w:rPr>
                <w:sz w:val="18"/>
              </w:rPr>
            </w:pPr>
            <w:r>
              <w:rPr>
                <w:sz w:val="18"/>
              </w:rPr>
              <w:t>0</w:t>
            </w:r>
          </w:p>
        </w:tc>
        <w:tc>
          <w:tcPr>
            <w:tcW w:w="709" w:type="dxa"/>
            <w:vAlign w:val="center"/>
          </w:tcPr>
          <w:p w14:paraId="65E7358A" w14:textId="77777777" w:rsidR="00F45E7D" w:rsidRDefault="0087463C">
            <w:pPr>
              <w:pStyle w:val="TableText0"/>
              <w:jc w:val="center"/>
              <w:rPr>
                <w:sz w:val="18"/>
              </w:rPr>
            </w:pPr>
            <w:r>
              <w:rPr>
                <w:bCs w:val="0"/>
                <w:sz w:val="18"/>
              </w:rPr>
              <w:t xml:space="preserve">1 </w:t>
            </w:r>
            <w:r>
              <w:rPr>
                <w:sz w:val="18"/>
              </w:rPr>
              <w:t>(1%)</w:t>
            </w:r>
          </w:p>
        </w:tc>
      </w:tr>
      <w:tr w:rsidR="00F45E7D" w14:paraId="2B0141CE" w14:textId="77777777">
        <w:trPr>
          <w:trHeight w:val="85"/>
        </w:trPr>
        <w:tc>
          <w:tcPr>
            <w:tcW w:w="2263" w:type="dxa"/>
            <w:vAlign w:val="center"/>
          </w:tcPr>
          <w:p w14:paraId="34FED17C" w14:textId="77777777" w:rsidR="00F45E7D" w:rsidRDefault="0087463C">
            <w:pPr>
              <w:pStyle w:val="TableText0"/>
              <w:rPr>
                <w:sz w:val="18"/>
              </w:rPr>
            </w:pPr>
            <w:r>
              <w:rPr>
                <w:sz w:val="18"/>
              </w:rPr>
              <w:t xml:space="preserve">Arthralgia or myalgia </w:t>
            </w:r>
          </w:p>
        </w:tc>
        <w:tc>
          <w:tcPr>
            <w:tcW w:w="709" w:type="dxa"/>
            <w:vAlign w:val="center"/>
          </w:tcPr>
          <w:p w14:paraId="2EB7597D" w14:textId="77777777" w:rsidR="00F45E7D" w:rsidRDefault="0087463C">
            <w:pPr>
              <w:pStyle w:val="TableText0"/>
              <w:jc w:val="center"/>
              <w:rPr>
                <w:sz w:val="18"/>
              </w:rPr>
            </w:pPr>
            <w:r>
              <w:rPr>
                <w:sz w:val="18"/>
              </w:rPr>
              <w:t>10 (5%)</w:t>
            </w:r>
          </w:p>
        </w:tc>
        <w:tc>
          <w:tcPr>
            <w:tcW w:w="709" w:type="dxa"/>
            <w:vAlign w:val="center"/>
          </w:tcPr>
          <w:p w14:paraId="4AF0E946" w14:textId="77777777" w:rsidR="00F45E7D" w:rsidRDefault="0087463C">
            <w:pPr>
              <w:pStyle w:val="TableText0"/>
              <w:jc w:val="center"/>
              <w:rPr>
                <w:sz w:val="18"/>
              </w:rPr>
            </w:pPr>
            <w:r>
              <w:rPr>
                <w:bCs w:val="0"/>
                <w:sz w:val="18"/>
              </w:rPr>
              <w:t xml:space="preserve">1 </w:t>
            </w:r>
            <w:r>
              <w:rPr>
                <w:sz w:val="18"/>
              </w:rPr>
              <w:t>(1%)</w:t>
            </w:r>
          </w:p>
        </w:tc>
        <w:tc>
          <w:tcPr>
            <w:tcW w:w="709" w:type="dxa"/>
            <w:vAlign w:val="center"/>
          </w:tcPr>
          <w:p w14:paraId="17320C9B" w14:textId="77777777" w:rsidR="00F45E7D" w:rsidRDefault="0087463C">
            <w:pPr>
              <w:pStyle w:val="TableText0"/>
              <w:jc w:val="center"/>
              <w:rPr>
                <w:sz w:val="18"/>
              </w:rPr>
            </w:pPr>
            <w:r>
              <w:rPr>
                <w:sz w:val="18"/>
              </w:rPr>
              <w:t>0</w:t>
            </w:r>
          </w:p>
        </w:tc>
        <w:tc>
          <w:tcPr>
            <w:tcW w:w="567" w:type="dxa"/>
            <w:vAlign w:val="center"/>
          </w:tcPr>
          <w:p w14:paraId="761A588B" w14:textId="77777777" w:rsidR="00F45E7D" w:rsidRDefault="0087463C">
            <w:pPr>
              <w:pStyle w:val="TableText0"/>
              <w:jc w:val="center"/>
              <w:rPr>
                <w:sz w:val="18"/>
              </w:rPr>
            </w:pPr>
            <w:r>
              <w:rPr>
                <w:sz w:val="18"/>
              </w:rPr>
              <w:t>0</w:t>
            </w:r>
          </w:p>
        </w:tc>
        <w:tc>
          <w:tcPr>
            <w:tcW w:w="708" w:type="dxa"/>
            <w:vAlign w:val="center"/>
          </w:tcPr>
          <w:p w14:paraId="6BC3BC36" w14:textId="77777777" w:rsidR="00F45E7D" w:rsidRDefault="0087463C">
            <w:pPr>
              <w:pStyle w:val="TableText0"/>
              <w:jc w:val="center"/>
              <w:rPr>
                <w:sz w:val="18"/>
              </w:rPr>
            </w:pPr>
            <w:r>
              <w:rPr>
                <w:bCs w:val="0"/>
                <w:sz w:val="18"/>
              </w:rPr>
              <w:t xml:space="preserve">1 </w:t>
            </w:r>
            <w:r>
              <w:rPr>
                <w:sz w:val="18"/>
              </w:rPr>
              <w:t>(1%)</w:t>
            </w:r>
          </w:p>
        </w:tc>
        <w:tc>
          <w:tcPr>
            <w:tcW w:w="709" w:type="dxa"/>
            <w:vAlign w:val="center"/>
          </w:tcPr>
          <w:p w14:paraId="4F185D3A" w14:textId="77777777" w:rsidR="00F45E7D" w:rsidRDefault="0087463C">
            <w:pPr>
              <w:pStyle w:val="TableText0"/>
              <w:jc w:val="center"/>
              <w:rPr>
                <w:sz w:val="18"/>
              </w:rPr>
            </w:pPr>
            <w:r>
              <w:rPr>
                <w:sz w:val="18"/>
              </w:rPr>
              <w:t>10 (6%)</w:t>
            </w:r>
          </w:p>
        </w:tc>
        <w:tc>
          <w:tcPr>
            <w:tcW w:w="709" w:type="dxa"/>
            <w:vAlign w:val="center"/>
          </w:tcPr>
          <w:p w14:paraId="74BD4C6A" w14:textId="77777777" w:rsidR="00F45E7D" w:rsidRDefault="0087463C">
            <w:pPr>
              <w:pStyle w:val="TableText0"/>
              <w:jc w:val="center"/>
              <w:rPr>
                <w:sz w:val="18"/>
              </w:rPr>
            </w:pPr>
            <w:r>
              <w:rPr>
                <w:bCs w:val="0"/>
                <w:sz w:val="18"/>
              </w:rPr>
              <w:t xml:space="preserve">1 </w:t>
            </w:r>
            <w:r>
              <w:rPr>
                <w:sz w:val="18"/>
              </w:rPr>
              <w:t>(1%)</w:t>
            </w:r>
          </w:p>
        </w:tc>
        <w:tc>
          <w:tcPr>
            <w:tcW w:w="570" w:type="dxa"/>
            <w:vAlign w:val="center"/>
          </w:tcPr>
          <w:p w14:paraId="1D297040" w14:textId="77777777" w:rsidR="00F45E7D" w:rsidRDefault="0087463C">
            <w:pPr>
              <w:pStyle w:val="TableText0"/>
              <w:jc w:val="center"/>
              <w:rPr>
                <w:sz w:val="18"/>
              </w:rPr>
            </w:pPr>
            <w:r>
              <w:rPr>
                <w:sz w:val="18"/>
              </w:rPr>
              <w:t>0</w:t>
            </w:r>
          </w:p>
        </w:tc>
        <w:tc>
          <w:tcPr>
            <w:tcW w:w="566" w:type="dxa"/>
            <w:vAlign w:val="center"/>
          </w:tcPr>
          <w:p w14:paraId="59C416E6" w14:textId="77777777" w:rsidR="00F45E7D" w:rsidRDefault="0087463C">
            <w:pPr>
              <w:pStyle w:val="TableText0"/>
              <w:jc w:val="center"/>
              <w:rPr>
                <w:sz w:val="18"/>
              </w:rPr>
            </w:pPr>
            <w:r>
              <w:rPr>
                <w:sz w:val="18"/>
              </w:rPr>
              <w:t>0</w:t>
            </w:r>
          </w:p>
        </w:tc>
        <w:tc>
          <w:tcPr>
            <w:tcW w:w="709" w:type="dxa"/>
            <w:vAlign w:val="center"/>
          </w:tcPr>
          <w:p w14:paraId="52AF529D" w14:textId="77777777" w:rsidR="00F45E7D" w:rsidRDefault="0087463C">
            <w:pPr>
              <w:pStyle w:val="TableText0"/>
              <w:jc w:val="center"/>
              <w:rPr>
                <w:sz w:val="18"/>
              </w:rPr>
            </w:pPr>
            <w:r>
              <w:rPr>
                <w:bCs w:val="0"/>
                <w:sz w:val="18"/>
              </w:rPr>
              <w:t xml:space="preserve">1 </w:t>
            </w:r>
            <w:r>
              <w:rPr>
                <w:sz w:val="18"/>
              </w:rPr>
              <w:t>(1%)</w:t>
            </w:r>
          </w:p>
        </w:tc>
      </w:tr>
      <w:tr w:rsidR="00F45E7D" w14:paraId="0361E2E2" w14:textId="77777777">
        <w:trPr>
          <w:trHeight w:val="85"/>
        </w:trPr>
        <w:tc>
          <w:tcPr>
            <w:tcW w:w="2263" w:type="dxa"/>
            <w:vAlign w:val="center"/>
          </w:tcPr>
          <w:p w14:paraId="6A463D79" w14:textId="77777777" w:rsidR="00F45E7D" w:rsidRDefault="0087463C">
            <w:pPr>
              <w:pStyle w:val="TableText0"/>
              <w:rPr>
                <w:sz w:val="18"/>
              </w:rPr>
            </w:pPr>
            <w:r>
              <w:rPr>
                <w:sz w:val="18"/>
              </w:rPr>
              <w:t>Fever</w:t>
            </w:r>
          </w:p>
        </w:tc>
        <w:tc>
          <w:tcPr>
            <w:tcW w:w="709" w:type="dxa"/>
            <w:vAlign w:val="center"/>
          </w:tcPr>
          <w:p w14:paraId="23B1294B" w14:textId="77777777" w:rsidR="00F45E7D" w:rsidRDefault="0087463C">
            <w:pPr>
              <w:pStyle w:val="TableText0"/>
              <w:jc w:val="center"/>
              <w:rPr>
                <w:sz w:val="18"/>
              </w:rPr>
            </w:pPr>
            <w:r>
              <w:rPr>
                <w:sz w:val="18"/>
              </w:rPr>
              <w:t>8 (4%)</w:t>
            </w:r>
          </w:p>
        </w:tc>
        <w:tc>
          <w:tcPr>
            <w:tcW w:w="709" w:type="dxa"/>
            <w:vAlign w:val="center"/>
          </w:tcPr>
          <w:p w14:paraId="5E89F005" w14:textId="77777777" w:rsidR="00F45E7D" w:rsidRDefault="0087463C">
            <w:pPr>
              <w:pStyle w:val="TableText0"/>
              <w:jc w:val="center"/>
              <w:rPr>
                <w:sz w:val="18"/>
              </w:rPr>
            </w:pPr>
            <w:r>
              <w:rPr>
                <w:sz w:val="18"/>
              </w:rPr>
              <w:t>2 (1%)</w:t>
            </w:r>
          </w:p>
        </w:tc>
        <w:tc>
          <w:tcPr>
            <w:tcW w:w="709" w:type="dxa"/>
            <w:vAlign w:val="center"/>
          </w:tcPr>
          <w:p w14:paraId="6CC9DE7C" w14:textId="77777777" w:rsidR="00F45E7D" w:rsidRDefault="0087463C">
            <w:pPr>
              <w:pStyle w:val="TableText0"/>
              <w:jc w:val="center"/>
              <w:rPr>
                <w:sz w:val="18"/>
              </w:rPr>
            </w:pPr>
            <w:r>
              <w:rPr>
                <w:sz w:val="18"/>
              </w:rPr>
              <w:t>0</w:t>
            </w:r>
          </w:p>
        </w:tc>
        <w:tc>
          <w:tcPr>
            <w:tcW w:w="567" w:type="dxa"/>
            <w:vAlign w:val="center"/>
          </w:tcPr>
          <w:p w14:paraId="17691FC1" w14:textId="77777777" w:rsidR="00F45E7D" w:rsidRDefault="0087463C">
            <w:pPr>
              <w:pStyle w:val="TableText0"/>
              <w:jc w:val="center"/>
              <w:rPr>
                <w:sz w:val="18"/>
              </w:rPr>
            </w:pPr>
            <w:r>
              <w:rPr>
                <w:sz w:val="18"/>
              </w:rPr>
              <w:t>0</w:t>
            </w:r>
          </w:p>
        </w:tc>
        <w:tc>
          <w:tcPr>
            <w:tcW w:w="708" w:type="dxa"/>
            <w:vAlign w:val="center"/>
          </w:tcPr>
          <w:p w14:paraId="36F3E763" w14:textId="77777777" w:rsidR="00F45E7D" w:rsidRDefault="0087463C">
            <w:pPr>
              <w:pStyle w:val="TableText0"/>
              <w:jc w:val="center"/>
              <w:rPr>
                <w:sz w:val="18"/>
              </w:rPr>
            </w:pPr>
            <w:r>
              <w:rPr>
                <w:sz w:val="18"/>
              </w:rPr>
              <w:t>2 (1%)</w:t>
            </w:r>
          </w:p>
        </w:tc>
        <w:tc>
          <w:tcPr>
            <w:tcW w:w="709" w:type="dxa"/>
            <w:vAlign w:val="center"/>
          </w:tcPr>
          <w:p w14:paraId="46008440" w14:textId="77777777" w:rsidR="00F45E7D" w:rsidRDefault="0087463C">
            <w:pPr>
              <w:pStyle w:val="TableText0"/>
              <w:jc w:val="center"/>
              <w:rPr>
                <w:sz w:val="18"/>
              </w:rPr>
            </w:pPr>
            <w:r>
              <w:rPr>
                <w:sz w:val="18"/>
              </w:rPr>
              <w:t>2 (1%)</w:t>
            </w:r>
          </w:p>
        </w:tc>
        <w:tc>
          <w:tcPr>
            <w:tcW w:w="709" w:type="dxa"/>
            <w:vAlign w:val="center"/>
          </w:tcPr>
          <w:p w14:paraId="1CDE6970" w14:textId="77777777" w:rsidR="00F45E7D" w:rsidRDefault="0087463C">
            <w:pPr>
              <w:pStyle w:val="TableText0"/>
              <w:jc w:val="center"/>
              <w:rPr>
                <w:sz w:val="18"/>
              </w:rPr>
            </w:pPr>
            <w:r>
              <w:rPr>
                <w:sz w:val="18"/>
              </w:rPr>
              <w:t>0</w:t>
            </w:r>
          </w:p>
        </w:tc>
        <w:tc>
          <w:tcPr>
            <w:tcW w:w="570" w:type="dxa"/>
            <w:vAlign w:val="center"/>
          </w:tcPr>
          <w:p w14:paraId="1B7FAD87" w14:textId="77777777" w:rsidR="00F45E7D" w:rsidRDefault="0087463C">
            <w:pPr>
              <w:pStyle w:val="TableText0"/>
              <w:jc w:val="center"/>
              <w:rPr>
                <w:sz w:val="18"/>
              </w:rPr>
            </w:pPr>
            <w:r>
              <w:rPr>
                <w:sz w:val="18"/>
              </w:rPr>
              <w:t>0</w:t>
            </w:r>
          </w:p>
        </w:tc>
        <w:tc>
          <w:tcPr>
            <w:tcW w:w="566" w:type="dxa"/>
            <w:vAlign w:val="center"/>
          </w:tcPr>
          <w:p w14:paraId="0C30E498" w14:textId="77777777" w:rsidR="00F45E7D" w:rsidRDefault="0087463C">
            <w:pPr>
              <w:pStyle w:val="TableText0"/>
              <w:jc w:val="center"/>
              <w:rPr>
                <w:sz w:val="18"/>
              </w:rPr>
            </w:pPr>
            <w:r>
              <w:rPr>
                <w:sz w:val="18"/>
              </w:rPr>
              <w:t>0</w:t>
            </w:r>
          </w:p>
        </w:tc>
        <w:tc>
          <w:tcPr>
            <w:tcW w:w="709" w:type="dxa"/>
            <w:vAlign w:val="center"/>
          </w:tcPr>
          <w:p w14:paraId="4ABE58CF" w14:textId="77777777" w:rsidR="00F45E7D" w:rsidRDefault="0087463C">
            <w:pPr>
              <w:pStyle w:val="TableText0"/>
              <w:jc w:val="center"/>
              <w:rPr>
                <w:sz w:val="18"/>
              </w:rPr>
            </w:pPr>
            <w:r>
              <w:rPr>
                <w:sz w:val="18"/>
              </w:rPr>
              <w:t>0</w:t>
            </w:r>
          </w:p>
        </w:tc>
      </w:tr>
      <w:tr w:rsidR="00F45E7D" w14:paraId="5AA90B25" w14:textId="77777777">
        <w:trPr>
          <w:trHeight w:val="170"/>
        </w:trPr>
        <w:tc>
          <w:tcPr>
            <w:tcW w:w="2263" w:type="dxa"/>
            <w:vAlign w:val="center"/>
          </w:tcPr>
          <w:p w14:paraId="5D4997DF" w14:textId="77777777" w:rsidR="00F45E7D" w:rsidRDefault="0087463C">
            <w:pPr>
              <w:pStyle w:val="TableText0"/>
              <w:rPr>
                <w:sz w:val="18"/>
              </w:rPr>
            </w:pPr>
            <w:r>
              <w:rPr>
                <w:sz w:val="18"/>
              </w:rPr>
              <w:t>Uveitis, iritis, or blepharoconjunctivitis</w:t>
            </w:r>
          </w:p>
        </w:tc>
        <w:tc>
          <w:tcPr>
            <w:tcW w:w="709" w:type="dxa"/>
            <w:vAlign w:val="center"/>
          </w:tcPr>
          <w:p w14:paraId="6B542073" w14:textId="77777777" w:rsidR="00F45E7D" w:rsidRDefault="0087463C">
            <w:pPr>
              <w:pStyle w:val="TableText0"/>
              <w:jc w:val="center"/>
              <w:rPr>
                <w:sz w:val="18"/>
              </w:rPr>
            </w:pPr>
            <w:r>
              <w:rPr>
                <w:sz w:val="18"/>
              </w:rPr>
              <w:t>5 (3%)</w:t>
            </w:r>
          </w:p>
        </w:tc>
        <w:tc>
          <w:tcPr>
            <w:tcW w:w="709" w:type="dxa"/>
            <w:vAlign w:val="center"/>
          </w:tcPr>
          <w:p w14:paraId="156DBED6" w14:textId="77777777" w:rsidR="00F45E7D" w:rsidRDefault="0087463C">
            <w:pPr>
              <w:pStyle w:val="TableText0"/>
              <w:jc w:val="center"/>
              <w:rPr>
                <w:sz w:val="18"/>
              </w:rPr>
            </w:pPr>
            <w:r>
              <w:rPr>
                <w:sz w:val="18"/>
              </w:rPr>
              <w:t>1 (1%)</w:t>
            </w:r>
          </w:p>
        </w:tc>
        <w:tc>
          <w:tcPr>
            <w:tcW w:w="709" w:type="dxa"/>
            <w:vAlign w:val="center"/>
          </w:tcPr>
          <w:p w14:paraId="2E3ED051" w14:textId="77777777" w:rsidR="00F45E7D" w:rsidRDefault="0087463C">
            <w:pPr>
              <w:pStyle w:val="TableText0"/>
              <w:jc w:val="center"/>
              <w:rPr>
                <w:sz w:val="18"/>
              </w:rPr>
            </w:pPr>
            <w:r>
              <w:rPr>
                <w:sz w:val="18"/>
              </w:rPr>
              <w:t>0</w:t>
            </w:r>
          </w:p>
        </w:tc>
        <w:tc>
          <w:tcPr>
            <w:tcW w:w="567" w:type="dxa"/>
            <w:vAlign w:val="center"/>
          </w:tcPr>
          <w:p w14:paraId="3ACA6C39" w14:textId="77777777" w:rsidR="00F45E7D" w:rsidRDefault="0087463C">
            <w:pPr>
              <w:pStyle w:val="TableText0"/>
              <w:jc w:val="center"/>
              <w:rPr>
                <w:sz w:val="18"/>
              </w:rPr>
            </w:pPr>
            <w:r>
              <w:rPr>
                <w:sz w:val="18"/>
              </w:rPr>
              <w:t>0</w:t>
            </w:r>
          </w:p>
        </w:tc>
        <w:tc>
          <w:tcPr>
            <w:tcW w:w="708" w:type="dxa"/>
            <w:vAlign w:val="center"/>
          </w:tcPr>
          <w:p w14:paraId="02A69469" w14:textId="77777777" w:rsidR="00F45E7D" w:rsidRDefault="0087463C">
            <w:pPr>
              <w:pStyle w:val="TableText0"/>
              <w:jc w:val="center"/>
              <w:rPr>
                <w:sz w:val="18"/>
              </w:rPr>
            </w:pPr>
            <w:r>
              <w:rPr>
                <w:sz w:val="18"/>
              </w:rPr>
              <w:t>1 (1%)</w:t>
            </w:r>
          </w:p>
        </w:tc>
        <w:tc>
          <w:tcPr>
            <w:tcW w:w="709" w:type="dxa"/>
            <w:vAlign w:val="center"/>
          </w:tcPr>
          <w:p w14:paraId="4B98417B" w14:textId="77777777" w:rsidR="00F45E7D" w:rsidRDefault="0087463C">
            <w:pPr>
              <w:pStyle w:val="TableText0"/>
              <w:jc w:val="center"/>
              <w:rPr>
                <w:sz w:val="18"/>
              </w:rPr>
            </w:pPr>
            <w:r>
              <w:rPr>
                <w:sz w:val="18"/>
              </w:rPr>
              <w:t>2 (1%)</w:t>
            </w:r>
          </w:p>
        </w:tc>
        <w:tc>
          <w:tcPr>
            <w:tcW w:w="709" w:type="dxa"/>
            <w:vAlign w:val="center"/>
          </w:tcPr>
          <w:p w14:paraId="2B14F483" w14:textId="77777777" w:rsidR="00F45E7D" w:rsidRDefault="0087463C">
            <w:pPr>
              <w:pStyle w:val="TableText0"/>
              <w:jc w:val="center"/>
              <w:rPr>
                <w:sz w:val="18"/>
              </w:rPr>
            </w:pPr>
            <w:r>
              <w:rPr>
                <w:sz w:val="18"/>
              </w:rPr>
              <w:t>1 (1%)</w:t>
            </w:r>
          </w:p>
        </w:tc>
        <w:tc>
          <w:tcPr>
            <w:tcW w:w="570" w:type="dxa"/>
            <w:vAlign w:val="center"/>
          </w:tcPr>
          <w:p w14:paraId="5DF5147D" w14:textId="77777777" w:rsidR="00F45E7D" w:rsidRDefault="0087463C">
            <w:pPr>
              <w:pStyle w:val="TableText0"/>
              <w:jc w:val="center"/>
              <w:rPr>
                <w:sz w:val="18"/>
              </w:rPr>
            </w:pPr>
            <w:r>
              <w:rPr>
                <w:sz w:val="18"/>
              </w:rPr>
              <w:t>0</w:t>
            </w:r>
          </w:p>
        </w:tc>
        <w:tc>
          <w:tcPr>
            <w:tcW w:w="566" w:type="dxa"/>
            <w:vAlign w:val="center"/>
          </w:tcPr>
          <w:p w14:paraId="1E1FE384" w14:textId="77777777" w:rsidR="00F45E7D" w:rsidRDefault="0087463C">
            <w:pPr>
              <w:pStyle w:val="TableText0"/>
              <w:jc w:val="center"/>
              <w:rPr>
                <w:sz w:val="18"/>
              </w:rPr>
            </w:pPr>
            <w:r>
              <w:rPr>
                <w:sz w:val="18"/>
              </w:rPr>
              <w:t>0</w:t>
            </w:r>
          </w:p>
        </w:tc>
        <w:tc>
          <w:tcPr>
            <w:tcW w:w="709" w:type="dxa"/>
            <w:vAlign w:val="center"/>
          </w:tcPr>
          <w:p w14:paraId="48680C34" w14:textId="77777777" w:rsidR="00F45E7D" w:rsidRDefault="0087463C">
            <w:pPr>
              <w:pStyle w:val="TableText0"/>
              <w:jc w:val="center"/>
              <w:rPr>
                <w:sz w:val="18"/>
              </w:rPr>
            </w:pPr>
            <w:r>
              <w:rPr>
                <w:sz w:val="18"/>
              </w:rPr>
              <w:t>1 (1%)</w:t>
            </w:r>
          </w:p>
        </w:tc>
      </w:tr>
      <w:tr w:rsidR="00F45E7D" w14:paraId="75FF3DC5" w14:textId="77777777">
        <w:trPr>
          <w:trHeight w:val="85"/>
        </w:trPr>
        <w:tc>
          <w:tcPr>
            <w:tcW w:w="2263" w:type="dxa"/>
            <w:vAlign w:val="center"/>
          </w:tcPr>
          <w:p w14:paraId="221D65A2" w14:textId="77777777" w:rsidR="00F45E7D" w:rsidRDefault="0087463C">
            <w:pPr>
              <w:pStyle w:val="TableText0"/>
              <w:rPr>
                <w:sz w:val="18"/>
              </w:rPr>
            </w:pPr>
            <w:r>
              <w:rPr>
                <w:sz w:val="18"/>
              </w:rPr>
              <w:t xml:space="preserve">Nephritis </w:t>
            </w:r>
          </w:p>
        </w:tc>
        <w:tc>
          <w:tcPr>
            <w:tcW w:w="709" w:type="dxa"/>
            <w:vAlign w:val="center"/>
          </w:tcPr>
          <w:p w14:paraId="5CD0AD80" w14:textId="77777777" w:rsidR="00F45E7D" w:rsidRDefault="0087463C">
            <w:pPr>
              <w:pStyle w:val="TableText0"/>
              <w:jc w:val="center"/>
              <w:rPr>
                <w:sz w:val="18"/>
              </w:rPr>
            </w:pPr>
            <w:r>
              <w:rPr>
                <w:sz w:val="18"/>
              </w:rPr>
              <w:t>6 (3%)</w:t>
            </w:r>
          </w:p>
        </w:tc>
        <w:tc>
          <w:tcPr>
            <w:tcW w:w="709" w:type="dxa"/>
            <w:vAlign w:val="center"/>
          </w:tcPr>
          <w:p w14:paraId="4C9CE370" w14:textId="77777777" w:rsidR="00F45E7D" w:rsidRDefault="0087463C">
            <w:pPr>
              <w:pStyle w:val="TableText0"/>
              <w:jc w:val="center"/>
              <w:rPr>
                <w:sz w:val="18"/>
              </w:rPr>
            </w:pPr>
            <w:r>
              <w:rPr>
                <w:sz w:val="18"/>
              </w:rPr>
              <w:t>0</w:t>
            </w:r>
          </w:p>
        </w:tc>
        <w:tc>
          <w:tcPr>
            <w:tcW w:w="709" w:type="dxa"/>
            <w:vAlign w:val="center"/>
          </w:tcPr>
          <w:p w14:paraId="39CE14A8" w14:textId="77777777" w:rsidR="00F45E7D" w:rsidRDefault="0087463C">
            <w:pPr>
              <w:pStyle w:val="TableText0"/>
              <w:jc w:val="center"/>
              <w:rPr>
                <w:sz w:val="18"/>
              </w:rPr>
            </w:pPr>
            <w:r>
              <w:rPr>
                <w:sz w:val="18"/>
              </w:rPr>
              <w:t>0</w:t>
            </w:r>
          </w:p>
        </w:tc>
        <w:tc>
          <w:tcPr>
            <w:tcW w:w="567" w:type="dxa"/>
            <w:vAlign w:val="center"/>
          </w:tcPr>
          <w:p w14:paraId="31FB4A1F" w14:textId="77777777" w:rsidR="00F45E7D" w:rsidRDefault="0087463C">
            <w:pPr>
              <w:pStyle w:val="TableText0"/>
              <w:jc w:val="center"/>
              <w:rPr>
                <w:sz w:val="18"/>
              </w:rPr>
            </w:pPr>
            <w:r>
              <w:rPr>
                <w:sz w:val="18"/>
              </w:rPr>
              <w:t>0</w:t>
            </w:r>
          </w:p>
        </w:tc>
        <w:tc>
          <w:tcPr>
            <w:tcW w:w="708" w:type="dxa"/>
            <w:vAlign w:val="center"/>
          </w:tcPr>
          <w:p w14:paraId="10575FFB" w14:textId="77777777" w:rsidR="00F45E7D" w:rsidRDefault="0087463C">
            <w:pPr>
              <w:pStyle w:val="TableText0"/>
              <w:jc w:val="center"/>
              <w:rPr>
                <w:sz w:val="18"/>
              </w:rPr>
            </w:pPr>
            <w:r>
              <w:rPr>
                <w:sz w:val="18"/>
              </w:rPr>
              <w:t>0</w:t>
            </w:r>
          </w:p>
        </w:tc>
        <w:tc>
          <w:tcPr>
            <w:tcW w:w="709" w:type="dxa"/>
            <w:vAlign w:val="center"/>
          </w:tcPr>
          <w:p w14:paraId="0309D610" w14:textId="77777777" w:rsidR="00F45E7D" w:rsidRDefault="0087463C">
            <w:pPr>
              <w:pStyle w:val="TableText0"/>
              <w:jc w:val="center"/>
              <w:rPr>
                <w:sz w:val="18"/>
              </w:rPr>
            </w:pPr>
            <w:r>
              <w:rPr>
                <w:sz w:val="18"/>
              </w:rPr>
              <w:t>1 (1%)</w:t>
            </w:r>
          </w:p>
        </w:tc>
        <w:tc>
          <w:tcPr>
            <w:tcW w:w="709" w:type="dxa"/>
            <w:vAlign w:val="center"/>
          </w:tcPr>
          <w:p w14:paraId="2B65C7EE" w14:textId="77777777" w:rsidR="00F45E7D" w:rsidRDefault="0087463C">
            <w:pPr>
              <w:pStyle w:val="TableText0"/>
              <w:jc w:val="center"/>
              <w:rPr>
                <w:sz w:val="18"/>
              </w:rPr>
            </w:pPr>
            <w:r>
              <w:rPr>
                <w:sz w:val="18"/>
              </w:rPr>
              <w:t>1 (1%)</w:t>
            </w:r>
          </w:p>
        </w:tc>
        <w:tc>
          <w:tcPr>
            <w:tcW w:w="570" w:type="dxa"/>
            <w:vAlign w:val="center"/>
          </w:tcPr>
          <w:p w14:paraId="7AB3BE11" w14:textId="77777777" w:rsidR="00F45E7D" w:rsidRDefault="0087463C">
            <w:pPr>
              <w:pStyle w:val="TableText0"/>
              <w:jc w:val="center"/>
              <w:rPr>
                <w:sz w:val="18"/>
              </w:rPr>
            </w:pPr>
            <w:r>
              <w:rPr>
                <w:sz w:val="18"/>
              </w:rPr>
              <w:t>0</w:t>
            </w:r>
          </w:p>
        </w:tc>
        <w:tc>
          <w:tcPr>
            <w:tcW w:w="566" w:type="dxa"/>
            <w:vAlign w:val="center"/>
          </w:tcPr>
          <w:p w14:paraId="5C8F8364" w14:textId="77777777" w:rsidR="00F45E7D" w:rsidRDefault="0087463C">
            <w:pPr>
              <w:pStyle w:val="TableText0"/>
              <w:jc w:val="center"/>
              <w:rPr>
                <w:sz w:val="18"/>
              </w:rPr>
            </w:pPr>
            <w:r>
              <w:rPr>
                <w:sz w:val="18"/>
              </w:rPr>
              <w:t>0</w:t>
            </w:r>
          </w:p>
        </w:tc>
        <w:tc>
          <w:tcPr>
            <w:tcW w:w="709" w:type="dxa"/>
            <w:vAlign w:val="center"/>
          </w:tcPr>
          <w:p w14:paraId="08B07EDB" w14:textId="77777777" w:rsidR="00F45E7D" w:rsidRDefault="0087463C">
            <w:pPr>
              <w:pStyle w:val="TableText0"/>
              <w:jc w:val="center"/>
              <w:rPr>
                <w:sz w:val="18"/>
              </w:rPr>
            </w:pPr>
            <w:r>
              <w:rPr>
                <w:sz w:val="18"/>
              </w:rPr>
              <w:t>1 (1%)</w:t>
            </w:r>
          </w:p>
        </w:tc>
      </w:tr>
      <w:tr w:rsidR="00F45E7D" w14:paraId="4FA728D1" w14:textId="77777777">
        <w:trPr>
          <w:trHeight w:val="85"/>
        </w:trPr>
        <w:tc>
          <w:tcPr>
            <w:tcW w:w="2263" w:type="dxa"/>
            <w:vAlign w:val="center"/>
          </w:tcPr>
          <w:p w14:paraId="5BF1A0D5" w14:textId="77777777" w:rsidR="00F45E7D" w:rsidRDefault="0087463C">
            <w:pPr>
              <w:pStyle w:val="TableText0"/>
              <w:rPr>
                <w:sz w:val="18"/>
              </w:rPr>
            </w:pPr>
            <w:r>
              <w:rPr>
                <w:sz w:val="18"/>
              </w:rPr>
              <w:t xml:space="preserve">Nervous system </w:t>
            </w:r>
          </w:p>
        </w:tc>
        <w:tc>
          <w:tcPr>
            <w:tcW w:w="709" w:type="dxa"/>
            <w:vAlign w:val="center"/>
          </w:tcPr>
          <w:p w14:paraId="5FB3E55E" w14:textId="77777777" w:rsidR="00F45E7D" w:rsidRDefault="0087463C">
            <w:pPr>
              <w:pStyle w:val="TableText0"/>
              <w:jc w:val="center"/>
              <w:rPr>
                <w:sz w:val="18"/>
              </w:rPr>
            </w:pPr>
            <w:r>
              <w:rPr>
                <w:sz w:val="18"/>
              </w:rPr>
              <w:t>2 (1%)</w:t>
            </w:r>
          </w:p>
        </w:tc>
        <w:tc>
          <w:tcPr>
            <w:tcW w:w="709" w:type="dxa"/>
            <w:vAlign w:val="center"/>
          </w:tcPr>
          <w:p w14:paraId="137326C3" w14:textId="77777777" w:rsidR="00F45E7D" w:rsidRDefault="0087463C">
            <w:pPr>
              <w:pStyle w:val="TableText0"/>
              <w:jc w:val="center"/>
              <w:rPr>
                <w:sz w:val="18"/>
              </w:rPr>
            </w:pPr>
            <w:r>
              <w:rPr>
                <w:sz w:val="18"/>
              </w:rPr>
              <w:t>3 (2%)</w:t>
            </w:r>
          </w:p>
        </w:tc>
        <w:tc>
          <w:tcPr>
            <w:tcW w:w="709" w:type="dxa"/>
            <w:vAlign w:val="center"/>
          </w:tcPr>
          <w:p w14:paraId="43A2B1A0" w14:textId="77777777" w:rsidR="00F45E7D" w:rsidRDefault="0087463C">
            <w:pPr>
              <w:pStyle w:val="TableText0"/>
              <w:jc w:val="center"/>
              <w:rPr>
                <w:sz w:val="18"/>
              </w:rPr>
            </w:pPr>
            <w:r>
              <w:rPr>
                <w:sz w:val="18"/>
              </w:rPr>
              <w:t>0</w:t>
            </w:r>
          </w:p>
        </w:tc>
        <w:tc>
          <w:tcPr>
            <w:tcW w:w="567" w:type="dxa"/>
            <w:vAlign w:val="center"/>
          </w:tcPr>
          <w:p w14:paraId="53851619" w14:textId="77777777" w:rsidR="00F45E7D" w:rsidRDefault="0087463C">
            <w:pPr>
              <w:pStyle w:val="TableText0"/>
              <w:jc w:val="center"/>
              <w:rPr>
                <w:sz w:val="18"/>
              </w:rPr>
            </w:pPr>
            <w:r>
              <w:rPr>
                <w:sz w:val="18"/>
              </w:rPr>
              <w:t>0</w:t>
            </w:r>
          </w:p>
        </w:tc>
        <w:tc>
          <w:tcPr>
            <w:tcW w:w="708" w:type="dxa"/>
            <w:vAlign w:val="center"/>
          </w:tcPr>
          <w:p w14:paraId="33ADA828" w14:textId="77777777" w:rsidR="00F45E7D" w:rsidRDefault="0087463C">
            <w:pPr>
              <w:pStyle w:val="TableText0"/>
              <w:jc w:val="center"/>
              <w:rPr>
                <w:sz w:val="18"/>
              </w:rPr>
            </w:pPr>
            <w:r>
              <w:rPr>
                <w:sz w:val="18"/>
              </w:rPr>
              <w:t>3 (2%)</w:t>
            </w:r>
          </w:p>
        </w:tc>
        <w:tc>
          <w:tcPr>
            <w:tcW w:w="709" w:type="dxa"/>
            <w:vAlign w:val="center"/>
          </w:tcPr>
          <w:p w14:paraId="2818CFAA" w14:textId="77777777" w:rsidR="00F45E7D" w:rsidRDefault="0087463C">
            <w:pPr>
              <w:pStyle w:val="TableText0"/>
              <w:jc w:val="center"/>
              <w:rPr>
                <w:sz w:val="18"/>
              </w:rPr>
            </w:pPr>
            <w:r>
              <w:rPr>
                <w:sz w:val="18"/>
              </w:rPr>
              <w:t>0</w:t>
            </w:r>
          </w:p>
        </w:tc>
        <w:tc>
          <w:tcPr>
            <w:tcW w:w="709" w:type="dxa"/>
            <w:vAlign w:val="center"/>
          </w:tcPr>
          <w:p w14:paraId="5AE36B06" w14:textId="77777777" w:rsidR="00F45E7D" w:rsidRDefault="0087463C">
            <w:pPr>
              <w:pStyle w:val="TableText0"/>
              <w:jc w:val="center"/>
              <w:rPr>
                <w:sz w:val="18"/>
              </w:rPr>
            </w:pPr>
            <w:r>
              <w:rPr>
                <w:sz w:val="18"/>
              </w:rPr>
              <w:t>1 (1%)</w:t>
            </w:r>
          </w:p>
        </w:tc>
        <w:tc>
          <w:tcPr>
            <w:tcW w:w="570" w:type="dxa"/>
            <w:vAlign w:val="center"/>
          </w:tcPr>
          <w:p w14:paraId="618D9CD8" w14:textId="77777777" w:rsidR="00F45E7D" w:rsidRDefault="0087463C">
            <w:pPr>
              <w:pStyle w:val="TableText0"/>
              <w:jc w:val="center"/>
              <w:rPr>
                <w:sz w:val="18"/>
              </w:rPr>
            </w:pPr>
            <w:r>
              <w:rPr>
                <w:sz w:val="18"/>
              </w:rPr>
              <w:t>0</w:t>
            </w:r>
          </w:p>
        </w:tc>
        <w:tc>
          <w:tcPr>
            <w:tcW w:w="566" w:type="dxa"/>
            <w:vAlign w:val="center"/>
          </w:tcPr>
          <w:p w14:paraId="10C6F83E" w14:textId="77777777" w:rsidR="00F45E7D" w:rsidRDefault="0087463C">
            <w:pPr>
              <w:pStyle w:val="TableText0"/>
              <w:jc w:val="center"/>
              <w:rPr>
                <w:sz w:val="18"/>
              </w:rPr>
            </w:pPr>
            <w:r>
              <w:rPr>
                <w:sz w:val="18"/>
              </w:rPr>
              <w:t>0</w:t>
            </w:r>
          </w:p>
        </w:tc>
        <w:tc>
          <w:tcPr>
            <w:tcW w:w="709" w:type="dxa"/>
            <w:vAlign w:val="center"/>
          </w:tcPr>
          <w:p w14:paraId="3C2E19F9" w14:textId="77777777" w:rsidR="00F45E7D" w:rsidRDefault="0087463C">
            <w:pPr>
              <w:pStyle w:val="TableText0"/>
              <w:jc w:val="center"/>
              <w:rPr>
                <w:sz w:val="18"/>
              </w:rPr>
            </w:pPr>
            <w:r>
              <w:rPr>
                <w:sz w:val="18"/>
              </w:rPr>
              <w:t>1 (1%)</w:t>
            </w:r>
          </w:p>
        </w:tc>
      </w:tr>
      <w:tr w:rsidR="00F45E7D" w14:paraId="49873E40" w14:textId="77777777">
        <w:trPr>
          <w:trHeight w:val="85"/>
        </w:trPr>
        <w:tc>
          <w:tcPr>
            <w:tcW w:w="2263" w:type="dxa"/>
            <w:vAlign w:val="center"/>
          </w:tcPr>
          <w:p w14:paraId="5AD5BF14" w14:textId="77777777" w:rsidR="00F45E7D" w:rsidRDefault="0087463C">
            <w:pPr>
              <w:pStyle w:val="TableText0"/>
              <w:rPr>
                <w:sz w:val="18"/>
              </w:rPr>
            </w:pPr>
            <w:r>
              <w:rPr>
                <w:sz w:val="18"/>
              </w:rPr>
              <w:t xml:space="preserve">Headache </w:t>
            </w:r>
          </w:p>
        </w:tc>
        <w:tc>
          <w:tcPr>
            <w:tcW w:w="709" w:type="dxa"/>
            <w:vAlign w:val="center"/>
          </w:tcPr>
          <w:p w14:paraId="55104459" w14:textId="77777777" w:rsidR="00F45E7D" w:rsidRDefault="0087463C">
            <w:pPr>
              <w:pStyle w:val="TableText0"/>
              <w:jc w:val="center"/>
              <w:rPr>
                <w:sz w:val="18"/>
              </w:rPr>
            </w:pPr>
            <w:r>
              <w:rPr>
                <w:sz w:val="18"/>
              </w:rPr>
              <w:t>1 (1%)</w:t>
            </w:r>
          </w:p>
        </w:tc>
        <w:tc>
          <w:tcPr>
            <w:tcW w:w="709" w:type="dxa"/>
            <w:vAlign w:val="center"/>
          </w:tcPr>
          <w:p w14:paraId="6C1ADB41" w14:textId="77777777" w:rsidR="00F45E7D" w:rsidRDefault="0087463C">
            <w:pPr>
              <w:pStyle w:val="TableText0"/>
              <w:jc w:val="center"/>
              <w:rPr>
                <w:sz w:val="18"/>
              </w:rPr>
            </w:pPr>
            <w:r>
              <w:rPr>
                <w:sz w:val="18"/>
              </w:rPr>
              <w:t>0</w:t>
            </w:r>
          </w:p>
        </w:tc>
        <w:tc>
          <w:tcPr>
            <w:tcW w:w="709" w:type="dxa"/>
            <w:vAlign w:val="center"/>
          </w:tcPr>
          <w:p w14:paraId="5D5A2D0B" w14:textId="77777777" w:rsidR="00F45E7D" w:rsidRDefault="0087463C">
            <w:pPr>
              <w:pStyle w:val="TableText0"/>
              <w:jc w:val="center"/>
              <w:rPr>
                <w:sz w:val="18"/>
              </w:rPr>
            </w:pPr>
            <w:r>
              <w:rPr>
                <w:sz w:val="18"/>
              </w:rPr>
              <w:t>0</w:t>
            </w:r>
          </w:p>
        </w:tc>
        <w:tc>
          <w:tcPr>
            <w:tcW w:w="567" w:type="dxa"/>
            <w:vAlign w:val="center"/>
          </w:tcPr>
          <w:p w14:paraId="677EF681" w14:textId="77777777" w:rsidR="00F45E7D" w:rsidRDefault="0087463C">
            <w:pPr>
              <w:pStyle w:val="TableText0"/>
              <w:jc w:val="center"/>
              <w:rPr>
                <w:sz w:val="18"/>
              </w:rPr>
            </w:pPr>
            <w:r>
              <w:rPr>
                <w:sz w:val="18"/>
              </w:rPr>
              <w:t>0</w:t>
            </w:r>
          </w:p>
        </w:tc>
        <w:tc>
          <w:tcPr>
            <w:tcW w:w="708" w:type="dxa"/>
            <w:vAlign w:val="center"/>
          </w:tcPr>
          <w:p w14:paraId="0CC3A834" w14:textId="77777777" w:rsidR="00F45E7D" w:rsidRDefault="0087463C">
            <w:pPr>
              <w:pStyle w:val="TableText0"/>
              <w:jc w:val="center"/>
              <w:rPr>
                <w:sz w:val="18"/>
              </w:rPr>
            </w:pPr>
            <w:r>
              <w:rPr>
                <w:sz w:val="18"/>
              </w:rPr>
              <w:t>0</w:t>
            </w:r>
          </w:p>
        </w:tc>
        <w:tc>
          <w:tcPr>
            <w:tcW w:w="709" w:type="dxa"/>
            <w:vAlign w:val="center"/>
          </w:tcPr>
          <w:p w14:paraId="4918979A" w14:textId="77777777" w:rsidR="00F45E7D" w:rsidRDefault="0087463C">
            <w:pPr>
              <w:pStyle w:val="TableText0"/>
              <w:jc w:val="center"/>
              <w:rPr>
                <w:sz w:val="18"/>
              </w:rPr>
            </w:pPr>
            <w:r>
              <w:rPr>
                <w:sz w:val="18"/>
              </w:rPr>
              <w:t>0</w:t>
            </w:r>
          </w:p>
        </w:tc>
        <w:tc>
          <w:tcPr>
            <w:tcW w:w="709" w:type="dxa"/>
            <w:vAlign w:val="center"/>
          </w:tcPr>
          <w:p w14:paraId="4F7CB813" w14:textId="77777777" w:rsidR="00F45E7D" w:rsidRDefault="0087463C">
            <w:pPr>
              <w:pStyle w:val="TableText0"/>
              <w:jc w:val="center"/>
              <w:rPr>
                <w:sz w:val="18"/>
              </w:rPr>
            </w:pPr>
            <w:r>
              <w:rPr>
                <w:sz w:val="18"/>
              </w:rPr>
              <w:t>0</w:t>
            </w:r>
          </w:p>
        </w:tc>
        <w:tc>
          <w:tcPr>
            <w:tcW w:w="570" w:type="dxa"/>
            <w:vAlign w:val="center"/>
          </w:tcPr>
          <w:p w14:paraId="7EAE9587" w14:textId="77777777" w:rsidR="00F45E7D" w:rsidRDefault="0087463C">
            <w:pPr>
              <w:pStyle w:val="TableText0"/>
              <w:jc w:val="center"/>
              <w:rPr>
                <w:sz w:val="18"/>
              </w:rPr>
            </w:pPr>
            <w:r>
              <w:rPr>
                <w:sz w:val="18"/>
              </w:rPr>
              <w:t>0</w:t>
            </w:r>
          </w:p>
        </w:tc>
        <w:tc>
          <w:tcPr>
            <w:tcW w:w="566" w:type="dxa"/>
            <w:vAlign w:val="center"/>
          </w:tcPr>
          <w:p w14:paraId="0AAB5A13" w14:textId="77777777" w:rsidR="00F45E7D" w:rsidRDefault="0087463C">
            <w:pPr>
              <w:pStyle w:val="TableText0"/>
              <w:jc w:val="center"/>
              <w:rPr>
                <w:sz w:val="18"/>
              </w:rPr>
            </w:pPr>
            <w:r>
              <w:rPr>
                <w:sz w:val="18"/>
              </w:rPr>
              <w:t>0</w:t>
            </w:r>
          </w:p>
        </w:tc>
        <w:tc>
          <w:tcPr>
            <w:tcW w:w="709" w:type="dxa"/>
            <w:vAlign w:val="center"/>
          </w:tcPr>
          <w:p w14:paraId="6AAB5275" w14:textId="77777777" w:rsidR="00F45E7D" w:rsidRDefault="0087463C">
            <w:pPr>
              <w:pStyle w:val="TableText0"/>
              <w:jc w:val="center"/>
              <w:rPr>
                <w:sz w:val="18"/>
              </w:rPr>
            </w:pPr>
            <w:r>
              <w:rPr>
                <w:sz w:val="18"/>
              </w:rPr>
              <w:t>0</w:t>
            </w:r>
          </w:p>
        </w:tc>
      </w:tr>
      <w:tr w:rsidR="00F45E7D" w14:paraId="45D95571" w14:textId="77777777">
        <w:trPr>
          <w:trHeight w:val="223"/>
        </w:trPr>
        <w:tc>
          <w:tcPr>
            <w:tcW w:w="2263" w:type="dxa"/>
            <w:vAlign w:val="center"/>
          </w:tcPr>
          <w:p w14:paraId="646BFEBB" w14:textId="77777777" w:rsidR="00F45E7D" w:rsidRDefault="0087463C">
            <w:pPr>
              <w:pStyle w:val="TableText0"/>
              <w:rPr>
                <w:sz w:val="18"/>
              </w:rPr>
            </w:pPr>
            <w:r>
              <w:rPr>
                <w:sz w:val="18"/>
              </w:rPr>
              <w:t xml:space="preserve">Peripheral neuropathy </w:t>
            </w:r>
          </w:p>
        </w:tc>
        <w:tc>
          <w:tcPr>
            <w:tcW w:w="709" w:type="dxa"/>
            <w:vAlign w:val="center"/>
          </w:tcPr>
          <w:p w14:paraId="1E1831D7" w14:textId="77777777" w:rsidR="00F45E7D" w:rsidRDefault="0087463C">
            <w:pPr>
              <w:pStyle w:val="TableText0"/>
              <w:jc w:val="center"/>
              <w:rPr>
                <w:sz w:val="18"/>
              </w:rPr>
            </w:pPr>
            <w:r>
              <w:rPr>
                <w:sz w:val="18"/>
              </w:rPr>
              <w:t>1 (1%)</w:t>
            </w:r>
          </w:p>
        </w:tc>
        <w:tc>
          <w:tcPr>
            <w:tcW w:w="709" w:type="dxa"/>
            <w:vAlign w:val="center"/>
          </w:tcPr>
          <w:p w14:paraId="213CB9C8" w14:textId="77777777" w:rsidR="00F45E7D" w:rsidRDefault="0087463C">
            <w:pPr>
              <w:pStyle w:val="TableText0"/>
              <w:jc w:val="center"/>
              <w:rPr>
                <w:sz w:val="18"/>
              </w:rPr>
            </w:pPr>
            <w:r>
              <w:rPr>
                <w:sz w:val="18"/>
              </w:rPr>
              <w:t>0</w:t>
            </w:r>
          </w:p>
        </w:tc>
        <w:tc>
          <w:tcPr>
            <w:tcW w:w="709" w:type="dxa"/>
            <w:vAlign w:val="center"/>
          </w:tcPr>
          <w:p w14:paraId="31AFFBBC" w14:textId="77777777" w:rsidR="00F45E7D" w:rsidRDefault="0087463C">
            <w:pPr>
              <w:pStyle w:val="TableText0"/>
              <w:jc w:val="center"/>
              <w:rPr>
                <w:sz w:val="18"/>
              </w:rPr>
            </w:pPr>
            <w:r>
              <w:rPr>
                <w:sz w:val="18"/>
              </w:rPr>
              <w:t>0</w:t>
            </w:r>
          </w:p>
        </w:tc>
        <w:tc>
          <w:tcPr>
            <w:tcW w:w="567" w:type="dxa"/>
            <w:vAlign w:val="center"/>
          </w:tcPr>
          <w:p w14:paraId="4759191D" w14:textId="77777777" w:rsidR="00F45E7D" w:rsidRDefault="0087463C">
            <w:pPr>
              <w:pStyle w:val="TableText0"/>
              <w:jc w:val="center"/>
              <w:rPr>
                <w:sz w:val="18"/>
              </w:rPr>
            </w:pPr>
            <w:r>
              <w:rPr>
                <w:sz w:val="18"/>
              </w:rPr>
              <w:t>0</w:t>
            </w:r>
          </w:p>
        </w:tc>
        <w:tc>
          <w:tcPr>
            <w:tcW w:w="708" w:type="dxa"/>
            <w:vAlign w:val="center"/>
          </w:tcPr>
          <w:p w14:paraId="402541C1" w14:textId="77777777" w:rsidR="00F45E7D" w:rsidRDefault="0087463C">
            <w:pPr>
              <w:pStyle w:val="TableText0"/>
              <w:jc w:val="center"/>
              <w:rPr>
                <w:sz w:val="18"/>
              </w:rPr>
            </w:pPr>
            <w:r>
              <w:rPr>
                <w:sz w:val="18"/>
              </w:rPr>
              <w:t>0</w:t>
            </w:r>
          </w:p>
        </w:tc>
        <w:tc>
          <w:tcPr>
            <w:tcW w:w="709" w:type="dxa"/>
            <w:vAlign w:val="center"/>
          </w:tcPr>
          <w:p w14:paraId="7058693E" w14:textId="77777777" w:rsidR="00F45E7D" w:rsidRDefault="0087463C">
            <w:pPr>
              <w:pStyle w:val="TableText0"/>
              <w:jc w:val="center"/>
              <w:rPr>
                <w:sz w:val="18"/>
              </w:rPr>
            </w:pPr>
            <w:r>
              <w:rPr>
                <w:sz w:val="18"/>
              </w:rPr>
              <w:t>0</w:t>
            </w:r>
          </w:p>
        </w:tc>
        <w:tc>
          <w:tcPr>
            <w:tcW w:w="709" w:type="dxa"/>
            <w:vAlign w:val="center"/>
          </w:tcPr>
          <w:p w14:paraId="0ACA7174" w14:textId="77777777" w:rsidR="00F45E7D" w:rsidRDefault="0087463C">
            <w:pPr>
              <w:pStyle w:val="TableText0"/>
              <w:jc w:val="center"/>
              <w:rPr>
                <w:sz w:val="18"/>
              </w:rPr>
            </w:pPr>
            <w:r>
              <w:rPr>
                <w:sz w:val="18"/>
              </w:rPr>
              <w:t>0</w:t>
            </w:r>
          </w:p>
        </w:tc>
        <w:tc>
          <w:tcPr>
            <w:tcW w:w="570" w:type="dxa"/>
            <w:vAlign w:val="center"/>
          </w:tcPr>
          <w:p w14:paraId="136F216C" w14:textId="77777777" w:rsidR="00F45E7D" w:rsidRDefault="0087463C">
            <w:pPr>
              <w:pStyle w:val="TableText0"/>
              <w:jc w:val="center"/>
              <w:rPr>
                <w:sz w:val="18"/>
              </w:rPr>
            </w:pPr>
            <w:r>
              <w:rPr>
                <w:sz w:val="18"/>
              </w:rPr>
              <w:t>0</w:t>
            </w:r>
          </w:p>
        </w:tc>
        <w:tc>
          <w:tcPr>
            <w:tcW w:w="566" w:type="dxa"/>
            <w:vAlign w:val="center"/>
          </w:tcPr>
          <w:p w14:paraId="2961DB24" w14:textId="77777777" w:rsidR="00F45E7D" w:rsidRDefault="0087463C">
            <w:pPr>
              <w:pStyle w:val="TableText0"/>
              <w:jc w:val="center"/>
              <w:rPr>
                <w:sz w:val="18"/>
              </w:rPr>
            </w:pPr>
            <w:r>
              <w:rPr>
                <w:sz w:val="18"/>
              </w:rPr>
              <w:t>0</w:t>
            </w:r>
          </w:p>
        </w:tc>
        <w:tc>
          <w:tcPr>
            <w:tcW w:w="709" w:type="dxa"/>
            <w:vAlign w:val="center"/>
          </w:tcPr>
          <w:p w14:paraId="2A20C2AE" w14:textId="77777777" w:rsidR="00F45E7D" w:rsidRDefault="0087463C">
            <w:pPr>
              <w:pStyle w:val="TableText0"/>
              <w:jc w:val="center"/>
              <w:rPr>
                <w:sz w:val="18"/>
              </w:rPr>
            </w:pPr>
            <w:r>
              <w:rPr>
                <w:sz w:val="18"/>
              </w:rPr>
              <w:t>0</w:t>
            </w:r>
          </w:p>
        </w:tc>
      </w:tr>
      <w:tr w:rsidR="00F45E7D" w14:paraId="4E6591CD" w14:textId="77777777">
        <w:trPr>
          <w:trHeight w:val="85"/>
        </w:trPr>
        <w:tc>
          <w:tcPr>
            <w:tcW w:w="2263" w:type="dxa"/>
            <w:vAlign w:val="center"/>
          </w:tcPr>
          <w:p w14:paraId="3DAFADC9" w14:textId="77777777" w:rsidR="00F45E7D" w:rsidRDefault="0087463C">
            <w:pPr>
              <w:pStyle w:val="TableText0"/>
              <w:rPr>
                <w:sz w:val="18"/>
              </w:rPr>
            </w:pPr>
            <w:r>
              <w:rPr>
                <w:sz w:val="18"/>
              </w:rPr>
              <w:t xml:space="preserve">Encephalitis or meningitis </w:t>
            </w:r>
          </w:p>
        </w:tc>
        <w:tc>
          <w:tcPr>
            <w:tcW w:w="709" w:type="dxa"/>
            <w:vAlign w:val="center"/>
          </w:tcPr>
          <w:p w14:paraId="17AADAC7" w14:textId="77777777" w:rsidR="00F45E7D" w:rsidRDefault="0087463C">
            <w:pPr>
              <w:pStyle w:val="TableText0"/>
              <w:jc w:val="center"/>
              <w:rPr>
                <w:sz w:val="18"/>
              </w:rPr>
            </w:pPr>
            <w:r>
              <w:rPr>
                <w:sz w:val="18"/>
              </w:rPr>
              <w:t>0</w:t>
            </w:r>
          </w:p>
        </w:tc>
        <w:tc>
          <w:tcPr>
            <w:tcW w:w="709" w:type="dxa"/>
            <w:vAlign w:val="center"/>
          </w:tcPr>
          <w:p w14:paraId="1097C735" w14:textId="77777777" w:rsidR="00F45E7D" w:rsidRDefault="0087463C">
            <w:pPr>
              <w:pStyle w:val="TableText0"/>
              <w:jc w:val="center"/>
              <w:rPr>
                <w:sz w:val="18"/>
              </w:rPr>
            </w:pPr>
            <w:r>
              <w:rPr>
                <w:sz w:val="18"/>
              </w:rPr>
              <w:t>2 (1%)</w:t>
            </w:r>
          </w:p>
        </w:tc>
        <w:tc>
          <w:tcPr>
            <w:tcW w:w="709" w:type="dxa"/>
            <w:vAlign w:val="center"/>
          </w:tcPr>
          <w:p w14:paraId="29C1F799" w14:textId="77777777" w:rsidR="00F45E7D" w:rsidRDefault="0087463C">
            <w:pPr>
              <w:pStyle w:val="TableText0"/>
              <w:jc w:val="center"/>
              <w:rPr>
                <w:sz w:val="18"/>
              </w:rPr>
            </w:pPr>
            <w:r>
              <w:rPr>
                <w:sz w:val="18"/>
              </w:rPr>
              <w:t>0</w:t>
            </w:r>
          </w:p>
        </w:tc>
        <w:tc>
          <w:tcPr>
            <w:tcW w:w="567" w:type="dxa"/>
            <w:vAlign w:val="center"/>
          </w:tcPr>
          <w:p w14:paraId="11447D08" w14:textId="77777777" w:rsidR="00F45E7D" w:rsidRDefault="0087463C">
            <w:pPr>
              <w:pStyle w:val="TableText0"/>
              <w:jc w:val="center"/>
              <w:rPr>
                <w:sz w:val="18"/>
              </w:rPr>
            </w:pPr>
            <w:r>
              <w:rPr>
                <w:sz w:val="18"/>
              </w:rPr>
              <w:t>0</w:t>
            </w:r>
          </w:p>
        </w:tc>
        <w:tc>
          <w:tcPr>
            <w:tcW w:w="708" w:type="dxa"/>
            <w:vAlign w:val="center"/>
          </w:tcPr>
          <w:p w14:paraId="0B7D4439" w14:textId="77777777" w:rsidR="00F45E7D" w:rsidRDefault="0087463C">
            <w:pPr>
              <w:pStyle w:val="TableText0"/>
              <w:jc w:val="center"/>
              <w:rPr>
                <w:sz w:val="18"/>
              </w:rPr>
            </w:pPr>
            <w:r>
              <w:rPr>
                <w:sz w:val="18"/>
              </w:rPr>
              <w:t>2 (1%)</w:t>
            </w:r>
          </w:p>
        </w:tc>
        <w:tc>
          <w:tcPr>
            <w:tcW w:w="709" w:type="dxa"/>
            <w:vAlign w:val="center"/>
          </w:tcPr>
          <w:p w14:paraId="5FAEE78B" w14:textId="77777777" w:rsidR="00F45E7D" w:rsidRDefault="0087463C">
            <w:pPr>
              <w:pStyle w:val="TableText0"/>
              <w:jc w:val="center"/>
              <w:rPr>
                <w:sz w:val="18"/>
              </w:rPr>
            </w:pPr>
            <w:r>
              <w:rPr>
                <w:sz w:val="18"/>
              </w:rPr>
              <w:t>0</w:t>
            </w:r>
          </w:p>
        </w:tc>
        <w:tc>
          <w:tcPr>
            <w:tcW w:w="709" w:type="dxa"/>
            <w:vAlign w:val="center"/>
          </w:tcPr>
          <w:p w14:paraId="53F5991C" w14:textId="77777777" w:rsidR="00F45E7D" w:rsidRDefault="0087463C">
            <w:pPr>
              <w:pStyle w:val="TableText0"/>
              <w:jc w:val="center"/>
              <w:rPr>
                <w:sz w:val="18"/>
              </w:rPr>
            </w:pPr>
            <w:r>
              <w:rPr>
                <w:sz w:val="18"/>
              </w:rPr>
              <w:t>1 (1%)</w:t>
            </w:r>
          </w:p>
        </w:tc>
        <w:tc>
          <w:tcPr>
            <w:tcW w:w="570" w:type="dxa"/>
            <w:vAlign w:val="center"/>
          </w:tcPr>
          <w:p w14:paraId="0FFFAA4E" w14:textId="77777777" w:rsidR="00F45E7D" w:rsidRDefault="0087463C">
            <w:pPr>
              <w:pStyle w:val="TableText0"/>
              <w:jc w:val="center"/>
              <w:rPr>
                <w:sz w:val="18"/>
              </w:rPr>
            </w:pPr>
            <w:r>
              <w:rPr>
                <w:sz w:val="18"/>
              </w:rPr>
              <w:t>0</w:t>
            </w:r>
          </w:p>
        </w:tc>
        <w:tc>
          <w:tcPr>
            <w:tcW w:w="566" w:type="dxa"/>
            <w:vAlign w:val="center"/>
          </w:tcPr>
          <w:p w14:paraId="5E3531B9" w14:textId="77777777" w:rsidR="00F45E7D" w:rsidRDefault="0087463C">
            <w:pPr>
              <w:pStyle w:val="TableText0"/>
              <w:jc w:val="center"/>
              <w:rPr>
                <w:sz w:val="18"/>
              </w:rPr>
            </w:pPr>
            <w:r>
              <w:rPr>
                <w:sz w:val="18"/>
              </w:rPr>
              <w:t>0</w:t>
            </w:r>
          </w:p>
        </w:tc>
        <w:tc>
          <w:tcPr>
            <w:tcW w:w="709" w:type="dxa"/>
            <w:vAlign w:val="center"/>
          </w:tcPr>
          <w:p w14:paraId="39C179AC" w14:textId="77777777" w:rsidR="00F45E7D" w:rsidRDefault="0087463C">
            <w:pPr>
              <w:pStyle w:val="TableText0"/>
              <w:jc w:val="center"/>
              <w:rPr>
                <w:sz w:val="18"/>
              </w:rPr>
            </w:pPr>
            <w:r>
              <w:rPr>
                <w:sz w:val="18"/>
              </w:rPr>
              <w:t>1 (1%)</w:t>
            </w:r>
          </w:p>
        </w:tc>
      </w:tr>
      <w:tr w:rsidR="00F45E7D" w14:paraId="231E69E5" w14:textId="77777777">
        <w:trPr>
          <w:trHeight w:val="85"/>
        </w:trPr>
        <w:tc>
          <w:tcPr>
            <w:tcW w:w="2263" w:type="dxa"/>
            <w:vAlign w:val="center"/>
          </w:tcPr>
          <w:p w14:paraId="299748E7" w14:textId="77777777" w:rsidR="00F45E7D" w:rsidRDefault="0087463C">
            <w:pPr>
              <w:pStyle w:val="TableText0"/>
              <w:rPr>
                <w:sz w:val="18"/>
              </w:rPr>
            </w:pPr>
            <w:r>
              <w:rPr>
                <w:sz w:val="18"/>
              </w:rPr>
              <w:t xml:space="preserve">Guillain-Barré Syndrome </w:t>
            </w:r>
          </w:p>
        </w:tc>
        <w:tc>
          <w:tcPr>
            <w:tcW w:w="709" w:type="dxa"/>
            <w:vAlign w:val="center"/>
          </w:tcPr>
          <w:p w14:paraId="2BD4A12F" w14:textId="77777777" w:rsidR="00F45E7D" w:rsidRDefault="0087463C">
            <w:pPr>
              <w:pStyle w:val="TableText0"/>
              <w:jc w:val="center"/>
              <w:rPr>
                <w:sz w:val="18"/>
              </w:rPr>
            </w:pPr>
            <w:r>
              <w:rPr>
                <w:sz w:val="18"/>
              </w:rPr>
              <w:t>0</w:t>
            </w:r>
          </w:p>
        </w:tc>
        <w:tc>
          <w:tcPr>
            <w:tcW w:w="709" w:type="dxa"/>
            <w:vAlign w:val="center"/>
          </w:tcPr>
          <w:p w14:paraId="173844B2" w14:textId="77777777" w:rsidR="00F45E7D" w:rsidRDefault="0087463C">
            <w:pPr>
              <w:pStyle w:val="TableText0"/>
              <w:jc w:val="center"/>
              <w:rPr>
                <w:sz w:val="18"/>
              </w:rPr>
            </w:pPr>
            <w:r>
              <w:rPr>
                <w:sz w:val="18"/>
              </w:rPr>
              <w:t>1 (1%)</w:t>
            </w:r>
          </w:p>
        </w:tc>
        <w:tc>
          <w:tcPr>
            <w:tcW w:w="709" w:type="dxa"/>
            <w:vAlign w:val="center"/>
          </w:tcPr>
          <w:p w14:paraId="64B0121D" w14:textId="77777777" w:rsidR="00F45E7D" w:rsidRDefault="0087463C">
            <w:pPr>
              <w:pStyle w:val="TableText0"/>
              <w:jc w:val="center"/>
              <w:rPr>
                <w:sz w:val="18"/>
              </w:rPr>
            </w:pPr>
            <w:r>
              <w:rPr>
                <w:sz w:val="18"/>
              </w:rPr>
              <w:t>0</w:t>
            </w:r>
          </w:p>
        </w:tc>
        <w:tc>
          <w:tcPr>
            <w:tcW w:w="567" w:type="dxa"/>
            <w:vAlign w:val="center"/>
          </w:tcPr>
          <w:p w14:paraId="51B3DE3E" w14:textId="77777777" w:rsidR="00F45E7D" w:rsidRDefault="0087463C">
            <w:pPr>
              <w:pStyle w:val="TableText0"/>
              <w:jc w:val="center"/>
              <w:rPr>
                <w:sz w:val="18"/>
              </w:rPr>
            </w:pPr>
            <w:r>
              <w:rPr>
                <w:sz w:val="18"/>
              </w:rPr>
              <w:t>0</w:t>
            </w:r>
          </w:p>
        </w:tc>
        <w:tc>
          <w:tcPr>
            <w:tcW w:w="708" w:type="dxa"/>
            <w:vAlign w:val="center"/>
          </w:tcPr>
          <w:p w14:paraId="7C61C617" w14:textId="77777777" w:rsidR="00F45E7D" w:rsidRDefault="0087463C">
            <w:pPr>
              <w:pStyle w:val="TableText0"/>
              <w:jc w:val="center"/>
              <w:rPr>
                <w:sz w:val="18"/>
              </w:rPr>
            </w:pPr>
            <w:r>
              <w:rPr>
                <w:sz w:val="18"/>
              </w:rPr>
              <w:t>1 (1%)</w:t>
            </w:r>
          </w:p>
        </w:tc>
        <w:tc>
          <w:tcPr>
            <w:tcW w:w="709" w:type="dxa"/>
            <w:vAlign w:val="center"/>
          </w:tcPr>
          <w:p w14:paraId="4DF94AD4" w14:textId="77777777" w:rsidR="00F45E7D" w:rsidRDefault="0087463C">
            <w:pPr>
              <w:pStyle w:val="TableText0"/>
              <w:jc w:val="center"/>
              <w:rPr>
                <w:sz w:val="18"/>
              </w:rPr>
            </w:pPr>
            <w:r>
              <w:rPr>
                <w:sz w:val="18"/>
              </w:rPr>
              <w:t>0</w:t>
            </w:r>
          </w:p>
        </w:tc>
        <w:tc>
          <w:tcPr>
            <w:tcW w:w="709" w:type="dxa"/>
            <w:vAlign w:val="center"/>
          </w:tcPr>
          <w:p w14:paraId="6FB88533" w14:textId="77777777" w:rsidR="00F45E7D" w:rsidRDefault="0087463C">
            <w:pPr>
              <w:pStyle w:val="TableText0"/>
              <w:jc w:val="center"/>
              <w:rPr>
                <w:sz w:val="18"/>
              </w:rPr>
            </w:pPr>
            <w:r>
              <w:rPr>
                <w:sz w:val="18"/>
              </w:rPr>
              <w:t>0</w:t>
            </w:r>
          </w:p>
        </w:tc>
        <w:tc>
          <w:tcPr>
            <w:tcW w:w="570" w:type="dxa"/>
            <w:vAlign w:val="center"/>
          </w:tcPr>
          <w:p w14:paraId="14DADBBC" w14:textId="77777777" w:rsidR="00F45E7D" w:rsidRDefault="0087463C">
            <w:pPr>
              <w:pStyle w:val="TableText0"/>
              <w:jc w:val="center"/>
              <w:rPr>
                <w:sz w:val="18"/>
              </w:rPr>
            </w:pPr>
            <w:r>
              <w:rPr>
                <w:sz w:val="18"/>
              </w:rPr>
              <w:t>0</w:t>
            </w:r>
          </w:p>
        </w:tc>
        <w:tc>
          <w:tcPr>
            <w:tcW w:w="566" w:type="dxa"/>
            <w:vAlign w:val="center"/>
          </w:tcPr>
          <w:p w14:paraId="2B2C657C" w14:textId="77777777" w:rsidR="00F45E7D" w:rsidRDefault="0087463C">
            <w:pPr>
              <w:pStyle w:val="TableText0"/>
              <w:jc w:val="center"/>
              <w:rPr>
                <w:sz w:val="18"/>
              </w:rPr>
            </w:pPr>
            <w:r>
              <w:rPr>
                <w:sz w:val="18"/>
              </w:rPr>
              <w:t>0</w:t>
            </w:r>
          </w:p>
        </w:tc>
        <w:tc>
          <w:tcPr>
            <w:tcW w:w="709" w:type="dxa"/>
            <w:vAlign w:val="center"/>
          </w:tcPr>
          <w:p w14:paraId="613E03A3" w14:textId="77777777" w:rsidR="00F45E7D" w:rsidRDefault="0087463C">
            <w:pPr>
              <w:pStyle w:val="TableText0"/>
              <w:jc w:val="center"/>
              <w:rPr>
                <w:sz w:val="18"/>
              </w:rPr>
            </w:pPr>
            <w:r>
              <w:rPr>
                <w:sz w:val="18"/>
              </w:rPr>
              <w:t>0</w:t>
            </w:r>
          </w:p>
        </w:tc>
      </w:tr>
      <w:tr w:rsidR="00F45E7D" w14:paraId="2AAADF11" w14:textId="77777777">
        <w:trPr>
          <w:trHeight w:val="85"/>
        </w:trPr>
        <w:tc>
          <w:tcPr>
            <w:tcW w:w="2263" w:type="dxa"/>
            <w:vAlign w:val="center"/>
          </w:tcPr>
          <w:p w14:paraId="60D13C53" w14:textId="77777777" w:rsidR="00F45E7D" w:rsidRDefault="0087463C">
            <w:pPr>
              <w:pStyle w:val="TableText0"/>
              <w:rPr>
                <w:sz w:val="18"/>
              </w:rPr>
            </w:pPr>
            <w:r>
              <w:rPr>
                <w:sz w:val="18"/>
              </w:rPr>
              <w:t xml:space="preserve">Anaemia or thrombocytopenia </w:t>
            </w:r>
          </w:p>
        </w:tc>
        <w:tc>
          <w:tcPr>
            <w:tcW w:w="709" w:type="dxa"/>
            <w:vAlign w:val="center"/>
          </w:tcPr>
          <w:p w14:paraId="56041697" w14:textId="77777777" w:rsidR="00F45E7D" w:rsidRDefault="0087463C">
            <w:pPr>
              <w:pStyle w:val="TableText0"/>
              <w:jc w:val="center"/>
              <w:rPr>
                <w:sz w:val="18"/>
              </w:rPr>
            </w:pPr>
            <w:r>
              <w:rPr>
                <w:sz w:val="18"/>
              </w:rPr>
              <w:t>0</w:t>
            </w:r>
          </w:p>
        </w:tc>
        <w:tc>
          <w:tcPr>
            <w:tcW w:w="709" w:type="dxa"/>
            <w:vAlign w:val="center"/>
          </w:tcPr>
          <w:p w14:paraId="75E381E8" w14:textId="77777777" w:rsidR="00F45E7D" w:rsidRDefault="0087463C">
            <w:pPr>
              <w:pStyle w:val="TableText0"/>
              <w:jc w:val="center"/>
              <w:rPr>
                <w:sz w:val="18"/>
              </w:rPr>
            </w:pPr>
            <w:r>
              <w:rPr>
                <w:sz w:val="18"/>
              </w:rPr>
              <w:t>1 (1%)</w:t>
            </w:r>
          </w:p>
        </w:tc>
        <w:tc>
          <w:tcPr>
            <w:tcW w:w="709" w:type="dxa"/>
            <w:vAlign w:val="center"/>
          </w:tcPr>
          <w:p w14:paraId="33FBA66E" w14:textId="77777777" w:rsidR="00F45E7D" w:rsidRDefault="0087463C">
            <w:pPr>
              <w:pStyle w:val="TableText0"/>
              <w:jc w:val="center"/>
              <w:rPr>
                <w:sz w:val="18"/>
              </w:rPr>
            </w:pPr>
            <w:r>
              <w:rPr>
                <w:sz w:val="18"/>
              </w:rPr>
              <w:t>0</w:t>
            </w:r>
          </w:p>
        </w:tc>
        <w:tc>
          <w:tcPr>
            <w:tcW w:w="567" w:type="dxa"/>
            <w:vAlign w:val="center"/>
          </w:tcPr>
          <w:p w14:paraId="582C9B42" w14:textId="77777777" w:rsidR="00F45E7D" w:rsidRDefault="0087463C">
            <w:pPr>
              <w:pStyle w:val="TableText0"/>
              <w:jc w:val="center"/>
              <w:rPr>
                <w:sz w:val="18"/>
              </w:rPr>
            </w:pPr>
            <w:r>
              <w:rPr>
                <w:sz w:val="18"/>
              </w:rPr>
              <w:t>0</w:t>
            </w:r>
          </w:p>
        </w:tc>
        <w:tc>
          <w:tcPr>
            <w:tcW w:w="708" w:type="dxa"/>
            <w:vAlign w:val="center"/>
          </w:tcPr>
          <w:p w14:paraId="424D0FE3" w14:textId="77777777" w:rsidR="00F45E7D" w:rsidRDefault="0087463C">
            <w:pPr>
              <w:pStyle w:val="TableText0"/>
              <w:jc w:val="center"/>
              <w:rPr>
                <w:sz w:val="18"/>
              </w:rPr>
            </w:pPr>
            <w:r>
              <w:rPr>
                <w:sz w:val="18"/>
              </w:rPr>
              <w:t>1 (1%)</w:t>
            </w:r>
          </w:p>
        </w:tc>
        <w:tc>
          <w:tcPr>
            <w:tcW w:w="709" w:type="dxa"/>
            <w:vAlign w:val="center"/>
          </w:tcPr>
          <w:p w14:paraId="21675A4C" w14:textId="77777777" w:rsidR="00F45E7D" w:rsidRDefault="0087463C">
            <w:pPr>
              <w:pStyle w:val="TableText0"/>
              <w:jc w:val="center"/>
              <w:rPr>
                <w:sz w:val="18"/>
              </w:rPr>
            </w:pPr>
            <w:r>
              <w:rPr>
                <w:sz w:val="18"/>
              </w:rPr>
              <w:t>0</w:t>
            </w:r>
          </w:p>
        </w:tc>
        <w:tc>
          <w:tcPr>
            <w:tcW w:w="709" w:type="dxa"/>
            <w:vAlign w:val="center"/>
          </w:tcPr>
          <w:p w14:paraId="14FFDF7E" w14:textId="77777777" w:rsidR="00F45E7D" w:rsidRDefault="0087463C">
            <w:pPr>
              <w:pStyle w:val="TableText0"/>
              <w:jc w:val="center"/>
              <w:rPr>
                <w:sz w:val="18"/>
              </w:rPr>
            </w:pPr>
            <w:r>
              <w:rPr>
                <w:sz w:val="18"/>
              </w:rPr>
              <w:t>1 (1%)</w:t>
            </w:r>
          </w:p>
        </w:tc>
        <w:tc>
          <w:tcPr>
            <w:tcW w:w="570" w:type="dxa"/>
            <w:vAlign w:val="center"/>
          </w:tcPr>
          <w:p w14:paraId="372D9BFF" w14:textId="77777777" w:rsidR="00F45E7D" w:rsidRDefault="0087463C">
            <w:pPr>
              <w:pStyle w:val="TableText0"/>
              <w:jc w:val="center"/>
              <w:rPr>
                <w:sz w:val="18"/>
              </w:rPr>
            </w:pPr>
            <w:r>
              <w:rPr>
                <w:sz w:val="18"/>
              </w:rPr>
              <w:t>0</w:t>
            </w:r>
          </w:p>
        </w:tc>
        <w:tc>
          <w:tcPr>
            <w:tcW w:w="566" w:type="dxa"/>
            <w:vAlign w:val="center"/>
          </w:tcPr>
          <w:p w14:paraId="6BC65A74" w14:textId="77777777" w:rsidR="00F45E7D" w:rsidRDefault="0087463C">
            <w:pPr>
              <w:pStyle w:val="TableText0"/>
              <w:jc w:val="center"/>
              <w:rPr>
                <w:sz w:val="18"/>
              </w:rPr>
            </w:pPr>
            <w:r>
              <w:rPr>
                <w:sz w:val="18"/>
              </w:rPr>
              <w:t>0</w:t>
            </w:r>
          </w:p>
        </w:tc>
        <w:tc>
          <w:tcPr>
            <w:tcW w:w="709" w:type="dxa"/>
            <w:vAlign w:val="center"/>
          </w:tcPr>
          <w:p w14:paraId="338905A8" w14:textId="77777777" w:rsidR="00F45E7D" w:rsidRDefault="0087463C">
            <w:pPr>
              <w:pStyle w:val="TableText0"/>
              <w:jc w:val="center"/>
              <w:rPr>
                <w:sz w:val="18"/>
              </w:rPr>
            </w:pPr>
            <w:r>
              <w:rPr>
                <w:sz w:val="18"/>
              </w:rPr>
              <w:t>1 (1%)</w:t>
            </w:r>
          </w:p>
        </w:tc>
      </w:tr>
      <w:tr w:rsidR="00F45E7D" w14:paraId="251F9A99" w14:textId="77777777">
        <w:trPr>
          <w:trHeight w:val="85"/>
        </w:trPr>
        <w:tc>
          <w:tcPr>
            <w:tcW w:w="2263" w:type="dxa"/>
            <w:vAlign w:val="center"/>
          </w:tcPr>
          <w:p w14:paraId="783C4B44" w14:textId="77777777" w:rsidR="00F45E7D" w:rsidRDefault="0087463C">
            <w:pPr>
              <w:pStyle w:val="TableText0"/>
              <w:rPr>
                <w:color w:val="221E1F"/>
                <w:sz w:val="18"/>
              </w:rPr>
            </w:pPr>
            <w:r>
              <w:rPr>
                <w:color w:val="221E1F"/>
                <w:sz w:val="18"/>
              </w:rPr>
              <w:t xml:space="preserve">Myocarditis </w:t>
            </w:r>
          </w:p>
        </w:tc>
        <w:tc>
          <w:tcPr>
            <w:tcW w:w="709" w:type="dxa"/>
            <w:vAlign w:val="center"/>
          </w:tcPr>
          <w:p w14:paraId="3C206378" w14:textId="77777777" w:rsidR="00F45E7D" w:rsidRDefault="0087463C">
            <w:pPr>
              <w:pStyle w:val="TableText0"/>
              <w:jc w:val="center"/>
              <w:rPr>
                <w:sz w:val="18"/>
              </w:rPr>
            </w:pPr>
            <w:r>
              <w:rPr>
                <w:sz w:val="18"/>
              </w:rPr>
              <w:t>0</w:t>
            </w:r>
          </w:p>
        </w:tc>
        <w:tc>
          <w:tcPr>
            <w:tcW w:w="709" w:type="dxa"/>
            <w:vAlign w:val="center"/>
          </w:tcPr>
          <w:p w14:paraId="4194BE7F" w14:textId="77777777" w:rsidR="00F45E7D" w:rsidRDefault="0087463C">
            <w:pPr>
              <w:pStyle w:val="TableText0"/>
              <w:jc w:val="center"/>
              <w:rPr>
                <w:sz w:val="18"/>
              </w:rPr>
            </w:pPr>
            <w:r>
              <w:rPr>
                <w:sz w:val="18"/>
              </w:rPr>
              <w:t>0</w:t>
            </w:r>
          </w:p>
        </w:tc>
        <w:tc>
          <w:tcPr>
            <w:tcW w:w="709" w:type="dxa"/>
            <w:vAlign w:val="center"/>
          </w:tcPr>
          <w:p w14:paraId="025CE80E" w14:textId="77777777" w:rsidR="00F45E7D" w:rsidRDefault="0087463C">
            <w:pPr>
              <w:pStyle w:val="TableText0"/>
              <w:jc w:val="center"/>
              <w:rPr>
                <w:sz w:val="18"/>
              </w:rPr>
            </w:pPr>
            <w:r>
              <w:rPr>
                <w:sz w:val="18"/>
              </w:rPr>
              <w:t>0</w:t>
            </w:r>
          </w:p>
        </w:tc>
        <w:tc>
          <w:tcPr>
            <w:tcW w:w="567" w:type="dxa"/>
            <w:vAlign w:val="center"/>
          </w:tcPr>
          <w:p w14:paraId="413F135D" w14:textId="77777777" w:rsidR="00F45E7D" w:rsidRDefault="0087463C">
            <w:pPr>
              <w:pStyle w:val="TableText0"/>
              <w:jc w:val="center"/>
              <w:rPr>
                <w:sz w:val="18"/>
              </w:rPr>
            </w:pPr>
            <w:r>
              <w:rPr>
                <w:sz w:val="18"/>
              </w:rPr>
              <w:t>0</w:t>
            </w:r>
          </w:p>
        </w:tc>
        <w:tc>
          <w:tcPr>
            <w:tcW w:w="708" w:type="dxa"/>
            <w:vAlign w:val="center"/>
          </w:tcPr>
          <w:p w14:paraId="2BD6AC0F" w14:textId="77777777" w:rsidR="00F45E7D" w:rsidRDefault="0087463C">
            <w:pPr>
              <w:pStyle w:val="TableText0"/>
              <w:jc w:val="center"/>
              <w:rPr>
                <w:sz w:val="18"/>
              </w:rPr>
            </w:pPr>
            <w:r>
              <w:rPr>
                <w:sz w:val="18"/>
              </w:rPr>
              <w:t>0</w:t>
            </w:r>
          </w:p>
        </w:tc>
        <w:tc>
          <w:tcPr>
            <w:tcW w:w="709" w:type="dxa"/>
            <w:vAlign w:val="center"/>
          </w:tcPr>
          <w:p w14:paraId="65937AB0" w14:textId="77777777" w:rsidR="00F45E7D" w:rsidRDefault="0087463C">
            <w:pPr>
              <w:pStyle w:val="TableText0"/>
              <w:jc w:val="center"/>
              <w:rPr>
                <w:sz w:val="18"/>
              </w:rPr>
            </w:pPr>
            <w:r>
              <w:rPr>
                <w:sz w:val="18"/>
              </w:rPr>
              <w:t>0</w:t>
            </w:r>
          </w:p>
        </w:tc>
        <w:tc>
          <w:tcPr>
            <w:tcW w:w="709" w:type="dxa"/>
            <w:vAlign w:val="center"/>
          </w:tcPr>
          <w:p w14:paraId="65D69777" w14:textId="77777777" w:rsidR="00F45E7D" w:rsidRDefault="0087463C">
            <w:pPr>
              <w:pStyle w:val="TableText0"/>
              <w:jc w:val="center"/>
              <w:rPr>
                <w:sz w:val="18"/>
              </w:rPr>
            </w:pPr>
            <w:r>
              <w:rPr>
                <w:sz w:val="18"/>
              </w:rPr>
              <w:t>1 (1%)</w:t>
            </w:r>
          </w:p>
        </w:tc>
        <w:tc>
          <w:tcPr>
            <w:tcW w:w="570" w:type="dxa"/>
            <w:vAlign w:val="center"/>
          </w:tcPr>
          <w:p w14:paraId="747D8EC9" w14:textId="77777777" w:rsidR="00F45E7D" w:rsidRDefault="0087463C">
            <w:pPr>
              <w:pStyle w:val="TableText0"/>
              <w:jc w:val="center"/>
              <w:rPr>
                <w:sz w:val="18"/>
              </w:rPr>
            </w:pPr>
            <w:r>
              <w:rPr>
                <w:sz w:val="18"/>
              </w:rPr>
              <w:t>0</w:t>
            </w:r>
          </w:p>
        </w:tc>
        <w:tc>
          <w:tcPr>
            <w:tcW w:w="566" w:type="dxa"/>
            <w:vAlign w:val="center"/>
          </w:tcPr>
          <w:p w14:paraId="0FDBBE11" w14:textId="77777777" w:rsidR="00F45E7D" w:rsidRDefault="0087463C">
            <w:pPr>
              <w:pStyle w:val="TableText0"/>
              <w:jc w:val="center"/>
              <w:rPr>
                <w:sz w:val="18"/>
              </w:rPr>
            </w:pPr>
            <w:r>
              <w:rPr>
                <w:sz w:val="18"/>
              </w:rPr>
              <w:t>0</w:t>
            </w:r>
          </w:p>
        </w:tc>
        <w:tc>
          <w:tcPr>
            <w:tcW w:w="709" w:type="dxa"/>
            <w:vAlign w:val="center"/>
          </w:tcPr>
          <w:p w14:paraId="7C174E31" w14:textId="77777777" w:rsidR="00F45E7D" w:rsidRDefault="0087463C">
            <w:pPr>
              <w:pStyle w:val="TableText0"/>
              <w:jc w:val="center"/>
              <w:rPr>
                <w:sz w:val="18"/>
              </w:rPr>
            </w:pPr>
            <w:r>
              <w:rPr>
                <w:sz w:val="18"/>
              </w:rPr>
              <w:t>1 (1%)</w:t>
            </w:r>
          </w:p>
        </w:tc>
      </w:tr>
    </w:tbl>
    <w:p w14:paraId="487AAF88" w14:textId="77777777" w:rsidR="00F45E7D" w:rsidRDefault="0087463C">
      <w:pPr>
        <w:pStyle w:val="FooterTableFigure"/>
      </w:pPr>
      <w:r>
        <w:t>Source: Figure 14, pp68-69 of the submission</w:t>
      </w:r>
    </w:p>
    <w:p w14:paraId="25ACC6FB" w14:textId="77777777" w:rsidR="00F45E7D" w:rsidRDefault="0087463C">
      <w:pPr>
        <w:pStyle w:val="3-BodyText"/>
        <w:ind w:left="709"/>
      </w:pPr>
      <w:bookmarkStart w:id="53" w:name="_Hlk111756481"/>
      <w:bookmarkStart w:id="54" w:name="_Toc112548520"/>
      <w:r>
        <w:t>Owen et al (2020) did not present comprehensive safety information</w:t>
      </w:r>
      <w:bookmarkEnd w:id="53"/>
      <w:r>
        <w:t xml:space="preserve">. Only discontinuation due to toxicity was reported with 55% (17/31) of patients receiving IPI </w:t>
      </w:r>
      <w:r>
        <w:rPr>
          <w:rFonts w:cstheme="minorHAnsi"/>
        </w:rPr>
        <w:t>±</w:t>
      </w:r>
      <w:r>
        <w:t xml:space="preserve"> PD-1 inhibitor and 38% (5/13) receiving IPI discontinued treatment due to toxicity. However, the submission presented an overall safety profile of dabrafenib plus trametinib as a proxy for BRAFi treatment. </w:t>
      </w:r>
      <w:r>
        <w:rPr>
          <w:iCs/>
        </w:rPr>
        <w:t>Very limited conclusions can be drawn from the presented information due to the unknown differences</w:t>
      </w:r>
      <w:r>
        <w:t xml:space="preserve"> in </w:t>
      </w:r>
      <w:r>
        <w:rPr>
          <w:iCs/>
        </w:rPr>
        <w:t>patient characteristics, treatment settings and method of assessments.</w:t>
      </w:r>
    </w:p>
    <w:p w14:paraId="705A451A" w14:textId="77777777" w:rsidR="00F45E7D" w:rsidRDefault="0087463C">
      <w:pPr>
        <w:pStyle w:val="4-SubsectionHeading"/>
      </w:pPr>
      <w:bookmarkStart w:id="55" w:name="_Toc114052259"/>
      <w:r>
        <w:t>Clinical claim</w:t>
      </w:r>
      <w:bookmarkEnd w:id="54"/>
      <w:bookmarkEnd w:id="55"/>
    </w:p>
    <w:p w14:paraId="5219DFF2" w14:textId="77777777" w:rsidR="00F45E7D" w:rsidRDefault="0087463C">
      <w:pPr>
        <w:pStyle w:val="3-BodyText"/>
        <w:ind w:left="709"/>
      </w:pPr>
      <w:r>
        <w:t>The submission claimed for:</w:t>
      </w:r>
    </w:p>
    <w:p w14:paraId="45B1172A" w14:textId="77777777" w:rsidR="00F45E7D" w:rsidRDefault="0087463C">
      <w:pPr>
        <w:pStyle w:val="3-BodyText"/>
        <w:numPr>
          <w:ilvl w:val="0"/>
          <w:numId w:val="9"/>
        </w:numPr>
      </w:pPr>
      <w:r>
        <w:t>NIVO + IPI versus IPI (main comparison): In patients who have experienced disease recurrence after adjuvant PD-1 inhibitor treatment, retreatment with NIVO + IPI is superior in terms of effectiveness and inferior in terms of safety compared with IPI.</w:t>
      </w:r>
    </w:p>
    <w:p w14:paraId="35D26E57" w14:textId="77777777" w:rsidR="00F45E7D" w:rsidRDefault="0087463C">
      <w:pPr>
        <w:pStyle w:val="3-BodyText"/>
        <w:numPr>
          <w:ilvl w:val="0"/>
          <w:numId w:val="9"/>
        </w:numPr>
      </w:pPr>
      <w:r>
        <w:lastRenderedPageBreak/>
        <w:t>NIVO + IPI versus BRAFi (secondary comparison): In patients who have experienced disease recurrence after adjuvant PD-1 inhibitor treatment, retreatment with NIVO + IPI is superior in terms of effectiveness and inferior in terms of safety compared with BRAFi.</w:t>
      </w:r>
    </w:p>
    <w:p w14:paraId="64DFCF67" w14:textId="77777777" w:rsidR="00F45E7D" w:rsidRDefault="0087463C">
      <w:pPr>
        <w:pStyle w:val="3-BodyText"/>
        <w:ind w:left="709"/>
        <w:rPr>
          <w:iCs/>
        </w:rPr>
      </w:pPr>
      <w:r>
        <w:t>The ESC considered that</w:t>
      </w:r>
      <w:r>
        <w:rPr>
          <w:iCs/>
        </w:rPr>
        <w:t xml:space="preserve"> the clinical claims were uncertain for the following reasons:</w:t>
      </w:r>
    </w:p>
    <w:p w14:paraId="79248D6A" w14:textId="77777777" w:rsidR="00F45E7D" w:rsidRDefault="0087463C">
      <w:pPr>
        <w:pStyle w:val="3-BodyText"/>
        <w:numPr>
          <w:ilvl w:val="0"/>
          <w:numId w:val="9"/>
        </w:numPr>
        <w:rPr>
          <w:iCs/>
        </w:rPr>
      </w:pPr>
      <w:r>
        <w:rPr>
          <w:iCs/>
        </w:rPr>
        <w:t>Neither of included studies were designed to examine the comparative efficacy and safety outcomes of NIVO + IPI against IPI monotherapy or BRAFi in the target population of the submission.</w:t>
      </w:r>
    </w:p>
    <w:p w14:paraId="0A520409" w14:textId="77777777" w:rsidR="00F45E7D" w:rsidRDefault="0087463C">
      <w:pPr>
        <w:pStyle w:val="3-BodyText"/>
        <w:numPr>
          <w:ilvl w:val="0"/>
          <w:numId w:val="9"/>
        </w:numPr>
        <w:rPr>
          <w:iCs/>
        </w:rPr>
      </w:pPr>
      <w:r>
        <w:rPr>
          <w:iCs/>
        </w:rPr>
        <w:t>It was unclear how confounders that might affect the internal validity and the generalisation of the efficacy and safety outcomes were managed in both studies. For instance, the heterogeneity in baseline characteristics between treatment groups in terms of age, BRAF status or ECOG status might have affected the likelihood of receiving IPI + PD-1 inhibitor rather than IPI monotherapy or BRAFi.</w:t>
      </w:r>
    </w:p>
    <w:p w14:paraId="07718FBC" w14:textId="77777777" w:rsidR="00F45E7D" w:rsidRDefault="0087463C">
      <w:pPr>
        <w:pStyle w:val="3-BodyText"/>
        <w:numPr>
          <w:ilvl w:val="0"/>
          <w:numId w:val="9"/>
        </w:numPr>
        <w:rPr>
          <w:iCs/>
        </w:rPr>
      </w:pPr>
      <w:r>
        <w:rPr>
          <w:iCs/>
        </w:rPr>
        <w:t>In da Silva et al (2021) only 44/355 patients matched the target population of the submission, of which 36 received IPI + PD-1 inhibitor and 8 received the comparator, IPI monotherapy. The subgroup sample size was small and underpowered, meaning the comparison of clinical efficacy was unreliable. The safety comparison presented was for the whole study population (N=355), not for the target population subgroup.</w:t>
      </w:r>
    </w:p>
    <w:p w14:paraId="2AA3D732" w14:textId="77777777" w:rsidR="00F45E7D" w:rsidRDefault="0087463C">
      <w:pPr>
        <w:pStyle w:val="3-BodyText"/>
        <w:numPr>
          <w:ilvl w:val="0"/>
          <w:numId w:val="9"/>
        </w:numPr>
        <w:rPr>
          <w:iCs/>
        </w:rPr>
      </w:pPr>
      <w:r>
        <w:rPr>
          <w:iCs/>
        </w:rPr>
        <w:t>In Owen et al (2020), the comparative results were presented for a pooled population of patients (n=44) re-treated with either IPI monotherapy or IPI + PD-1 inhibitor versus 40 patients re-treated with BRAFi. The patient group used to draw the clinical results therefore did not match the target population. In addition, there was no safety comparison between IPI + PD-1 inhibitor and BRAFi available.</w:t>
      </w:r>
    </w:p>
    <w:p w14:paraId="6A835FF8" w14:textId="096CC0DA" w:rsidR="00F45E7D" w:rsidRDefault="0087463C">
      <w:pPr>
        <w:pStyle w:val="3-BodyText"/>
      </w:pPr>
      <w:r>
        <w:t xml:space="preserve">In the context that the response rates for </w:t>
      </w:r>
      <w:r>
        <w:rPr>
          <w:snapToGrid w:val="0"/>
        </w:rPr>
        <w:t xml:space="preserve">IPI + PD-1 inhibitor </w:t>
      </w:r>
      <w:r>
        <w:t xml:space="preserve">therapy in the treatment of melanoma are high relative to those with PD-1 inhibitor therapy for other tumour types and noting that it was unlikely that better quality data would become available, the PBAC considered that the claim </w:t>
      </w:r>
      <w:r>
        <w:rPr>
          <w:snapToGrid w:val="0"/>
        </w:rPr>
        <w:t>that IPI + PD-1 inhibitor was superior in terms of comparative effectiveness compared to IPI monotherapy and BRAFi was likely to be reasonable, although the magnitude of benefit was highly uncertain.</w:t>
      </w:r>
    </w:p>
    <w:p w14:paraId="4D059FE2" w14:textId="77777777" w:rsidR="00F45E7D" w:rsidRDefault="0087463C">
      <w:pPr>
        <w:pStyle w:val="3-BodyText"/>
        <w:rPr>
          <w:snapToGrid w:val="0"/>
        </w:rPr>
      </w:pPr>
      <w:r>
        <w:rPr>
          <w:snapToGrid w:val="0"/>
        </w:rPr>
        <w:t>The PBAC considered that the claim that IPI + PD-1 inhibitor was inferior in terms of comparative safety compared to IPI monotherapy or BRAFi was reasonable.</w:t>
      </w:r>
    </w:p>
    <w:p w14:paraId="6BD3856E" w14:textId="77777777" w:rsidR="00F45E7D" w:rsidRDefault="0087463C">
      <w:pPr>
        <w:pStyle w:val="4-SubsectionHeading"/>
      </w:pPr>
      <w:bookmarkStart w:id="56" w:name="_Toc112548521"/>
      <w:bookmarkStart w:id="57" w:name="_Toc114052260"/>
      <w:r>
        <w:lastRenderedPageBreak/>
        <w:t>Economic analysis</w:t>
      </w:r>
      <w:bookmarkEnd w:id="56"/>
      <w:bookmarkEnd w:id="57"/>
    </w:p>
    <w:p w14:paraId="2CB2AF1E" w14:textId="77777777" w:rsidR="00F45E7D" w:rsidRDefault="0087463C">
      <w:pPr>
        <w:pStyle w:val="3-BodyText"/>
        <w:ind w:left="709"/>
      </w:pPr>
      <w:r>
        <w:rPr>
          <w:iCs/>
        </w:rPr>
        <w:t xml:space="preserve">The submission did not present an economic evaluation. </w:t>
      </w:r>
      <w:r>
        <w:t>The submission stated that due to the limited available data from the relevant subgroup of da Silva et al (2021), a reliable cost effectiveness analysis comparing NIVO + IPI to IPI monotherapy was not possible.</w:t>
      </w:r>
    </w:p>
    <w:p w14:paraId="5DF4E9F0" w14:textId="79C75018" w:rsidR="00F45E7D" w:rsidRDefault="0087463C">
      <w:pPr>
        <w:pStyle w:val="3-BodyText"/>
        <w:ind w:left="709"/>
      </w:pPr>
      <w:r>
        <w:t>Instead, the submission presented an unanchored, side-by-side comparison of the efficacy data for patients who received IPI + PD-1 inhibitor treatment from da Silva et al (2021) and the OMCP and from CheckMate 067, which was presented when NIVO + IPI was first PBS listed for unresectable Stage III or IV malignant melanoma (</w:t>
      </w:r>
      <w:r>
        <w:rPr>
          <w:highlight w:val="yellow"/>
        </w:rPr>
        <w:fldChar w:fldCharType="begin"/>
      </w:r>
      <w:r>
        <w:instrText xml:space="preserve"> REF _Ref113881430 \h </w:instrText>
      </w:r>
      <w:r>
        <w:rPr>
          <w:highlight w:val="yellow"/>
        </w:rPr>
      </w:r>
      <w:r>
        <w:rPr>
          <w:highlight w:val="yellow"/>
        </w:rPr>
        <w:fldChar w:fldCharType="separate"/>
      </w:r>
      <w:r w:rsidR="00D8701A">
        <w:t xml:space="preserve">Table </w:t>
      </w:r>
      <w:r w:rsidR="00D8701A">
        <w:rPr>
          <w:noProof/>
        </w:rPr>
        <w:t>10</w:t>
      </w:r>
      <w:r>
        <w:rPr>
          <w:highlight w:val="yellow"/>
        </w:rPr>
        <w:fldChar w:fldCharType="end"/>
      </w:r>
      <w:r>
        <w:t>).</w:t>
      </w:r>
    </w:p>
    <w:p w14:paraId="17BF8670" w14:textId="77777777" w:rsidR="00F45E7D" w:rsidRDefault="0087463C">
      <w:pPr>
        <w:pStyle w:val="3-BodyText"/>
        <w:ind w:left="709"/>
      </w:pPr>
      <w:r>
        <w:t>The submission concluded that the PFS and OS data at the 12-month timepoint was similar across the 3 patient populations. Therefore, the submission requested the current price for NIVO and IPI in unresectable Stage III or Stage IV malignant melanoma for the expanded population of patients who have previously received adjuvant PD-1 monotherapy and then recurred on treatment or within 6 months.</w:t>
      </w:r>
    </w:p>
    <w:p w14:paraId="29953FE5" w14:textId="548D65A1" w:rsidR="00F45E7D" w:rsidRDefault="0087463C">
      <w:pPr>
        <w:pStyle w:val="In-tableHeading"/>
        <w:rPr>
          <w:lang w:val="en-AU"/>
        </w:rPr>
      </w:pPr>
      <w:bookmarkStart w:id="58" w:name="_Ref113881430"/>
      <w:r>
        <w:rPr>
          <w:lang w:val="en-AU"/>
        </w:rPr>
        <w:t xml:space="preserve">Table </w:t>
      </w:r>
      <w:r>
        <w:rPr>
          <w:lang w:val="en-AU"/>
        </w:rPr>
        <w:fldChar w:fldCharType="begin"/>
      </w:r>
      <w:r>
        <w:rPr>
          <w:lang w:val="en-AU"/>
        </w:rPr>
        <w:instrText xml:space="preserve"> SEQ Table \* ARABIC </w:instrText>
      </w:r>
      <w:r>
        <w:rPr>
          <w:lang w:val="en-AU"/>
        </w:rPr>
        <w:fldChar w:fldCharType="separate"/>
      </w:r>
      <w:r w:rsidR="00D8701A">
        <w:rPr>
          <w:noProof/>
          <w:lang w:val="en-AU"/>
        </w:rPr>
        <w:t>10</w:t>
      </w:r>
      <w:r>
        <w:rPr>
          <w:lang w:val="en-AU"/>
        </w:rPr>
        <w:fldChar w:fldCharType="end"/>
      </w:r>
      <w:bookmarkEnd w:id="58"/>
      <w:r>
        <w:rPr>
          <w:lang w:val="en-AU"/>
        </w:rPr>
        <w:t>: Unanchored side-by-side comparison of efficacy outcomes with IPI + PD-1 inhibitor treatment from patients in da Silva et al (2021), the OMCP and CheckMate 067</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70"/>
        <w:gridCol w:w="2126"/>
        <w:gridCol w:w="2126"/>
      </w:tblGrid>
      <w:tr w:rsidR="00F45E7D" w14:paraId="3DCEA0C1" w14:textId="77777777">
        <w:tc>
          <w:tcPr>
            <w:tcW w:w="1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C0F96C" w14:textId="77777777" w:rsidR="00F45E7D" w:rsidRDefault="00F45E7D">
            <w:pPr>
              <w:pStyle w:val="TableText0"/>
              <w:keepNext w:val="0"/>
              <w:widowControl w:val="0"/>
              <w:rPr>
                <w:b/>
                <w:bCs w:val="0"/>
              </w:rPr>
            </w:pPr>
          </w:p>
        </w:tc>
        <w:tc>
          <w:tcPr>
            <w:tcW w:w="12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F2D9E24" w14:textId="77777777" w:rsidR="00F45E7D" w:rsidRDefault="0087463C">
            <w:pPr>
              <w:pStyle w:val="TableText0"/>
              <w:keepNext w:val="0"/>
              <w:widowControl w:val="0"/>
              <w:jc w:val="center"/>
              <w:rPr>
                <w:b/>
                <w:bCs w:val="0"/>
              </w:rPr>
            </w:pPr>
            <w:r>
              <w:rPr>
                <w:b/>
                <w:bCs w:val="0"/>
              </w:rPr>
              <w:t xml:space="preserve">da Silva et al (2021) </w:t>
            </w:r>
            <w:r>
              <w:rPr>
                <w:b/>
                <w:bCs w:val="0"/>
              </w:rPr>
              <w:br/>
              <w:t>(n=36)</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418B93A" w14:textId="77777777" w:rsidR="00F45E7D" w:rsidRDefault="0087463C">
            <w:pPr>
              <w:pStyle w:val="TableText0"/>
              <w:keepNext w:val="0"/>
              <w:widowControl w:val="0"/>
              <w:jc w:val="center"/>
              <w:rPr>
                <w:b/>
                <w:bCs w:val="0"/>
              </w:rPr>
            </w:pPr>
            <w:r>
              <w:rPr>
                <w:b/>
                <w:bCs w:val="0"/>
              </w:rPr>
              <w:t xml:space="preserve">OMCP data </w:t>
            </w:r>
            <w:r>
              <w:rPr>
                <w:b/>
                <w:bCs w:val="0"/>
              </w:rPr>
              <w:br/>
              <w:t>(n=42)*</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8699FE" w14:textId="77777777" w:rsidR="00F45E7D" w:rsidRDefault="0087463C">
            <w:pPr>
              <w:pStyle w:val="TableText0"/>
              <w:keepNext w:val="0"/>
              <w:widowControl w:val="0"/>
              <w:jc w:val="center"/>
              <w:rPr>
                <w:b/>
                <w:bCs w:val="0"/>
              </w:rPr>
            </w:pPr>
            <w:r>
              <w:rPr>
                <w:b/>
                <w:bCs w:val="0"/>
              </w:rPr>
              <w:t xml:space="preserve">CheckMate 067 </w:t>
            </w:r>
            <w:r>
              <w:rPr>
                <w:b/>
                <w:bCs w:val="0"/>
              </w:rPr>
              <w:br/>
              <w:t>(n=314)</w:t>
            </w:r>
          </w:p>
        </w:tc>
      </w:tr>
      <w:tr w:rsidR="00F45E7D" w14:paraId="21F17C8E" w14:textId="77777777">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F9F324" w14:textId="77777777" w:rsidR="00F45E7D" w:rsidRDefault="0087463C">
            <w:pPr>
              <w:pStyle w:val="TableText0"/>
              <w:keepNext w:val="0"/>
              <w:widowControl w:val="0"/>
              <w:rPr>
                <w:b/>
              </w:rPr>
            </w:pPr>
            <w:r>
              <w:rPr>
                <w:b/>
              </w:rPr>
              <w:t>Response, %</w:t>
            </w:r>
          </w:p>
        </w:tc>
      </w:tr>
      <w:tr w:rsidR="00F45E7D" w14:paraId="7F1BB833" w14:textId="77777777">
        <w:tc>
          <w:tcPr>
            <w:tcW w:w="1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440A35" w14:textId="77777777" w:rsidR="00F45E7D" w:rsidRDefault="0087463C">
            <w:pPr>
              <w:pStyle w:val="TableText0"/>
              <w:keepNext w:val="0"/>
              <w:widowControl w:val="0"/>
            </w:pPr>
            <w:r>
              <w:t xml:space="preserve"> ORR (CR + PR) </w:t>
            </w:r>
          </w:p>
        </w:tc>
        <w:tc>
          <w:tcPr>
            <w:tcW w:w="12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487D0D" w14:textId="77777777" w:rsidR="00F45E7D" w:rsidRDefault="0087463C">
            <w:pPr>
              <w:pStyle w:val="TableText0"/>
              <w:keepNext w:val="0"/>
              <w:widowControl w:val="0"/>
              <w:jc w:val="center"/>
            </w:pPr>
            <w:r>
              <w:t>36%</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F247D7" w14:textId="77777777" w:rsidR="00F45E7D" w:rsidRDefault="0087463C">
            <w:pPr>
              <w:pStyle w:val="TableText0"/>
              <w:keepNext w:val="0"/>
              <w:widowControl w:val="0"/>
              <w:jc w:val="center"/>
            </w:pPr>
            <w:r>
              <w:t>47.6%</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BB0782" w14:textId="77777777" w:rsidR="00F45E7D" w:rsidRDefault="0087463C">
            <w:pPr>
              <w:pStyle w:val="TableText0"/>
              <w:keepNext w:val="0"/>
              <w:widowControl w:val="0"/>
              <w:jc w:val="center"/>
            </w:pPr>
            <w:r>
              <w:t>57.6%</w:t>
            </w:r>
          </w:p>
        </w:tc>
      </w:tr>
      <w:tr w:rsidR="00F45E7D" w14:paraId="229254F8" w14:textId="77777777">
        <w:tc>
          <w:tcPr>
            <w:tcW w:w="1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7682A6" w14:textId="77777777" w:rsidR="00F45E7D" w:rsidRDefault="0087463C">
            <w:pPr>
              <w:pStyle w:val="TableText0"/>
              <w:keepNext w:val="0"/>
              <w:widowControl w:val="0"/>
            </w:pPr>
            <w:r>
              <w:t xml:space="preserve"> CR</w:t>
            </w:r>
          </w:p>
        </w:tc>
        <w:tc>
          <w:tcPr>
            <w:tcW w:w="12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7F1078" w14:textId="77777777" w:rsidR="00F45E7D" w:rsidRDefault="0087463C">
            <w:pPr>
              <w:pStyle w:val="TableText0"/>
              <w:keepNext w:val="0"/>
              <w:widowControl w:val="0"/>
              <w:jc w:val="center"/>
            </w:pPr>
            <w:r>
              <w:t>NR</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A7903B" w14:textId="77777777" w:rsidR="00F45E7D" w:rsidRDefault="0087463C">
            <w:pPr>
              <w:pStyle w:val="TableText0"/>
              <w:keepNext w:val="0"/>
              <w:widowControl w:val="0"/>
              <w:jc w:val="center"/>
            </w:pPr>
            <w:r>
              <w:t>16.7%</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54E999" w14:textId="77777777" w:rsidR="00F45E7D" w:rsidRDefault="0087463C">
            <w:pPr>
              <w:pStyle w:val="TableText0"/>
              <w:keepNext w:val="0"/>
              <w:widowControl w:val="0"/>
              <w:jc w:val="center"/>
            </w:pPr>
            <w:r>
              <w:t>17.2%</w:t>
            </w:r>
          </w:p>
        </w:tc>
      </w:tr>
      <w:tr w:rsidR="00F45E7D" w14:paraId="7EE9D745" w14:textId="77777777">
        <w:tc>
          <w:tcPr>
            <w:tcW w:w="1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D28562" w14:textId="77777777" w:rsidR="00F45E7D" w:rsidRDefault="0087463C">
            <w:pPr>
              <w:pStyle w:val="TableText0"/>
              <w:keepNext w:val="0"/>
              <w:widowControl w:val="0"/>
            </w:pPr>
            <w:r>
              <w:t xml:space="preserve"> PR </w:t>
            </w:r>
          </w:p>
        </w:tc>
        <w:tc>
          <w:tcPr>
            <w:tcW w:w="12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53F1E5" w14:textId="77777777" w:rsidR="00F45E7D" w:rsidRDefault="0087463C">
            <w:pPr>
              <w:pStyle w:val="TableText0"/>
              <w:keepNext w:val="0"/>
              <w:widowControl w:val="0"/>
              <w:jc w:val="center"/>
            </w:pPr>
            <w:r>
              <w:t>NR</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73AA3E" w14:textId="77777777" w:rsidR="00F45E7D" w:rsidRDefault="0087463C">
            <w:pPr>
              <w:pStyle w:val="TableText0"/>
              <w:keepNext w:val="0"/>
              <w:widowControl w:val="0"/>
              <w:jc w:val="center"/>
            </w:pPr>
            <w:r>
              <w:t>31.0%</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56F461" w14:textId="77777777" w:rsidR="00F45E7D" w:rsidRDefault="0087463C">
            <w:pPr>
              <w:pStyle w:val="TableText0"/>
              <w:keepNext w:val="0"/>
              <w:widowControl w:val="0"/>
              <w:jc w:val="center"/>
            </w:pPr>
            <w:r>
              <w:t>41.7%</w:t>
            </w:r>
          </w:p>
        </w:tc>
      </w:tr>
      <w:tr w:rsidR="00F45E7D" w14:paraId="1C3ADE1B" w14:textId="77777777">
        <w:tc>
          <w:tcPr>
            <w:tcW w:w="1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F46E72" w14:textId="77777777" w:rsidR="00F45E7D" w:rsidRDefault="0087463C">
            <w:pPr>
              <w:pStyle w:val="TableText0"/>
              <w:keepNext w:val="0"/>
              <w:widowControl w:val="0"/>
            </w:pPr>
            <w:r>
              <w:t xml:space="preserve"> SD </w:t>
            </w:r>
          </w:p>
        </w:tc>
        <w:tc>
          <w:tcPr>
            <w:tcW w:w="12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3DF956" w14:textId="77777777" w:rsidR="00F45E7D" w:rsidRDefault="0087463C">
            <w:pPr>
              <w:pStyle w:val="TableText0"/>
              <w:keepNext w:val="0"/>
              <w:widowControl w:val="0"/>
              <w:jc w:val="center"/>
            </w:pPr>
            <w:r>
              <w:t>NR</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931DB4" w14:textId="77777777" w:rsidR="00F45E7D" w:rsidRDefault="0087463C">
            <w:pPr>
              <w:pStyle w:val="TableText0"/>
              <w:keepNext w:val="0"/>
              <w:widowControl w:val="0"/>
              <w:jc w:val="center"/>
            </w:pPr>
            <w:r>
              <w:t>7.1%</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E7447B" w14:textId="77777777" w:rsidR="00F45E7D" w:rsidRDefault="0087463C">
            <w:pPr>
              <w:pStyle w:val="TableText0"/>
              <w:keepNext w:val="0"/>
              <w:widowControl w:val="0"/>
              <w:jc w:val="center"/>
            </w:pPr>
            <w:r>
              <w:t>11.5%</w:t>
            </w:r>
          </w:p>
        </w:tc>
      </w:tr>
      <w:tr w:rsidR="00F45E7D" w14:paraId="2850090C" w14:textId="77777777">
        <w:tc>
          <w:tcPr>
            <w:tcW w:w="1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6766DC" w14:textId="77777777" w:rsidR="00F45E7D" w:rsidRDefault="0087463C">
            <w:pPr>
              <w:pStyle w:val="TableText0"/>
              <w:keepNext w:val="0"/>
              <w:widowControl w:val="0"/>
            </w:pPr>
            <w:r>
              <w:t xml:space="preserve"> PD </w:t>
            </w:r>
          </w:p>
        </w:tc>
        <w:tc>
          <w:tcPr>
            <w:tcW w:w="12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E1D07A" w14:textId="77777777" w:rsidR="00F45E7D" w:rsidRDefault="0087463C">
            <w:pPr>
              <w:pStyle w:val="TableText0"/>
              <w:keepNext w:val="0"/>
              <w:widowControl w:val="0"/>
              <w:jc w:val="center"/>
            </w:pPr>
            <w:r>
              <w:t>NR</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07A7E5" w14:textId="77777777" w:rsidR="00F45E7D" w:rsidRDefault="0087463C">
            <w:pPr>
              <w:pStyle w:val="TableText0"/>
              <w:keepNext w:val="0"/>
              <w:widowControl w:val="0"/>
              <w:jc w:val="center"/>
            </w:pPr>
            <w:r>
              <w:t>45.2%</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C0D249" w14:textId="77777777" w:rsidR="00F45E7D" w:rsidRDefault="0087463C">
            <w:pPr>
              <w:pStyle w:val="TableText0"/>
              <w:keepNext w:val="0"/>
              <w:widowControl w:val="0"/>
              <w:jc w:val="center"/>
            </w:pPr>
            <w:r>
              <w:t>23.6%</w:t>
            </w:r>
          </w:p>
        </w:tc>
      </w:tr>
      <w:tr w:rsidR="00F45E7D" w14:paraId="7CA8E74D" w14:textId="77777777">
        <w:tc>
          <w:tcPr>
            <w:tcW w:w="1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77D2A0" w14:textId="77777777" w:rsidR="00F45E7D" w:rsidRDefault="0087463C">
            <w:pPr>
              <w:pStyle w:val="TableText0"/>
              <w:keepNext w:val="0"/>
              <w:widowControl w:val="0"/>
            </w:pPr>
            <w:r>
              <w:t xml:space="preserve"> NR </w:t>
            </w:r>
          </w:p>
        </w:tc>
        <w:tc>
          <w:tcPr>
            <w:tcW w:w="12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D7FF9F" w14:textId="77777777" w:rsidR="00F45E7D" w:rsidRDefault="0087463C">
            <w:pPr>
              <w:pStyle w:val="TableText0"/>
              <w:keepNext w:val="0"/>
              <w:widowControl w:val="0"/>
              <w:jc w:val="center"/>
            </w:pPr>
            <w:r>
              <w:t>NR</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7632C7" w14:textId="77777777" w:rsidR="00F45E7D" w:rsidRDefault="0087463C">
            <w:pPr>
              <w:pStyle w:val="TableText0"/>
              <w:keepNext w:val="0"/>
              <w:widowControl w:val="0"/>
              <w:jc w:val="center"/>
            </w:pPr>
            <w:r>
              <w:t>0</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86E917" w14:textId="77777777" w:rsidR="00F45E7D" w:rsidRDefault="0087463C">
            <w:pPr>
              <w:pStyle w:val="TableText0"/>
              <w:keepNext w:val="0"/>
              <w:widowControl w:val="0"/>
              <w:jc w:val="center"/>
            </w:pPr>
            <w:r>
              <w:t>6.1%</w:t>
            </w:r>
          </w:p>
        </w:tc>
      </w:tr>
      <w:tr w:rsidR="00F45E7D" w14:paraId="028B3DB8" w14:textId="77777777">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BE6DE7" w14:textId="77777777" w:rsidR="00F45E7D" w:rsidRDefault="0087463C">
            <w:pPr>
              <w:pStyle w:val="TableText0"/>
              <w:keepNext w:val="0"/>
              <w:widowControl w:val="0"/>
              <w:rPr>
                <w:b/>
              </w:rPr>
            </w:pPr>
            <w:r>
              <w:rPr>
                <w:b/>
              </w:rPr>
              <w:t>Progression-free survival</w:t>
            </w:r>
          </w:p>
        </w:tc>
      </w:tr>
      <w:tr w:rsidR="00F45E7D" w14:paraId="73039445" w14:textId="77777777">
        <w:tc>
          <w:tcPr>
            <w:tcW w:w="1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CB66A1" w14:textId="77777777" w:rsidR="00F45E7D" w:rsidRDefault="0087463C">
            <w:pPr>
              <w:pStyle w:val="TableText0"/>
              <w:keepNext w:val="0"/>
              <w:widowControl w:val="0"/>
            </w:pPr>
            <w:r>
              <w:t xml:space="preserve"> 12-month PFS, %</w:t>
            </w:r>
          </w:p>
        </w:tc>
        <w:tc>
          <w:tcPr>
            <w:tcW w:w="12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2CFD77" w14:textId="77777777" w:rsidR="00F45E7D" w:rsidRDefault="0087463C">
            <w:pPr>
              <w:pStyle w:val="TableText0"/>
              <w:keepNext w:val="0"/>
              <w:widowControl w:val="0"/>
              <w:jc w:val="center"/>
            </w:pPr>
            <w:r>
              <w:t>47%</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0499F2" w14:textId="77777777" w:rsidR="00F45E7D" w:rsidRDefault="0087463C">
            <w:pPr>
              <w:pStyle w:val="TableText0"/>
              <w:keepNext w:val="0"/>
              <w:widowControl w:val="0"/>
              <w:jc w:val="center"/>
            </w:pPr>
            <w:r>
              <w:t>47.9%</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9298FA" w14:textId="77777777" w:rsidR="00F45E7D" w:rsidRDefault="0087463C">
            <w:pPr>
              <w:pStyle w:val="TableText0"/>
              <w:keepNext w:val="0"/>
              <w:widowControl w:val="0"/>
              <w:jc w:val="center"/>
              <w:rPr>
                <w:highlight w:val="yellow"/>
              </w:rPr>
            </w:pPr>
            <w:r>
              <w:t>50%</w:t>
            </w:r>
          </w:p>
        </w:tc>
      </w:tr>
      <w:tr w:rsidR="00F45E7D" w14:paraId="4738BBB1" w14:textId="77777777">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5C1905" w14:textId="77777777" w:rsidR="00F45E7D" w:rsidRDefault="0087463C">
            <w:pPr>
              <w:pStyle w:val="TableText0"/>
              <w:keepNext w:val="0"/>
              <w:widowControl w:val="0"/>
              <w:rPr>
                <w:b/>
              </w:rPr>
            </w:pPr>
            <w:r>
              <w:rPr>
                <w:b/>
              </w:rPr>
              <w:t>Overall survival</w:t>
            </w:r>
          </w:p>
        </w:tc>
      </w:tr>
      <w:tr w:rsidR="00F45E7D" w14:paraId="076B57A1" w14:textId="77777777">
        <w:tc>
          <w:tcPr>
            <w:tcW w:w="128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855E46" w14:textId="77777777" w:rsidR="00F45E7D" w:rsidRDefault="0087463C">
            <w:pPr>
              <w:pStyle w:val="TableText0"/>
              <w:keepNext w:val="0"/>
              <w:widowControl w:val="0"/>
            </w:pPr>
            <w:r>
              <w:t xml:space="preserve"> 12-month OS, %</w:t>
            </w:r>
          </w:p>
        </w:tc>
        <w:tc>
          <w:tcPr>
            <w:tcW w:w="12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7E8FA1" w14:textId="77777777" w:rsidR="00F45E7D" w:rsidRDefault="0087463C">
            <w:pPr>
              <w:pStyle w:val="TableText0"/>
              <w:keepNext w:val="0"/>
              <w:widowControl w:val="0"/>
              <w:jc w:val="center"/>
            </w:pPr>
            <w:r>
              <w:t>75%</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58D20F" w14:textId="77777777" w:rsidR="00F45E7D" w:rsidRDefault="0087463C">
            <w:pPr>
              <w:pStyle w:val="TableText0"/>
              <w:keepNext w:val="0"/>
              <w:widowControl w:val="0"/>
              <w:jc w:val="center"/>
            </w:pPr>
            <w:r>
              <w:t>63.8%</w:t>
            </w:r>
          </w:p>
        </w:tc>
        <w:tc>
          <w:tcPr>
            <w:tcW w:w="12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7F3044" w14:textId="77777777" w:rsidR="00F45E7D" w:rsidRDefault="0087463C">
            <w:pPr>
              <w:pStyle w:val="TableText0"/>
              <w:keepNext w:val="0"/>
              <w:widowControl w:val="0"/>
              <w:jc w:val="center"/>
            </w:pPr>
            <w:r>
              <w:t>73%</w:t>
            </w:r>
          </w:p>
        </w:tc>
      </w:tr>
    </w:tbl>
    <w:p w14:paraId="3C0D746F" w14:textId="77777777" w:rsidR="00F45E7D" w:rsidRDefault="0087463C">
      <w:pPr>
        <w:pStyle w:val="FooterTableFigure"/>
      </w:pPr>
      <w:r>
        <w:t>Source: Table 40, p 94 from the submission</w:t>
      </w:r>
    </w:p>
    <w:p w14:paraId="6B38AD76" w14:textId="77777777" w:rsidR="00F45E7D" w:rsidRDefault="0087463C">
      <w:pPr>
        <w:pStyle w:val="FooterTableFigure"/>
      </w:pPr>
      <w:r>
        <w:t>CR = complete response; IPI = ipilimumab; NIVO = nivolumab; NR = not reported; ORR = objective response rate; OS = overall survival; PD = progressive disease; PFS = progression-free survival; PR = partial response; SD = stable disease.</w:t>
      </w:r>
    </w:p>
    <w:p w14:paraId="78637602" w14:textId="77777777" w:rsidR="00F45E7D" w:rsidRDefault="0087463C">
      <w:pPr>
        <w:pStyle w:val="FooterTableFigure"/>
      </w:pPr>
      <w:r>
        <w:t>* Outcome data was available for 42 patients in the OMCP.</w:t>
      </w:r>
    </w:p>
    <w:p w14:paraId="1AB32B88" w14:textId="59B21219" w:rsidR="00F45E7D" w:rsidRDefault="0087463C">
      <w:pPr>
        <w:pStyle w:val="3-BodyText"/>
        <w:ind w:left="709"/>
      </w:pPr>
      <w:r>
        <w:t>The requested prices for NIVO and IPI are presented in</w:t>
      </w:r>
      <w:r>
        <w:rPr>
          <w:iCs/>
        </w:rPr>
        <w:t xml:space="preserve"> </w:t>
      </w:r>
      <w:r>
        <w:fldChar w:fldCharType="begin"/>
      </w:r>
      <w:r>
        <w:instrText xml:space="preserve"> REF _Ref113666954 \h </w:instrText>
      </w:r>
      <w:r>
        <w:fldChar w:fldCharType="separate"/>
      </w:r>
      <w:r w:rsidR="00D8701A">
        <w:t xml:space="preserve">Table </w:t>
      </w:r>
      <w:r w:rsidR="00D8701A">
        <w:rPr>
          <w:noProof/>
        </w:rPr>
        <w:t>11</w:t>
      </w:r>
      <w:r>
        <w:fldChar w:fldCharType="end"/>
      </w:r>
      <w:r>
        <w:t xml:space="preserve"> below.</w:t>
      </w:r>
    </w:p>
    <w:p w14:paraId="6699BD2C" w14:textId="3C3C28D9" w:rsidR="00F45E7D" w:rsidRDefault="0087463C">
      <w:pPr>
        <w:pStyle w:val="TableFigureHeading"/>
        <w:keepLines/>
        <w:widowControl w:val="0"/>
      </w:pPr>
      <w:bookmarkStart w:id="59" w:name="_Ref113666954"/>
      <w:r>
        <w:lastRenderedPageBreak/>
        <w:t xml:space="preserve">Table </w:t>
      </w:r>
      <w:r w:rsidR="00D8701A">
        <w:fldChar w:fldCharType="begin"/>
      </w:r>
      <w:r w:rsidR="00D8701A">
        <w:instrText xml:space="preserve"> SEQ Table \* ARABIC </w:instrText>
      </w:r>
      <w:r w:rsidR="00D8701A">
        <w:fldChar w:fldCharType="separate"/>
      </w:r>
      <w:r w:rsidR="00D8701A">
        <w:rPr>
          <w:noProof/>
        </w:rPr>
        <w:t>11</w:t>
      </w:r>
      <w:r w:rsidR="00D8701A">
        <w:fldChar w:fldCharType="end"/>
      </w:r>
      <w:bookmarkEnd w:id="59"/>
      <w:r>
        <w:t>: Requested prices for NIVO and IPI in expanded pre-treated adjuvant patient population (per metastatic melanoma specific pricing)</w:t>
      </w:r>
    </w:p>
    <w:tbl>
      <w:tblPr>
        <w:tblStyle w:val="TableGrid1"/>
        <w:tblW w:w="0" w:type="auto"/>
        <w:tblLook w:val="04A0" w:firstRow="1" w:lastRow="0" w:firstColumn="1" w:lastColumn="0" w:noHBand="0" w:noVBand="1"/>
      </w:tblPr>
      <w:tblGrid>
        <w:gridCol w:w="2489"/>
        <w:gridCol w:w="3062"/>
        <w:gridCol w:w="3205"/>
      </w:tblGrid>
      <w:tr w:rsidR="00F45E7D" w14:paraId="0E5869F7" w14:textId="77777777">
        <w:tc>
          <w:tcPr>
            <w:tcW w:w="2489" w:type="dxa"/>
            <w:shd w:val="clear" w:color="auto" w:fill="auto"/>
          </w:tcPr>
          <w:p w14:paraId="32FB26BD" w14:textId="77777777" w:rsidR="00F45E7D" w:rsidRDefault="00F45E7D">
            <w:pPr>
              <w:pStyle w:val="TableText0"/>
              <w:keepLines/>
              <w:widowControl w:val="0"/>
              <w:rPr>
                <w:sz w:val="20"/>
                <w:szCs w:val="20"/>
              </w:rPr>
            </w:pPr>
          </w:p>
        </w:tc>
        <w:tc>
          <w:tcPr>
            <w:tcW w:w="3062" w:type="dxa"/>
            <w:shd w:val="clear" w:color="auto" w:fill="auto"/>
          </w:tcPr>
          <w:p w14:paraId="6809EDC2" w14:textId="77777777" w:rsidR="00F45E7D" w:rsidRDefault="0087463C">
            <w:pPr>
              <w:pStyle w:val="TableText0"/>
              <w:keepLines/>
              <w:widowControl w:val="0"/>
              <w:jc w:val="center"/>
              <w:rPr>
                <w:b/>
                <w:bCs w:val="0"/>
                <w:sz w:val="20"/>
                <w:szCs w:val="20"/>
              </w:rPr>
            </w:pPr>
            <w:r>
              <w:rPr>
                <w:b/>
                <w:bCs w:val="0"/>
                <w:sz w:val="20"/>
                <w:szCs w:val="20"/>
              </w:rPr>
              <w:t>Nivolumab</w:t>
            </w:r>
          </w:p>
        </w:tc>
        <w:tc>
          <w:tcPr>
            <w:tcW w:w="3205" w:type="dxa"/>
            <w:shd w:val="clear" w:color="auto" w:fill="auto"/>
          </w:tcPr>
          <w:p w14:paraId="5FF32828" w14:textId="77777777" w:rsidR="00F45E7D" w:rsidRDefault="0087463C">
            <w:pPr>
              <w:pStyle w:val="TableText0"/>
              <w:keepLines/>
              <w:widowControl w:val="0"/>
              <w:jc w:val="center"/>
              <w:rPr>
                <w:b/>
                <w:bCs w:val="0"/>
                <w:sz w:val="20"/>
                <w:szCs w:val="20"/>
              </w:rPr>
            </w:pPr>
            <w:r>
              <w:rPr>
                <w:b/>
                <w:bCs w:val="0"/>
                <w:sz w:val="20"/>
                <w:szCs w:val="20"/>
              </w:rPr>
              <w:t>Ipilimumab</w:t>
            </w:r>
          </w:p>
        </w:tc>
      </w:tr>
      <w:tr w:rsidR="00F45E7D" w14:paraId="590FC45B" w14:textId="77777777">
        <w:tc>
          <w:tcPr>
            <w:tcW w:w="2489" w:type="dxa"/>
            <w:shd w:val="clear" w:color="auto" w:fill="auto"/>
            <w:vAlign w:val="center"/>
          </w:tcPr>
          <w:p w14:paraId="70E5DDA1" w14:textId="77777777" w:rsidR="00F45E7D" w:rsidRDefault="0087463C">
            <w:pPr>
              <w:pStyle w:val="TableText0"/>
              <w:keepLines/>
              <w:widowControl w:val="0"/>
              <w:rPr>
                <w:sz w:val="20"/>
                <w:szCs w:val="20"/>
              </w:rPr>
            </w:pPr>
            <w:r>
              <w:rPr>
                <w:sz w:val="20"/>
                <w:szCs w:val="20"/>
              </w:rPr>
              <w:t>Circumstances of use</w:t>
            </w:r>
          </w:p>
        </w:tc>
        <w:tc>
          <w:tcPr>
            <w:tcW w:w="3062" w:type="dxa"/>
            <w:shd w:val="clear" w:color="auto" w:fill="auto"/>
          </w:tcPr>
          <w:p w14:paraId="3D744C78" w14:textId="77777777" w:rsidR="00F45E7D" w:rsidRDefault="0087463C">
            <w:pPr>
              <w:pStyle w:val="TableText0"/>
              <w:keepLines/>
              <w:widowControl w:val="0"/>
              <w:jc w:val="center"/>
              <w:rPr>
                <w:sz w:val="20"/>
                <w:szCs w:val="20"/>
              </w:rPr>
            </w:pPr>
            <w:r>
              <w:rPr>
                <w:sz w:val="20"/>
                <w:szCs w:val="20"/>
              </w:rPr>
              <w:t>In combination with ipilimumab</w:t>
            </w:r>
          </w:p>
        </w:tc>
        <w:tc>
          <w:tcPr>
            <w:tcW w:w="3205" w:type="dxa"/>
            <w:shd w:val="clear" w:color="auto" w:fill="auto"/>
          </w:tcPr>
          <w:p w14:paraId="31A66F7C" w14:textId="77777777" w:rsidR="00F45E7D" w:rsidRDefault="0087463C">
            <w:pPr>
              <w:pStyle w:val="TableText0"/>
              <w:keepLines/>
              <w:widowControl w:val="0"/>
              <w:jc w:val="center"/>
              <w:rPr>
                <w:sz w:val="20"/>
                <w:szCs w:val="20"/>
              </w:rPr>
            </w:pPr>
            <w:r>
              <w:rPr>
                <w:sz w:val="20"/>
                <w:szCs w:val="20"/>
              </w:rPr>
              <w:t>In combination with nivolumab</w:t>
            </w:r>
          </w:p>
        </w:tc>
      </w:tr>
      <w:tr w:rsidR="00F45E7D" w14:paraId="41E4B3BA" w14:textId="77777777">
        <w:tc>
          <w:tcPr>
            <w:tcW w:w="2489" w:type="dxa"/>
            <w:shd w:val="clear" w:color="auto" w:fill="auto"/>
            <w:vAlign w:val="center"/>
          </w:tcPr>
          <w:p w14:paraId="4CECCEDE" w14:textId="77777777" w:rsidR="00F45E7D" w:rsidRDefault="0087463C">
            <w:pPr>
              <w:pStyle w:val="TableText0"/>
              <w:keepLines/>
              <w:widowControl w:val="0"/>
              <w:rPr>
                <w:sz w:val="20"/>
                <w:szCs w:val="20"/>
              </w:rPr>
            </w:pPr>
            <w:r>
              <w:rPr>
                <w:sz w:val="20"/>
                <w:szCs w:val="20"/>
              </w:rPr>
              <w:t>Restriction</w:t>
            </w:r>
          </w:p>
        </w:tc>
        <w:tc>
          <w:tcPr>
            <w:tcW w:w="6267" w:type="dxa"/>
            <w:gridSpan w:val="2"/>
            <w:shd w:val="clear" w:color="auto" w:fill="auto"/>
          </w:tcPr>
          <w:p w14:paraId="33C9057F" w14:textId="77777777" w:rsidR="00F45E7D" w:rsidRDefault="0087463C">
            <w:pPr>
              <w:pStyle w:val="TableText0"/>
              <w:keepLines/>
              <w:widowControl w:val="0"/>
              <w:jc w:val="center"/>
              <w:rPr>
                <w:sz w:val="20"/>
                <w:szCs w:val="20"/>
              </w:rPr>
            </w:pPr>
            <w:r>
              <w:rPr>
                <w:sz w:val="20"/>
                <w:szCs w:val="20"/>
              </w:rPr>
              <w:t>Unresectable Stage III or IV malignant melanoma</w:t>
            </w:r>
          </w:p>
        </w:tc>
      </w:tr>
      <w:tr w:rsidR="00F45E7D" w14:paraId="28812C96" w14:textId="77777777">
        <w:tc>
          <w:tcPr>
            <w:tcW w:w="2489" w:type="dxa"/>
            <w:shd w:val="clear" w:color="auto" w:fill="auto"/>
            <w:vAlign w:val="center"/>
          </w:tcPr>
          <w:p w14:paraId="7DCFB132" w14:textId="77777777" w:rsidR="00F45E7D" w:rsidRDefault="0087463C">
            <w:pPr>
              <w:pStyle w:val="TableText0"/>
              <w:keepLines/>
              <w:widowControl w:val="0"/>
              <w:rPr>
                <w:sz w:val="20"/>
                <w:szCs w:val="20"/>
              </w:rPr>
            </w:pPr>
            <w:r>
              <w:rPr>
                <w:sz w:val="20"/>
                <w:szCs w:val="20"/>
              </w:rPr>
              <w:t>Manner of administration</w:t>
            </w:r>
          </w:p>
        </w:tc>
        <w:tc>
          <w:tcPr>
            <w:tcW w:w="6267" w:type="dxa"/>
            <w:gridSpan w:val="2"/>
            <w:shd w:val="clear" w:color="auto" w:fill="auto"/>
          </w:tcPr>
          <w:p w14:paraId="23CDC812" w14:textId="77777777" w:rsidR="00F45E7D" w:rsidRDefault="0087463C">
            <w:pPr>
              <w:pStyle w:val="TableText0"/>
              <w:keepLines/>
              <w:widowControl w:val="0"/>
              <w:jc w:val="center"/>
              <w:rPr>
                <w:sz w:val="20"/>
                <w:szCs w:val="20"/>
              </w:rPr>
            </w:pPr>
            <w:r>
              <w:rPr>
                <w:sz w:val="20"/>
                <w:szCs w:val="20"/>
              </w:rPr>
              <w:t>Intravenous infusion</w:t>
            </w:r>
          </w:p>
        </w:tc>
      </w:tr>
      <w:tr w:rsidR="00F45E7D" w14:paraId="204335DC" w14:textId="77777777">
        <w:tc>
          <w:tcPr>
            <w:tcW w:w="2489" w:type="dxa"/>
            <w:shd w:val="clear" w:color="auto" w:fill="auto"/>
            <w:vAlign w:val="center"/>
          </w:tcPr>
          <w:p w14:paraId="7E984C5B" w14:textId="77777777" w:rsidR="00F45E7D" w:rsidRDefault="0087463C">
            <w:pPr>
              <w:pStyle w:val="TableText0"/>
              <w:keepLines/>
              <w:widowControl w:val="0"/>
              <w:rPr>
                <w:sz w:val="20"/>
                <w:szCs w:val="20"/>
              </w:rPr>
            </w:pPr>
            <w:r>
              <w:rPr>
                <w:sz w:val="20"/>
                <w:szCs w:val="20"/>
              </w:rPr>
              <w:t>Form/strength</w:t>
            </w:r>
          </w:p>
        </w:tc>
        <w:tc>
          <w:tcPr>
            <w:tcW w:w="3062" w:type="dxa"/>
            <w:shd w:val="clear" w:color="auto" w:fill="auto"/>
          </w:tcPr>
          <w:p w14:paraId="33B64568" w14:textId="77777777" w:rsidR="00F45E7D" w:rsidRDefault="0087463C">
            <w:pPr>
              <w:pStyle w:val="TableText0"/>
              <w:keepLines/>
              <w:widowControl w:val="0"/>
              <w:jc w:val="center"/>
              <w:rPr>
                <w:sz w:val="20"/>
                <w:szCs w:val="20"/>
              </w:rPr>
            </w:pPr>
            <w:r>
              <w:rPr>
                <w:sz w:val="20"/>
                <w:szCs w:val="20"/>
              </w:rPr>
              <w:t>100 mg/10 mL injection, 10 mL vial</w:t>
            </w:r>
          </w:p>
          <w:p w14:paraId="7291747B" w14:textId="77777777" w:rsidR="00F45E7D" w:rsidRDefault="0087463C">
            <w:pPr>
              <w:pStyle w:val="TableText0"/>
              <w:keepLines/>
              <w:widowControl w:val="0"/>
              <w:jc w:val="center"/>
              <w:rPr>
                <w:sz w:val="20"/>
                <w:szCs w:val="20"/>
              </w:rPr>
            </w:pPr>
            <w:r>
              <w:rPr>
                <w:sz w:val="20"/>
                <w:szCs w:val="20"/>
              </w:rPr>
              <w:t>40 mg/4 mL injection, 10 mL vial</w:t>
            </w:r>
          </w:p>
        </w:tc>
        <w:tc>
          <w:tcPr>
            <w:tcW w:w="3205" w:type="dxa"/>
            <w:shd w:val="clear" w:color="auto" w:fill="auto"/>
          </w:tcPr>
          <w:p w14:paraId="512E7A62" w14:textId="77777777" w:rsidR="00F45E7D" w:rsidRDefault="0087463C">
            <w:pPr>
              <w:pStyle w:val="TableText0"/>
              <w:keepLines/>
              <w:widowControl w:val="0"/>
              <w:jc w:val="center"/>
              <w:rPr>
                <w:sz w:val="20"/>
                <w:szCs w:val="20"/>
              </w:rPr>
            </w:pPr>
            <w:r>
              <w:rPr>
                <w:sz w:val="20"/>
                <w:szCs w:val="20"/>
              </w:rPr>
              <w:t>200 mg/40 mL injection, 40 mL vial</w:t>
            </w:r>
          </w:p>
          <w:p w14:paraId="7F19EA6C" w14:textId="77777777" w:rsidR="00F45E7D" w:rsidRDefault="0087463C">
            <w:pPr>
              <w:pStyle w:val="TableText0"/>
              <w:keepLines/>
              <w:widowControl w:val="0"/>
              <w:jc w:val="center"/>
              <w:rPr>
                <w:sz w:val="20"/>
                <w:szCs w:val="20"/>
              </w:rPr>
            </w:pPr>
            <w:r>
              <w:rPr>
                <w:sz w:val="20"/>
                <w:szCs w:val="20"/>
              </w:rPr>
              <w:t>50 mg/10 mL injection, 10 mL vial</w:t>
            </w:r>
          </w:p>
        </w:tc>
      </w:tr>
      <w:tr w:rsidR="00F45E7D" w14:paraId="5AD213E9" w14:textId="77777777">
        <w:tc>
          <w:tcPr>
            <w:tcW w:w="2489" w:type="dxa"/>
            <w:shd w:val="clear" w:color="auto" w:fill="auto"/>
            <w:vAlign w:val="center"/>
          </w:tcPr>
          <w:p w14:paraId="4D75FFE1" w14:textId="77777777" w:rsidR="00F45E7D" w:rsidRDefault="0087463C">
            <w:pPr>
              <w:pStyle w:val="TableText0"/>
              <w:keepLines/>
              <w:widowControl w:val="0"/>
              <w:rPr>
                <w:sz w:val="20"/>
                <w:szCs w:val="20"/>
              </w:rPr>
            </w:pPr>
            <w:r>
              <w:rPr>
                <w:sz w:val="20"/>
                <w:szCs w:val="20"/>
              </w:rPr>
              <w:t>Maximum amount (units)</w:t>
            </w:r>
          </w:p>
        </w:tc>
        <w:tc>
          <w:tcPr>
            <w:tcW w:w="3062" w:type="dxa"/>
            <w:shd w:val="clear" w:color="auto" w:fill="auto"/>
          </w:tcPr>
          <w:p w14:paraId="42E6351A" w14:textId="77777777" w:rsidR="00F45E7D" w:rsidRDefault="0087463C">
            <w:pPr>
              <w:pStyle w:val="TableText0"/>
              <w:keepLines/>
              <w:widowControl w:val="0"/>
              <w:jc w:val="center"/>
              <w:rPr>
                <w:sz w:val="20"/>
                <w:szCs w:val="20"/>
              </w:rPr>
            </w:pPr>
            <w:r>
              <w:rPr>
                <w:sz w:val="20"/>
                <w:szCs w:val="20"/>
              </w:rPr>
              <w:t>120 mg induction</w:t>
            </w:r>
          </w:p>
          <w:p w14:paraId="14900289" w14:textId="77777777" w:rsidR="00F45E7D" w:rsidRDefault="0087463C">
            <w:pPr>
              <w:pStyle w:val="TableText0"/>
              <w:keepLines/>
              <w:widowControl w:val="0"/>
              <w:jc w:val="center"/>
              <w:rPr>
                <w:sz w:val="20"/>
                <w:szCs w:val="20"/>
              </w:rPr>
            </w:pPr>
            <w:r>
              <w:rPr>
                <w:sz w:val="20"/>
                <w:szCs w:val="20"/>
              </w:rPr>
              <w:t>480 mg maintenance</w:t>
            </w:r>
          </w:p>
        </w:tc>
        <w:tc>
          <w:tcPr>
            <w:tcW w:w="3205" w:type="dxa"/>
            <w:shd w:val="clear" w:color="auto" w:fill="auto"/>
          </w:tcPr>
          <w:p w14:paraId="73BDFE4F" w14:textId="77777777" w:rsidR="00F45E7D" w:rsidRDefault="0087463C">
            <w:pPr>
              <w:pStyle w:val="TableText0"/>
              <w:keepLines/>
              <w:widowControl w:val="0"/>
              <w:jc w:val="center"/>
              <w:rPr>
                <w:sz w:val="20"/>
                <w:szCs w:val="20"/>
              </w:rPr>
            </w:pPr>
            <w:r>
              <w:rPr>
                <w:sz w:val="20"/>
                <w:szCs w:val="20"/>
              </w:rPr>
              <w:t>360 mg induction only</w:t>
            </w:r>
          </w:p>
        </w:tc>
      </w:tr>
      <w:tr w:rsidR="00F45E7D" w14:paraId="7082BB3F" w14:textId="77777777">
        <w:tc>
          <w:tcPr>
            <w:tcW w:w="2489" w:type="dxa"/>
            <w:shd w:val="clear" w:color="auto" w:fill="auto"/>
            <w:vAlign w:val="center"/>
          </w:tcPr>
          <w:p w14:paraId="4852AB2F" w14:textId="77777777" w:rsidR="00F45E7D" w:rsidRDefault="0087463C">
            <w:pPr>
              <w:pStyle w:val="TableText0"/>
              <w:keepLines/>
              <w:widowControl w:val="0"/>
              <w:rPr>
                <w:sz w:val="20"/>
                <w:szCs w:val="20"/>
              </w:rPr>
            </w:pPr>
            <w:r>
              <w:rPr>
                <w:sz w:val="20"/>
                <w:szCs w:val="20"/>
              </w:rPr>
              <w:t>Proposed effective AEMP</w:t>
            </w:r>
          </w:p>
        </w:tc>
        <w:tc>
          <w:tcPr>
            <w:tcW w:w="3062" w:type="dxa"/>
            <w:shd w:val="clear" w:color="auto" w:fill="auto"/>
          </w:tcPr>
          <w:p w14:paraId="267E063D" w14:textId="200ED78A" w:rsidR="00F45E7D" w:rsidRDefault="0087463C">
            <w:pPr>
              <w:pStyle w:val="TableText0"/>
              <w:keepLines/>
              <w:widowControl w:val="0"/>
              <w:jc w:val="center"/>
              <w:rPr>
                <w:sz w:val="20"/>
                <w:szCs w:val="20"/>
              </w:rPr>
            </w:pPr>
            <w:r>
              <w:rPr>
                <w:sz w:val="20"/>
                <w:szCs w:val="20"/>
              </w:rPr>
              <w:t>100 mg vial: $</w:t>
            </w:r>
            <w:r w:rsidR="006A317A" w:rsidRPr="006A317A">
              <w:rPr>
                <w:color w:val="000000"/>
                <w:sz w:val="20"/>
                <w:szCs w:val="20"/>
                <w:shd w:val="solid" w:color="000000" w:fill="000000"/>
                <w14:textFill>
                  <w14:solidFill>
                    <w14:srgbClr w14:val="000000">
                      <w14:alpha w14:val="100000"/>
                    </w14:srgbClr>
                  </w14:solidFill>
                </w14:textFill>
              </w:rPr>
              <w:t>|</w:t>
            </w:r>
          </w:p>
          <w:p w14:paraId="4BC215AC" w14:textId="23160C26" w:rsidR="00F45E7D" w:rsidRDefault="0087463C">
            <w:pPr>
              <w:pStyle w:val="TableText0"/>
              <w:keepLines/>
              <w:widowControl w:val="0"/>
              <w:jc w:val="center"/>
              <w:rPr>
                <w:sz w:val="20"/>
                <w:szCs w:val="20"/>
              </w:rPr>
            </w:pPr>
            <w:r>
              <w:rPr>
                <w:sz w:val="20"/>
                <w:szCs w:val="20"/>
              </w:rPr>
              <w:t>40 mg vial: $</w:t>
            </w:r>
            <w:r w:rsidR="006A317A" w:rsidRPr="006A317A">
              <w:rPr>
                <w:color w:val="000000"/>
                <w:sz w:val="20"/>
                <w:szCs w:val="20"/>
                <w:shd w:val="solid" w:color="000000" w:fill="000000"/>
                <w14:textFill>
                  <w14:solidFill>
                    <w14:srgbClr w14:val="000000">
                      <w14:alpha w14:val="100000"/>
                    </w14:srgbClr>
                  </w14:solidFill>
                </w14:textFill>
              </w:rPr>
              <w:t>|</w:t>
            </w:r>
          </w:p>
        </w:tc>
        <w:tc>
          <w:tcPr>
            <w:tcW w:w="3205" w:type="dxa"/>
            <w:shd w:val="clear" w:color="auto" w:fill="auto"/>
          </w:tcPr>
          <w:p w14:paraId="6FC63435" w14:textId="6E5D090E" w:rsidR="00F45E7D" w:rsidRDefault="0087463C">
            <w:pPr>
              <w:pStyle w:val="TableText0"/>
              <w:keepLines/>
              <w:widowControl w:val="0"/>
              <w:jc w:val="center"/>
              <w:rPr>
                <w:sz w:val="20"/>
                <w:szCs w:val="20"/>
              </w:rPr>
            </w:pPr>
            <w:r>
              <w:rPr>
                <w:sz w:val="20"/>
                <w:szCs w:val="20"/>
              </w:rPr>
              <w:t>200 mg vial: $</w:t>
            </w:r>
            <w:r w:rsidR="006A317A" w:rsidRPr="006A317A">
              <w:rPr>
                <w:color w:val="000000"/>
                <w:sz w:val="20"/>
                <w:szCs w:val="20"/>
                <w:shd w:val="solid" w:color="000000" w:fill="000000"/>
                <w14:textFill>
                  <w14:solidFill>
                    <w14:srgbClr w14:val="000000">
                      <w14:alpha w14:val="100000"/>
                    </w14:srgbClr>
                  </w14:solidFill>
                </w14:textFill>
              </w:rPr>
              <w:t>|</w:t>
            </w:r>
          </w:p>
          <w:p w14:paraId="21CDD575" w14:textId="3A5B7A63" w:rsidR="00F45E7D" w:rsidRDefault="0087463C">
            <w:pPr>
              <w:pStyle w:val="TableText0"/>
              <w:keepLines/>
              <w:widowControl w:val="0"/>
              <w:jc w:val="center"/>
              <w:rPr>
                <w:sz w:val="20"/>
                <w:szCs w:val="20"/>
              </w:rPr>
            </w:pPr>
            <w:r>
              <w:rPr>
                <w:sz w:val="20"/>
                <w:szCs w:val="20"/>
              </w:rPr>
              <w:t>50mg vial: $</w:t>
            </w:r>
            <w:r w:rsidR="006A317A" w:rsidRPr="006A317A">
              <w:rPr>
                <w:color w:val="000000"/>
                <w:sz w:val="20"/>
                <w:szCs w:val="20"/>
                <w:shd w:val="solid" w:color="000000" w:fill="000000"/>
                <w14:textFill>
                  <w14:solidFill>
                    <w14:srgbClr w14:val="000000">
                      <w14:alpha w14:val="100000"/>
                    </w14:srgbClr>
                  </w14:solidFill>
                </w14:textFill>
              </w:rPr>
              <w:t>|</w:t>
            </w:r>
          </w:p>
        </w:tc>
      </w:tr>
      <w:tr w:rsidR="00F45E7D" w14:paraId="248B19D8" w14:textId="77777777">
        <w:tc>
          <w:tcPr>
            <w:tcW w:w="2489" w:type="dxa"/>
            <w:shd w:val="clear" w:color="auto" w:fill="auto"/>
            <w:vAlign w:val="center"/>
          </w:tcPr>
          <w:p w14:paraId="6256669B" w14:textId="77777777" w:rsidR="00F45E7D" w:rsidRDefault="0087463C">
            <w:pPr>
              <w:pStyle w:val="TableText0"/>
              <w:keepLines/>
              <w:widowControl w:val="0"/>
              <w:rPr>
                <w:sz w:val="20"/>
                <w:szCs w:val="20"/>
              </w:rPr>
            </w:pPr>
            <w:r>
              <w:rPr>
                <w:sz w:val="20"/>
                <w:szCs w:val="20"/>
              </w:rPr>
              <w:t>Proposed published AEMP</w:t>
            </w:r>
          </w:p>
        </w:tc>
        <w:tc>
          <w:tcPr>
            <w:tcW w:w="3062" w:type="dxa"/>
            <w:shd w:val="clear" w:color="auto" w:fill="auto"/>
          </w:tcPr>
          <w:p w14:paraId="27AB38ED" w14:textId="77777777" w:rsidR="00F45E7D" w:rsidRDefault="0087463C">
            <w:pPr>
              <w:pStyle w:val="TableText0"/>
              <w:keepLines/>
              <w:widowControl w:val="0"/>
              <w:jc w:val="center"/>
              <w:rPr>
                <w:sz w:val="20"/>
                <w:szCs w:val="20"/>
              </w:rPr>
            </w:pPr>
            <w:r>
              <w:rPr>
                <w:sz w:val="20"/>
                <w:szCs w:val="20"/>
              </w:rPr>
              <w:t>100 mg vial: $1,972.91</w:t>
            </w:r>
          </w:p>
          <w:p w14:paraId="6EB3B629" w14:textId="5D1E883D" w:rsidR="00F45E7D" w:rsidRDefault="0087463C">
            <w:pPr>
              <w:pStyle w:val="TableText0"/>
              <w:keepLines/>
              <w:widowControl w:val="0"/>
              <w:jc w:val="center"/>
              <w:rPr>
                <w:sz w:val="20"/>
                <w:szCs w:val="20"/>
              </w:rPr>
            </w:pPr>
            <w:r>
              <w:rPr>
                <w:sz w:val="20"/>
                <w:szCs w:val="20"/>
              </w:rPr>
              <w:t>40 mg vial: $789.</w:t>
            </w:r>
            <w:r w:rsidR="00893534">
              <w:rPr>
                <w:sz w:val="20"/>
                <w:szCs w:val="20"/>
              </w:rPr>
              <w:t>17</w:t>
            </w:r>
          </w:p>
        </w:tc>
        <w:tc>
          <w:tcPr>
            <w:tcW w:w="3205" w:type="dxa"/>
            <w:shd w:val="clear" w:color="auto" w:fill="auto"/>
          </w:tcPr>
          <w:p w14:paraId="7F602978" w14:textId="77777777" w:rsidR="00F45E7D" w:rsidRDefault="0087463C">
            <w:pPr>
              <w:pStyle w:val="TableText0"/>
              <w:keepLines/>
              <w:widowControl w:val="0"/>
              <w:jc w:val="center"/>
              <w:rPr>
                <w:sz w:val="20"/>
                <w:szCs w:val="20"/>
              </w:rPr>
            </w:pPr>
            <w:r>
              <w:rPr>
                <w:sz w:val="20"/>
                <w:szCs w:val="20"/>
              </w:rPr>
              <w:t>200 mg vial: $22,503.70</w:t>
            </w:r>
          </w:p>
          <w:p w14:paraId="2723D40F" w14:textId="68F5009E" w:rsidR="00F45E7D" w:rsidRDefault="0087463C">
            <w:pPr>
              <w:pStyle w:val="TableText0"/>
              <w:keepLines/>
              <w:widowControl w:val="0"/>
              <w:jc w:val="center"/>
              <w:rPr>
                <w:sz w:val="20"/>
                <w:szCs w:val="20"/>
              </w:rPr>
            </w:pPr>
            <w:r>
              <w:rPr>
                <w:sz w:val="20"/>
                <w:szCs w:val="20"/>
              </w:rPr>
              <w:t>50</w:t>
            </w:r>
            <w:r w:rsidR="00A82443">
              <w:rPr>
                <w:sz w:val="20"/>
                <w:szCs w:val="20"/>
              </w:rPr>
              <w:t xml:space="preserve"> </w:t>
            </w:r>
            <w:r>
              <w:rPr>
                <w:sz w:val="20"/>
                <w:szCs w:val="20"/>
              </w:rPr>
              <w:t>mg vial: $5,625.92</w:t>
            </w:r>
          </w:p>
        </w:tc>
      </w:tr>
      <w:tr w:rsidR="00F45E7D" w14:paraId="373D2701" w14:textId="77777777">
        <w:tc>
          <w:tcPr>
            <w:tcW w:w="8756" w:type="dxa"/>
            <w:gridSpan w:val="3"/>
            <w:tcBorders>
              <w:bottom w:val="single" w:sz="4" w:space="0" w:color="auto"/>
            </w:tcBorders>
            <w:shd w:val="clear" w:color="auto" w:fill="auto"/>
          </w:tcPr>
          <w:p w14:paraId="076B3782" w14:textId="77777777" w:rsidR="00F45E7D" w:rsidRDefault="0087463C">
            <w:pPr>
              <w:pStyle w:val="TableText0"/>
              <w:keepLines/>
              <w:widowControl w:val="0"/>
              <w:rPr>
                <w:b/>
                <w:bCs w:val="0"/>
                <w:sz w:val="20"/>
                <w:szCs w:val="20"/>
              </w:rPr>
            </w:pPr>
            <w:r>
              <w:rPr>
                <w:b/>
                <w:bCs w:val="0"/>
                <w:sz w:val="20"/>
                <w:szCs w:val="20"/>
              </w:rPr>
              <w:t>Induction therapy</w:t>
            </w:r>
          </w:p>
        </w:tc>
      </w:tr>
      <w:tr w:rsidR="00F45E7D" w14:paraId="7EF6BD71" w14:textId="77777777">
        <w:tc>
          <w:tcPr>
            <w:tcW w:w="2489" w:type="dxa"/>
            <w:tcBorders>
              <w:top w:val="single" w:sz="4" w:space="0" w:color="auto"/>
              <w:bottom w:val="single" w:sz="4" w:space="0" w:color="auto"/>
              <w:right w:val="single" w:sz="4" w:space="0" w:color="auto"/>
            </w:tcBorders>
            <w:shd w:val="clear" w:color="auto" w:fill="auto"/>
          </w:tcPr>
          <w:p w14:paraId="400E34B8" w14:textId="77777777" w:rsidR="00F45E7D" w:rsidRDefault="0087463C">
            <w:pPr>
              <w:pStyle w:val="TableText0"/>
              <w:keepLines/>
              <w:widowControl w:val="0"/>
              <w:rPr>
                <w:sz w:val="20"/>
                <w:szCs w:val="20"/>
              </w:rPr>
            </w:pPr>
            <w:r>
              <w:rPr>
                <w:sz w:val="20"/>
                <w:szCs w:val="20"/>
              </w:rPr>
              <w:t>Effective DPMA</w:t>
            </w:r>
          </w:p>
          <w:p w14:paraId="7C094B22" w14:textId="77777777" w:rsidR="00F45E7D" w:rsidRDefault="0087463C">
            <w:pPr>
              <w:pStyle w:val="TableText0"/>
              <w:keepLines/>
              <w:widowControl w:val="0"/>
              <w:rPr>
                <w:sz w:val="20"/>
                <w:szCs w:val="20"/>
              </w:rPr>
            </w:pPr>
            <w:r>
              <w:rPr>
                <w:sz w:val="20"/>
                <w:szCs w:val="20"/>
              </w:rPr>
              <w:t xml:space="preserve">  Public hospital use</w:t>
            </w:r>
          </w:p>
          <w:p w14:paraId="0B9464D2" w14:textId="77777777" w:rsidR="00F45E7D" w:rsidRDefault="0087463C">
            <w:pPr>
              <w:pStyle w:val="TableText0"/>
              <w:keepLines/>
              <w:widowControl w:val="0"/>
              <w:rPr>
                <w:sz w:val="20"/>
                <w:szCs w:val="20"/>
              </w:rPr>
            </w:pPr>
            <w:r>
              <w:rPr>
                <w:sz w:val="20"/>
                <w:szCs w:val="20"/>
              </w:rPr>
              <w:t xml:space="preserve">  Private hospital use</w:t>
            </w:r>
          </w:p>
        </w:tc>
        <w:tc>
          <w:tcPr>
            <w:tcW w:w="3062" w:type="dxa"/>
            <w:tcBorders>
              <w:top w:val="single" w:sz="4" w:space="0" w:color="auto"/>
              <w:left w:val="single" w:sz="4" w:space="0" w:color="auto"/>
              <w:bottom w:val="single" w:sz="4" w:space="0" w:color="auto"/>
              <w:right w:val="single" w:sz="4" w:space="0" w:color="auto"/>
            </w:tcBorders>
            <w:shd w:val="clear" w:color="auto" w:fill="auto"/>
          </w:tcPr>
          <w:p w14:paraId="56EC7D5E" w14:textId="77777777" w:rsidR="00F45E7D" w:rsidRDefault="00F45E7D">
            <w:pPr>
              <w:pStyle w:val="TableText0"/>
              <w:keepLines/>
              <w:widowControl w:val="0"/>
              <w:jc w:val="center"/>
              <w:rPr>
                <w:sz w:val="20"/>
                <w:szCs w:val="20"/>
              </w:rPr>
            </w:pPr>
          </w:p>
          <w:p w14:paraId="49925803" w14:textId="0B80259D" w:rsidR="00F45E7D" w:rsidRDefault="0087463C">
            <w:pPr>
              <w:pStyle w:val="TableText0"/>
              <w:keepLines/>
              <w:widowControl w:val="0"/>
              <w:jc w:val="center"/>
              <w:rPr>
                <w:sz w:val="20"/>
                <w:szCs w:val="20"/>
              </w:rPr>
            </w:pPr>
            <w:r>
              <w:rPr>
                <w:sz w:val="20"/>
                <w:szCs w:val="20"/>
              </w:rPr>
              <w:t>$</w:t>
            </w:r>
            <w:r w:rsidR="006A317A" w:rsidRPr="006A317A">
              <w:rPr>
                <w:color w:val="000000"/>
                <w:sz w:val="20"/>
                <w:szCs w:val="20"/>
                <w:shd w:val="solid" w:color="000000" w:fill="000000"/>
                <w14:textFill>
                  <w14:solidFill>
                    <w14:srgbClr w14:val="000000">
                      <w14:alpha w14:val="100000"/>
                    </w14:srgbClr>
                  </w14:solidFill>
                </w14:textFill>
              </w:rPr>
              <w:t>|</w:t>
            </w:r>
          </w:p>
          <w:p w14:paraId="0E475544" w14:textId="63E93CDD" w:rsidR="00F45E7D" w:rsidRDefault="0087463C">
            <w:pPr>
              <w:pStyle w:val="TableText0"/>
              <w:keepLines/>
              <w:widowControl w:val="0"/>
              <w:jc w:val="center"/>
              <w:rPr>
                <w:sz w:val="20"/>
                <w:szCs w:val="20"/>
                <w:highlight w:val="yellow"/>
              </w:rPr>
            </w:pPr>
            <w:r>
              <w:rPr>
                <w:sz w:val="20"/>
                <w:szCs w:val="20"/>
              </w:rPr>
              <w:t>$</w:t>
            </w:r>
            <w:r w:rsidR="006A317A" w:rsidRPr="006A317A">
              <w:rPr>
                <w:color w:val="000000"/>
                <w:sz w:val="20"/>
                <w:szCs w:val="20"/>
                <w:shd w:val="solid" w:color="000000" w:fill="000000"/>
                <w14:textFill>
                  <w14:solidFill>
                    <w14:srgbClr w14:val="000000">
                      <w14:alpha w14:val="100000"/>
                    </w14:srgbClr>
                  </w14:solidFill>
                </w14:textFill>
              </w:rPr>
              <w:t>|</w:t>
            </w:r>
          </w:p>
        </w:tc>
        <w:tc>
          <w:tcPr>
            <w:tcW w:w="3205" w:type="dxa"/>
            <w:tcBorders>
              <w:top w:val="single" w:sz="4" w:space="0" w:color="auto"/>
              <w:left w:val="single" w:sz="4" w:space="0" w:color="auto"/>
              <w:bottom w:val="single" w:sz="4" w:space="0" w:color="auto"/>
              <w:right w:val="single" w:sz="4" w:space="0" w:color="auto"/>
            </w:tcBorders>
            <w:shd w:val="clear" w:color="auto" w:fill="auto"/>
          </w:tcPr>
          <w:p w14:paraId="619ED3F0" w14:textId="77777777" w:rsidR="00F45E7D" w:rsidRDefault="00F45E7D">
            <w:pPr>
              <w:pStyle w:val="TableText0"/>
              <w:keepLines/>
              <w:widowControl w:val="0"/>
              <w:jc w:val="center"/>
              <w:rPr>
                <w:sz w:val="20"/>
                <w:szCs w:val="20"/>
              </w:rPr>
            </w:pPr>
          </w:p>
          <w:p w14:paraId="25358DE8" w14:textId="146D5D02" w:rsidR="00F45E7D" w:rsidRDefault="0087463C">
            <w:pPr>
              <w:pStyle w:val="TableText0"/>
              <w:keepLines/>
              <w:widowControl w:val="0"/>
              <w:jc w:val="center"/>
              <w:rPr>
                <w:sz w:val="20"/>
                <w:szCs w:val="20"/>
              </w:rPr>
            </w:pPr>
            <w:r>
              <w:rPr>
                <w:sz w:val="20"/>
                <w:szCs w:val="20"/>
              </w:rPr>
              <w:t>$</w:t>
            </w:r>
            <w:r w:rsidR="006A317A" w:rsidRPr="006A317A">
              <w:rPr>
                <w:color w:val="000000"/>
                <w:sz w:val="20"/>
                <w:szCs w:val="20"/>
                <w:shd w:val="solid" w:color="000000" w:fill="000000"/>
                <w14:textFill>
                  <w14:solidFill>
                    <w14:srgbClr w14:val="000000">
                      <w14:alpha w14:val="100000"/>
                    </w14:srgbClr>
                  </w14:solidFill>
                </w14:textFill>
              </w:rPr>
              <w:t>|</w:t>
            </w:r>
          </w:p>
          <w:p w14:paraId="1291D074" w14:textId="03BD694B" w:rsidR="00F45E7D" w:rsidRDefault="0087463C">
            <w:pPr>
              <w:pStyle w:val="TableText0"/>
              <w:keepLines/>
              <w:widowControl w:val="0"/>
              <w:jc w:val="center"/>
              <w:rPr>
                <w:sz w:val="20"/>
                <w:szCs w:val="20"/>
              </w:rPr>
            </w:pPr>
            <w:r>
              <w:rPr>
                <w:sz w:val="20"/>
                <w:szCs w:val="20"/>
              </w:rPr>
              <w:t>$</w:t>
            </w:r>
            <w:r w:rsidR="006A317A" w:rsidRPr="006A317A">
              <w:rPr>
                <w:color w:val="000000"/>
                <w:sz w:val="20"/>
                <w:szCs w:val="20"/>
                <w:shd w:val="solid" w:color="000000" w:fill="000000"/>
                <w14:textFill>
                  <w14:solidFill>
                    <w14:srgbClr w14:val="000000">
                      <w14:alpha w14:val="100000"/>
                    </w14:srgbClr>
                  </w14:solidFill>
                </w14:textFill>
              </w:rPr>
              <w:t>|</w:t>
            </w:r>
          </w:p>
        </w:tc>
      </w:tr>
      <w:tr w:rsidR="00F45E7D" w14:paraId="089AC299" w14:textId="77777777">
        <w:tc>
          <w:tcPr>
            <w:tcW w:w="2489" w:type="dxa"/>
            <w:shd w:val="clear" w:color="auto" w:fill="auto"/>
          </w:tcPr>
          <w:p w14:paraId="5ACE86F1" w14:textId="77777777" w:rsidR="00F45E7D" w:rsidRDefault="0087463C">
            <w:pPr>
              <w:pStyle w:val="TableText0"/>
              <w:widowControl w:val="0"/>
              <w:rPr>
                <w:sz w:val="20"/>
                <w:szCs w:val="20"/>
              </w:rPr>
            </w:pPr>
            <w:r>
              <w:rPr>
                <w:sz w:val="20"/>
                <w:szCs w:val="20"/>
              </w:rPr>
              <w:t>Published DPMA</w:t>
            </w:r>
          </w:p>
          <w:p w14:paraId="401BC529" w14:textId="77777777" w:rsidR="00F45E7D" w:rsidRDefault="0087463C">
            <w:pPr>
              <w:pStyle w:val="TableText0"/>
              <w:widowControl w:val="0"/>
              <w:rPr>
                <w:sz w:val="20"/>
                <w:szCs w:val="20"/>
              </w:rPr>
            </w:pPr>
            <w:r>
              <w:rPr>
                <w:sz w:val="20"/>
                <w:szCs w:val="20"/>
              </w:rPr>
              <w:t xml:space="preserve">  Public hospital use</w:t>
            </w:r>
          </w:p>
          <w:p w14:paraId="0467882B" w14:textId="77777777" w:rsidR="00F45E7D" w:rsidRDefault="0087463C">
            <w:pPr>
              <w:pStyle w:val="TableText0"/>
              <w:widowControl w:val="0"/>
              <w:rPr>
                <w:sz w:val="20"/>
                <w:szCs w:val="20"/>
              </w:rPr>
            </w:pPr>
            <w:r>
              <w:rPr>
                <w:sz w:val="20"/>
                <w:szCs w:val="20"/>
              </w:rPr>
              <w:t xml:space="preserve">  Private hospital use</w:t>
            </w:r>
          </w:p>
        </w:tc>
        <w:tc>
          <w:tcPr>
            <w:tcW w:w="3062" w:type="dxa"/>
            <w:shd w:val="clear" w:color="auto" w:fill="auto"/>
          </w:tcPr>
          <w:p w14:paraId="12DF9E09" w14:textId="77777777" w:rsidR="00F45E7D" w:rsidRDefault="00F45E7D">
            <w:pPr>
              <w:pStyle w:val="TableText0"/>
              <w:widowControl w:val="0"/>
              <w:jc w:val="center"/>
              <w:rPr>
                <w:sz w:val="20"/>
                <w:szCs w:val="20"/>
              </w:rPr>
            </w:pPr>
          </w:p>
          <w:p w14:paraId="27BE6C87" w14:textId="5E2FA695" w:rsidR="00F45E7D" w:rsidRDefault="0087463C">
            <w:pPr>
              <w:pStyle w:val="TableText0"/>
              <w:widowControl w:val="0"/>
              <w:jc w:val="center"/>
              <w:rPr>
                <w:sz w:val="20"/>
                <w:szCs w:val="20"/>
              </w:rPr>
            </w:pPr>
            <w:r>
              <w:rPr>
                <w:sz w:val="20"/>
                <w:szCs w:val="20"/>
              </w:rPr>
              <w:t>$2,454.5</w:t>
            </w:r>
            <w:r w:rsidR="003A07A1">
              <w:rPr>
                <w:sz w:val="20"/>
                <w:szCs w:val="20"/>
              </w:rPr>
              <w:t>8</w:t>
            </w:r>
          </w:p>
          <w:p w14:paraId="4F5645CB" w14:textId="674CF4F7" w:rsidR="00F45E7D" w:rsidRDefault="0087463C">
            <w:pPr>
              <w:pStyle w:val="TableText0"/>
              <w:widowControl w:val="0"/>
              <w:jc w:val="center"/>
              <w:rPr>
                <w:sz w:val="20"/>
                <w:szCs w:val="20"/>
              </w:rPr>
            </w:pPr>
            <w:r>
              <w:rPr>
                <w:sz w:val="20"/>
                <w:szCs w:val="20"/>
              </w:rPr>
              <w:t>$2,529.</w:t>
            </w:r>
            <w:r w:rsidR="003A07A1">
              <w:rPr>
                <w:sz w:val="20"/>
                <w:szCs w:val="20"/>
              </w:rPr>
              <w:t>36</w:t>
            </w:r>
          </w:p>
        </w:tc>
        <w:tc>
          <w:tcPr>
            <w:tcW w:w="3205" w:type="dxa"/>
            <w:shd w:val="clear" w:color="auto" w:fill="auto"/>
          </w:tcPr>
          <w:p w14:paraId="3BC052EA" w14:textId="77777777" w:rsidR="00F45E7D" w:rsidRDefault="00F45E7D">
            <w:pPr>
              <w:pStyle w:val="TableText0"/>
              <w:widowControl w:val="0"/>
              <w:jc w:val="center"/>
              <w:rPr>
                <w:sz w:val="20"/>
                <w:szCs w:val="20"/>
              </w:rPr>
            </w:pPr>
          </w:p>
          <w:p w14:paraId="5C39B080" w14:textId="63470CA8" w:rsidR="00F45E7D" w:rsidRDefault="0087463C">
            <w:pPr>
              <w:pStyle w:val="TableText0"/>
              <w:widowControl w:val="0"/>
              <w:jc w:val="center"/>
              <w:rPr>
                <w:sz w:val="20"/>
                <w:szCs w:val="20"/>
              </w:rPr>
            </w:pPr>
            <w:r>
              <w:rPr>
                <w:sz w:val="20"/>
                <w:szCs w:val="20"/>
              </w:rPr>
              <w:t>$45,09</w:t>
            </w:r>
            <w:r w:rsidR="003A07A1">
              <w:rPr>
                <w:sz w:val="20"/>
                <w:szCs w:val="20"/>
              </w:rPr>
              <w:t>4.43</w:t>
            </w:r>
          </w:p>
          <w:p w14:paraId="2C350202" w14:textId="3683FEFB" w:rsidR="00F45E7D" w:rsidRDefault="0087463C">
            <w:pPr>
              <w:pStyle w:val="TableText0"/>
              <w:widowControl w:val="0"/>
              <w:jc w:val="center"/>
              <w:rPr>
                <w:sz w:val="20"/>
                <w:szCs w:val="20"/>
              </w:rPr>
            </w:pPr>
            <w:r>
              <w:rPr>
                <w:sz w:val="20"/>
                <w:szCs w:val="20"/>
              </w:rPr>
              <w:t>$45,76</w:t>
            </w:r>
            <w:r w:rsidR="003A07A1">
              <w:rPr>
                <w:sz w:val="20"/>
                <w:szCs w:val="20"/>
              </w:rPr>
              <w:t>6.14</w:t>
            </w:r>
          </w:p>
        </w:tc>
      </w:tr>
      <w:tr w:rsidR="00F45E7D" w14:paraId="02637776" w14:textId="77777777">
        <w:tc>
          <w:tcPr>
            <w:tcW w:w="8756" w:type="dxa"/>
            <w:gridSpan w:val="3"/>
            <w:shd w:val="clear" w:color="auto" w:fill="auto"/>
          </w:tcPr>
          <w:p w14:paraId="34282014" w14:textId="77777777" w:rsidR="00F45E7D" w:rsidRDefault="0087463C">
            <w:pPr>
              <w:pStyle w:val="TableText0"/>
              <w:widowControl w:val="0"/>
              <w:rPr>
                <w:b/>
                <w:bCs w:val="0"/>
                <w:sz w:val="20"/>
                <w:szCs w:val="20"/>
              </w:rPr>
            </w:pPr>
            <w:r>
              <w:rPr>
                <w:b/>
                <w:bCs w:val="0"/>
                <w:sz w:val="20"/>
                <w:szCs w:val="20"/>
              </w:rPr>
              <w:t>Maintenance therapy</w:t>
            </w:r>
          </w:p>
        </w:tc>
      </w:tr>
      <w:tr w:rsidR="00F45E7D" w14:paraId="79005BD1" w14:textId="77777777">
        <w:tc>
          <w:tcPr>
            <w:tcW w:w="2489" w:type="dxa"/>
            <w:shd w:val="clear" w:color="auto" w:fill="auto"/>
          </w:tcPr>
          <w:p w14:paraId="3CEA9553" w14:textId="77777777" w:rsidR="00F45E7D" w:rsidRDefault="0087463C">
            <w:pPr>
              <w:pStyle w:val="TableText0"/>
              <w:widowControl w:val="0"/>
              <w:rPr>
                <w:sz w:val="20"/>
                <w:szCs w:val="20"/>
              </w:rPr>
            </w:pPr>
            <w:r>
              <w:rPr>
                <w:sz w:val="20"/>
                <w:szCs w:val="20"/>
              </w:rPr>
              <w:t>Effective DPMA</w:t>
            </w:r>
          </w:p>
          <w:p w14:paraId="0E6F787C" w14:textId="77777777" w:rsidR="00F45E7D" w:rsidRDefault="0087463C">
            <w:pPr>
              <w:pStyle w:val="TableText0"/>
              <w:widowControl w:val="0"/>
              <w:rPr>
                <w:sz w:val="20"/>
                <w:szCs w:val="20"/>
              </w:rPr>
            </w:pPr>
            <w:r>
              <w:rPr>
                <w:sz w:val="20"/>
                <w:szCs w:val="20"/>
              </w:rPr>
              <w:t xml:space="preserve">  Public hospital use</w:t>
            </w:r>
          </w:p>
          <w:p w14:paraId="656DE3AB" w14:textId="77777777" w:rsidR="00F45E7D" w:rsidRDefault="0087463C">
            <w:pPr>
              <w:pStyle w:val="TableText0"/>
              <w:widowControl w:val="0"/>
              <w:rPr>
                <w:sz w:val="20"/>
                <w:szCs w:val="20"/>
              </w:rPr>
            </w:pPr>
            <w:r>
              <w:rPr>
                <w:sz w:val="20"/>
                <w:szCs w:val="20"/>
              </w:rPr>
              <w:t xml:space="preserve">  Private hospital use</w:t>
            </w:r>
          </w:p>
        </w:tc>
        <w:tc>
          <w:tcPr>
            <w:tcW w:w="3062" w:type="dxa"/>
            <w:shd w:val="clear" w:color="auto" w:fill="auto"/>
          </w:tcPr>
          <w:p w14:paraId="43C400EC" w14:textId="77777777" w:rsidR="00F45E7D" w:rsidRDefault="00F45E7D">
            <w:pPr>
              <w:pStyle w:val="TableText0"/>
              <w:widowControl w:val="0"/>
              <w:jc w:val="center"/>
              <w:rPr>
                <w:sz w:val="20"/>
                <w:szCs w:val="20"/>
              </w:rPr>
            </w:pPr>
          </w:p>
          <w:p w14:paraId="5164237E" w14:textId="72C7569A" w:rsidR="00F45E7D" w:rsidRDefault="0087463C">
            <w:pPr>
              <w:pStyle w:val="TableText0"/>
              <w:widowControl w:val="0"/>
              <w:jc w:val="center"/>
              <w:rPr>
                <w:sz w:val="20"/>
                <w:szCs w:val="20"/>
              </w:rPr>
            </w:pPr>
            <w:r>
              <w:rPr>
                <w:sz w:val="20"/>
                <w:szCs w:val="20"/>
              </w:rPr>
              <w:t>$</w:t>
            </w:r>
            <w:r w:rsidR="006A317A" w:rsidRPr="006A317A">
              <w:rPr>
                <w:color w:val="000000"/>
                <w:sz w:val="20"/>
                <w:szCs w:val="20"/>
                <w:shd w:val="solid" w:color="000000" w:fill="000000"/>
                <w14:textFill>
                  <w14:solidFill>
                    <w14:srgbClr w14:val="000000">
                      <w14:alpha w14:val="100000"/>
                    </w14:srgbClr>
                  </w14:solidFill>
                </w14:textFill>
              </w:rPr>
              <w:t>|</w:t>
            </w:r>
          </w:p>
          <w:p w14:paraId="09B276BD" w14:textId="0EBD8D20" w:rsidR="00F45E7D" w:rsidRDefault="0087463C">
            <w:pPr>
              <w:pStyle w:val="TableText0"/>
              <w:widowControl w:val="0"/>
              <w:jc w:val="center"/>
              <w:rPr>
                <w:sz w:val="20"/>
                <w:szCs w:val="20"/>
                <w:highlight w:val="yellow"/>
              </w:rPr>
            </w:pPr>
            <w:r>
              <w:rPr>
                <w:sz w:val="20"/>
                <w:szCs w:val="20"/>
              </w:rPr>
              <w:t>$</w:t>
            </w:r>
            <w:r w:rsidR="006A317A" w:rsidRPr="006A317A">
              <w:rPr>
                <w:color w:val="000000"/>
                <w:sz w:val="20"/>
                <w:szCs w:val="20"/>
                <w:shd w:val="solid" w:color="000000" w:fill="000000"/>
                <w14:textFill>
                  <w14:solidFill>
                    <w14:srgbClr w14:val="000000">
                      <w14:alpha w14:val="100000"/>
                    </w14:srgbClr>
                  </w14:solidFill>
                </w14:textFill>
              </w:rPr>
              <w:t>|</w:t>
            </w:r>
          </w:p>
        </w:tc>
        <w:tc>
          <w:tcPr>
            <w:tcW w:w="3205" w:type="dxa"/>
            <w:shd w:val="clear" w:color="auto" w:fill="auto"/>
          </w:tcPr>
          <w:p w14:paraId="1E81DB99" w14:textId="77777777" w:rsidR="00F45E7D" w:rsidRDefault="00F45E7D">
            <w:pPr>
              <w:pStyle w:val="TableText0"/>
              <w:widowControl w:val="0"/>
              <w:jc w:val="center"/>
              <w:rPr>
                <w:sz w:val="20"/>
                <w:szCs w:val="20"/>
              </w:rPr>
            </w:pPr>
          </w:p>
          <w:p w14:paraId="76D23320" w14:textId="77777777" w:rsidR="00F45E7D" w:rsidRDefault="0087463C">
            <w:pPr>
              <w:pStyle w:val="TableText0"/>
              <w:widowControl w:val="0"/>
              <w:jc w:val="center"/>
              <w:rPr>
                <w:sz w:val="20"/>
                <w:szCs w:val="20"/>
              </w:rPr>
            </w:pPr>
            <w:r>
              <w:rPr>
                <w:sz w:val="20"/>
                <w:szCs w:val="20"/>
              </w:rPr>
              <w:t>NA</w:t>
            </w:r>
          </w:p>
        </w:tc>
      </w:tr>
      <w:tr w:rsidR="00F45E7D" w14:paraId="090511F7" w14:textId="77777777">
        <w:tc>
          <w:tcPr>
            <w:tcW w:w="2489" w:type="dxa"/>
            <w:shd w:val="clear" w:color="auto" w:fill="auto"/>
          </w:tcPr>
          <w:p w14:paraId="1DCF513F" w14:textId="77777777" w:rsidR="00F45E7D" w:rsidRDefault="0087463C">
            <w:pPr>
              <w:pStyle w:val="TableText0"/>
              <w:widowControl w:val="0"/>
              <w:rPr>
                <w:sz w:val="20"/>
                <w:szCs w:val="20"/>
              </w:rPr>
            </w:pPr>
            <w:r>
              <w:rPr>
                <w:sz w:val="20"/>
                <w:szCs w:val="20"/>
              </w:rPr>
              <w:t>Published DPMA</w:t>
            </w:r>
          </w:p>
          <w:p w14:paraId="356C9C27" w14:textId="77777777" w:rsidR="00F45E7D" w:rsidRDefault="0087463C">
            <w:pPr>
              <w:pStyle w:val="TableText0"/>
              <w:widowControl w:val="0"/>
              <w:rPr>
                <w:sz w:val="20"/>
                <w:szCs w:val="20"/>
              </w:rPr>
            </w:pPr>
            <w:r>
              <w:rPr>
                <w:sz w:val="20"/>
                <w:szCs w:val="20"/>
              </w:rPr>
              <w:t xml:space="preserve">  Public hospital use</w:t>
            </w:r>
          </w:p>
          <w:p w14:paraId="22AF5BD6" w14:textId="77777777" w:rsidR="00F45E7D" w:rsidRDefault="0087463C">
            <w:pPr>
              <w:pStyle w:val="TableText0"/>
              <w:widowControl w:val="0"/>
              <w:rPr>
                <w:sz w:val="20"/>
                <w:szCs w:val="20"/>
              </w:rPr>
            </w:pPr>
            <w:r>
              <w:rPr>
                <w:sz w:val="20"/>
                <w:szCs w:val="20"/>
              </w:rPr>
              <w:t xml:space="preserve">  Private hospital use</w:t>
            </w:r>
          </w:p>
        </w:tc>
        <w:tc>
          <w:tcPr>
            <w:tcW w:w="3062" w:type="dxa"/>
            <w:shd w:val="clear" w:color="auto" w:fill="auto"/>
          </w:tcPr>
          <w:p w14:paraId="3C62E826" w14:textId="77777777" w:rsidR="00F45E7D" w:rsidRDefault="00F45E7D">
            <w:pPr>
              <w:pStyle w:val="TableText0"/>
              <w:widowControl w:val="0"/>
              <w:jc w:val="center"/>
              <w:rPr>
                <w:sz w:val="20"/>
                <w:szCs w:val="20"/>
              </w:rPr>
            </w:pPr>
          </w:p>
          <w:p w14:paraId="3970D79E" w14:textId="7987EF8F" w:rsidR="00F45E7D" w:rsidRDefault="0087463C">
            <w:pPr>
              <w:pStyle w:val="TableText0"/>
              <w:widowControl w:val="0"/>
              <w:jc w:val="center"/>
              <w:rPr>
                <w:sz w:val="20"/>
                <w:szCs w:val="20"/>
              </w:rPr>
            </w:pPr>
            <w:r>
              <w:rPr>
                <w:sz w:val="20"/>
                <w:szCs w:val="20"/>
              </w:rPr>
              <w:t>$9,557.0</w:t>
            </w:r>
            <w:r w:rsidR="003A07A1">
              <w:rPr>
                <w:sz w:val="20"/>
                <w:szCs w:val="20"/>
              </w:rPr>
              <w:t>5</w:t>
            </w:r>
          </w:p>
          <w:p w14:paraId="390C8BC2" w14:textId="297E1948" w:rsidR="00F45E7D" w:rsidRDefault="0087463C">
            <w:pPr>
              <w:pStyle w:val="TableText0"/>
              <w:widowControl w:val="0"/>
              <w:jc w:val="center"/>
              <w:rPr>
                <w:sz w:val="20"/>
                <w:szCs w:val="20"/>
                <w:highlight w:val="yellow"/>
              </w:rPr>
            </w:pPr>
            <w:r>
              <w:rPr>
                <w:sz w:val="20"/>
                <w:szCs w:val="20"/>
              </w:rPr>
              <w:t>$9,731.2</w:t>
            </w:r>
            <w:r w:rsidR="003A07A1">
              <w:rPr>
                <w:sz w:val="20"/>
                <w:szCs w:val="20"/>
              </w:rPr>
              <w:t>6</w:t>
            </w:r>
          </w:p>
        </w:tc>
        <w:tc>
          <w:tcPr>
            <w:tcW w:w="3205" w:type="dxa"/>
            <w:shd w:val="clear" w:color="auto" w:fill="auto"/>
          </w:tcPr>
          <w:p w14:paraId="315A76A2" w14:textId="77777777" w:rsidR="00F45E7D" w:rsidRDefault="00F45E7D">
            <w:pPr>
              <w:pStyle w:val="TableText0"/>
              <w:widowControl w:val="0"/>
              <w:jc w:val="center"/>
              <w:rPr>
                <w:sz w:val="20"/>
                <w:szCs w:val="20"/>
              </w:rPr>
            </w:pPr>
          </w:p>
          <w:p w14:paraId="7685E091" w14:textId="77777777" w:rsidR="00F45E7D" w:rsidRDefault="0087463C">
            <w:pPr>
              <w:pStyle w:val="TableText0"/>
              <w:widowControl w:val="0"/>
              <w:jc w:val="center"/>
              <w:rPr>
                <w:sz w:val="20"/>
                <w:szCs w:val="20"/>
              </w:rPr>
            </w:pPr>
            <w:r>
              <w:rPr>
                <w:sz w:val="20"/>
                <w:szCs w:val="20"/>
              </w:rPr>
              <w:t>NA</w:t>
            </w:r>
          </w:p>
        </w:tc>
      </w:tr>
    </w:tbl>
    <w:p w14:paraId="228EEACD" w14:textId="77777777" w:rsidR="00F45E7D" w:rsidRDefault="0087463C">
      <w:pPr>
        <w:pStyle w:val="TableFigureFooter"/>
      </w:pPr>
      <w:r>
        <w:t>Source: Table 41, p96 of the submission.</w:t>
      </w:r>
    </w:p>
    <w:p w14:paraId="5FD28B8B" w14:textId="77777777" w:rsidR="00F45E7D" w:rsidRDefault="0087463C">
      <w:pPr>
        <w:pStyle w:val="TableFigureFooter"/>
      </w:pPr>
      <w:r>
        <w:t>AEMP = agreed ex-manufacturer price; DPMA = dispensed price for maximum amount; NA = not applicable.</w:t>
      </w:r>
    </w:p>
    <w:p w14:paraId="2B4041DE" w14:textId="77777777" w:rsidR="00F45E7D" w:rsidRDefault="0087463C">
      <w:pPr>
        <w:pStyle w:val="4-SubsectionHeading"/>
      </w:pPr>
      <w:bookmarkStart w:id="60" w:name="_Toc112548522"/>
      <w:bookmarkStart w:id="61" w:name="_Toc114052261"/>
      <w:r>
        <w:t>Estimated PBS usage &amp; financial implications</w:t>
      </w:r>
      <w:bookmarkEnd w:id="60"/>
      <w:bookmarkEnd w:id="61"/>
    </w:p>
    <w:p w14:paraId="5B2BAA7A" w14:textId="77777777" w:rsidR="00F45E7D" w:rsidRDefault="0087463C">
      <w:pPr>
        <w:pStyle w:val="3-BodyText"/>
        <w:rPr>
          <w:color w:val="0070C0"/>
        </w:rPr>
      </w:pPr>
      <w:r>
        <w:t>This submission was not considered by DUSC</w:t>
      </w:r>
      <w:r>
        <w:rPr>
          <w:color w:val="0070C0"/>
        </w:rPr>
        <w:t>.</w:t>
      </w:r>
    </w:p>
    <w:p w14:paraId="3537F971" w14:textId="77777777" w:rsidR="00F45E7D" w:rsidRDefault="0087463C">
      <w:pPr>
        <w:pStyle w:val="3-BodyText"/>
        <w:ind w:left="709"/>
      </w:pPr>
      <w:r>
        <w:t xml:space="preserve">The submission used an epidemiological approach to forecast the financial impact of the proposed expansion of the existing PBS listings for NIVO and IPI. The submission reported that listing the combination of NIVO + IPI would result in adjunctive treatment rather than substitution, that is, NIVO would be added to the existing IPI use, therefore there would be no change to the current IPI utilisation. </w:t>
      </w:r>
    </w:p>
    <w:p w14:paraId="3F6925D7" w14:textId="77777777" w:rsidR="00F45E7D" w:rsidRDefault="0087463C">
      <w:pPr>
        <w:pStyle w:val="3-BodyText"/>
        <w:ind w:left="709"/>
        <w:rPr>
          <w:iCs/>
        </w:rPr>
      </w:pPr>
      <w:r>
        <w:t xml:space="preserve">The budget impact forecast was based primarily on the Sponsor’s patient access program, the OMCP which included 62 hospitals across Australia. </w:t>
      </w:r>
      <w:r>
        <w:rPr>
          <w:iCs/>
        </w:rPr>
        <w:t xml:space="preserve">The use of the OMCP data to inform treatment dosage and duration was reasonable as it represented actual use in the Australia population. However, use of this data may have underestimated the eligible population as more patients may be eligible to access NIVO + IPI if it was listed on the PBS/RPBS. </w:t>
      </w:r>
    </w:p>
    <w:p w14:paraId="3FDD6F04" w14:textId="15564E4D" w:rsidR="006722CE" w:rsidRDefault="0087463C">
      <w:pPr>
        <w:pStyle w:val="3-BodyText"/>
        <w:ind w:left="709"/>
      </w:pPr>
      <w:r>
        <w:lastRenderedPageBreak/>
        <w:t xml:space="preserve">The inputs and data sources used to calculate the predicted use and financial impact of extending the existing PBS restrictions of NIVO + IPI are summarised in </w:t>
      </w:r>
      <w:r>
        <w:fldChar w:fldCharType="begin"/>
      </w:r>
      <w:r>
        <w:instrText xml:space="preserve"> REF _Ref112281188 \h </w:instrText>
      </w:r>
      <w:r>
        <w:fldChar w:fldCharType="separate"/>
      </w:r>
      <w:r w:rsidR="00D8701A">
        <w:t xml:space="preserve">Table </w:t>
      </w:r>
      <w:r w:rsidR="00D8701A">
        <w:rPr>
          <w:noProof/>
        </w:rPr>
        <w:t>12</w:t>
      </w:r>
      <w:r>
        <w:fldChar w:fldCharType="end"/>
      </w:r>
      <w:r>
        <w:t>.</w:t>
      </w:r>
    </w:p>
    <w:p w14:paraId="05F9AA62" w14:textId="77777777" w:rsidR="006722CE" w:rsidRDefault="006722CE">
      <w:pPr>
        <w:jc w:val="left"/>
        <w:rPr>
          <w:rFonts w:asciiTheme="minorHAnsi" w:eastAsiaTheme="minorHAnsi" w:hAnsiTheme="minorHAnsi" w:cstheme="minorBidi"/>
          <w:szCs w:val="22"/>
        </w:rPr>
      </w:pPr>
      <w:r>
        <w:br w:type="page"/>
      </w:r>
    </w:p>
    <w:p w14:paraId="2CF8B1FD" w14:textId="2ED94CAB" w:rsidR="00F45E7D" w:rsidRDefault="0087463C">
      <w:pPr>
        <w:pStyle w:val="TableFigureHeading"/>
        <w:keepNext w:val="0"/>
        <w:widowControl w:val="0"/>
        <w:rPr>
          <w:rStyle w:val="CommentReference"/>
          <w:b/>
          <w:szCs w:val="24"/>
        </w:rPr>
      </w:pPr>
      <w:bookmarkStart w:id="62" w:name="_Ref112281188"/>
      <w:r>
        <w:t xml:space="preserve">Table </w:t>
      </w:r>
      <w:r w:rsidR="00D8701A">
        <w:fldChar w:fldCharType="begin"/>
      </w:r>
      <w:r w:rsidR="00D8701A">
        <w:instrText xml:space="preserve"> SEQ Table \* ARABIC </w:instrText>
      </w:r>
      <w:r w:rsidR="00D8701A">
        <w:fldChar w:fldCharType="separate"/>
      </w:r>
      <w:r w:rsidR="00D8701A">
        <w:rPr>
          <w:noProof/>
        </w:rPr>
        <w:t>12</w:t>
      </w:r>
      <w:r w:rsidR="00D8701A">
        <w:fldChar w:fldCharType="end"/>
      </w:r>
      <w:bookmarkEnd w:id="62"/>
      <w:r>
        <w:t xml:space="preserve">: </w:t>
      </w:r>
      <w:r>
        <w:rPr>
          <w:rStyle w:val="CommentReference"/>
          <w:b/>
          <w:szCs w:val="24"/>
        </w:rPr>
        <w:t>Data sources and parameter values applied in the utilisation and financial estimates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71"/>
        <w:gridCol w:w="2835"/>
        <w:gridCol w:w="2552"/>
      </w:tblGrid>
      <w:tr w:rsidR="00F45E7D" w14:paraId="5F06A8A9" w14:textId="77777777">
        <w:trPr>
          <w:tblHeader/>
        </w:trPr>
        <w:tc>
          <w:tcPr>
            <w:tcW w:w="1526" w:type="dxa"/>
            <w:tcMar>
              <w:left w:w="28" w:type="dxa"/>
              <w:right w:w="28" w:type="dxa"/>
            </w:tcMar>
            <w:vAlign w:val="center"/>
          </w:tcPr>
          <w:p w14:paraId="5BD0FFF7" w14:textId="77777777" w:rsidR="00F45E7D" w:rsidRDefault="0087463C">
            <w:pPr>
              <w:pStyle w:val="In-tableHeading"/>
              <w:keepNext w:val="0"/>
              <w:widowControl w:val="0"/>
              <w:jc w:val="center"/>
              <w:rPr>
                <w:lang w:val="en-AU"/>
              </w:rPr>
            </w:pPr>
            <w:r>
              <w:rPr>
                <w:lang w:val="en-AU"/>
              </w:rPr>
              <w:t>Data</w:t>
            </w:r>
          </w:p>
        </w:tc>
        <w:tc>
          <w:tcPr>
            <w:tcW w:w="1871" w:type="dxa"/>
            <w:tcMar>
              <w:left w:w="28" w:type="dxa"/>
              <w:right w:w="28" w:type="dxa"/>
            </w:tcMar>
            <w:vAlign w:val="center"/>
          </w:tcPr>
          <w:p w14:paraId="7BF88463" w14:textId="77777777" w:rsidR="00F45E7D" w:rsidRDefault="0087463C">
            <w:pPr>
              <w:pStyle w:val="In-tableHeading"/>
              <w:keepNext w:val="0"/>
              <w:widowControl w:val="0"/>
              <w:jc w:val="center"/>
              <w:rPr>
                <w:lang w:val="en-AU"/>
              </w:rPr>
            </w:pPr>
            <w:r>
              <w:rPr>
                <w:lang w:val="en-AU"/>
              </w:rPr>
              <w:t>Value</w:t>
            </w:r>
          </w:p>
        </w:tc>
        <w:tc>
          <w:tcPr>
            <w:tcW w:w="2835" w:type="dxa"/>
            <w:tcMar>
              <w:left w:w="28" w:type="dxa"/>
              <w:right w:w="28" w:type="dxa"/>
            </w:tcMar>
            <w:vAlign w:val="center"/>
          </w:tcPr>
          <w:p w14:paraId="07FBCC1E" w14:textId="77777777" w:rsidR="00F45E7D" w:rsidRDefault="0087463C">
            <w:pPr>
              <w:pStyle w:val="In-tableHeading"/>
              <w:keepNext w:val="0"/>
              <w:widowControl w:val="0"/>
              <w:jc w:val="center"/>
              <w:rPr>
                <w:lang w:val="en-AU"/>
              </w:rPr>
            </w:pPr>
            <w:r>
              <w:rPr>
                <w:lang w:val="en-AU"/>
              </w:rPr>
              <w:t>Source</w:t>
            </w:r>
          </w:p>
        </w:tc>
        <w:tc>
          <w:tcPr>
            <w:tcW w:w="2552" w:type="dxa"/>
            <w:tcMar>
              <w:left w:w="28" w:type="dxa"/>
              <w:right w:w="28" w:type="dxa"/>
            </w:tcMar>
            <w:vAlign w:val="center"/>
          </w:tcPr>
          <w:p w14:paraId="61D26201" w14:textId="77777777" w:rsidR="00F45E7D" w:rsidRDefault="0087463C">
            <w:pPr>
              <w:pStyle w:val="In-tableHeading"/>
              <w:keepNext w:val="0"/>
              <w:widowControl w:val="0"/>
              <w:jc w:val="center"/>
              <w:rPr>
                <w:lang w:val="en-AU"/>
              </w:rPr>
            </w:pPr>
            <w:r>
              <w:rPr>
                <w:lang w:val="en-AU"/>
              </w:rPr>
              <w:t>Comment</w:t>
            </w:r>
          </w:p>
        </w:tc>
      </w:tr>
      <w:tr w:rsidR="00F45E7D" w14:paraId="05BDD89B" w14:textId="77777777">
        <w:tc>
          <w:tcPr>
            <w:tcW w:w="8784" w:type="dxa"/>
            <w:gridSpan w:val="4"/>
            <w:tcMar>
              <w:left w:w="28" w:type="dxa"/>
              <w:right w:w="28" w:type="dxa"/>
            </w:tcMar>
            <w:vAlign w:val="center"/>
          </w:tcPr>
          <w:p w14:paraId="1D81559B" w14:textId="77777777" w:rsidR="00F45E7D" w:rsidRDefault="0087463C">
            <w:pPr>
              <w:pStyle w:val="In-tableHeading"/>
              <w:keepNext w:val="0"/>
              <w:widowControl w:val="0"/>
              <w:rPr>
                <w:lang w:val="en-AU"/>
              </w:rPr>
            </w:pPr>
            <w:r>
              <w:rPr>
                <w:lang w:val="en-AU"/>
              </w:rPr>
              <w:t>Eligible population</w:t>
            </w:r>
          </w:p>
        </w:tc>
      </w:tr>
      <w:tr w:rsidR="00F45E7D" w14:paraId="33E23DD5" w14:textId="77777777">
        <w:tc>
          <w:tcPr>
            <w:tcW w:w="1526" w:type="dxa"/>
            <w:tcMar>
              <w:left w:w="28" w:type="dxa"/>
              <w:right w:w="28" w:type="dxa"/>
            </w:tcMar>
            <w:vAlign w:val="center"/>
          </w:tcPr>
          <w:p w14:paraId="5F2B55C0" w14:textId="77777777" w:rsidR="00F45E7D" w:rsidRDefault="0087463C">
            <w:pPr>
              <w:pStyle w:val="TableText0"/>
              <w:keepNext w:val="0"/>
              <w:widowControl w:val="0"/>
            </w:pPr>
            <w:r>
              <w:t>Growth rate</w:t>
            </w:r>
          </w:p>
        </w:tc>
        <w:tc>
          <w:tcPr>
            <w:tcW w:w="1871" w:type="dxa"/>
            <w:tcMar>
              <w:left w:w="28" w:type="dxa"/>
              <w:right w:w="28" w:type="dxa"/>
            </w:tcMar>
            <w:vAlign w:val="center"/>
          </w:tcPr>
          <w:p w14:paraId="1C857D5F" w14:textId="77777777" w:rsidR="00F45E7D" w:rsidRDefault="0087463C">
            <w:pPr>
              <w:pStyle w:val="TableText0"/>
              <w:keepNext w:val="0"/>
              <w:widowControl w:val="0"/>
            </w:pPr>
            <w:r>
              <w:t>Years 1 to 6: 3%</w:t>
            </w:r>
          </w:p>
        </w:tc>
        <w:tc>
          <w:tcPr>
            <w:tcW w:w="2835" w:type="dxa"/>
            <w:tcMar>
              <w:left w:w="28" w:type="dxa"/>
              <w:right w:w="28" w:type="dxa"/>
            </w:tcMar>
            <w:vAlign w:val="center"/>
          </w:tcPr>
          <w:p w14:paraId="48275817" w14:textId="77777777" w:rsidR="00F45E7D" w:rsidRDefault="0087463C">
            <w:pPr>
              <w:pStyle w:val="TableText0"/>
              <w:keepNext w:val="0"/>
              <w:widowControl w:val="0"/>
            </w:pPr>
            <w:r>
              <w:t xml:space="preserve">Australian Institute of Health and Welfare estimate of the growth rate for the incidence of melanoma of 2.9% to 3.7% </w:t>
            </w:r>
          </w:p>
        </w:tc>
        <w:tc>
          <w:tcPr>
            <w:tcW w:w="2552" w:type="dxa"/>
            <w:tcMar>
              <w:left w:w="28" w:type="dxa"/>
              <w:right w:w="28" w:type="dxa"/>
            </w:tcMar>
            <w:vAlign w:val="center"/>
          </w:tcPr>
          <w:p w14:paraId="286B3523" w14:textId="77777777" w:rsidR="00F45E7D" w:rsidRDefault="0087463C">
            <w:pPr>
              <w:pStyle w:val="TableText0"/>
              <w:keepNext w:val="0"/>
              <w:widowControl w:val="0"/>
              <w:rPr>
                <w:iCs/>
              </w:rPr>
            </w:pPr>
            <w:r>
              <w:rPr>
                <w:iCs/>
              </w:rPr>
              <w:t xml:space="preserve">Reasonable; however, no sensitivity analyses were conducted using the AIHW’s estimated range of 2.9% to 3.7%. </w:t>
            </w:r>
          </w:p>
        </w:tc>
      </w:tr>
      <w:tr w:rsidR="00F45E7D" w14:paraId="6224DF75" w14:textId="77777777">
        <w:tc>
          <w:tcPr>
            <w:tcW w:w="1526" w:type="dxa"/>
            <w:tcMar>
              <w:left w:w="28" w:type="dxa"/>
              <w:right w:w="28" w:type="dxa"/>
            </w:tcMar>
            <w:vAlign w:val="center"/>
          </w:tcPr>
          <w:p w14:paraId="096ADE1D" w14:textId="77777777" w:rsidR="00F45E7D" w:rsidRDefault="0087463C">
            <w:pPr>
              <w:pStyle w:val="TableText0"/>
              <w:keepNext w:val="0"/>
              <w:widowControl w:val="0"/>
            </w:pPr>
            <w:r>
              <w:t>Incident patients commencing NIVO + IPI</w:t>
            </w:r>
          </w:p>
        </w:tc>
        <w:tc>
          <w:tcPr>
            <w:tcW w:w="1871" w:type="dxa"/>
            <w:tcMar>
              <w:left w:w="28" w:type="dxa"/>
              <w:right w:w="28" w:type="dxa"/>
            </w:tcMar>
            <w:vAlign w:val="center"/>
          </w:tcPr>
          <w:p w14:paraId="63D7A7D2" w14:textId="4E774019" w:rsidR="00F45E7D" w:rsidRPr="0081723D" w:rsidRDefault="0087463C">
            <w:pPr>
              <w:pStyle w:val="TableText0"/>
              <w:keepNext w:val="0"/>
              <w:widowControl w:val="0"/>
            </w:pPr>
            <w:r>
              <w:t xml:space="preserve">Year 1: </w:t>
            </w:r>
            <w:r w:rsidR="006A317A" w:rsidRPr="006A317A">
              <w:rPr>
                <w:color w:val="000000"/>
                <w:spacing w:val="62"/>
                <w:shd w:val="solid" w:color="000000" w:fill="000000"/>
                <w:fitText w:val="357" w:id="-1304782080"/>
                <w14:textFill>
                  <w14:solidFill>
                    <w14:srgbClr w14:val="000000">
                      <w14:alpha w14:val="100000"/>
                    </w14:srgbClr>
                  </w14:solidFill>
                </w14:textFill>
              </w:rPr>
              <w:t>|||</w:t>
            </w:r>
            <w:r w:rsidR="006A317A" w:rsidRPr="006A317A">
              <w:rPr>
                <w:color w:val="000000"/>
                <w:spacing w:val="1"/>
                <w:shd w:val="solid" w:color="000000" w:fill="000000"/>
                <w:fitText w:val="357" w:id="-1304782080"/>
                <w14:textFill>
                  <w14:solidFill>
                    <w14:srgbClr w14:val="000000">
                      <w14:alpha w14:val="100000"/>
                    </w14:srgbClr>
                  </w14:solidFill>
                </w14:textFill>
              </w:rPr>
              <w:t>|</w:t>
            </w:r>
            <w:r w:rsidR="0081723D">
              <w:rPr>
                <w:vertAlign w:val="superscript"/>
              </w:rPr>
              <w:t>1</w:t>
            </w:r>
          </w:p>
          <w:p w14:paraId="634E0059" w14:textId="6F416B75" w:rsidR="00F45E7D" w:rsidRDefault="0087463C">
            <w:pPr>
              <w:pStyle w:val="TableText0"/>
              <w:keepNext w:val="0"/>
              <w:widowControl w:val="0"/>
            </w:pPr>
            <w:r>
              <w:t xml:space="preserve">Year 2: </w:t>
            </w:r>
            <w:r w:rsidR="006A317A" w:rsidRPr="006A317A">
              <w:rPr>
                <w:color w:val="000000"/>
                <w:spacing w:val="62"/>
                <w:shd w:val="solid" w:color="000000" w:fill="000000"/>
                <w:fitText w:val="357" w:id="-1304782079"/>
                <w14:textFill>
                  <w14:solidFill>
                    <w14:srgbClr w14:val="000000">
                      <w14:alpha w14:val="100000"/>
                    </w14:srgbClr>
                  </w14:solidFill>
                </w14:textFill>
              </w:rPr>
              <w:t>|||</w:t>
            </w:r>
            <w:r w:rsidR="006A317A" w:rsidRPr="006A317A">
              <w:rPr>
                <w:color w:val="000000"/>
                <w:spacing w:val="1"/>
                <w:shd w:val="solid" w:color="000000" w:fill="000000"/>
                <w:fitText w:val="357" w:id="-1304782079"/>
                <w14:textFill>
                  <w14:solidFill>
                    <w14:srgbClr w14:val="000000">
                      <w14:alpha w14:val="100000"/>
                    </w14:srgbClr>
                  </w14:solidFill>
                </w14:textFill>
              </w:rPr>
              <w:t>|</w:t>
            </w:r>
            <w:r w:rsidR="0081723D">
              <w:rPr>
                <w:vertAlign w:val="superscript"/>
              </w:rPr>
              <w:t>1</w:t>
            </w:r>
          </w:p>
          <w:p w14:paraId="42704719" w14:textId="0FE81578" w:rsidR="00F45E7D" w:rsidRDefault="0087463C">
            <w:pPr>
              <w:pStyle w:val="TableText0"/>
              <w:keepNext w:val="0"/>
              <w:widowControl w:val="0"/>
            </w:pPr>
            <w:r>
              <w:t xml:space="preserve">Year 3: </w:t>
            </w:r>
            <w:r w:rsidR="006A317A" w:rsidRPr="006A317A">
              <w:rPr>
                <w:color w:val="000000"/>
                <w:spacing w:val="62"/>
                <w:shd w:val="solid" w:color="000000" w:fill="000000"/>
                <w:fitText w:val="357" w:id="-1304782078"/>
                <w14:textFill>
                  <w14:solidFill>
                    <w14:srgbClr w14:val="000000">
                      <w14:alpha w14:val="100000"/>
                    </w14:srgbClr>
                  </w14:solidFill>
                </w14:textFill>
              </w:rPr>
              <w:t>|||</w:t>
            </w:r>
            <w:r w:rsidR="006A317A" w:rsidRPr="006A317A">
              <w:rPr>
                <w:color w:val="000000"/>
                <w:spacing w:val="1"/>
                <w:shd w:val="solid" w:color="000000" w:fill="000000"/>
                <w:fitText w:val="357" w:id="-1304782078"/>
                <w14:textFill>
                  <w14:solidFill>
                    <w14:srgbClr w14:val="000000">
                      <w14:alpha w14:val="100000"/>
                    </w14:srgbClr>
                  </w14:solidFill>
                </w14:textFill>
              </w:rPr>
              <w:t>|</w:t>
            </w:r>
            <w:r w:rsidR="0081723D">
              <w:rPr>
                <w:vertAlign w:val="superscript"/>
              </w:rPr>
              <w:t>1</w:t>
            </w:r>
          </w:p>
          <w:p w14:paraId="68647215" w14:textId="0D956344" w:rsidR="00F45E7D" w:rsidRDefault="0087463C">
            <w:pPr>
              <w:pStyle w:val="TableText0"/>
              <w:keepNext w:val="0"/>
              <w:widowControl w:val="0"/>
            </w:pPr>
            <w:r>
              <w:t xml:space="preserve">Year 4: </w:t>
            </w:r>
            <w:r w:rsidR="006A317A" w:rsidRPr="006A317A">
              <w:rPr>
                <w:color w:val="000000"/>
                <w:spacing w:val="62"/>
                <w:shd w:val="solid" w:color="000000" w:fill="000000"/>
                <w:fitText w:val="357" w:id="-1304782077"/>
                <w14:textFill>
                  <w14:solidFill>
                    <w14:srgbClr w14:val="000000">
                      <w14:alpha w14:val="100000"/>
                    </w14:srgbClr>
                  </w14:solidFill>
                </w14:textFill>
              </w:rPr>
              <w:t>|||</w:t>
            </w:r>
            <w:r w:rsidR="006A317A" w:rsidRPr="006A317A">
              <w:rPr>
                <w:color w:val="000000"/>
                <w:spacing w:val="1"/>
                <w:shd w:val="solid" w:color="000000" w:fill="000000"/>
                <w:fitText w:val="357" w:id="-1304782077"/>
                <w14:textFill>
                  <w14:solidFill>
                    <w14:srgbClr w14:val="000000">
                      <w14:alpha w14:val="100000"/>
                    </w14:srgbClr>
                  </w14:solidFill>
                </w14:textFill>
              </w:rPr>
              <w:t>|</w:t>
            </w:r>
            <w:r w:rsidR="0081723D">
              <w:rPr>
                <w:vertAlign w:val="superscript"/>
              </w:rPr>
              <w:t>1</w:t>
            </w:r>
          </w:p>
          <w:p w14:paraId="70796DF6" w14:textId="1280B49A" w:rsidR="00F45E7D" w:rsidRDefault="0087463C">
            <w:pPr>
              <w:pStyle w:val="TableText0"/>
              <w:keepNext w:val="0"/>
              <w:widowControl w:val="0"/>
            </w:pPr>
            <w:r>
              <w:t xml:space="preserve">Year 5: </w:t>
            </w:r>
            <w:r w:rsidR="006A317A" w:rsidRPr="006A317A">
              <w:rPr>
                <w:color w:val="000000"/>
                <w:spacing w:val="62"/>
                <w:shd w:val="solid" w:color="000000" w:fill="000000"/>
                <w:fitText w:val="357" w:id="-1304782076"/>
                <w14:textFill>
                  <w14:solidFill>
                    <w14:srgbClr w14:val="000000">
                      <w14:alpha w14:val="100000"/>
                    </w14:srgbClr>
                  </w14:solidFill>
                </w14:textFill>
              </w:rPr>
              <w:t>|||</w:t>
            </w:r>
            <w:r w:rsidR="006A317A" w:rsidRPr="006A317A">
              <w:rPr>
                <w:color w:val="000000"/>
                <w:spacing w:val="1"/>
                <w:shd w:val="solid" w:color="000000" w:fill="000000"/>
                <w:fitText w:val="357" w:id="-1304782076"/>
                <w14:textFill>
                  <w14:solidFill>
                    <w14:srgbClr w14:val="000000">
                      <w14:alpha w14:val="100000"/>
                    </w14:srgbClr>
                  </w14:solidFill>
                </w14:textFill>
              </w:rPr>
              <w:t>|</w:t>
            </w:r>
            <w:r w:rsidR="0081723D">
              <w:rPr>
                <w:vertAlign w:val="superscript"/>
              </w:rPr>
              <w:t>1</w:t>
            </w:r>
          </w:p>
          <w:p w14:paraId="7D7C6A81" w14:textId="7F07969B" w:rsidR="00F45E7D" w:rsidRDefault="0087463C">
            <w:pPr>
              <w:pStyle w:val="TableText0"/>
              <w:keepNext w:val="0"/>
              <w:widowControl w:val="0"/>
            </w:pPr>
            <w:r>
              <w:t xml:space="preserve">Year 6: </w:t>
            </w:r>
            <w:r w:rsidR="006A317A" w:rsidRPr="006A317A">
              <w:rPr>
                <w:color w:val="000000"/>
                <w:spacing w:val="62"/>
                <w:shd w:val="solid" w:color="000000" w:fill="000000"/>
                <w:fitText w:val="357" w:id="-1304782075"/>
                <w14:textFill>
                  <w14:solidFill>
                    <w14:srgbClr w14:val="000000">
                      <w14:alpha w14:val="100000"/>
                    </w14:srgbClr>
                  </w14:solidFill>
                </w14:textFill>
              </w:rPr>
              <w:t>|||</w:t>
            </w:r>
            <w:r w:rsidR="006A317A" w:rsidRPr="006A317A">
              <w:rPr>
                <w:color w:val="000000"/>
                <w:spacing w:val="1"/>
                <w:shd w:val="solid" w:color="000000" w:fill="000000"/>
                <w:fitText w:val="357" w:id="-1304782075"/>
                <w14:textFill>
                  <w14:solidFill>
                    <w14:srgbClr w14:val="000000">
                      <w14:alpha w14:val="100000"/>
                    </w14:srgbClr>
                  </w14:solidFill>
                </w14:textFill>
              </w:rPr>
              <w:t>|</w:t>
            </w:r>
            <w:r w:rsidR="0081723D">
              <w:rPr>
                <w:vertAlign w:val="superscript"/>
              </w:rPr>
              <w:t>1</w:t>
            </w:r>
          </w:p>
        </w:tc>
        <w:tc>
          <w:tcPr>
            <w:tcW w:w="2835" w:type="dxa"/>
            <w:tcMar>
              <w:left w:w="28" w:type="dxa"/>
              <w:right w:w="28" w:type="dxa"/>
            </w:tcMar>
            <w:vAlign w:val="center"/>
          </w:tcPr>
          <w:p w14:paraId="290EC5AF" w14:textId="6282935A" w:rsidR="00F45E7D" w:rsidRDefault="0087463C">
            <w:pPr>
              <w:pStyle w:val="TableText0"/>
              <w:keepNext w:val="0"/>
              <w:widowControl w:val="0"/>
            </w:pPr>
            <w:r>
              <w:t xml:space="preserve">OMCP enrolment from the Sponsor, estimated </w:t>
            </w:r>
            <w:r w:rsidR="006A317A" w:rsidRPr="006A317A">
              <w:rPr>
                <w:color w:val="000000"/>
                <w:spacing w:val="62"/>
                <w:shd w:val="solid" w:color="000000" w:fill="000000"/>
                <w:fitText w:val="358" w:id="-1304782074"/>
                <w14:textFill>
                  <w14:solidFill>
                    <w14:srgbClr w14:val="000000">
                      <w14:alpha w14:val="100000"/>
                    </w14:srgbClr>
                  </w14:solidFill>
                </w14:textFill>
              </w:rPr>
              <w:t>|||</w:t>
            </w:r>
            <w:r w:rsidR="006A317A" w:rsidRPr="006A317A">
              <w:rPr>
                <w:color w:val="000000"/>
                <w:spacing w:val="2"/>
                <w:shd w:val="solid" w:color="000000" w:fill="000000"/>
                <w:fitText w:val="358" w:id="-1304782074"/>
                <w14:textFill>
                  <w14:solidFill>
                    <w14:srgbClr w14:val="000000">
                      <w14:alpha w14:val="100000"/>
                    </w14:srgbClr>
                  </w14:solidFill>
                </w14:textFill>
              </w:rPr>
              <w:t>|</w:t>
            </w:r>
            <w:r w:rsidR="00E74AAB">
              <w:rPr>
                <w:vertAlign w:val="superscript"/>
              </w:rPr>
              <w:t>1</w:t>
            </w:r>
            <w:r w:rsidRPr="00E74AAB">
              <w:t xml:space="preserve"> patients per month (on average) in 2022 (total of </w:t>
            </w:r>
            <w:r w:rsidR="006A317A" w:rsidRPr="006A317A">
              <w:rPr>
                <w:color w:val="000000"/>
                <w:spacing w:val="62"/>
                <w:shd w:val="solid" w:color="000000" w:fill="000000"/>
                <w:fitText w:val="357" w:id="-1304782073"/>
                <w14:textFill>
                  <w14:solidFill>
                    <w14:srgbClr w14:val="000000">
                      <w14:alpha w14:val="100000"/>
                    </w14:srgbClr>
                  </w14:solidFill>
                </w14:textFill>
              </w:rPr>
              <w:t>|||</w:t>
            </w:r>
            <w:r w:rsidR="006A317A" w:rsidRPr="006A317A">
              <w:rPr>
                <w:color w:val="000000"/>
                <w:spacing w:val="1"/>
                <w:shd w:val="solid" w:color="000000" w:fill="000000"/>
                <w:fitText w:val="357" w:id="-1304782073"/>
                <w14:textFill>
                  <w14:solidFill>
                    <w14:srgbClr w14:val="000000">
                      <w14:alpha w14:val="100000"/>
                    </w14:srgbClr>
                  </w14:solidFill>
                </w14:textFill>
              </w:rPr>
              <w:t>|</w:t>
            </w:r>
            <w:r w:rsidR="00E74AAB">
              <w:rPr>
                <w:vertAlign w:val="superscript"/>
              </w:rPr>
              <w:t>1</w:t>
            </w:r>
            <w:r w:rsidRPr="00E74AAB">
              <w:t xml:space="preserve"> patients per annum). 3% growth rate for Year 1 was added (total of </w:t>
            </w:r>
            <w:r w:rsidR="006A317A" w:rsidRPr="006A317A">
              <w:rPr>
                <w:color w:val="000000"/>
                <w:spacing w:val="62"/>
                <w:shd w:val="solid" w:color="000000" w:fill="000000"/>
                <w:fitText w:val="358" w:id="-1304782072"/>
                <w14:textFill>
                  <w14:solidFill>
                    <w14:srgbClr w14:val="000000">
                      <w14:alpha w14:val="100000"/>
                    </w14:srgbClr>
                  </w14:solidFill>
                </w14:textFill>
              </w:rPr>
              <w:t>|||</w:t>
            </w:r>
            <w:r w:rsidR="006A317A" w:rsidRPr="006A317A">
              <w:rPr>
                <w:color w:val="000000"/>
                <w:spacing w:val="2"/>
                <w:shd w:val="solid" w:color="000000" w:fill="000000"/>
                <w:fitText w:val="358" w:id="-1304782072"/>
                <w14:textFill>
                  <w14:solidFill>
                    <w14:srgbClr w14:val="000000">
                      <w14:alpha w14:val="100000"/>
                    </w14:srgbClr>
                  </w14:solidFill>
                </w14:textFill>
              </w:rPr>
              <w:t>|</w:t>
            </w:r>
            <w:r w:rsidR="00E74AAB">
              <w:rPr>
                <w:vertAlign w:val="superscript"/>
              </w:rPr>
              <w:t>1</w:t>
            </w:r>
            <w:r w:rsidRPr="00E74AAB">
              <w:t xml:space="preserve"> patients plus </w:t>
            </w:r>
            <w:r w:rsidR="006A317A" w:rsidRPr="006A317A">
              <w:rPr>
                <w:color w:val="000000"/>
                <w:spacing w:val="62"/>
                <w:shd w:val="solid" w:color="000000" w:fill="000000"/>
                <w:fitText w:val="357" w:id="-1304782071"/>
                <w14:textFill>
                  <w14:solidFill>
                    <w14:srgbClr w14:val="000000">
                      <w14:alpha w14:val="100000"/>
                    </w14:srgbClr>
                  </w14:solidFill>
                </w14:textFill>
              </w:rPr>
              <w:t>|||</w:t>
            </w:r>
            <w:r w:rsidR="006A317A" w:rsidRPr="006A317A">
              <w:rPr>
                <w:color w:val="000000"/>
                <w:spacing w:val="1"/>
                <w:shd w:val="solid" w:color="000000" w:fill="000000"/>
                <w:fitText w:val="357" w:id="-1304782071"/>
                <w14:textFill>
                  <w14:solidFill>
                    <w14:srgbClr w14:val="000000">
                      <w14:alpha w14:val="100000"/>
                    </w14:srgbClr>
                  </w14:solidFill>
                </w14:textFill>
              </w:rPr>
              <w:t>|</w:t>
            </w:r>
            <w:r w:rsidR="00E74AAB">
              <w:rPr>
                <w:vertAlign w:val="superscript"/>
              </w:rPr>
              <w:t>1</w:t>
            </w:r>
            <w:r w:rsidRPr="00E74AAB">
              <w:t xml:space="preserve"> grandfathered patients</w:t>
            </w:r>
            <w:r>
              <w:t>).</w:t>
            </w:r>
          </w:p>
        </w:tc>
        <w:tc>
          <w:tcPr>
            <w:tcW w:w="2552" w:type="dxa"/>
            <w:tcMar>
              <w:left w:w="28" w:type="dxa"/>
              <w:right w:w="28" w:type="dxa"/>
            </w:tcMar>
            <w:vAlign w:val="center"/>
          </w:tcPr>
          <w:p w14:paraId="36C296ED" w14:textId="77777777" w:rsidR="00F45E7D" w:rsidRDefault="0087463C">
            <w:pPr>
              <w:pStyle w:val="TableText0"/>
              <w:keepNext w:val="0"/>
              <w:widowControl w:val="0"/>
              <w:rPr>
                <w:iCs/>
              </w:rPr>
            </w:pPr>
            <w:r>
              <w:rPr>
                <w:iCs/>
              </w:rPr>
              <w:t>May underestimate the number of patients who would receive NIVO + IPI on the PBS.</w:t>
            </w:r>
          </w:p>
        </w:tc>
      </w:tr>
      <w:tr w:rsidR="00F45E7D" w14:paraId="2222DD2D" w14:textId="77777777">
        <w:tc>
          <w:tcPr>
            <w:tcW w:w="8784" w:type="dxa"/>
            <w:gridSpan w:val="4"/>
            <w:tcMar>
              <w:left w:w="28" w:type="dxa"/>
              <w:right w:w="28" w:type="dxa"/>
            </w:tcMar>
            <w:vAlign w:val="center"/>
          </w:tcPr>
          <w:p w14:paraId="3B9D71C8" w14:textId="77777777" w:rsidR="00F45E7D" w:rsidRDefault="0087463C">
            <w:pPr>
              <w:pStyle w:val="TableText0"/>
              <w:keepNext w:val="0"/>
              <w:widowControl w:val="0"/>
              <w:rPr>
                <w:b/>
              </w:rPr>
            </w:pPr>
            <w:r>
              <w:rPr>
                <w:b/>
              </w:rPr>
              <w:t>Treatment utilisation</w:t>
            </w:r>
          </w:p>
        </w:tc>
      </w:tr>
      <w:tr w:rsidR="00F45E7D" w14:paraId="12CCD8F2" w14:textId="77777777">
        <w:tc>
          <w:tcPr>
            <w:tcW w:w="1526" w:type="dxa"/>
            <w:tcMar>
              <w:left w:w="28" w:type="dxa"/>
              <w:right w:w="28" w:type="dxa"/>
            </w:tcMar>
            <w:vAlign w:val="center"/>
          </w:tcPr>
          <w:p w14:paraId="2E8BC0D2" w14:textId="77777777" w:rsidR="00F45E7D" w:rsidRDefault="0087463C">
            <w:pPr>
              <w:pStyle w:val="TableText0"/>
              <w:keepNext w:val="0"/>
              <w:widowControl w:val="0"/>
            </w:pPr>
            <w:r>
              <w:t>Scripts dispensed</w:t>
            </w:r>
          </w:p>
        </w:tc>
        <w:tc>
          <w:tcPr>
            <w:tcW w:w="1871" w:type="dxa"/>
            <w:tcMar>
              <w:left w:w="28" w:type="dxa"/>
              <w:right w:w="28" w:type="dxa"/>
            </w:tcMar>
            <w:vAlign w:val="center"/>
          </w:tcPr>
          <w:p w14:paraId="4270F7FA" w14:textId="523F6DEC" w:rsidR="00F45E7D" w:rsidRDefault="0087463C">
            <w:pPr>
              <w:pStyle w:val="TableText0"/>
              <w:keepNext w:val="0"/>
              <w:widowControl w:val="0"/>
            </w:pPr>
            <w:r>
              <w:t xml:space="preserve">Year 1: </w:t>
            </w:r>
            <w:r w:rsidR="006A317A" w:rsidRPr="006A317A">
              <w:rPr>
                <w:color w:val="000000"/>
                <w:spacing w:val="62"/>
                <w:shd w:val="solid" w:color="000000" w:fill="000000"/>
                <w:fitText w:val="357" w:id="-1304782070"/>
                <w14:textFill>
                  <w14:solidFill>
                    <w14:srgbClr w14:val="000000">
                      <w14:alpha w14:val="100000"/>
                    </w14:srgbClr>
                  </w14:solidFill>
                </w14:textFill>
              </w:rPr>
              <w:t>|||</w:t>
            </w:r>
            <w:r w:rsidR="006A317A" w:rsidRPr="006A317A">
              <w:rPr>
                <w:color w:val="000000"/>
                <w:spacing w:val="1"/>
                <w:shd w:val="solid" w:color="000000" w:fill="000000"/>
                <w:fitText w:val="357" w:id="-1304782070"/>
                <w14:textFill>
                  <w14:solidFill>
                    <w14:srgbClr w14:val="000000">
                      <w14:alpha w14:val="100000"/>
                    </w14:srgbClr>
                  </w14:solidFill>
                </w14:textFill>
              </w:rPr>
              <w:t>|</w:t>
            </w:r>
            <w:r w:rsidR="0081723D">
              <w:rPr>
                <w:vertAlign w:val="superscript"/>
              </w:rPr>
              <w:t>2</w:t>
            </w:r>
          </w:p>
          <w:p w14:paraId="02E61ACD" w14:textId="615C52F1" w:rsidR="00F45E7D" w:rsidRDefault="0087463C">
            <w:pPr>
              <w:pStyle w:val="TableText0"/>
              <w:keepNext w:val="0"/>
              <w:widowControl w:val="0"/>
            </w:pPr>
            <w:r>
              <w:t xml:space="preserve">Year 2: </w:t>
            </w:r>
            <w:r w:rsidR="006A317A" w:rsidRPr="006A317A">
              <w:rPr>
                <w:color w:val="000000"/>
                <w:spacing w:val="62"/>
                <w:shd w:val="solid" w:color="000000" w:fill="000000"/>
                <w:fitText w:val="357" w:id="-1304782069"/>
                <w14:textFill>
                  <w14:solidFill>
                    <w14:srgbClr w14:val="000000">
                      <w14:alpha w14:val="100000"/>
                    </w14:srgbClr>
                  </w14:solidFill>
                </w14:textFill>
              </w:rPr>
              <w:t>|||</w:t>
            </w:r>
            <w:r w:rsidR="006A317A" w:rsidRPr="006A317A">
              <w:rPr>
                <w:color w:val="000000"/>
                <w:spacing w:val="1"/>
                <w:shd w:val="solid" w:color="000000" w:fill="000000"/>
                <w:fitText w:val="357" w:id="-1304782069"/>
                <w14:textFill>
                  <w14:solidFill>
                    <w14:srgbClr w14:val="000000">
                      <w14:alpha w14:val="100000"/>
                    </w14:srgbClr>
                  </w14:solidFill>
                </w14:textFill>
              </w:rPr>
              <w:t>|</w:t>
            </w:r>
            <w:r w:rsidR="0081723D">
              <w:rPr>
                <w:vertAlign w:val="superscript"/>
              </w:rPr>
              <w:t>2</w:t>
            </w:r>
          </w:p>
          <w:p w14:paraId="509EC9F1" w14:textId="6F30BD06" w:rsidR="00F45E7D" w:rsidRDefault="0087463C">
            <w:pPr>
              <w:pStyle w:val="TableText0"/>
              <w:keepNext w:val="0"/>
              <w:widowControl w:val="0"/>
            </w:pPr>
            <w:r>
              <w:t xml:space="preserve">Year 3: </w:t>
            </w:r>
            <w:r w:rsidR="006A317A" w:rsidRPr="006A317A">
              <w:rPr>
                <w:color w:val="000000"/>
                <w:spacing w:val="62"/>
                <w:shd w:val="solid" w:color="000000" w:fill="000000"/>
                <w:fitText w:val="357" w:id="-1304782068"/>
                <w14:textFill>
                  <w14:solidFill>
                    <w14:srgbClr w14:val="000000">
                      <w14:alpha w14:val="100000"/>
                    </w14:srgbClr>
                  </w14:solidFill>
                </w14:textFill>
              </w:rPr>
              <w:t>|||</w:t>
            </w:r>
            <w:r w:rsidR="006A317A" w:rsidRPr="006A317A">
              <w:rPr>
                <w:color w:val="000000"/>
                <w:spacing w:val="1"/>
                <w:shd w:val="solid" w:color="000000" w:fill="000000"/>
                <w:fitText w:val="357" w:id="-1304782068"/>
                <w14:textFill>
                  <w14:solidFill>
                    <w14:srgbClr w14:val="000000">
                      <w14:alpha w14:val="100000"/>
                    </w14:srgbClr>
                  </w14:solidFill>
                </w14:textFill>
              </w:rPr>
              <w:t>|</w:t>
            </w:r>
            <w:r w:rsidR="0081723D">
              <w:rPr>
                <w:vertAlign w:val="superscript"/>
              </w:rPr>
              <w:t>2</w:t>
            </w:r>
          </w:p>
          <w:p w14:paraId="76B6077B" w14:textId="00C76ADA" w:rsidR="00F45E7D" w:rsidRDefault="0087463C">
            <w:pPr>
              <w:pStyle w:val="TableText0"/>
              <w:keepNext w:val="0"/>
              <w:widowControl w:val="0"/>
            </w:pPr>
            <w:r>
              <w:t xml:space="preserve">Year 4: </w:t>
            </w:r>
            <w:r w:rsidR="006A317A" w:rsidRPr="006A317A">
              <w:rPr>
                <w:color w:val="000000"/>
                <w:spacing w:val="62"/>
                <w:shd w:val="solid" w:color="000000" w:fill="000000"/>
                <w:fitText w:val="357" w:id="-1304782067"/>
                <w14:textFill>
                  <w14:solidFill>
                    <w14:srgbClr w14:val="000000">
                      <w14:alpha w14:val="100000"/>
                    </w14:srgbClr>
                  </w14:solidFill>
                </w14:textFill>
              </w:rPr>
              <w:t>|||</w:t>
            </w:r>
            <w:r w:rsidR="006A317A" w:rsidRPr="006A317A">
              <w:rPr>
                <w:color w:val="000000"/>
                <w:spacing w:val="1"/>
                <w:shd w:val="solid" w:color="000000" w:fill="000000"/>
                <w:fitText w:val="357" w:id="-1304782067"/>
                <w14:textFill>
                  <w14:solidFill>
                    <w14:srgbClr w14:val="000000">
                      <w14:alpha w14:val="100000"/>
                    </w14:srgbClr>
                  </w14:solidFill>
                </w14:textFill>
              </w:rPr>
              <w:t>|</w:t>
            </w:r>
            <w:r w:rsidR="0081723D">
              <w:rPr>
                <w:vertAlign w:val="superscript"/>
              </w:rPr>
              <w:t>2</w:t>
            </w:r>
          </w:p>
          <w:p w14:paraId="4049DDDD" w14:textId="5907031D" w:rsidR="00F45E7D" w:rsidRDefault="0087463C">
            <w:pPr>
              <w:pStyle w:val="TableText0"/>
              <w:keepNext w:val="0"/>
              <w:widowControl w:val="0"/>
            </w:pPr>
            <w:r>
              <w:t xml:space="preserve">Year 5: </w:t>
            </w:r>
            <w:r w:rsidR="006A317A" w:rsidRPr="006A317A">
              <w:rPr>
                <w:color w:val="000000"/>
                <w:spacing w:val="62"/>
                <w:shd w:val="solid" w:color="000000" w:fill="000000"/>
                <w:fitText w:val="357" w:id="-1304782066"/>
                <w14:textFill>
                  <w14:solidFill>
                    <w14:srgbClr w14:val="000000">
                      <w14:alpha w14:val="100000"/>
                    </w14:srgbClr>
                  </w14:solidFill>
                </w14:textFill>
              </w:rPr>
              <w:t>|||</w:t>
            </w:r>
            <w:r w:rsidR="006A317A" w:rsidRPr="006A317A">
              <w:rPr>
                <w:color w:val="000000"/>
                <w:spacing w:val="1"/>
                <w:shd w:val="solid" w:color="000000" w:fill="000000"/>
                <w:fitText w:val="357" w:id="-1304782066"/>
                <w14:textFill>
                  <w14:solidFill>
                    <w14:srgbClr w14:val="000000">
                      <w14:alpha w14:val="100000"/>
                    </w14:srgbClr>
                  </w14:solidFill>
                </w14:textFill>
              </w:rPr>
              <w:t>|</w:t>
            </w:r>
            <w:r w:rsidR="0081723D">
              <w:rPr>
                <w:vertAlign w:val="superscript"/>
              </w:rPr>
              <w:t>2</w:t>
            </w:r>
          </w:p>
          <w:p w14:paraId="6CD13B94" w14:textId="68ED9F86" w:rsidR="00F45E7D" w:rsidRDefault="0087463C">
            <w:pPr>
              <w:pStyle w:val="TableText0"/>
              <w:keepNext w:val="0"/>
              <w:widowControl w:val="0"/>
            </w:pPr>
            <w:r>
              <w:t xml:space="preserve">Year 6: </w:t>
            </w:r>
            <w:r w:rsidR="006A317A" w:rsidRPr="006A317A">
              <w:rPr>
                <w:color w:val="000000"/>
                <w:spacing w:val="62"/>
                <w:shd w:val="solid" w:color="000000" w:fill="000000"/>
                <w:fitText w:val="357" w:id="-1304782065"/>
                <w14:textFill>
                  <w14:solidFill>
                    <w14:srgbClr w14:val="000000">
                      <w14:alpha w14:val="100000"/>
                    </w14:srgbClr>
                  </w14:solidFill>
                </w14:textFill>
              </w:rPr>
              <w:t>|||</w:t>
            </w:r>
            <w:r w:rsidR="006A317A" w:rsidRPr="006A317A">
              <w:rPr>
                <w:color w:val="000000"/>
                <w:spacing w:val="1"/>
                <w:shd w:val="solid" w:color="000000" w:fill="000000"/>
                <w:fitText w:val="357" w:id="-1304782065"/>
                <w14:textFill>
                  <w14:solidFill>
                    <w14:srgbClr w14:val="000000">
                      <w14:alpha w14:val="100000"/>
                    </w14:srgbClr>
                  </w14:solidFill>
                </w14:textFill>
              </w:rPr>
              <w:t>|</w:t>
            </w:r>
            <w:r w:rsidR="0081723D">
              <w:rPr>
                <w:vertAlign w:val="superscript"/>
              </w:rPr>
              <w:t>2</w:t>
            </w:r>
          </w:p>
        </w:tc>
        <w:tc>
          <w:tcPr>
            <w:tcW w:w="2835" w:type="dxa"/>
            <w:tcMar>
              <w:left w:w="28" w:type="dxa"/>
              <w:right w:w="28" w:type="dxa"/>
            </w:tcMar>
            <w:vAlign w:val="center"/>
          </w:tcPr>
          <w:p w14:paraId="31E783DE" w14:textId="77777777" w:rsidR="00F45E7D" w:rsidRPr="006A317A" w:rsidRDefault="0087463C">
            <w:pPr>
              <w:pStyle w:val="TableText0"/>
              <w:keepNext w:val="0"/>
              <w:widowControl w:val="0"/>
            </w:pPr>
            <w:r>
              <w:t xml:space="preserve">Induction doses: </w:t>
            </w:r>
            <w:r w:rsidRPr="006A317A">
              <w:t>3 doses of NIVO 1mg/kg, every 21 days</w:t>
            </w:r>
          </w:p>
          <w:p w14:paraId="19BAB318" w14:textId="77777777" w:rsidR="00F45E7D" w:rsidRPr="006A317A" w:rsidRDefault="0087463C">
            <w:pPr>
              <w:pStyle w:val="TableText0"/>
              <w:keepNext w:val="0"/>
              <w:widowControl w:val="0"/>
            </w:pPr>
            <w:r w:rsidRPr="006A317A">
              <w:t>Maintenance doses: 3 doses of NIVO 480mg, every 28 days.</w:t>
            </w:r>
          </w:p>
          <w:p w14:paraId="2A755239" w14:textId="77777777" w:rsidR="00F45E7D" w:rsidRPr="006A317A" w:rsidRDefault="00F45E7D">
            <w:pPr>
              <w:pStyle w:val="TableText0"/>
              <w:keepNext w:val="0"/>
              <w:widowControl w:val="0"/>
            </w:pPr>
          </w:p>
          <w:p w14:paraId="71E01884" w14:textId="77777777" w:rsidR="00F45E7D" w:rsidRDefault="0087463C">
            <w:pPr>
              <w:pStyle w:val="TableText0"/>
              <w:keepNext w:val="0"/>
              <w:widowControl w:val="0"/>
            </w:pPr>
            <w:r w:rsidRPr="006A317A">
              <w:t>Based on the 6-month</w:t>
            </w:r>
            <w:r>
              <w:t xml:space="preserve"> average of doses received per patient within the OMCP. </w:t>
            </w:r>
          </w:p>
        </w:tc>
        <w:tc>
          <w:tcPr>
            <w:tcW w:w="2552" w:type="dxa"/>
            <w:tcMar>
              <w:left w:w="28" w:type="dxa"/>
              <w:right w:w="28" w:type="dxa"/>
            </w:tcMar>
            <w:vAlign w:val="center"/>
          </w:tcPr>
          <w:p w14:paraId="3D19688E" w14:textId="77777777" w:rsidR="00F45E7D" w:rsidRDefault="0087463C">
            <w:pPr>
              <w:pStyle w:val="TableText0"/>
              <w:keepNext w:val="0"/>
              <w:widowControl w:val="0"/>
              <w:rPr>
                <w:iCs/>
              </w:rPr>
            </w:pPr>
            <w:r>
              <w:rPr>
                <w:iCs/>
              </w:rPr>
              <w:t xml:space="preserve">Use of OMCP data was reasonable. </w:t>
            </w:r>
          </w:p>
        </w:tc>
      </w:tr>
      <w:tr w:rsidR="00F45E7D" w14:paraId="65DD4C82" w14:textId="77777777">
        <w:tc>
          <w:tcPr>
            <w:tcW w:w="8784" w:type="dxa"/>
            <w:gridSpan w:val="4"/>
            <w:tcMar>
              <w:left w:w="28" w:type="dxa"/>
              <w:right w:w="28" w:type="dxa"/>
            </w:tcMar>
            <w:vAlign w:val="center"/>
          </w:tcPr>
          <w:p w14:paraId="57AB68B8" w14:textId="77777777" w:rsidR="00F45E7D" w:rsidRDefault="0087463C">
            <w:pPr>
              <w:pStyle w:val="TableText0"/>
              <w:keepNext w:val="0"/>
              <w:widowControl w:val="0"/>
              <w:rPr>
                <w:b/>
              </w:rPr>
            </w:pPr>
            <w:r>
              <w:rPr>
                <w:b/>
              </w:rPr>
              <w:t>Costs</w:t>
            </w:r>
          </w:p>
        </w:tc>
      </w:tr>
      <w:tr w:rsidR="00F45E7D" w14:paraId="1AF125AE" w14:textId="77777777">
        <w:tc>
          <w:tcPr>
            <w:tcW w:w="1526" w:type="dxa"/>
            <w:tcMar>
              <w:left w:w="28" w:type="dxa"/>
              <w:right w:w="28" w:type="dxa"/>
            </w:tcMar>
            <w:vAlign w:val="center"/>
          </w:tcPr>
          <w:p w14:paraId="75CD061E" w14:textId="261A536F" w:rsidR="00F45E7D" w:rsidRDefault="0087463C">
            <w:pPr>
              <w:pStyle w:val="TableText0"/>
              <w:keepNext w:val="0"/>
              <w:widowControl w:val="0"/>
            </w:pPr>
            <w:r>
              <w:t xml:space="preserve">NIVO </w:t>
            </w:r>
            <w:r w:rsidR="00A82443">
              <w:t>induction</w:t>
            </w:r>
          </w:p>
        </w:tc>
        <w:tc>
          <w:tcPr>
            <w:tcW w:w="1871" w:type="dxa"/>
            <w:tcMar>
              <w:left w:w="28" w:type="dxa"/>
              <w:right w:w="28" w:type="dxa"/>
            </w:tcMar>
            <w:vAlign w:val="center"/>
          </w:tcPr>
          <w:p w14:paraId="5570A682" w14:textId="77777777" w:rsidR="00F45E7D" w:rsidRDefault="0087463C">
            <w:pPr>
              <w:pStyle w:val="TableText0"/>
              <w:keepNext w:val="0"/>
              <w:widowControl w:val="0"/>
            </w:pPr>
            <w:r>
              <w:t>DPMA (Effective):</w:t>
            </w:r>
          </w:p>
          <w:p w14:paraId="5DB09B92" w14:textId="4B9F9D55" w:rsidR="00F45E7D" w:rsidRDefault="0087463C">
            <w:pPr>
              <w:pStyle w:val="TableText0"/>
              <w:keepNext w:val="0"/>
              <w:widowControl w:val="0"/>
            </w:pPr>
            <w:r>
              <w:t>Public: $</w:t>
            </w:r>
            <w:r w:rsidR="006A317A" w:rsidRPr="006A317A">
              <w:rPr>
                <w:color w:val="000000"/>
                <w:spacing w:val="62"/>
                <w:shd w:val="solid" w:color="000000" w:fill="000000"/>
                <w:fitText w:val="357" w:id="-1304782064"/>
                <w14:textFill>
                  <w14:solidFill>
                    <w14:srgbClr w14:val="000000">
                      <w14:alpha w14:val="100000"/>
                    </w14:srgbClr>
                  </w14:solidFill>
                </w14:textFill>
              </w:rPr>
              <w:t>|||</w:t>
            </w:r>
            <w:r w:rsidR="006A317A" w:rsidRPr="006A317A">
              <w:rPr>
                <w:color w:val="000000"/>
                <w:spacing w:val="1"/>
                <w:shd w:val="solid" w:color="000000" w:fill="000000"/>
                <w:fitText w:val="357" w:id="-1304782064"/>
                <w14:textFill>
                  <w14:solidFill>
                    <w14:srgbClr w14:val="000000">
                      <w14:alpha w14:val="100000"/>
                    </w14:srgbClr>
                  </w14:solidFill>
                </w14:textFill>
              </w:rPr>
              <w:t>|</w:t>
            </w:r>
          </w:p>
          <w:p w14:paraId="5B4D21C7" w14:textId="02337DF8" w:rsidR="00F45E7D" w:rsidRDefault="0087463C">
            <w:pPr>
              <w:pStyle w:val="TableText0"/>
              <w:keepNext w:val="0"/>
              <w:widowControl w:val="0"/>
            </w:pPr>
            <w:r>
              <w:t>Private: $</w:t>
            </w:r>
            <w:r w:rsidR="006A317A" w:rsidRPr="006A317A">
              <w:rPr>
                <w:color w:val="000000"/>
                <w:spacing w:val="65"/>
                <w:shd w:val="solid" w:color="000000" w:fill="000000"/>
                <w:fitText w:val="368" w:id="-1304782080"/>
                <w14:textFill>
                  <w14:solidFill>
                    <w14:srgbClr w14:val="000000">
                      <w14:alpha w14:val="100000"/>
                    </w14:srgbClr>
                  </w14:solidFill>
                </w14:textFill>
              </w:rPr>
              <w:t>|||</w:t>
            </w:r>
            <w:r w:rsidR="006A317A" w:rsidRPr="006A317A">
              <w:rPr>
                <w:color w:val="000000"/>
                <w:spacing w:val="3"/>
                <w:shd w:val="solid" w:color="000000" w:fill="000000"/>
                <w:fitText w:val="368" w:id="-1304782080"/>
                <w14:textFill>
                  <w14:solidFill>
                    <w14:srgbClr w14:val="000000">
                      <w14:alpha w14:val="100000"/>
                    </w14:srgbClr>
                  </w14:solidFill>
                </w14:textFill>
              </w:rPr>
              <w:t>|</w:t>
            </w:r>
          </w:p>
        </w:tc>
        <w:tc>
          <w:tcPr>
            <w:tcW w:w="2835" w:type="dxa"/>
            <w:tcMar>
              <w:left w:w="28" w:type="dxa"/>
              <w:right w:w="28" w:type="dxa"/>
            </w:tcMar>
            <w:vAlign w:val="center"/>
          </w:tcPr>
          <w:p w14:paraId="3915C528" w14:textId="77777777" w:rsidR="00F45E7D" w:rsidRDefault="0087463C">
            <w:pPr>
              <w:pStyle w:val="TableText0"/>
              <w:keepNext w:val="0"/>
              <w:widowControl w:val="0"/>
            </w:pPr>
            <w:r>
              <w:t>Requested price</w:t>
            </w:r>
          </w:p>
        </w:tc>
        <w:tc>
          <w:tcPr>
            <w:tcW w:w="2552" w:type="dxa"/>
            <w:tcMar>
              <w:left w:w="28" w:type="dxa"/>
              <w:right w:w="28" w:type="dxa"/>
            </w:tcMar>
            <w:vAlign w:val="center"/>
          </w:tcPr>
          <w:p w14:paraId="13395EA9" w14:textId="77777777" w:rsidR="00F45E7D" w:rsidRDefault="0087463C">
            <w:pPr>
              <w:pStyle w:val="TableText0"/>
              <w:keepNext w:val="0"/>
              <w:widowControl w:val="0"/>
              <w:rPr>
                <w:iCs/>
              </w:rPr>
            </w:pPr>
            <w:r>
              <w:rPr>
                <w:iCs/>
              </w:rPr>
              <w:t>-</w:t>
            </w:r>
          </w:p>
        </w:tc>
      </w:tr>
      <w:tr w:rsidR="00F45E7D" w14:paraId="6B773DF8" w14:textId="77777777">
        <w:tc>
          <w:tcPr>
            <w:tcW w:w="1526" w:type="dxa"/>
            <w:tcMar>
              <w:left w:w="28" w:type="dxa"/>
              <w:right w:w="28" w:type="dxa"/>
            </w:tcMar>
            <w:vAlign w:val="center"/>
          </w:tcPr>
          <w:p w14:paraId="303F451A" w14:textId="17C5358E" w:rsidR="00F45E7D" w:rsidRDefault="0087463C">
            <w:pPr>
              <w:pStyle w:val="TableText0"/>
              <w:keepNext w:val="0"/>
              <w:widowControl w:val="0"/>
            </w:pPr>
            <w:r>
              <w:t xml:space="preserve">NIVO </w:t>
            </w:r>
            <w:r w:rsidR="00A82443">
              <w:t>maintenance</w:t>
            </w:r>
          </w:p>
        </w:tc>
        <w:tc>
          <w:tcPr>
            <w:tcW w:w="1871" w:type="dxa"/>
            <w:tcMar>
              <w:left w:w="28" w:type="dxa"/>
              <w:right w:w="28" w:type="dxa"/>
            </w:tcMar>
            <w:vAlign w:val="center"/>
          </w:tcPr>
          <w:p w14:paraId="064AB577" w14:textId="77777777" w:rsidR="00F45E7D" w:rsidRDefault="0087463C">
            <w:pPr>
              <w:pStyle w:val="TableText0"/>
              <w:keepNext w:val="0"/>
              <w:widowControl w:val="0"/>
            </w:pPr>
            <w:r>
              <w:t>DPMA (Effective):</w:t>
            </w:r>
          </w:p>
          <w:p w14:paraId="7B20407D" w14:textId="1DFB35CB" w:rsidR="00F45E7D" w:rsidRDefault="0087463C">
            <w:pPr>
              <w:pStyle w:val="TableText0"/>
              <w:keepNext w:val="0"/>
              <w:widowControl w:val="0"/>
            </w:pPr>
            <w:r>
              <w:t>Public: $</w:t>
            </w:r>
            <w:r w:rsidR="006A317A" w:rsidRPr="006A317A">
              <w:rPr>
                <w:color w:val="000000"/>
                <w:spacing w:val="62"/>
                <w:shd w:val="solid" w:color="000000" w:fill="000000"/>
                <w:fitText w:val="357" w:id="-1304782079"/>
                <w14:textFill>
                  <w14:solidFill>
                    <w14:srgbClr w14:val="000000">
                      <w14:alpha w14:val="100000"/>
                    </w14:srgbClr>
                  </w14:solidFill>
                </w14:textFill>
              </w:rPr>
              <w:t>|||</w:t>
            </w:r>
            <w:r w:rsidR="006A317A" w:rsidRPr="006A317A">
              <w:rPr>
                <w:color w:val="000000"/>
                <w:spacing w:val="1"/>
                <w:shd w:val="solid" w:color="000000" w:fill="000000"/>
                <w:fitText w:val="357" w:id="-1304782079"/>
                <w14:textFill>
                  <w14:solidFill>
                    <w14:srgbClr w14:val="000000">
                      <w14:alpha w14:val="100000"/>
                    </w14:srgbClr>
                  </w14:solidFill>
                </w14:textFill>
              </w:rPr>
              <w:t>|</w:t>
            </w:r>
          </w:p>
          <w:p w14:paraId="1F56E656" w14:textId="5265CF8C" w:rsidR="00F45E7D" w:rsidRDefault="0087463C">
            <w:pPr>
              <w:pStyle w:val="TableText0"/>
              <w:keepNext w:val="0"/>
              <w:widowControl w:val="0"/>
            </w:pPr>
            <w:r>
              <w:t>Private: $</w:t>
            </w:r>
            <w:r w:rsidR="006A317A" w:rsidRPr="006A317A">
              <w:rPr>
                <w:color w:val="000000"/>
                <w:spacing w:val="65"/>
                <w:shd w:val="solid" w:color="000000" w:fill="000000"/>
                <w:fitText w:val="368" w:id="-1304782078"/>
                <w14:textFill>
                  <w14:solidFill>
                    <w14:srgbClr w14:val="000000">
                      <w14:alpha w14:val="100000"/>
                    </w14:srgbClr>
                  </w14:solidFill>
                </w14:textFill>
              </w:rPr>
              <w:t>|||</w:t>
            </w:r>
            <w:r w:rsidR="006A317A" w:rsidRPr="006A317A">
              <w:rPr>
                <w:color w:val="000000"/>
                <w:spacing w:val="3"/>
                <w:shd w:val="solid" w:color="000000" w:fill="000000"/>
                <w:fitText w:val="368" w:id="-1304782078"/>
                <w14:textFill>
                  <w14:solidFill>
                    <w14:srgbClr w14:val="000000">
                      <w14:alpha w14:val="100000"/>
                    </w14:srgbClr>
                  </w14:solidFill>
                </w14:textFill>
              </w:rPr>
              <w:t>|</w:t>
            </w:r>
          </w:p>
        </w:tc>
        <w:tc>
          <w:tcPr>
            <w:tcW w:w="2835" w:type="dxa"/>
            <w:tcMar>
              <w:left w:w="28" w:type="dxa"/>
              <w:right w:w="28" w:type="dxa"/>
            </w:tcMar>
            <w:vAlign w:val="center"/>
          </w:tcPr>
          <w:p w14:paraId="63CF2C82" w14:textId="77777777" w:rsidR="00F45E7D" w:rsidRDefault="0087463C">
            <w:pPr>
              <w:pStyle w:val="TableText0"/>
              <w:keepNext w:val="0"/>
              <w:widowControl w:val="0"/>
            </w:pPr>
            <w:r>
              <w:t>Requested price</w:t>
            </w:r>
          </w:p>
        </w:tc>
        <w:tc>
          <w:tcPr>
            <w:tcW w:w="2552" w:type="dxa"/>
            <w:tcMar>
              <w:left w:w="28" w:type="dxa"/>
              <w:right w:w="28" w:type="dxa"/>
            </w:tcMar>
            <w:vAlign w:val="center"/>
          </w:tcPr>
          <w:p w14:paraId="1DEB6B11" w14:textId="77777777" w:rsidR="00F45E7D" w:rsidRDefault="0087463C">
            <w:pPr>
              <w:pStyle w:val="TableText0"/>
              <w:keepNext w:val="0"/>
              <w:widowControl w:val="0"/>
            </w:pPr>
            <w:r>
              <w:t>-</w:t>
            </w:r>
          </w:p>
        </w:tc>
      </w:tr>
    </w:tbl>
    <w:p w14:paraId="58914848" w14:textId="77777777" w:rsidR="00F45E7D" w:rsidRDefault="0087463C">
      <w:pPr>
        <w:pStyle w:val="FooterTableFigure"/>
      </w:pPr>
      <w:r>
        <w:t>Source: Table 42, p100 and Table 44, p105 of the submission</w:t>
      </w:r>
    </w:p>
    <w:p w14:paraId="588ECF4A" w14:textId="70494184" w:rsidR="00F45E7D" w:rsidRDefault="0087463C" w:rsidP="0081723D">
      <w:pPr>
        <w:pStyle w:val="FooterTableFigure"/>
        <w:spacing w:after="0"/>
      </w:pPr>
      <w:r>
        <w:t>AEMP = agreed ex-manufacturer price; DPMA = dispensed price for maximum amount; IPI = ipilimumab; NIVO = nivolumab; OMCP = Opdivo Melanoma Continuation Program.</w:t>
      </w:r>
    </w:p>
    <w:p w14:paraId="0DFC2603" w14:textId="77777777" w:rsidR="0081723D" w:rsidRPr="009A6D58" w:rsidRDefault="0081723D" w:rsidP="0081723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D4AE834" w14:textId="3051559D" w:rsidR="0081723D" w:rsidRPr="009A6D58" w:rsidRDefault="0081723D" w:rsidP="0081723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81723D">
        <w:rPr>
          <w:rFonts w:ascii="Arial Narrow" w:hAnsi="Arial Narrow"/>
          <w:i/>
          <w:sz w:val="18"/>
          <w:szCs w:val="18"/>
        </w:rPr>
        <w:t>&lt; 500</w:t>
      </w:r>
    </w:p>
    <w:p w14:paraId="45634FE0" w14:textId="02EF8881" w:rsidR="0081723D" w:rsidRPr="0081723D" w:rsidRDefault="0081723D" w:rsidP="0081723D">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81723D">
        <w:rPr>
          <w:rFonts w:ascii="Arial Narrow" w:hAnsi="Arial Narrow"/>
          <w:i/>
          <w:sz w:val="18"/>
          <w:szCs w:val="18"/>
        </w:rPr>
        <w:t>500 to &lt; 5,000</w:t>
      </w:r>
    </w:p>
    <w:p w14:paraId="79B3419D" w14:textId="5E6F90C8" w:rsidR="00F45E7D" w:rsidRDefault="0087463C">
      <w:pPr>
        <w:pStyle w:val="3-BodyText"/>
        <w:ind w:left="709"/>
        <w:rPr>
          <w:iCs/>
        </w:rPr>
      </w:pPr>
      <w:r>
        <w:t xml:space="preserve">The estimated utilisation and financial impact of expanding the NIVO (+IPI) restriction are presented in </w:t>
      </w:r>
      <w:r>
        <w:fldChar w:fldCharType="begin"/>
      </w:r>
      <w:r>
        <w:instrText xml:space="preserve"> REF _Ref112281173 \h </w:instrText>
      </w:r>
      <w:r>
        <w:fldChar w:fldCharType="separate"/>
      </w:r>
      <w:r w:rsidR="00D8701A">
        <w:rPr>
          <w:b/>
          <w:bCs/>
          <w:lang w:val="en-US"/>
        </w:rPr>
        <w:t>Error! Reference source not found.</w:t>
      </w:r>
      <w:r>
        <w:fldChar w:fldCharType="end"/>
      </w:r>
      <w:r>
        <w:t xml:space="preserve">. </w:t>
      </w:r>
    </w:p>
    <w:p w14:paraId="6CE92E47" w14:textId="77777777" w:rsidR="00F45E7D" w:rsidRDefault="0087463C">
      <w:pPr>
        <w:pStyle w:val="3-BodyText"/>
        <w:ind w:left="709"/>
      </w:pPr>
      <w:r w:rsidRPr="006A317A">
        <w:t>Based on the OMCP data, the submission assumed patients received an average of 3 doses of NIVO induction and 3 doses of NIVO maintenance. The submission stated that as patients treated on the OMCP are able to access IPI via the PBS, there would be no change to the current</w:t>
      </w:r>
      <w:r>
        <w:t xml:space="preserve"> IPI utilisation.</w:t>
      </w:r>
    </w:p>
    <w:p w14:paraId="48A13894" w14:textId="6933C1A0" w:rsidR="00F45E7D" w:rsidRDefault="0087463C" w:rsidP="00E551BD">
      <w:pPr>
        <w:pStyle w:val="TableFigureHeading"/>
        <w:rPr>
          <w:rStyle w:val="CommentReference"/>
          <w:b/>
          <w:szCs w:val="24"/>
        </w:rPr>
      </w:pPr>
      <w:bookmarkStart w:id="63" w:name="_Ref112281214"/>
      <w:r>
        <w:lastRenderedPageBreak/>
        <w:t xml:space="preserve">Table </w:t>
      </w:r>
      <w:r w:rsidR="00D8701A">
        <w:fldChar w:fldCharType="begin"/>
      </w:r>
      <w:r w:rsidR="00D8701A">
        <w:instrText xml:space="preserve"> SEQ Table \* ARABIC </w:instrText>
      </w:r>
      <w:r w:rsidR="00D8701A">
        <w:fldChar w:fldCharType="separate"/>
      </w:r>
      <w:r w:rsidR="00D8701A">
        <w:rPr>
          <w:noProof/>
        </w:rPr>
        <w:t>13</w:t>
      </w:r>
      <w:r w:rsidR="00D8701A">
        <w:fldChar w:fldCharType="end"/>
      </w:r>
      <w:bookmarkEnd w:id="63"/>
      <w:r>
        <w:t xml:space="preserve">: </w:t>
      </w:r>
      <w:r>
        <w:rPr>
          <w:rStyle w:val="CommentReference"/>
          <w:b/>
          <w:szCs w:val="24"/>
        </w:rPr>
        <w:t>Estimated net cost of additional NIVO to the PBS/RPBS (effective price)</w:t>
      </w:r>
    </w:p>
    <w:tbl>
      <w:tblPr>
        <w:tblW w:w="8784" w:type="dxa"/>
        <w:tblBorders>
          <w:top w:val="single" w:sz="2" w:space="0" w:color="auto"/>
          <w:left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830"/>
        <w:gridCol w:w="993"/>
        <w:gridCol w:w="992"/>
        <w:gridCol w:w="992"/>
        <w:gridCol w:w="992"/>
        <w:gridCol w:w="993"/>
        <w:gridCol w:w="992"/>
      </w:tblGrid>
      <w:tr w:rsidR="00F45E7D" w14:paraId="267F840A" w14:textId="77777777">
        <w:trPr>
          <w:tblHeader/>
        </w:trPr>
        <w:tc>
          <w:tcPr>
            <w:tcW w:w="2830" w:type="dxa"/>
            <w:shd w:val="clear" w:color="auto" w:fill="auto"/>
            <w:tcMar>
              <w:left w:w="28" w:type="dxa"/>
              <w:right w:w="28" w:type="dxa"/>
            </w:tcMar>
            <w:vAlign w:val="center"/>
          </w:tcPr>
          <w:p w14:paraId="6C04570F" w14:textId="77777777" w:rsidR="00F45E7D" w:rsidRDefault="00F45E7D" w:rsidP="00E551BD">
            <w:pPr>
              <w:pStyle w:val="In-tableHeading"/>
              <w:rPr>
                <w:lang w:val="en-AU"/>
              </w:rPr>
            </w:pPr>
          </w:p>
        </w:tc>
        <w:tc>
          <w:tcPr>
            <w:tcW w:w="993" w:type="dxa"/>
            <w:shd w:val="clear" w:color="auto" w:fill="auto"/>
            <w:tcMar>
              <w:left w:w="28" w:type="dxa"/>
              <w:right w:w="28" w:type="dxa"/>
            </w:tcMar>
            <w:vAlign w:val="center"/>
          </w:tcPr>
          <w:p w14:paraId="7D8CDDB8" w14:textId="77777777" w:rsidR="00F45E7D" w:rsidRDefault="0087463C" w:rsidP="00E551BD">
            <w:pPr>
              <w:pStyle w:val="In-tableHeading"/>
              <w:jc w:val="center"/>
              <w:rPr>
                <w:lang w:val="en-AU"/>
              </w:rPr>
            </w:pPr>
            <w:r>
              <w:rPr>
                <w:lang w:val="en-AU"/>
              </w:rPr>
              <w:t>2023</w:t>
            </w:r>
          </w:p>
        </w:tc>
        <w:tc>
          <w:tcPr>
            <w:tcW w:w="992" w:type="dxa"/>
            <w:shd w:val="clear" w:color="auto" w:fill="auto"/>
            <w:tcMar>
              <w:left w:w="28" w:type="dxa"/>
              <w:right w:w="28" w:type="dxa"/>
            </w:tcMar>
            <w:vAlign w:val="center"/>
          </w:tcPr>
          <w:p w14:paraId="2022E50A" w14:textId="77777777" w:rsidR="00F45E7D" w:rsidRDefault="0087463C" w:rsidP="00E551BD">
            <w:pPr>
              <w:pStyle w:val="In-tableHeading"/>
              <w:jc w:val="center"/>
              <w:rPr>
                <w:lang w:val="en-AU"/>
              </w:rPr>
            </w:pPr>
            <w:r>
              <w:rPr>
                <w:lang w:val="en-AU"/>
              </w:rPr>
              <w:t>2024</w:t>
            </w:r>
          </w:p>
        </w:tc>
        <w:tc>
          <w:tcPr>
            <w:tcW w:w="992" w:type="dxa"/>
            <w:shd w:val="clear" w:color="auto" w:fill="auto"/>
            <w:tcMar>
              <w:left w:w="28" w:type="dxa"/>
              <w:right w:w="28" w:type="dxa"/>
            </w:tcMar>
            <w:vAlign w:val="center"/>
          </w:tcPr>
          <w:p w14:paraId="75B97A96" w14:textId="77777777" w:rsidR="00F45E7D" w:rsidRDefault="0087463C" w:rsidP="00E551BD">
            <w:pPr>
              <w:pStyle w:val="In-tableHeading"/>
              <w:jc w:val="center"/>
              <w:rPr>
                <w:lang w:val="en-AU"/>
              </w:rPr>
            </w:pPr>
            <w:r>
              <w:rPr>
                <w:lang w:val="en-AU"/>
              </w:rPr>
              <w:t>2025</w:t>
            </w:r>
          </w:p>
        </w:tc>
        <w:tc>
          <w:tcPr>
            <w:tcW w:w="992" w:type="dxa"/>
            <w:shd w:val="clear" w:color="auto" w:fill="auto"/>
            <w:tcMar>
              <w:left w:w="28" w:type="dxa"/>
              <w:right w:w="28" w:type="dxa"/>
            </w:tcMar>
            <w:vAlign w:val="center"/>
          </w:tcPr>
          <w:p w14:paraId="67A0B10B" w14:textId="77777777" w:rsidR="00F45E7D" w:rsidRDefault="0087463C" w:rsidP="00E551BD">
            <w:pPr>
              <w:pStyle w:val="In-tableHeading"/>
              <w:jc w:val="center"/>
              <w:rPr>
                <w:lang w:val="en-AU"/>
              </w:rPr>
            </w:pPr>
            <w:r>
              <w:rPr>
                <w:lang w:val="en-AU"/>
              </w:rPr>
              <w:t>2026</w:t>
            </w:r>
          </w:p>
        </w:tc>
        <w:tc>
          <w:tcPr>
            <w:tcW w:w="993" w:type="dxa"/>
            <w:shd w:val="clear" w:color="auto" w:fill="auto"/>
            <w:tcMar>
              <w:left w:w="28" w:type="dxa"/>
              <w:right w:w="28" w:type="dxa"/>
            </w:tcMar>
            <w:vAlign w:val="center"/>
          </w:tcPr>
          <w:p w14:paraId="1AB4EA36" w14:textId="77777777" w:rsidR="00F45E7D" w:rsidRDefault="0087463C" w:rsidP="00E551BD">
            <w:pPr>
              <w:pStyle w:val="In-tableHeading"/>
              <w:jc w:val="center"/>
              <w:rPr>
                <w:lang w:val="en-AU"/>
              </w:rPr>
            </w:pPr>
            <w:r>
              <w:rPr>
                <w:lang w:val="en-AU"/>
              </w:rPr>
              <w:t>2027</w:t>
            </w:r>
          </w:p>
        </w:tc>
        <w:tc>
          <w:tcPr>
            <w:tcW w:w="992" w:type="dxa"/>
            <w:shd w:val="clear" w:color="auto" w:fill="auto"/>
            <w:tcMar>
              <w:left w:w="28" w:type="dxa"/>
              <w:right w:w="28" w:type="dxa"/>
            </w:tcMar>
            <w:vAlign w:val="center"/>
          </w:tcPr>
          <w:p w14:paraId="2989CCB8" w14:textId="77777777" w:rsidR="00F45E7D" w:rsidRDefault="0087463C" w:rsidP="00E551BD">
            <w:pPr>
              <w:pStyle w:val="In-tableHeading"/>
              <w:jc w:val="center"/>
              <w:rPr>
                <w:lang w:val="en-AU"/>
              </w:rPr>
            </w:pPr>
            <w:r>
              <w:rPr>
                <w:lang w:val="en-AU"/>
              </w:rPr>
              <w:t>2028</w:t>
            </w:r>
          </w:p>
        </w:tc>
      </w:tr>
    </w:tbl>
    <w:tbl>
      <w:tblPr>
        <w:tblStyle w:val="TableGrid"/>
        <w:tblW w:w="5016" w:type="pct"/>
        <w:tblLayout w:type="fixed"/>
        <w:tblLook w:val="04A0" w:firstRow="1" w:lastRow="0" w:firstColumn="1" w:lastColumn="0" w:noHBand="0" w:noVBand="1"/>
      </w:tblPr>
      <w:tblGrid>
        <w:gridCol w:w="2827"/>
        <w:gridCol w:w="993"/>
        <w:gridCol w:w="993"/>
        <w:gridCol w:w="993"/>
        <w:gridCol w:w="991"/>
        <w:gridCol w:w="994"/>
        <w:gridCol w:w="993"/>
      </w:tblGrid>
      <w:tr w:rsidR="00F45E7D" w14:paraId="0EED9AE4" w14:textId="77777777" w:rsidTr="00FD3C79">
        <w:tc>
          <w:tcPr>
            <w:tcW w:w="1610" w:type="pct"/>
            <w:tcBorders>
              <w:bottom w:val="single" w:sz="2" w:space="0" w:color="auto"/>
            </w:tcBorders>
            <w:tcMar>
              <w:left w:w="57" w:type="dxa"/>
              <w:right w:w="57" w:type="dxa"/>
            </w:tcMar>
            <w:vAlign w:val="center"/>
          </w:tcPr>
          <w:p w14:paraId="04F93B45" w14:textId="77777777" w:rsidR="00F45E7D" w:rsidRDefault="0087463C" w:rsidP="00E551BD">
            <w:pPr>
              <w:pStyle w:val="TableText0"/>
            </w:pPr>
            <w:r>
              <w:t>Eligible patients</w:t>
            </w:r>
          </w:p>
        </w:tc>
        <w:tc>
          <w:tcPr>
            <w:tcW w:w="565" w:type="pct"/>
            <w:tcBorders>
              <w:bottom w:val="single" w:sz="2" w:space="0" w:color="auto"/>
            </w:tcBorders>
            <w:tcMar>
              <w:left w:w="57" w:type="dxa"/>
              <w:right w:w="57" w:type="dxa"/>
            </w:tcMar>
            <w:vAlign w:val="center"/>
          </w:tcPr>
          <w:p w14:paraId="68636C0E" w14:textId="25972638" w:rsidR="00F45E7D" w:rsidRPr="0081723D" w:rsidRDefault="006A317A" w:rsidP="00E551BD">
            <w:pPr>
              <w:pStyle w:val="TableText0"/>
              <w:jc w:val="center"/>
              <w:rPr>
                <w:highlight w:val="darkGray"/>
                <w:vertAlign w:val="superscript"/>
              </w:rPr>
            </w:pPr>
            <w:r w:rsidRPr="006A317A">
              <w:rPr>
                <w:color w:val="000000"/>
                <w:spacing w:val="80"/>
                <w:shd w:val="solid" w:color="000000" w:fill="000000"/>
                <w:fitText w:val="173" w:id="-1304782077"/>
                <w14:textFill>
                  <w14:solidFill>
                    <w14:srgbClr w14:val="000000">
                      <w14:alpha w14:val="100000"/>
                    </w14:srgbClr>
                  </w14:solidFill>
                </w14:textFill>
              </w:rPr>
              <w:t>|</w:t>
            </w:r>
            <w:r w:rsidRPr="006A317A">
              <w:rPr>
                <w:color w:val="000000"/>
                <w:shd w:val="solid" w:color="000000" w:fill="000000"/>
                <w:fitText w:val="173" w:id="-1304782077"/>
                <w14:textFill>
                  <w14:solidFill>
                    <w14:srgbClr w14:val="000000">
                      <w14:alpha w14:val="100000"/>
                    </w14:srgbClr>
                  </w14:solidFill>
                </w14:textFill>
              </w:rPr>
              <w:t>|</w:t>
            </w:r>
            <w:r w:rsidR="0081723D" w:rsidRPr="0081723D">
              <w:rPr>
                <w:vertAlign w:val="superscript"/>
              </w:rPr>
              <w:t>1</w:t>
            </w:r>
          </w:p>
        </w:tc>
        <w:tc>
          <w:tcPr>
            <w:tcW w:w="565" w:type="pct"/>
            <w:tcBorders>
              <w:bottom w:val="single" w:sz="2" w:space="0" w:color="auto"/>
            </w:tcBorders>
            <w:tcMar>
              <w:left w:w="57" w:type="dxa"/>
              <w:right w:w="57" w:type="dxa"/>
            </w:tcMar>
            <w:vAlign w:val="center"/>
          </w:tcPr>
          <w:p w14:paraId="49353272" w14:textId="17C70CAB" w:rsidR="00F45E7D" w:rsidRPr="0081723D" w:rsidRDefault="006A317A" w:rsidP="00E551BD">
            <w:pPr>
              <w:pStyle w:val="TableText0"/>
              <w:jc w:val="center"/>
              <w:rPr>
                <w:highlight w:val="darkGray"/>
              </w:rPr>
            </w:pPr>
            <w:r w:rsidRPr="006A317A">
              <w:rPr>
                <w:color w:val="000000"/>
                <w:spacing w:val="80"/>
                <w:shd w:val="solid" w:color="000000" w:fill="000000"/>
                <w:fitText w:val="173" w:id="-1304782076"/>
                <w14:textFill>
                  <w14:solidFill>
                    <w14:srgbClr w14:val="000000">
                      <w14:alpha w14:val="100000"/>
                    </w14:srgbClr>
                  </w14:solidFill>
                </w14:textFill>
              </w:rPr>
              <w:t>|</w:t>
            </w:r>
            <w:r w:rsidRPr="006A317A">
              <w:rPr>
                <w:color w:val="000000"/>
                <w:shd w:val="solid" w:color="000000" w:fill="000000"/>
                <w:fitText w:val="173" w:id="-1304782076"/>
                <w14:textFill>
                  <w14:solidFill>
                    <w14:srgbClr w14:val="000000">
                      <w14:alpha w14:val="100000"/>
                    </w14:srgbClr>
                  </w14:solidFill>
                </w14:textFill>
              </w:rPr>
              <w:t>|</w:t>
            </w:r>
            <w:r w:rsidR="0081723D" w:rsidRPr="0081723D">
              <w:rPr>
                <w:vertAlign w:val="superscript"/>
              </w:rPr>
              <w:t>1</w:t>
            </w:r>
          </w:p>
        </w:tc>
        <w:tc>
          <w:tcPr>
            <w:tcW w:w="565" w:type="pct"/>
            <w:tcBorders>
              <w:bottom w:val="single" w:sz="2" w:space="0" w:color="auto"/>
            </w:tcBorders>
            <w:tcMar>
              <w:left w:w="57" w:type="dxa"/>
              <w:right w:w="57" w:type="dxa"/>
            </w:tcMar>
            <w:vAlign w:val="center"/>
          </w:tcPr>
          <w:p w14:paraId="18DD25B2" w14:textId="09D10399" w:rsidR="00F45E7D" w:rsidRPr="0081723D" w:rsidRDefault="006A317A" w:rsidP="00E551BD">
            <w:pPr>
              <w:pStyle w:val="TableText0"/>
              <w:jc w:val="center"/>
              <w:rPr>
                <w:highlight w:val="darkGray"/>
              </w:rPr>
            </w:pPr>
            <w:r w:rsidRPr="006A317A">
              <w:rPr>
                <w:color w:val="000000"/>
                <w:spacing w:val="80"/>
                <w:shd w:val="solid" w:color="000000" w:fill="000000"/>
                <w:fitText w:val="173" w:id="-1304782075"/>
                <w14:textFill>
                  <w14:solidFill>
                    <w14:srgbClr w14:val="000000">
                      <w14:alpha w14:val="100000"/>
                    </w14:srgbClr>
                  </w14:solidFill>
                </w14:textFill>
              </w:rPr>
              <w:t>|</w:t>
            </w:r>
            <w:r w:rsidRPr="006A317A">
              <w:rPr>
                <w:color w:val="000000"/>
                <w:shd w:val="solid" w:color="000000" w:fill="000000"/>
                <w:fitText w:val="173" w:id="-1304782075"/>
                <w14:textFill>
                  <w14:solidFill>
                    <w14:srgbClr w14:val="000000">
                      <w14:alpha w14:val="100000"/>
                    </w14:srgbClr>
                  </w14:solidFill>
                </w14:textFill>
              </w:rPr>
              <w:t>|</w:t>
            </w:r>
            <w:r w:rsidR="0081723D" w:rsidRPr="0081723D">
              <w:rPr>
                <w:vertAlign w:val="superscript"/>
              </w:rPr>
              <w:t>1</w:t>
            </w:r>
          </w:p>
        </w:tc>
        <w:tc>
          <w:tcPr>
            <w:tcW w:w="564" w:type="pct"/>
            <w:tcBorders>
              <w:bottom w:val="single" w:sz="2" w:space="0" w:color="auto"/>
            </w:tcBorders>
            <w:tcMar>
              <w:left w:w="57" w:type="dxa"/>
              <w:right w:w="57" w:type="dxa"/>
            </w:tcMar>
            <w:vAlign w:val="center"/>
          </w:tcPr>
          <w:p w14:paraId="76FBCED0" w14:textId="10531740" w:rsidR="00F45E7D" w:rsidRPr="0081723D" w:rsidRDefault="006A317A" w:rsidP="00E551BD">
            <w:pPr>
              <w:pStyle w:val="TableText0"/>
              <w:jc w:val="center"/>
              <w:rPr>
                <w:highlight w:val="darkGray"/>
              </w:rPr>
            </w:pPr>
            <w:r w:rsidRPr="006A317A">
              <w:rPr>
                <w:color w:val="000000"/>
                <w:spacing w:val="80"/>
                <w:shd w:val="solid" w:color="000000" w:fill="000000"/>
                <w:fitText w:val="173" w:id="-1304782074"/>
                <w14:textFill>
                  <w14:solidFill>
                    <w14:srgbClr w14:val="000000">
                      <w14:alpha w14:val="100000"/>
                    </w14:srgbClr>
                  </w14:solidFill>
                </w14:textFill>
              </w:rPr>
              <w:t>|</w:t>
            </w:r>
            <w:r w:rsidRPr="006A317A">
              <w:rPr>
                <w:color w:val="000000"/>
                <w:shd w:val="solid" w:color="000000" w:fill="000000"/>
                <w:fitText w:val="173" w:id="-1304782074"/>
                <w14:textFill>
                  <w14:solidFill>
                    <w14:srgbClr w14:val="000000">
                      <w14:alpha w14:val="100000"/>
                    </w14:srgbClr>
                  </w14:solidFill>
                </w14:textFill>
              </w:rPr>
              <w:t>|</w:t>
            </w:r>
            <w:r w:rsidR="0081723D" w:rsidRPr="0081723D">
              <w:rPr>
                <w:vertAlign w:val="superscript"/>
              </w:rPr>
              <w:t>1</w:t>
            </w:r>
          </w:p>
        </w:tc>
        <w:tc>
          <w:tcPr>
            <w:tcW w:w="566" w:type="pct"/>
            <w:tcBorders>
              <w:bottom w:val="single" w:sz="2" w:space="0" w:color="auto"/>
            </w:tcBorders>
            <w:tcMar>
              <w:left w:w="57" w:type="dxa"/>
              <w:right w:w="57" w:type="dxa"/>
            </w:tcMar>
            <w:vAlign w:val="center"/>
          </w:tcPr>
          <w:p w14:paraId="353A07C3" w14:textId="54DF5CCD" w:rsidR="00F45E7D" w:rsidRPr="0081723D" w:rsidRDefault="006A317A" w:rsidP="00E551BD">
            <w:pPr>
              <w:pStyle w:val="TableText0"/>
              <w:jc w:val="center"/>
              <w:rPr>
                <w:highlight w:val="darkGray"/>
              </w:rPr>
            </w:pPr>
            <w:r w:rsidRPr="006A317A">
              <w:rPr>
                <w:color w:val="000000"/>
                <w:spacing w:val="80"/>
                <w:shd w:val="solid" w:color="000000" w:fill="000000"/>
                <w:fitText w:val="173" w:id="-1304782073"/>
                <w14:textFill>
                  <w14:solidFill>
                    <w14:srgbClr w14:val="000000">
                      <w14:alpha w14:val="100000"/>
                    </w14:srgbClr>
                  </w14:solidFill>
                </w14:textFill>
              </w:rPr>
              <w:t>|</w:t>
            </w:r>
            <w:r w:rsidRPr="006A317A">
              <w:rPr>
                <w:color w:val="000000"/>
                <w:shd w:val="solid" w:color="000000" w:fill="000000"/>
                <w:fitText w:val="173" w:id="-1304782073"/>
                <w14:textFill>
                  <w14:solidFill>
                    <w14:srgbClr w14:val="000000">
                      <w14:alpha w14:val="100000"/>
                    </w14:srgbClr>
                  </w14:solidFill>
                </w14:textFill>
              </w:rPr>
              <w:t>|</w:t>
            </w:r>
            <w:r w:rsidR="0081723D" w:rsidRPr="0081723D">
              <w:rPr>
                <w:vertAlign w:val="superscript"/>
              </w:rPr>
              <w:t>1</w:t>
            </w:r>
          </w:p>
        </w:tc>
        <w:tc>
          <w:tcPr>
            <w:tcW w:w="565" w:type="pct"/>
            <w:tcBorders>
              <w:bottom w:val="single" w:sz="2" w:space="0" w:color="auto"/>
            </w:tcBorders>
            <w:tcMar>
              <w:left w:w="57" w:type="dxa"/>
              <w:right w:w="57" w:type="dxa"/>
            </w:tcMar>
            <w:vAlign w:val="center"/>
          </w:tcPr>
          <w:p w14:paraId="0E48839B" w14:textId="2E2FAA6A" w:rsidR="00F45E7D" w:rsidRPr="0081723D" w:rsidRDefault="006A317A" w:rsidP="00E551BD">
            <w:pPr>
              <w:pStyle w:val="TableText0"/>
              <w:jc w:val="center"/>
              <w:rPr>
                <w:highlight w:val="darkGray"/>
              </w:rPr>
            </w:pPr>
            <w:r w:rsidRPr="006A317A">
              <w:rPr>
                <w:color w:val="000000"/>
                <w:spacing w:val="80"/>
                <w:shd w:val="solid" w:color="000000" w:fill="000000"/>
                <w:fitText w:val="173" w:id="-1304782072"/>
                <w14:textFill>
                  <w14:solidFill>
                    <w14:srgbClr w14:val="000000">
                      <w14:alpha w14:val="100000"/>
                    </w14:srgbClr>
                  </w14:solidFill>
                </w14:textFill>
              </w:rPr>
              <w:t>|</w:t>
            </w:r>
            <w:r w:rsidRPr="006A317A">
              <w:rPr>
                <w:color w:val="000000"/>
                <w:shd w:val="solid" w:color="000000" w:fill="000000"/>
                <w:fitText w:val="173" w:id="-1304782072"/>
                <w14:textFill>
                  <w14:solidFill>
                    <w14:srgbClr w14:val="000000">
                      <w14:alpha w14:val="100000"/>
                    </w14:srgbClr>
                  </w14:solidFill>
                </w14:textFill>
              </w:rPr>
              <w:t>|</w:t>
            </w:r>
            <w:r w:rsidR="0081723D" w:rsidRPr="0081723D">
              <w:rPr>
                <w:vertAlign w:val="superscript"/>
              </w:rPr>
              <w:t>1</w:t>
            </w:r>
          </w:p>
        </w:tc>
      </w:tr>
      <w:tr w:rsidR="00F45E7D" w14:paraId="54038490" w14:textId="77777777" w:rsidTr="00FD3C79">
        <w:tc>
          <w:tcPr>
            <w:tcW w:w="1610" w:type="pct"/>
            <w:tcBorders>
              <w:top w:val="single" w:sz="2" w:space="0" w:color="auto"/>
              <w:bottom w:val="single" w:sz="4" w:space="0" w:color="auto"/>
            </w:tcBorders>
            <w:tcMar>
              <w:left w:w="57" w:type="dxa"/>
              <w:right w:w="57" w:type="dxa"/>
            </w:tcMar>
            <w:vAlign w:val="center"/>
          </w:tcPr>
          <w:p w14:paraId="4C5BDE8A" w14:textId="77777777" w:rsidR="00F45E7D" w:rsidRDefault="0087463C" w:rsidP="00E551BD">
            <w:pPr>
              <w:pStyle w:val="TableText0"/>
              <w:rPr>
                <w:b/>
                <w:bCs w:val="0"/>
              </w:rPr>
            </w:pPr>
            <w:r>
              <w:rPr>
                <w:b/>
                <w:bCs w:val="0"/>
              </w:rPr>
              <w:t xml:space="preserve">Total NIVO script numbers </w:t>
            </w:r>
          </w:p>
        </w:tc>
        <w:tc>
          <w:tcPr>
            <w:tcW w:w="565" w:type="pct"/>
            <w:tcBorders>
              <w:top w:val="single" w:sz="2" w:space="0" w:color="auto"/>
              <w:bottom w:val="single" w:sz="4" w:space="0" w:color="auto"/>
            </w:tcBorders>
            <w:shd w:val="clear" w:color="auto" w:fill="auto"/>
            <w:tcMar>
              <w:left w:w="57" w:type="dxa"/>
              <w:right w:w="57" w:type="dxa"/>
            </w:tcMar>
            <w:vAlign w:val="center"/>
          </w:tcPr>
          <w:p w14:paraId="7B75396F" w14:textId="2C4CFC02" w:rsidR="00F45E7D" w:rsidRPr="0081723D" w:rsidRDefault="006A317A" w:rsidP="00E551BD">
            <w:pPr>
              <w:pStyle w:val="TableText0"/>
              <w:jc w:val="center"/>
              <w:rPr>
                <w:b/>
                <w:bCs w:val="0"/>
                <w:highlight w:val="darkGray"/>
              </w:rPr>
            </w:pPr>
            <w:r w:rsidRPr="006A317A">
              <w:rPr>
                <w:b/>
                <w:bCs w:val="0"/>
                <w:color w:val="000000"/>
                <w:spacing w:val="81"/>
                <w:shd w:val="solid" w:color="000000" w:fill="000000"/>
                <w:fitText w:val="173" w:id="-1304782071"/>
                <w14:textFill>
                  <w14:solidFill>
                    <w14:srgbClr w14:val="000000">
                      <w14:alpha w14:val="100000"/>
                    </w14:srgbClr>
                  </w14:solidFill>
                </w14:textFill>
              </w:rPr>
              <w:t>|</w:t>
            </w:r>
            <w:r w:rsidRPr="006A317A">
              <w:rPr>
                <w:b/>
                <w:bCs w:val="0"/>
                <w:color w:val="000000"/>
                <w:spacing w:val="1"/>
                <w:shd w:val="solid" w:color="000000" w:fill="000000"/>
                <w:fitText w:val="173" w:id="-1304782071"/>
                <w14:textFill>
                  <w14:solidFill>
                    <w14:srgbClr w14:val="000000">
                      <w14:alpha w14:val="100000"/>
                    </w14:srgbClr>
                  </w14:solidFill>
                </w14:textFill>
              </w:rPr>
              <w:t>|</w:t>
            </w:r>
            <w:r w:rsidR="0081723D">
              <w:rPr>
                <w:vertAlign w:val="superscript"/>
              </w:rPr>
              <w:t>2</w:t>
            </w:r>
          </w:p>
        </w:tc>
        <w:tc>
          <w:tcPr>
            <w:tcW w:w="565" w:type="pct"/>
            <w:tcBorders>
              <w:top w:val="single" w:sz="2" w:space="0" w:color="auto"/>
              <w:bottom w:val="single" w:sz="4" w:space="0" w:color="auto"/>
            </w:tcBorders>
            <w:shd w:val="clear" w:color="auto" w:fill="auto"/>
            <w:tcMar>
              <w:left w:w="57" w:type="dxa"/>
              <w:right w:w="57" w:type="dxa"/>
            </w:tcMar>
            <w:vAlign w:val="center"/>
          </w:tcPr>
          <w:p w14:paraId="5B294757" w14:textId="3D7B3764" w:rsidR="00F45E7D" w:rsidRPr="0081723D" w:rsidRDefault="006A317A" w:rsidP="00E551BD">
            <w:pPr>
              <w:pStyle w:val="TableText0"/>
              <w:jc w:val="center"/>
              <w:rPr>
                <w:b/>
                <w:bCs w:val="0"/>
                <w:highlight w:val="darkGray"/>
              </w:rPr>
            </w:pPr>
            <w:r w:rsidRPr="006A317A">
              <w:rPr>
                <w:b/>
                <w:bCs w:val="0"/>
                <w:color w:val="000000"/>
                <w:spacing w:val="81"/>
                <w:shd w:val="solid" w:color="000000" w:fill="000000"/>
                <w:fitText w:val="173" w:id="-1304782070"/>
                <w14:textFill>
                  <w14:solidFill>
                    <w14:srgbClr w14:val="000000">
                      <w14:alpha w14:val="100000"/>
                    </w14:srgbClr>
                  </w14:solidFill>
                </w14:textFill>
              </w:rPr>
              <w:t>|</w:t>
            </w:r>
            <w:r w:rsidRPr="006A317A">
              <w:rPr>
                <w:b/>
                <w:bCs w:val="0"/>
                <w:color w:val="000000"/>
                <w:spacing w:val="1"/>
                <w:shd w:val="solid" w:color="000000" w:fill="000000"/>
                <w:fitText w:val="173" w:id="-1304782070"/>
                <w14:textFill>
                  <w14:solidFill>
                    <w14:srgbClr w14:val="000000">
                      <w14:alpha w14:val="100000"/>
                    </w14:srgbClr>
                  </w14:solidFill>
                </w14:textFill>
              </w:rPr>
              <w:t>|</w:t>
            </w:r>
            <w:r w:rsidR="0081723D">
              <w:rPr>
                <w:vertAlign w:val="superscript"/>
              </w:rPr>
              <w:t>2</w:t>
            </w:r>
          </w:p>
        </w:tc>
        <w:tc>
          <w:tcPr>
            <w:tcW w:w="565" w:type="pct"/>
            <w:tcBorders>
              <w:top w:val="single" w:sz="2" w:space="0" w:color="auto"/>
              <w:bottom w:val="single" w:sz="4" w:space="0" w:color="auto"/>
            </w:tcBorders>
            <w:shd w:val="clear" w:color="auto" w:fill="auto"/>
            <w:tcMar>
              <w:left w:w="57" w:type="dxa"/>
              <w:right w:w="57" w:type="dxa"/>
            </w:tcMar>
            <w:vAlign w:val="center"/>
          </w:tcPr>
          <w:p w14:paraId="59A2C3B9" w14:textId="4B80CAA5" w:rsidR="00F45E7D" w:rsidRPr="0081723D" w:rsidRDefault="006A317A" w:rsidP="00E551BD">
            <w:pPr>
              <w:pStyle w:val="TableText0"/>
              <w:jc w:val="center"/>
              <w:rPr>
                <w:b/>
                <w:bCs w:val="0"/>
                <w:highlight w:val="darkGray"/>
              </w:rPr>
            </w:pPr>
            <w:r w:rsidRPr="006A317A">
              <w:rPr>
                <w:b/>
                <w:bCs w:val="0"/>
                <w:color w:val="000000"/>
                <w:spacing w:val="81"/>
                <w:shd w:val="solid" w:color="000000" w:fill="000000"/>
                <w:fitText w:val="173" w:id="-1304782069"/>
                <w14:textFill>
                  <w14:solidFill>
                    <w14:srgbClr w14:val="000000">
                      <w14:alpha w14:val="100000"/>
                    </w14:srgbClr>
                  </w14:solidFill>
                </w14:textFill>
              </w:rPr>
              <w:t>|</w:t>
            </w:r>
            <w:r w:rsidRPr="006A317A">
              <w:rPr>
                <w:b/>
                <w:bCs w:val="0"/>
                <w:color w:val="000000"/>
                <w:spacing w:val="1"/>
                <w:shd w:val="solid" w:color="000000" w:fill="000000"/>
                <w:fitText w:val="173" w:id="-1304782069"/>
                <w14:textFill>
                  <w14:solidFill>
                    <w14:srgbClr w14:val="000000">
                      <w14:alpha w14:val="100000"/>
                    </w14:srgbClr>
                  </w14:solidFill>
                </w14:textFill>
              </w:rPr>
              <w:t>|</w:t>
            </w:r>
            <w:r w:rsidR="0081723D">
              <w:rPr>
                <w:vertAlign w:val="superscript"/>
              </w:rPr>
              <w:t>2</w:t>
            </w:r>
          </w:p>
        </w:tc>
        <w:tc>
          <w:tcPr>
            <w:tcW w:w="564" w:type="pct"/>
            <w:tcBorders>
              <w:top w:val="single" w:sz="2" w:space="0" w:color="auto"/>
              <w:bottom w:val="single" w:sz="4" w:space="0" w:color="auto"/>
            </w:tcBorders>
            <w:shd w:val="clear" w:color="auto" w:fill="auto"/>
            <w:tcMar>
              <w:left w:w="57" w:type="dxa"/>
              <w:right w:w="57" w:type="dxa"/>
            </w:tcMar>
            <w:vAlign w:val="center"/>
          </w:tcPr>
          <w:p w14:paraId="543B785B" w14:textId="40EC30A8" w:rsidR="00F45E7D" w:rsidRPr="0081723D" w:rsidRDefault="006A317A" w:rsidP="00E551BD">
            <w:pPr>
              <w:pStyle w:val="TableText0"/>
              <w:jc w:val="center"/>
              <w:rPr>
                <w:b/>
                <w:bCs w:val="0"/>
                <w:highlight w:val="darkGray"/>
              </w:rPr>
            </w:pPr>
            <w:r w:rsidRPr="006A317A">
              <w:rPr>
                <w:b/>
                <w:bCs w:val="0"/>
                <w:color w:val="000000"/>
                <w:spacing w:val="81"/>
                <w:shd w:val="solid" w:color="000000" w:fill="000000"/>
                <w:fitText w:val="173" w:id="-1304782068"/>
                <w14:textFill>
                  <w14:solidFill>
                    <w14:srgbClr w14:val="000000">
                      <w14:alpha w14:val="100000"/>
                    </w14:srgbClr>
                  </w14:solidFill>
                </w14:textFill>
              </w:rPr>
              <w:t>|</w:t>
            </w:r>
            <w:r w:rsidRPr="006A317A">
              <w:rPr>
                <w:b/>
                <w:bCs w:val="0"/>
                <w:color w:val="000000"/>
                <w:spacing w:val="1"/>
                <w:shd w:val="solid" w:color="000000" w:fill="000000"/>
                <w:fitText w:val="173" w:id="-1304782068"/>
                <w14:textFill>
                  <w14:solidFill>
                    <w14:srgbClr w14:val="000000">
                      <w14:alpha w14:val="100000"/>
                    </w14:srgbClr>
                  </w14:solidFill>
                </w14:textFill>
              </w:rPr>
              <w:t>|</w:t>
            </w:r>
            <w:r w:rsidR="0081723D">
              <w:rPr>
                <w:vertAlign w:val="superscript"/>
              </w:rPr>
              <w:t>2</w:t>
            </w:r>
          </w:p>
        </w:tc>
        <w:tc>
          <w:tcPr>
            <w:tcW w:w="566" w:type="pct"/>
            <w:tcBorders>
              <w:top w:val="single" w:sz="2" w:space="0" w:color="auto"/>
              <w:bottom w:val="single" w:sz="4" w:space="0" w:color="auto"/>
            </w:tcBorders>
            <w:shd w:val="clear" w:color="auto" w:fill="auto"/>
            <w:tcMar>
              <w:left w:w="57" w:type="dxa"/>
              <w:right w:w="57" w:type="dxa"/>
            </w:tcMar>
            <w:vAlign w:val="center"/>
          </w:tcPr>
          <w:p w14:paraId="08852755" w14:textId="27889C2F" w:rsidR="00F45E7D" w:rsidRPr="0081723D" w:rsidRDefault="006A317A" w:rsidP="00E551BD">
            <w:pPr>
              <w:pStyle w:val="TableText0"/>
              <w:jc w:val="center"/>
              <w:rPr>
                <w:b/>
                <w:bCs w:val="0"/>
                <w:highlight w:val="darkGray"/>
              </w:rPr>
            </w:pPr>
            <w:r w:rsidRPr="006A317A">
              <w:rPr>
                <w:b/>
                <w:bCs w:val="0"/>
                <w:color w:val="000000"/>
                <w:spacing w:val="81"/>
                <w:shd w:val="solid" w:color="000000" w:fill="000000"/>
                <w:fitText w:val="173" w:id="-1304782067"/>
                <w14:textFill>
                  <w14:solidFill>
                    <w14:srgbClr w14:val="000000">
                      <w14:alpha w14:val="100000"/>
                    </w14:srgbClr>
                  </w14:solidFill>
                </w14:textFill>
              </w:rPr>
              <w:t>|</w:t>
            </w:r>
            <w:r w:rsidRPr="006A317A">
              <w:rPr>
                <w:b/>
                <w:bCs w:val="0"/>
                <w:color w:val="000000"/>
                <w:spacing w:val="1"/>
                <w:shd w:val="solid" w:color="000000" w:fill="000000"/>
                <w:fitText w:val="173" w:id="-1304782067"/>
                <w14:textFill>
                  <w14:solidFill>
                    <w14:srgbClr w14:val="000000">
                      <w14:alpha w14:val="100000"/>
                    </w14:srgbClr>
                  </w14:solidFill>
                </w14:textFill>
              </w:rPr>
              <w:t>|</w:t>
            </w:r>
            <w:r w:rsidR="0081723D">
              <w:rPr>
                <w:vertAlign w:val="superscript"/>
              </w:rPr>
              <w:t>2</w:t>
            </w:r>
          </w:p>
        </w:tc>
        <w:tc>
          <w:tcPr>
            <w:tcW w:w="565" w:type="pct"/>
            <w:tcBorders>
              <w:top w:val="single" w:sz="2" w:space="0" w:color="auto"/>
              <w:bottom w:val="single" w:sz="4" w:space="0" w:color="auto"/>
            </w:tcBorders>
            <w:shd w:val="clear" w:color="auto" w:fill="auto"/>
            <w:tcMar>
              <w:left w:w="57" w:type="dxa"/>
              <w:right w:w="57" w:type="dxa"/>
            </w:tcMar>
            <w:vAlign w:val="center"/>
          </w:tcPr>
          <w:p w14:paraId="7742AD69" w14:textId="38088DF0" w:rsidR="00F45E7D" w:rsidRPr="0081723D" w:rsidRDefault="006A317A" w:rsidP="00E551BD">
            <w:pPr>
              <w:pStyle w:val="TableText0"/>
              <w:jc w:val="center"/>
              <w:rPr>
                <w:b/>
                <w:bCs w:val="0"/>
                <w:highlight w:val="darkGray"/>
              </w:rPr>
            </w:pPr>
            <w:r w:rsidRPr="006A317A">
              <w:rPr>
                <w:b/>
                <w:bCs w:val="0"/>
                <w:color w:val="000000"/>
                <w:spacing w:val="81"/>
                <w:shd w:val="solid" w:color="000000" w:fill="000000"/>
                <w:fitText w:val="173" w:id="-1304782066"/>
                <w14:textFill>
                  <w14:solidFill>
                    <w14:srgbClr w14:val="000000">
                      <w14:alpha w14:val="100000"/>
                    </w14:srgbClr>
                  </w14:solidFill>
                </w14:textFill>
              </w:rPr>
              <w:t>|</w:t>
            </w:r>
            <w:r w:rsidRPr="006A317A">
              <w:rPr>
                <w:b/>
                <w:bCs w:val="0"/>
                <w:color w:val="000000"/>
                <w:spacing w:val="1"/>
                <w:shd w:val="solid" w:color="000000" w:fill="000000"/>
                <w:fitText w:val="173" w:id="-1304782066"/>
                <w14:textFill>
                  <w14:solidFill>
                    <w14:srgbClr w14:val="000000">
                      <w14:alpha w14:val="100000"/>
                    </w14:srgbClr>
                  </w14:solidFill>
                </w14:textFill>
              </w:rPr>
              <w:t>|</w:t>
            </w:r>
            <w:r w:rsidR="0081723D">
              <w:rPr>
                <w:vertAlign w:val="superscript"/>
              </w:rPr>
              <w:t>2</w:t>
            </w:r>
          </w:p>
        </w:tc>
      </w:tr>
    </w:tbl>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0"/>
        <w:gridCol w:w="993"/>
        <w:gridCol w:w="992"/>
        <w:gridCol w:w="992"/>
        <w:gridCol w:w="992"/>
        <w:gridCol w:w="993"/>
        <w:gridCol w:w="992"/>
      </w:tblGrid>
      <w:tr w:rsidR="00F45E7D" w14:paraId="7706639A" w14:textId="77777777" w:rsidTr="00FD3C79">
        <w:tc>
          <w:tcPr>
            <w:tcW w:w="2830" w:type="dxa"/>
            <w:tcBorders>
              <w:top w:val="single" w:sz="4" w:space="0" w:color="auto"/>
            </w:tcBorders>
            <w:shd w:val="clear" w:color="auto" w:fill="auto"/>
            <w:tcMar>
              <w:left w:w="28" w:type="dxa"/>
              <w:right w:w="28" w:type="dxa"/>
            </w:tcMar>
            <w:vAlign w:val="center"/>
          </w:tcPr>
          <w:p w14:paraId="2601660D" w14:textId="69599903" w:rsidR="00F45E7D" w:rsidRDefault="0087463C" w:rsidP="00E551BD">
            <w:pPr>
              <w:pStyle w:val="TableText0"/>
            </w:pPr>
            <w:r>
              <w:t xml:space="preserve">Total NIVO cost to the PBS/RPBS </w:t>
            </w:r>
            <w:r w:rsidR="0081723D">
              <w:t>($)</w:t>
            </w:r>
          </w:p>
        </w:tc>
        <w:tc>
          <w:tcPr>
            <w:tcW w:w="993" w:type="dxa"/>
            <w:tcBorders>
              <w:top w:val="single" w:sz="4" w:space="0" w:color="auto"/>
            </w:tcBorders>
            <w:shd w:val="clear" w:color="auto" w:fill="auto"/>
            <w:tcMar>
              <w:left w:w="28" w:type="dxa"/>
              <w:right w:w="28" w:type="dxa"/>
            </w:tcMar>
            <w:vAlign w:val="center"/>
          </w:tcPr>
          <w:p w14:paraId="1EB4BD1E" w14:textId="69F24412" w:rsidR="00F45E7D" w:rsidRPr="0081723D" w:rsidRDefault="006A317A" w:rsidP="00E551BD">
            <w:pPr>
              <w:pStyle w:val="TableText0"/>
              <w:jc w:val="center"/>
              <w:rPr>
                <w:rFonts w:cs="Arial"/>
                <w:highlight w:val="darkGray"/>
              </w:rPr>
            </w:pPr>
            <w:r w:rsidRPr="006A317A">
              <w:rPr>
                <w:rFonts w:cs="Arial"/>
                <w:color w:val="000000"/>
                <w:spacing w:val="75"/>
                <w:szCs w:val="20"/>
                <w:shd w:val="solid" w:color="000000" w:fill="000000"/>
                <w:fitText w:val="161" w:id="-1304782065"/>
                <w14:textFill>
                  <w14:solidFill>
                    <w14:srgbClr w14:val="000000">
                      <w14:alpha w14:val="100000"/>
                    </w14:srgbClr>
                  </w14:solidFill>
                </w14:textFill>
              </w:rPr>
              <w:t>|</w:t>
            </w:r>
            <w:r w:rsidRPr="006A317A">
              <w:rPr>
                <w:rFonts w:cs="Arial"/>
                <w:color w:val="000000"/>
                <w:spacing w:val="1"/>
                <w:szCs w:val="20"/>
                <w:shd w:val="solid" w:color="000000" w:fill="000000"/>
                <w:fitText w:val="161" w:id="-1304782065"/>
                <w14:textFill>
                  <w14:solidFill>
                    <w14:srgbClr w14:val="000000">
                      <w14:alpha w14:val="100000"/>
                    </w14:srgbClr>
                  </w14:solidFill>
                </w14:textFill>
              </w:rPr>
              <w:t>|</w:t>
            </w:r>
            <w:r w:rsidR="0081723D">
              <w:rPr>
                <w:vertAlign w:val="superscript"/>
              </w:rPr>
              <w:t>3</w:t>
            </w:r>
          </w:p>
        </w:tc>
        <w:tc>
          <w:tcPr>
            <w:tcW w:w="992" w:type="dxa"/>
            <w:tcBorders>
              <w:top w:val="single" w:sz="4" w:space="0" w:color="auto"/>
            </w:tcBorders>
            <w:shd w:val="clear" w:color="auto" w:fill="auto"/>
            <w:tcMar>
              <w:left w:w="28" w:type="dxa"/>
              <w:right w:w="28" w:type="dxa"/>
            </w:tcMar>
            <w:vAlign w:val="center"/>
          </w:tcPr>
          <w:p w14:paraId="16C7EAD0" w14:textId="0E23CA1C" w:rsidR="00F45E7D" w:rsidRPr="0081723D" w:rsidRDefault="006A317A" w:rsidP="00E551BD">
            <w:pPr>
              <w:pStyle w:val="TableText0"/>
              <w:jc w:val="center"/>
              <w:rPr>
                <w:rFonts w:cs="Arial"/>
                <w:highlight w:val="darkGray"/>
              </w:rPr>
            </w:pPr>
            <w:r w:rsidRPr="006A317A">
              <w:rPr>
                <w:rFonts w:cs="Arial"/>
                <w:color w:val="000000"/>
                <w:spacing w:val="75"/>
                <w:szCs w:val="20"/>
                <w:shd w:val="solid" w:color="000000" w:fill="000000"/>
                <w:fitText w:val="161" w:id="-1304782064"/>
                <w14:textFill>
                  <w14:solidFill>
                    <w14:srgbClr w14:val="000000">
                      <w14:alpha w14:val="100000"/>
                    </w14:srgbClr>
                  </w14:solidFill>
                </w14:textFill>
              </w:rPr>
              <w:t>|</w:t>
            </w:r>
            <w:r w:rsidRPr="006A317A">
              <w:rPr>
                <w:rFonts w:cs="Arial"/>
                <w:color w:val="000000"/>
                <w:spacing w:val="1"/>
                <w:szCs w:val="20"/>
                <w:shd w:val="solid" w:color="000000" w:fill="000000"/>
                <w:fitText w:val="161" w:id="-1304782064"/>
                <w14:textFill>
                  <w14:solidFill>
                    <w14:srgbClr w14:val="000000">
                      <w14:alpha w14:val="100000"/>
                    </w14:srgbClr>
                  </w14:solidFill>
                </w14:textFill>
              </w:rPr>
              <w:t>|</w:t>
            </w:r>
            <w:r w:rsidR="0081723D">
              <w:rPr>
                <w:vertAlign w:val="superscript"/>
              </w:rPr>
              <w:t>3</w:t>
            </w:r>
          </w:p>
        </w:tc>
        <w:tc>
          <w:tcPr>
            <w:tcW w:w="992" w:type="dxa"/>
            <w:tcBorders>
              <w:top w:val="single" w:sz="4" w:space="0" w:color="auto"/>
            </w:tcBorders>
            <w:shd w:val="clear" w:color="auto" w:fill="auto"/>
            <w:tcMar>
              <w:left w:w="28" w:type="dxa"/>
              <w:right w:w="28" w:type="dxa"/>
            </w:tcMar>
            <w:vAlign w:val="center"/>
          </w:tcPr>
          <w:p w14:paraId="0E87E8E9" w14:textId="38472021" w:rsidR="00F45E7D" w:rsidRPr="0081723D" w:rsidRDefault="006A317A" w:rsidP="00E551BD">
            <w:pPr>
              <w:pStyle w:val="TableText0"/>
              <w:jc w:val="center"/>
              <w:rPr>
                <w:rFonts w:cs="Arial"/>
                <w:highlight w:val="darkGray"/>
              </w:rPr>
            </w:pPr>
            <w:r w:rsidRPr="006A317A">
              <w:rPr>
                <w:rFonts w:cs="Arial"/>
                <w:color w:val="000000"/>
                <w:spacing w:val="69"/>
                <w:szCs w:val="20"/>
                <w:shd w:val="solid" w:color="000000" w:fill="000000"/>
                <w:fitText w:val="162" w:id="-1304782080"/>
                <w14:textFill>
                  <w14:solidFill>
                    <w14:srgbClr w14:val="000000">
                      <w14:alpha w14:val="100000"/>
                    </w14:srgbClr>
                  </w14:solidFill>
                </w14:textFill>
              </w:rPr>
              <w:t>|</w:t>
            </w:r>
            <w:r w:rsidRPr="006A317A">
              <w:rPr>
                <w:rFonts w:cs="Arial"/>
                <w:color w:val="000000"/>
                <w:szCs w:val="20"/>
                <w:shd w:val="solid" w:color="000000" w:fill="000000"/>
                <w:fitText w:val="162" w:id="-1304782080"/>
                <w14:textFill>
                  <w14:solidFill>
                    <w14:srgbClr w14:val="000000">
                      <w14:alpha w14:val="100000"/>
                    </w14:srgbClr>
                  </w14:solidFill>
                </w14:textFill>
              </w:rPr>
              <w:t>|</w:t>
            </w:r>
            <w:r w:rsidR="0081723D">
              <w:rPr>
                <w:vertAlign w:val="superscript"/>
              </w:rPr>
              <w:t>3</w:t>
            </w:r>
          </w:p>
        </w:tc>
        <w:tc>
          <w:tcPr>
            <w:tcW w:w="992" w:type="dxa"/>
            <w:tcBorders>
              <w:top w:val="single" w:sz="4" w:space="0" w:color="auto"/>
            </w:tcBorders>
            <w:shd w:val="clear" w:color="auto" w:fill="auto"/>
            <w:tcMar>
              <w:left w:w="28" w:type="dxa"/>
              <w:right w:w="28" w:type="dxa"/>
            </w:tcMar>
            <w:vAlign w:val="center"/>
          </w:tcPr>
          <w:p w14:paraId="0EFEE0BB" w14:textId="6D8CB266" w:rsidR="00F45E7D" w:rsidRPr="0081723D" w:rsidRDefault="006A317A" w:rsidP="00E551BD">
            <w:pPr>
              <w:pStyle w:val="TableText0"/>
              <w:jc w:val="center"/>
              <w:rPr>
                <w:rFonts w:cs="Arial"/>
                <w:highlight w:val="darkGray"/>
              </w:rPr>
            </w:pPr>
            <w:r w:rsidRPr="006A317A">
              <w:rPr>
                <w:rFonts w:cs="Arial"/>
                <w:color w:val="000000"/>
                <w:spacing w:val="75"/>
                <w:szCs w:val="20"/>
                <w:shd w:val="solid" w:color="000000" w:fill="000000"/>
                <w:fitText w:val="161" w:id="-1304782079"/>
                <w14:textFill>
                  <w14:solidFill>
                    <w14:srgbClr w14:val="000000">
                      <w14:alpha w14:val="100000"/>
                    </w14:srgbClr>
                  </w14:solidFill>
                </w14:textFill>
              </w:rPr>
              <w:t>|</w:t>
            </w:r>
            <w:r w:rsidRPr="006A317A">
              <w:rPr>
                <w:rFonts w:cs="Arial"/>
                <w:color w:val="000000"/>
                <w:spacing w:val="1"/>
                <w:szCs w:val="20"/>
                <w:shd w:val="solid" w:color="000000" w:fill="000000"/>
                <w:fitText w:val="161" w:id="-1304782079"/>
                <w14:textFill>
                  <w14:solidFill>
                    <w14:srgbClr w14:val="000000">
                      <w14:alpha w14:val="100000"/>
                    </w14:srgbClr>
                  </w14:solidFill>
                </w14:textFill>
              </w:rPr>
              <w:t>|</w:t>
            </w:r>
            <w:r w:rsidR="0081723D">
              <w:rPr>
                <w:vertAlign w:val="superscript"/>
              </w:rPr>
              <w:t>3</w:t>
            </w:r>
          </w:p>
        </w:tc>
        <w:tc>
          <w:tcPr>
            <w:tcW w:w="993" w:type="dxa"/>
            <w:tcBorders>
              <w:top w:val="single" w:sz="4" w:space="0" w:color="auto"/>
            </w:tcBorders>
            <w:shd w:val="clear" w:color="auto" w:fill="auto"/>
            <w:tcMar>
              <w:left w:w="28" w:type="dxa"/>
              <w:right w:w="28" w:type="dxa"/>
            </w:tcMar>
            <w:vAlign w:val="center"/>
          </w:tcPr>
          <w:p w14:paraId="63000E3E" w14:textId="3170F694" w:rsidR="00F45E7D" w:rsidRPr="0081723D" w:rsidRDefault="006A317A" w:rsidP="00E551BD">
            <w:pPr>
              <w:pStyle w:val="TableText0"/>
              <w:jc w:val="center"/>
              <w:rPr>
                <w:rFonts w:cs="Arial"/>
                <w:highlight w:val="darkGray"/>
              </w:rPr>
            </w:pPr>
            <w:r w:rsidRPr="006A317A">
              <w:rPr>
                <w:rFonts w:cs="Arial"/>
                <w:color w:val="000000"/>
                <w:spacing w:val="75"/>
                <w:szCs w:val="20"/>
                <w:shd w:val="solid" w:color="000000" w:fill="000000"/>
                <w:fitText w:val="161" w:id="-1304782078"/>
                <w14:textFill>
                  <w14:solidFill>
                    <w14:srgbClr w14:val="000000">
                      <w14:alpha w14:val="100000"/>
                    </w14:srgbClr>
                  </w14:solidFill>
                </w14:textFill>
              </w:rPr>
              <w:t>|</w:t>
            </w:r>
            <w:r w:rsidRPr="006A317A">
              <w:rPr>
                <w:rFonts w:cs="Arial"/>
                <w:color w:val="000000"/>
                <w:spacing w:val="1"/>
                <w:szCs w:val="20"/>
                <w:shd w:val="solid" w:color="000000" w:fill="000000"/>
                <w:fitText w:val="161" w:id="-1304782078"/>
                <w14:textFill>
                  <w14:solidFill>
                    <w14:srgbClr w14:val="000000">
                      <w14:alpha w14:val="100000"/>
                    </w14:srgbClr>
                  </w14:solidFill>
                </w14:textFill>
              </w:rPr>
              <w:t>|</w:t>
            </w:r>
            <w:r w:rsidR="0081723D">
              <w:rPr>
                <w:vertAlign w:val="superscript"/>
              </w:rPr>
              <w:t>3</w:t>
            </w:r>
          </w:p>
        </w:tc>
        <w:tc>
          <w:tcPr>
            <w:tcW w:w="992" w:type="dxa"/>
            <w:tcBorders>
              <w:top w:val="single" w:sz="4" w:space="0" w:color="auto"/>
            </w:tcBorders>
            <w:shd w:val="clear" w:color="auto" w:fill="auto"/>
            <w:tcMar>
              <w:left w:w="28" w:type="dxa"/>
              <w:right w:w="28" w:type="dxa"/>
            </w:tcMar>
            <w:vAlign w:val="center"/>
          </w:tcPr>
          <w:p w14:paraId="142F5617" w14:textId="7928B164" w:rsidR="00F45E7D" w:rsidRPr="0081723D" w:rsidRDefault="006A317A" w:rsidP="00E551BD">
            <w:pPr>
              <w:pStyle w:val="TableText0"/>
              <w:jc w:val="center"/>
              <w:rPr>
                <w:rFonts w:cs="Arial"/>
                <w:highlight w:val="darkGray"/>
              </w:rPr>
            </w:pPr>
            <w:r w:rsidRPr="006A317A">
              <w:rPr>
                <w:rFonts w:cs="Arial"/>
                <w:color w:val="000000"/>
                <w:spacing w:val="75"/>
                <w:szCs w:val="20"/>
                <w:shd w:val="solid" w:color="000000" w:fill="000000"/>
                <w:fitText w:val="161" w:id="-1304782077"/>
                <w14:textFill>
                  <w14:solidFill>
                    <w14:srgbClr w14:val="000000">
                      <w14:alpha w14:val="100000"/>
                    </w14:srgbClr>
                  </w14:solidFill>
                </w14:textFill>
              </w:rPr>
              <w:t>|</w:t>
            </w:r>
            <w:r w:rsidRPr="006A317A">
              <w:rPr>
                <w:rFonts w:cs="Arial"/>
                <w:color w:val="000000"/>
                <w:spacing w:val="1"/>
                <w:szCs w:val="20"/>
                <w:shd w:val="solid" w:color="000000" w:fill="000000"/>
                <w:fitText w:val="161" w:id="-1304782077"/>
                <w14:textFill>
                  <w14:solidFill>
                    <w14:srgbClr w14:val="000000">
                      <w14:alpha w14:val="100000"/>
                    </w14:srgbClr>
                  </w14:solidFill>
                </w14:textFill>
              </w:rPr>
              <w:t>|</w:t>
            </w:r>
            <w:r w:rsidR="0081723D">
              <w:rPr>
                <w:vertAlign w:val="superscript"/>
              </w:rPr>
              <w:t>3</w:t>
            </w:r>
          </w:p>
        </w:tc>
      </w:tr>
      <w:tr w:rsidR="00F45E7D" w14:paraId="5F565424" w14:textId="77777777">
        <w:tc>
          <w:tcPr>
            <w:tcW w:w="2830" w:type="dxa"/>
            <w:shd w:val="clear" w:color="auto" w:fill="auto"/>
            <w:tcMar>
              <w:left w:w="28" w:type="dxa"/>
              <w:right w:w="28" w:type="dxa"/>
            </w:tcMar>
            <w:vAlign w:val="center"/>
          </w:tcPr>
          <w:p w14:paraId="4B281470" w14:textId="60B2E212" w:rsidR="00F45E7D" w:rsidRDefault="0087463C" w:rsidP="00E551BD">
            <w:pPr>
              <w:pStyle w:val="TableText0"/>
            </w:pPr>
            <w:r>
              <w:t xml:space="preserve">Patient co-payment* </w:t>
            </w:r>
            <w:r w:rsidR="0081723D">
              <w:t>($)</w:t>
            </w:r>
          </w:p>
        </w:tc>
        <w:tc>
          <w:tcPr>
            <w:tcW w:w="993" w:type="dxa"/>
            <w:shd w:val="clear" w:color="auto" w:fill="auto"/>
            <w:tcMar>
              <w:left w:w="28" w:type="dxa"/>
              <w:right w:w="28" w:type="dxa"/>
            </w:tcMar>
            <w:vAlign w:val="center"/>
          </w:tcPr>
          <w:p w14:paraId="5BA4F284" w14:textId="7F0D36D3" w:rsidR="00F45E7D" w:rsidRPr="0081723D" w:rsidRDefault="006A317A" w:rsidP="00E551BD">
            <w:pPr>
              <w:pStyle w:val="TableText0"/>
              <w:jc w:val="center"/>
              <w:rPr>
                <w:highlight w:val="darkGray"/>
              </w:rPr>
            </w:pPr>
            <w:r w:rsidRPr="006A317A">
              <w:rPr>
                <w:rFonts w:cs="Arial"/>
                <w:color w:val="000000"/>
                <w:spacing w:val="75"/>
                <w:szCs w:val="20"/>
                <w:shd w:val="solid" w:color="000000" w:fill="000000"/>
                <w:fitText w:val="161" w:id="-1304782076"/>
                <w14:textFill>
                  <w14:solidFill>
                    <w14:srgbClr w14:val="000000">
                      <w14:alpha w14:val="100000"/>
                    </w14:srgbClr>
                  </w14:solidFill>
                </w14:textFill>
              </w:rPr>
              <w:t>|</w:t>
            </w:r>
            <w:r w:rsidRPr="006A317A">
              <w:rPr>
                <w:rFonts w:cs="Arial"/>
                <w:color w:val="000000"/>
                <w:spacing w:val="1"/>
                <w:szCs w:val="20"/>
                <w:shd w:val="solid" w:color="000000" w:fill="000000"/>
                <w:fitText w:val="161" w:id="-1304782076"/>
                <w14:textFill>
                  <w14:solidFill>
                    <w14:srgbClr w14:val="000000">
                      <w14:alpha w14:val="100000"/>
                    </w14:srgbClr>
                  </w14:solidFill>
                </w14:textFill>
              </w:rPr>
              <w:t>|</w:t>
            </w:r>
            <w:r w:rsidR="0081723D">
              <w:rPr>
                <w:vertAlign w:val="superscript"/>
              </w:rPr>
              <w:t>3</w:t>
            </w:r>
          </w:p>
        </w:tc>
        <w:tc>
          <w:tcPr>
            <w:tcW w:w="992" w:type="dxa"/>
            <w:shd w:val="clear" w:color="auto" w:fill="auto"/>
            <w:tcMar>
              <w:left w:w="28" w:type="dxa"/>
              <w:right w:w="28" w:type="dxa"/>
            </w:tcMar>
            <w:vAlign w:val="center"/>
          </w:tcPr>
          <w:p w14:paraId="61F88605" w14:textId="34096EC1" w:rsidR="00F45E7D" w:rsidRPr="0081723D" w:rsidRDefault="006A317A" w:rsidP="00E551BD">
            <w:pPr>
              <w:pStyle w:val="TableText0"/>
              <w:jc w:val="center"/>
              <w:rPr>
                <w:highlight w:val="darkGray"/>
              </w:rPr>
            </w:pPr>
            <w:r w:rsidRPr="006A317A">
              <w:rPr>
                <w:rFonts w:cs="Arial"/>
                <w:color w:val="000000"/>
                <w:spacing w:val="75"/>
                <w:szCs w:val="20"/>
                <w:shd w:val="solid" w:color="000000" w:fill="000000"/>
                <w:fitText w:val="161" w:id="-1304782075"/>
                <w14:textFill>
                  <w14:solidFill>
                    <w14:srgbClr w14:val="000000">
                      <w14:alpha w14:val="100000"/>
                    </w14:srgbClr>
                  </w14:solidFill>
                </w14:textFill>
              </w:rPr>
              <w:t>|</w:t>
            </w:r>
            <w:r w:rsidRPr="006A317A">
              <w:rPr>
                <w:rFonts w:cs="Arial"/>
                <w:color w:val="000000"/>
                <w:spacing w:val="1"/>
                <w:szCs w:val="20"/>
                <w:shd w:val="solid" w:color="000000" w:fill="000000"/>
                <w:fitText w:val="161" w:id="-1304782075"/>
                <w14:textFill>
                  <w14:solidFill>
                    <w14:srgbClr w14:val="000000">
                      <w14:alpha w14:val="100000"/>
                    </w14:srgbClr>
                  </w14:solidFill>
                </w14:textFill>
              </w:rPr>
              <w:t>|</w:t>
            </w:r>
            <w:r w:rsidR="0081723D">
              <w:rPr>
                <w:vertAlign w:val="superscript"/>
              </w:rPr>
              <w:t>3</w:t>
            </w:r>
          </w:p>
        </w:tc>
        <w:tc>
          <w:tcPr>
            <w:tcW w:w="992" w:type="dxa"/>
            <w:shd w:val="clear" w:color="auto" w:fill="auto"/>
            <w:tcMar>
              <w:left w:w="28" w:type="dxa"/>
              <w:right w:w="28" w:type="dxa"/>
            </w:tcMar>
            <w:vAlign w:val="center"/>
          </w:tcPr>
          <w:p w14:paraId="163A6661" w14:textId="10B35B08" w:rsidR="00F45E7D" w:rsidRPr="0081723D" w:rsidRDefault="006A317A" w:rsidP="00E551BD">
            <w:pPr>
              <w:pStyle w:val="TableText0"/>
              <w:jc w:val="center"/>
              <w:rPr>
                <w:highlight w:val="darkGray"/>
              </w:rPr>
            </w:pPr>
            <w:r w:rsidRPr="006A317A">
              <w:rPr>
                <w:rFonts w:cs="Arial"/>
                <w:color w:val="000000"/>
                <w:spacing w:val="69"/>
                <w:szCs w:val="20"/>
                <w:shd w:val="solid" w:color="000000" w:fill="000000"/>
                <w:fitText w:val="162" w:id="-1304782074"/>
                <w14:textFill>
                  <w14:solidFill>
                    <w14:srgbClr w14:val="000000">
                      <w14:alpha w14:val="100000"/>
                    </w14:srgbClr>
                  </w14:solidFill>
                </w14:textFill>
              </w:rPr>
              <w:t>|</w:t>
            </w:r>
            <w:r w:rsidRPr="006A317A">
              <w:rPr>
                <w:rFonts w:cs="Arial"/>
                <w:color w:val="000000"/>
                <w:szCs w:val="20"/>
                <w:shd w:val="solid" w:color="000000" w:fill="000000"/>
                <w:fitText w:val="162" w:id="-1304782074"/>
                <w14:textFill>
                  <w14:solidFill>
                    <w14:srgbClr w14:val="000000">
                      <w14:alpha w14:val="100000"/>
                    </w14:srgbClr>
                  </w14:solidFill>
                </w14:textFill>
              </w:rPr>
              <w:t>|</w:t>
            </w:r>
            <w:r w:rsidR="0081723D">
              <w:rPr>
                <w:vertAlign w:val="superscript"/>
              </w:rPr>
              <w:t>3</w:t>
            </w:r>
          </w:p>
        </w:tc>
        <w:tc>
          <w:tcPr>
            <w:tcW w:w="992" w:type="dxa"/>
            <w:shd w:val="clear" w:color="auto" w:fill="auto"/>
            <w:tcMar>
              <w:left w:w="28" w:type="dxa"/>
              <w:right w:w="28" w:type="dxa"/>
            </w:tcMar>
            <w:vAlign w:val="center"/>
          </w:tcPr>
          <w:p w14:paraId="597654AE" w14:textId="0C8BA581" w:rsidR="00F45E7D" w:rsidRPr="0081723D" w:rsidRDefault="006A317A" w:rsidP="00E551BD">
            <w:pPr>
              <w:pStyle w:val="TableText0"/>
              <w:jc w:val="center"/>
              <w:rPr>
                <w:highlight w:val="darkGray"/>
              </w:rPr>
            </w:pPr>
            <w:r w:rsidRPr="006A317A">
              <w:rPr>
                <w:rFonts w:cs="Arial"/>
                <w:color w:val="000000"/>
                <w:spacing w:val="75"/>
                <w:szCs w:val="20"/>
                <w:shd w:val="solid" w:color="000000" w:fill="000000"/>
                <w:fitText w:val="161" w:id="-1304782073"/>
                <w14:textFill>
                  <w14:solidFill>
                    <w14:srgbClr w14:val="000000">
                      <w14:alpha w14:val="100000"/>
                    </w14:srgbClr>
                  </w14:solidFill>
                </w14:textFill>
              </w:rPr>
              <w:t>|</w:t>
            </w:r>
            <w:r w:rsidRPr="006A317A">
              <w:rPr>
                <w:rFonts w:cs="Arial"/>
                <w:color w:val="000000"/>
                <w:spacing w:val="1"/>
                <w:szCs w:val="20"/>
                <w:shd w:val="solid" w:color="000000" w:fill="000000"/>
                <w:fitText w:val="161" w:id="-1304782073"/>
                <w14:textFill>
                  <w14:solidFill>
                    <w14:srgbClr w14:val="000000">
                      <w14:alpha w14:val="100000"/>
                    </w14:srgbClr>
                  </w14:solidFill>
                </w14:textFill>
              </w:rPr>
              <w:t>|</w:t>
            </w:r>
            <w:r w:rsidR="0081723D">
              <w:rPr>
                <w:vertAlign w:val="superscript"/>
              </w:rPr>
              <w:t>3</w:t>
            </w:r>
          </w:p>
        </w:tc>
        <w:tc>
          <w:tcPr>
            <w:tcW w:w="993" w:type="dxa"/>
            <w:shd w:val="clear" w:color="auto" w:fill="auto"/>
            <w:tcMar>
              <w:left w:w="28" w:type="dxa"/>
              <w:right w:w="28" w:type="dxa"/>
            </w:tcMar>
            <w:vAlign w:val="center"/>
          </w:tcPr>
          <w:p w14:paraId="2B9B6EF4" w14:textId="35D52645" w:rsidR="00F45E7D" w:rsidRPr="0081723D" w:rsidRDefault="006A317A" w:rsidP="00E551BD">
            <w:pPr>
              <w:pStyle w:val="TableText0"/>
              <w:jc w:val="center"/>
              <w:rPr>
                <w:highlight w:val="darkGray"/>
              </w:rPr>
            </w:pPr>
            <w:r w:rsidRPr="006A317A">
              <w:rPr>
                <w:rFonts w:cs="Arial"/>
                <w:color w:val="000000"/>
                <w:spacing w:val="75"/>
                <w:szCs w:val="20"/>
                <w:shd w:val="solid" w:color="000000" w:fill="000000"/>
                <w:fitText w:val="161" w:id="-1304782072"/>
                <w14:textFill>
                  <w14:solidFill>
                    <w14:srgbClr w14:val="000000">
                      <w14:alpha w14:val="100000"/>
                    </w14:srgbClr>
                  </w14:solidFill>
                </w14:textFill>
              </w:rPr>
              <w:t>|</w:t>
            </w:r>
            <w:r w:rsidRPr="006A317A">
              <w:rPr>
                <w:rFonts w:cs="Arial"/>
                <w:color w:val="000000"/>
                <w:spacing w:val="1"/>
                <w:szCs w:val="20"/>
                <w:shd w:val="solid" w:color="000000" w:fill="000000"/>
                <w:fitText w:val="161" w:id="-1304782072"/>
                <w14:textFill>
                  <w14:solidFill>
                    <w14:srgbClr w14:val="000000">
                      <w14:alpha w14:val="100000"/>
                    </w14:srgbClr>
                  </w14:solidFill>
                </w14:textFill>
              </w:rPr>
              <w:t>|</w:t>
            </w:r>
            <w:r w:rsidR="0081723D">
              <w:rPr>
                <w:vertAlign w:val="superscript"/>
              </w:rPr>
              <w:t>3</w:t>
            </w:r>
          </w:p>
        </w:tc>
        <w:tc>
          <w:tcPr>
            <w:tcW w:w="992" w:type="dxa"/>
            <w:shd w:val="clear" w:color="auto" w:fill="auto"/>
            <w:tcMar>
              <w:left w:w="28" w:type="dxa"/>
              <w:right w:w="28" w:type="dxa"/>
            </w:tcMar>
            <w:vAlign w:val="center"/>
          </w:tcPr>
          <w:p w14:paraId="04FC5505" w14:textId="0C1D3D63" w:rsidR="00F45E7D" w:rsidRPr="0081723D" w:rsidRDefault="006A317A" w:rsidP="00E551BD">
            <w:pPr>
              <w:pStyle w:val="TableText0"/>
              <w:jc w:val="center"/>
              <w:rPr>
                <w:highlight w:val="darkGray"/>
              </w:rPr>
            </w:pPr>
            <w:r w:rsidRPr="006A317A">
              <w:rPr>
                <w:rFonts w:cs="Arial"/>
                <w:color w:val="000000"/>
                <w:spacing w:val="75"/>
                <w:szCs w:val="20"/>
                <w:shd w:val="solid" w:color="000000" w:fill="000000"/>
                <w:fitText w:val="161" w:id="-1304782071"/>
                <w14:textFill>
                  <w14:solidFill>
                    <w14:srgbClr w14:val="000000">
                      <w14:alpha w14:val="100000"/>
                    </w14:srgbClr>
                  </w14:solidFill>
                </w14:textFill>
              </w:rPr>
              <w:t>|</w:t>
            </w:r>
            <w:r w:rsidRPr="006A317A">
              <w:rPr>
                <w:rFonts w:cs="Arial"/>
                <w:color w:val="000000"/>
                <w:spacing w:val="1"/>
                <w:szCs w:val="20"/>
                <w:shd w:val="solid" w:color="000000" w:fill="000000"/>
                <w:fitText w:val="161" w:id="-1304782071"/>
                <w14:textFill>
                  <w14:solidFill>
                    <w14:srgbClr w14:val="000000">
                      <w14:alpha w14:val="100000"/>
                    </w14:srgbClr>
                  </w14:solidFill>
                </w14:textFill>
              </w:rPr>
              <w:t>|</w:t>
            </w:r>
            <w:r w:rsidR="0081723D">
              <w:rPr>
                <w:vertAlign w:val="superscript"/>
              </w:rPr>
              <w:t>3</w:t>
            </w:r>
          </w:p>
        </w:tc>
      </w:tr>
      <w:tr w:rsidR="00F45E7D" w14:paraId="7A0FF2BB" w14:textId="77777777">
        <w:tc>
          <w:tcPr>
            <w:tcW w:w="2830" w:type="dxa"/>
            <w:shd w:val="clear" w:color="auto" w:fill="auto"/>
            <w:tcMar>
              <w:left w:w="28" w:type="dxa"/>
              <w:right w:w="28" w:type="dxa"/>
            </w:tcMar>
            <w:vAlign w:val="center"/>
          </w:tcPr>
          <w:p w14:paraId="0DE6D32E" w14:textId="14E9AB6B" w:rsidR="00F45E7D" w:rsidRDefault="0087463C" w:rsidP="00E551BD">
            <w:pPr>
              <w:pStyle w:val="TableText0"/>
              <w:rPr>
                <w:b/>
                <w:bCs w:val="0"/>
              </w:rPr>
            </w:pPr>
            <w:r>
              <w:rPr>
                <w:b/>
                <w:bCs w:val="0"/>
              </w:rPr>
              <w:t xml:space="preserve">Net NIVO cost to the PBS/RPBS </w:t>
            </w:r>
            <w:r w:rsidR="0081723D" w:rsidRPr="0081723D">
              <w:t>($)</w:t>
            </w:r>
          </w:p>
        </w:tc>
        <w:tc>
          <w:tcPr>
            <w:tcW w:w="993" w:type="dxa"/>
            <w:shd w:val="clear" w:color="auto" w:fill="auto"/>
            <w:tcMar>
              <w:left w:w="28" w:type="dxa"/>
              <w:right w:w="28" w:type="dxa"/>
            </w:tcMar>
            <w:vAlign w:val="center"/>
          </w:tcPr>
          <w:p w14:paraId="6B4046FA" w14:textId="0B40E94B" w:rsidR="00F45E7D" w:rsidRPr="0081723D" w:rsidRDefault="006A317A" w:rsidP="00E551BD">
            <w:pPr>
              <w:pStyle w:val="TableText0"/>
              <w:jc w:val="center"/>
              <w:rPr>
                <w:b/>
                <w:bCs w:val="0"/>
                <w:highlight w:val="darkGray"/>
              </w:rPr>
            </w:pPr>
            <w:r w:rsidRPr="006A317A">
              <w:rPr>
                <w:b/>
                <w:bCs w:val="0"/>
                <w:color w:val="000000"/>
                <w:spacing w:val="69"/>
                <w:shd w:val="solid" w:color="000000" w:fill="000000"/>
                <w:fitText w:val="161" w:id="-1304782070"/>
                <w14:textFill>
                  <w14:solidFill>
                    <w14:srgbClr w14:val="000000">
                      <w14:alpha w14:val="100000"/>
                    </w14:srgbClr>
                  </w14:solidFill>
                </w14:textFill>
              </w:rPr>
              <w:t>|</w:t>
            </w:r>
            <w:r w:rsidRPr="006A317A">
              <w:rPr>
                <w:b/>
                <w:bCs w:val="0"/>
                <w:color w:val="000000"/>
                <w:spacing w:val="1"/>
                <w:shd w:val="solid" w:color="000000" w:fill="000000"/>
                <w:fitText w:val="161" w:id="-1304782070"/>
                <w14:textFill>
                  <w14:solidFill>
                    <w14:srgbClr w14:val="000000">
                      <w14:alpha w14:val="100000"/>
                    </w14:srgbClr>
                  </w14:solidFill>
                </w14:textFill>
              </w:rPr>
              <w:t>|</w:t>
            </w:r>
            <w:r w:rsidR="0081723D">
              <w:rPr>
                <w:vertAlign w:val="superscript"/>
              </w:rPr>
              <w:t>3</w:t>
            </w:r>
          </w:p>
        </w:tc>
        <w:tc>
          <w:tcPr>
            <w:tcW w:w="992" w:type="dxa"/>
            <w:shd w:val="clear" w:color="auto" w:fill="auto"/>
            <w:tcMar>
              <w:left w:w="28" w:type="dxa"/>
              <w:right w:w="28" w:type="dxa"/>
            </w:tcMar>
            <w:vAlign w:val="center"/>
          </w:tcPr>
          <w:p w14:paraId="1BEFD8A9" w14:textId="20EB7335" w:rsidR="00F45E7D" w:rsidRPr="0081723D" w:rsidRDefault="006A317A" w:rsidP="00E551BD">
            <w:pPr>
              <w:pStyle w:val="TableText0"/>
              <w:jc w:val="center"/>
              <w:rPr>
                <w:b/>
                <w:bCs w:val="0"/>
                <w:highlight w:val="darkGray"/>
              </w:rPr>
            </w:pPr>
            <w:r w:rsidRPr="006A317A">
              <w:rPr>
                <w:b/>
                <w:bCs w:val="0"/>
                <w:color w:val="000000"/>
                <w:spacing w:val="69"/>
                <w:shd w:val="solid" w:color="000000" w:fill="000000"/>
                <w:fitText w:val="161" w:id="-1304782069"/>
                <w14:textFill>
                  <w14:solidFill>
                    <w14:srgbClr w14:val="000000">
                      <w14:alpha w14:val="100000"/>
                    </w14:srgbClr>
                  </w14:solidFill>
                </w14:textFill>
              </w:rPr>
              <w:t>|</w:t>
            </w:r>
            <w:r w:rsidRPr="006A317A">
              <w:rPr>
                <w:b/>
                <w:bCs w:val="0"/>
                <w:color w:val="000000"/>
                <w:spacing w:val="1"/>
                <w:shd w:val="solid" w:color="000000" w:fill="000000"/>
                <w:fitText w:val="161" w:id="-1304782069"/>
                <w14:textFill>
                  <w14:solidFill>
                    <w14:srgbClr w14:val="000000">
                      <w14:alpha w14:val="100000"/>
                    </w14:srgbClr>
                  </w14:solidFill>
                </w14:textFill>
              </w:rPr>
              <w:t>|</w:t>
            </w:r>
            <w:r w:rsidR="0081723D">
              <w:rPr>
                <w:vertAlign w:val="superscript"/>
              </w:rPr>
              <w:t>3</w:t>
            </w:r>
          </w:p>
        </w:tc>
        <w:tc>
          <w:tcPr>
            <w:tcW w:w="992" w:type="dxa"/>
            <w:shd w:val="clear" w:color="auto" w:fill="auto"/>
            <w:tcMar>
              <w:left w:w="28" w:type="dxa"/>
              <w:right w:w="28" w:type="dxa"/>
            </w:tcMar>
            <w:vAlign w:val="center"/>
          </w:tcPr>
          <w:p w14:paraId="5B579E57" w14:textId="776A34A7" w:rsidR="00F45E7D" w:rsidRPr="0081723D" w:rsidRDefault="006A317A" w:rsidP="00E551BD">
            <w:pPr>
              <w:pStyle w:val="TableText0"/>
              <w:jc w:val="center"/>
              <w:rPr>
                <w:b/>
                <w:bCs w:val="0"/>
                <w:highlight w:val="darkGray"/>
              </w:rPr>
            </w:pPr>
            <w:r w:rsidRPr="006A317A">
              <w:rPr>
                <w:b/>
                <w:bCs w:val="0"/>
                <w:color w:val="000000"/>
                <w:spacing w:val="70"/>
                <w:shd w:val="solid" w:color="000000" w:fill="000000"/>
                <w:fitText w:val="162" w:id="-1304782068"/>
                <w14:textFill>
                  <w14:solidFill>
                    <w14:srgbClr w14:val="000000">
                      <w14:alpha w14:val="100000"/>
                    </w14:srgbClr>
                  </w14:solidFill>
                </w14:textFill>
              </w:rPr>
              <w:t>|</w:t>
            </w:r>
            <w:r w:rsidRPr="006A317A">
              <w:rPr>
                <w:b/>
                <w:bCs w:val="0"/>
                <w:color w:val="000000"/>
                <w:spacing w:val="1"/>
                <w:shd w:val="solid" w:color="000000" w:fill="000000"/>
                <w:fitText w:val="162" w:id="-1304782068"/>
                <w14:textFill>
                  <w14:solidFill>
                    <w14:srgbClr w14:val="000000">
                      <w14:alpha w14:val="100000"/>
                    </w14:srgbClr>
                  </w14:solidFill>
                </w14:textFill>
              </w:rPr>
              <w:t>|</w:t>
            </w:r>
            <w:r w:rsidR="0081723D">
              <w:rPr>
                <w:vertAlign w:val="superscript"/>
              </w:rPr>
              <w:t>3</w:t>
            </w:r>
          </w:p>
        </w:tc>
        <w:tc>
          <w:tcPr>
            <w:tcW w:w="992" w:type="dxa"/>
            <w:shd w:val="clear" w:color="auto" w:fill="auto"/>
            <w:tcMar>
              <w:left w:w="28" w:type="dxa"/>
              <w:right w:w="28" w:type="dxa"/>
            </w:tcMar>
            <w:vAlign w:val="center"/>
          </w:tcPr>
          <w:p w14:paraId="4B624C5E" w14:textId="5097C47D" w:rsidR="00F45E7D" w:rsidRPr="0081723D" w:rsidRDefault="006A317A" w:rsidP="00E551BD">
            <w:pPr>
              <w:pStyle w:val="TableText0"/>
              <w:jc w:val="center"/>
              <w:rPr>
                <w:b/>
                <w:bCs w:val="0"/>
                <w:highlight w:val="darkGray"/>
              </w:rPr>
            </w:pPr>
            <w:r w:rsidRPr="006A317A">
              <w:rPr>
                <w:b/>
                <w:bCs w:val="0"/>
                <w:color w:val="000000"/>
                <w:spacing w:val="69"/>
                <w:shd w:val="solid" w:color="000000" w:fill="000000"/>
                <w:fitText w:val="161" w:id="-1304782067"/>
                <w14:textFill>
                  <w14:solidFill>
                    <w14:srgbClr w14:val="000000">
                      <w14:alpha w14:val="100000"/>
                    </w14:srgbClr>
                  </w14:solidFill>
                </w14:textFill>
              </w:rPr>
              <w:t>|</w:t>
            </w:r>
            <w:r w:rsidRPr="006A317A">
              <w:rPr>
                <w:b/>
                <w:bCs w:val="0"/>
                <w:color w:val="000000"/>
                <w:spacing w:val="1"/>
                <w:shd w:val="solid" w:color="000000" w:fill="000000"/>
                <w:fitText w:val="161" w:id="-1304782067"/>
                <w14:textFill>
                  <w14:solidFill>
                    <w14:srgbClr w14:val="000000">
                      <w14:alpha w14:val="100000"/>
                    </w14:srgbClr>
                  </w14:solidFill>
                </w14:textFill>
              </w:rPr>
              <w:t>|</w:t>
            </w:r>
            <w:r w:rsidR="0081723D">
              <w:rPr>
                <w:vertAlign w:val="superscript"/>
              </w:rPr>
              <w:t>3</w:t>
            </w:r>
          </w:p>
        </w:tc>
        <w:tc>
          <w:tcPr>
            <w:tcW w:w="993" w:type="dxa"/>
            <w:shd w:val="clear" w:color="auto" w:fill="auto"/>
            <w:tcMar>
              <w:left w:w="28" w:type="dxa"/>
              <w:right w:w="28" w:type="dxa"/>
            </w:tcMar>
            <w:vAlign w:val="center"/>
          </w:tcPr>
          <w:p w14:paraId="1518870C" w14:textId="4CCC9C77" w:rsidR="00F45E7D" w:rsidRPr="0081723D" w:rsidRDefault="006A317A" w:rsidP="00E551BD">
            <w:pPr>
              <w:pStyle w:val="TableText0"/>
              <w:jc w:val="center"/>
              <w:rPr>
                <w:b/>
                <w:bCs w:val="0"/>
                <w:highlight w:val="darkGray"/>
              </w:rPr>
            </w:pPr>
            <w:r w:rsidRPr="006A317A">
              <w:rPr>
                <w:b/>
                <w:bCs w:val="0"/>
                <w:color w:val="000000"/>
                <w:spacing w:val="69"/>
                <w:shd w:val="solid" w:color="000000" w:fill="000000"/>
                <w:fitText w:val="161" w:id="-1304782066"/>
                <w14:textFill>
                  <w14:solidFill>
                    <w14:srgbClr w14:val="000000">
                      <w14:alpha w14:val="100000"/>
                    </w14:srgbClr>
                  </w14:solidFill>
                </w14:textFill>
              </w:rPr>
              <w:t>|</w:t>
            </w:r>
            <w:r w:rsidRPr="006A317A">
              <w:rPr>
                <w:b/>
                <w:bCs w:val="0"/>
                <w:color w:val="000000"/>
                <w:spacing w:val="1"/>
                <w:shd w:val="solid" w:color="000000" w:fill="000000"/>
                <w:fitText w:val="161" w:id="-1304782066"/>
                <w14:textFill>
                  <w14:solidFill>
                    <w14:srgbClr w14:val="000000">
                      <w14:alpha w14:val="100000"/>
                    </w14:srgbClr>
                  </w14:solidFill>
                </w14:textFill>
              </w:rPr>
              <w:t>|</w:t>
            </w:r>
            <w:r w:rsidR="0081723D">
              <w:rPr>
                <w:vertAlign w:val="superscript"/>
              </w:rPr>
              <w:t>3</w:t>
            </w:r>
          </w:p>
        </w:tc>
        <w:tc>
          <w:tcPr>
            <w:tcW w:w="992" w:type="dxa"/>
            <w:shd w:val="clear" w:color="auto" w:fill="auto"/>
            <w:tcMar>
              <w:left w:w="28" w:type="dxa"/>
              <w:right w:w="28" w:type="dxa"/>
            </w:tcMar>
            <w:vAlign w:val="center"/>
          </w:tcPr>
          <w:p w14:paraId="6901831E" w14:textId="6EBD2597" w:rsidR="00F45E7D" w:rsidRPr="0081723D" w:rsidRDefault="006A317A" w:rsidP="00E551BD">
            <w:pPr>
              <w:pStyle w:val="TableText0"/>
              <w:jc w:val="center"/>
              <w:rPr>
                <w:b/>
                <w:bCs w:val="0"/>
                <w:highlight w:val="darkGray"/>
              </w:rPr>
            </w:pPr>
            <w:r w:rsidRPr="006A317A">
              <w:rPr>
                <w:b/>
                <w:bCs w:val="0"/>
                <w:color w:val="000000"/>
                <w:spacing w:val="69"/>
                <w:shd w:val="solid" w:color="000000" w:fill="000000"/>
                <w:fitText w:val="161" w:id="-1304782065"/>
                <w14:textFill>
                  <w14:solidFill>
                    <w14:srgbClr w14:val="000000">
                      <w14:alpha w14:val="100000"/>
                    </w14:srgbClr>
                  </w14:solidFill>
                </w14:textFill>
              </w:rPr>
              <w:t>|</w:t>
            </w:r>
            <w:r w:rsidRPr="006A317A">
              <w:rPr>
                <w:b/>
                <w:bCs w:val="0"/>
                <w:color w:val="000000"/>
                <w:spacing w:val="1"/>
                <w:shd w:val="solid" w:color="000000" w:fill="000000"/>
                <w:fitText w:val="161" w:id="-1304782065"/>
                <w14:textFill>
                  <w14:solidFill>
                    <w14:srgbClr w14:val="000000">
                      <w14:alpha w14:val="100000"/>
                    </w14:srgbClr>
                  </w14:solidFill>
                </w14:textFill>
              </w:rPr>
              <w:t>|</w:t>
            </w:r>
            <w:r w:rsidR="0081723D">
              <w:rPr>
                <w:vertAlign w:val="superscript"/>
              </w:rPr>
              <w:t>3</w:t>
            </w:r>
          </w:p>
        </w:tc>
      </w:tr>
      <w:tr w:rsidR="00F45E7D" w14:paraId="24BA6AA9" w14:textId="77777777">
        <w:tblPrEx>
          <w:tblCellMar>
            <w:left w:w="108" w:type="dxa"/>
            <w:right w:w="108" w:type="dxa"/>
          </w:tblCellMar>
        </w:tblPrEx>
        <w:tc>
          <w:tcPr>
            <w:tcW w:w="2830" w:type="dxa"/>
            <w:shd w:val="clear" w:color="auto" w:fill="auto"/>
            <w:tcMar>
              <w:left w:w="28" w:type="dxa"/>
              <w:right w:w="28" w:type="dxa"/>
            </w:tcMar>
          </w:tcPr>
          <w:p w14:paraId="50DFF229" w14:textId="63882F32" w:rsidR="00F45E7D" w:rsidRDefault="0087463C" w:rsidP="00E551BD">
            <w:pPr>
              <w:pStyle w:val="TableText0"/>
            </w:pPr>
            <w:r>
              <w:t>Net cost to MBS</w:t>
            </w:r>
            <w:r w:rsidR="0081723D">
              <w:t xml:space="preserve"> ($)</w:t>
            </w:r>
          </w:p>
        </w:tc>
        <w:tc>
          <w:tcPr>
            <w:tcW w:w="993" w:type="dxa"/>
            <w:shd w:val="clear" w:color="auto" w:fill="auto"/>
            <w:tcMar>
              <w:left w:w="28" w:type="dxa"/>
              <w:right w:w="28" w:type="dxa"/>
            </w:tcMar>
            <w:vAlign w:val="center"/>
          </w:tcPr>
          <w:p w14:paraId="3A59DD0C" w14:textId="51A5DCA0" w:rsidR="00F45E7D" w:rsidRPr="0081723D" w:rsidRDefault="006A317A" w:rsidP="00E551BD">
            <w:pPr>
              <w:pStyle w:val="TableText0"/>
              <w:jc w:val="center"/>
              <w:rPr>
                <w:highlight w:val="darkGray"/>
              </w:rPr>
            </w:pPr>
            <w:r w:rsidRPr="006A317A">
              <w:rPr>
                <w:color w:val="000000"/>
                <w:spacing w:val="75"/>
                <w:shd w:val="solid" w:color="000000" w:fill="000000"/>
                <w:fitText w:val="161" w:id="-1304782064"/>
                <w14:textFill>
                  <w14:solidFill>
                    <w14:srgbClr w14:val="000000">
                      <w14:alpha w14:val="100000"/>
                    </w14:srgbClr>
                  </w14:solidFill>
                </w14:textFill>
              </w:rPr>
              <w:t>|</w:t>
            </w:r>
            <w:r w:rsidRPr="006A317A">
              <w:rPr>
                <w:color w:val="000000"/>
                <w:spacing w:val="1"/>
                <w:shd w:val="solid" w:color="000000" w:fill="000000"/>
                <w:fitText w:val="161" w:id="-1304782064"/>
                <w14:textFill>
                  <w14:solidFill>
                    <w14:srgbClr w14:val="000000">
                      <w14:alpha w14:val="100000"/>
                    </w14:srgbClr>
                  </w14:solidFill>
                </w14:textFill>
              </w:rPr>
              <w:t>|</w:t>
            </w:r>
            <w:r w:rsidR="0081723D">
              <w:rPr>
                <w:vertAlign w:val="superscript"/>
              </w:rPr>
              <w:t>3</w:t>
            </w:r>
          </w:p>
        </w:tc>
        <w:tc>
          <w:tcPr>
            <w:tcW w:w="992" w:type="dxa"/>
            <w:shd w:val="clear" w:color="auto" w:fill="auto"/>
            <w:tcMar>
              <w:left w:w="28" w:type="dxa"/>
              <w:right w:w="28" w:type="dxa"/>
            </w:tcMar>
            <w:vAlign w:val="center"/>
          </w:tcPr>
          <w:p w14:paraId="2481DA25" w14:textId="535DF653" w:rsidR="00F45E7D" w:rsidRPr="0081723D" w:rsidRDefault="006A317A" w:rsidP="00E551BD">
            <w:pPr>
              <w:pStyle w:val="TableText0"/>
              <w:jc w:val="center"/>
              <w:rPr>
                <w:highlight w:val="darkGray"/>
              </w:rPr>
            </w:pPr>
            <w:r w:rsidRPr="006A317A">
              <w:rPr>
                <w:color w:val="000000"/>
                <w:spacing w:val="75"/>
                <w:shd w:val="solid" w:color="000000" w:fill="000000"/>
                <w:fitText w:val="161" w:id="-1304782080"/>
                <w14:textFill>
                  <w14:solidFill>
                    <w14:srgbClr w14:val="000000">
                      <w14:alpha w14:val="100000"/>
                    </w14:srgbClr>
                  </w14:solidFill>
                </w14:textFill>
              </w:rPr>
              <w:t>|</w:t>
            </w:r>
            <w:r w:rsidRPr="006A317A">
              <w:rPr>
                <w:color w:val="000000"/>
                <w:spacing w:val="1"/>
                <w:shd w:val="solid" w:color="000000" w:fill="000000"/>
                <w:fitText w:val="161" w:id="-1304782080"/>
                <w14:textFill>
                  <w14:solidFill>
                    <w14:srgbClr w14:val="000000">
                      <w14:alpha w14:val="100000"/>
                    </w14:srgbClr>
                  </w14:solidFill>
                </w14:textFill>
              </w:rPr>
              <w:t>|</w:t>
            </w:r>
            <w:r w:rsidR="0081723D">
              <w:rPr>
                <w:vertAlign w:val="superscript"/>
              </w:rPr>
              <w:t>3</w:t>
            </w:r>
          </w:p>
        </w:tc>
        <w:tc>
          <w:tcPr>
            <w:tcW w:w="992" w:type="dxa"/>
            <w:shd w:val="clear" w:color="auto" w:fill="auto"/>
            <w:tcMar>
              <w:left w:w="28" w:type="dxa"/>
              <w:right w:w="28" w:type="dxa"/>
            </w:tcMar>
            <w:vAlign w:val="center"/>
          </w:tcPr>
          <w:p w14:paraId="249A8D8B" w14:textId="5196C318" w:rsidR="00F45E7D" w:rsidRPr="0081723D" w:rsidRDefault="006A317A" w:rsidP="00E551BD">
            <w:pPr>
              <w:pStyle w:val="TableText0"/>
              <w:jc w:val="center"/>
              <w:rPr>
                <w:highlight w:val="darkGray"/>
              </w:rPr>
            </w:pPr>
            <w:r w:rsidRPr="006A317A">
              <w:rPr>
                <w:color w:val="000000"/>
                <w:spacing w:val="69"/>
                <w:shd w:val="solid" w:color="000000" w:fill="000000"/>
                <w:fitText w:val="162" w:id="-1304782079"/>
                <w14:textFill>
                  <w14:solidFill>
                    <w14:srgbClr w14:val="000000">
                      <w14:alpha w14:val="100000"/>
                    </w14:srgbClr>
                  </w14:solidFill>
                </w14:textFill>
              </w:rPr>
              <w:t>|</w:t>
            </w:r>
            <w:r w:rsidRPr="006A317A">
              <w:rPr>
                <w:color w:val="000000"/>
                <w:shd w:val="solid" w:color="000000" w:fill="000000"/>
                <w:fitText w:val="162" w:id="-1304782079"/>
                <w14:textFill>
                  <w14:solidFill>
                    <w14:srgbClr w14:val="000000">
                      <w14:alpha w14:val="100000"/>
                    </w14:srgbClr>
                  </w14:solidFill>
                </w14:textFill>
              </w:rPr>
              <w:t>|</w:t>
            </w:r>
            <w:r w:rsidR="0081723D">
              <w:rPr>
                <w:vertAlign w:val="superscript"/>
              </w:rPr>
              <w:t>3</w:t>
            </w:r>
          </w:p>
        </w:tc>
        <w:tc>
          <w:tcPr>
            <w:tcW w:w="992" w:type="dxa"/>
            <w:shd w:val="clear" w:color="auto" w:fill="auto"/>
            <w:tcMar>
              <w:left w:w="28" w:type="dxa"/>
              <w:right w:w="28" w:type="dxa"/>
            </w:tcMar>
            <w:vAlign w:val="center"/>
          </w:tcPr>
          <w:p w14:paraId="5834C7A4" w14:textId="45CC920B" w:rsidR="00F45E7D" w:rsidRPr="0081723D" w:rsidRDefault="006A317A" w:rsidP="00E551BD">
            <w:pPr>
              <w:pStyle w:val="TableText0"/>
              <w:jc w:val="center"/>
              <w:rPr>
                <w:highlight w:val="darkGray"/>
              </w:rPr>
            </w:pPr>
            <w:r w:rsidRPr="006A317A">
              <w:rPr>
                <w:color w:val="000000"/>
                <w:spacing w:val="75"/>
                <w:shd w:val="solid" w:color="000000" w:fill="000000"/>
                <w:fitText w:val="161" w:id="-1304782078"/>
                <w14:textFill>
                  <w14:solidFill>
                    <w14:srgbClr w14:val="000000">
                      <w14:alpha w14:val="100000"/>
                    </w14:srgbClr>
                  </w14:solidFill>
                </w14:textFill>
              </w:rPr>
              <w:t>|</w:t>
            </w:r>
            <w:r w:rsidRPr="006A317A">
              <w:rPr>
                <w:color w:val="000000"/>
                <w:spacing w:val="1"/>
                <w:shd w:val="solid" w:color="000000" w:fill="000000"/>
                <w:fitText w:val="161" w:id="-1304782078"/>
                <w14:textFill>
                  <w14:solidFill>
                    <w14:srgbClr w14:val="000000">
                      <w14:alpha w14:val="100000"/>
                    </w14:srgbClr>
                  </w14:solidFill>
                </w14:textFill>
              </w:rPr>
              <w:t>|</w:t>
            </w:r>
            <w:r w:rsidR="0081723D">
              <w:rPr>
                <w:vertAlign w:val="superscript"/>
              </w:rPr>
              <w:t>3</w:t>
            </w:r>
          </w:p>
        </w:tc>
        <w:tc>
          <w:tcPr>
            <w:tcW w:w="993" w:type="dxa"/>
            <w:shd w:val="clear" w:color="auto" w:fill="auto"/>
            <w:tcMar>
              <w:left w:w="28" w:type="dxa"/>
              <w:right w:w="28" w:type="dxa"/>
            </w:tcMar>
            <w:vAlign w:val="center"/>
          </w:tcPr>
          <w:p w14:paraId="7BDBB69E" w14:textId="6ED20FE5" w:rsidR="00F45E7D" w:rsidRPr="0081723D" w:rsidRDefault="006A317A" w:rsidP="00E551BD">
            <w:pPr>
              <w:pStyle w:val="TableText0"/>
              <w:jc w:val="center"/>
              <w:rPr>
                <w:highlight w:val="darkGray"/>
              </w:rPr>
            </w:pPr>
            <w:r w:rsidRPr="006A317A">
              <w:rPr>
                <w:color w:val="000000"/>
                <w:spacing w:val="75"/>
                <w:shd w:val="solid" w:color="000000" w:fill="000000"/>
                <w:fitText w:val="161" w:id="-1304782077"/>
                <w14:textFill>
                  <w14:solidFill>
                    <w14:srgbClr w14:val="000000">
                      <w14:alpha w14:val="100000"/>
                    </w14:srgbClr>
                  </w14:solidFill>
                </w14:textFill>
              </w:rPr>
              <w:t>|</w:t>
            </w:r>
            <w:r w:rsidRPr="006A317A">
              <w:rPr>
                <w:color w:val="000000"/>
                <w:spacing w:val="1"/>
                <w:shd w:val="solid" w:color="000000" w:fill="000000"/>
                <w:fitText w:val="161" w:id="-1304782077"/>
                <w14:textFill>
                  <w14:solidFill>
                    <w14:srgbClr w14:val="000000">
                      <w14:alpha w14:val="100000"/>
                    </w14:srgbClr>
                  </w14:solidFill>
                </w14:textFill>
              </w:rPr>
              <w:t>|</w:t>
            </w:r>
            <w:r w:rsidR="0081723D">
              <w:rPr>
                <w:vertAlign w:val="superscript"/>
              </w:rPr>
              <w:t>3</w:t>
            </w:r>
          </w:p>
        </w:tc>
        <w:tc>
          <w:tcPr>
            <w:tcW w:w="992" w:type="dxa"/>
            <w:shd w:val="clear" w:color="auto" w:fill="auto"/>
            <w:tcMar>
              <w:left w:w="28" w:type="dxa"/>
              <w:right w:w="28" w:type="dxa"/>
            </w:tcMar>
            <w:vAlign w:val="center"/>
          </w:tcPr>
          <w:p w14:paraId="36F9B5A6" w14:textId="7CBE3E5D" w:rsidR="00F45E7D" w:rsidRPr="0081723D" w:rsidRDefault="006A317A" w:rsidP="00E551BD">
            <w:pPr>
              <w:pStyle w:val="TableText0"/>
              <w:jc w:val="center"/>
              <w:rPr>
                <w:highlight w:val="darkGray"/>
              </w:rPr>
            </w:pPr>
            <w:r w:rsidRPr="006A317A">
              <w:rPr>
                <w:color w:val="000000"/>
                <w:spacing w:val="75"/>
                <w:shd w:val="solid" w:color="000000" w:fill="000000"/>
                <w:fitText w:val="161" w:id="-1304782076"/>
                <w14:textFill>
                  <w14:solidFill>
                    <w14:srgbClr w14:val="000000">
                      <w14:alpha w14:val="100000"/>
                    </w14:srgbClr>
                  </w14:solidFill>
                </w14:textFill>
              </w:rPr>
              <w:t>|</w:t>
            </w:r>
            <w:r w:rsidRPr="006A317A">
              <w:rPr>
                <w:color w:val="000000"/>
                <w:spacing w:val="1"/>
                <w:shd w:val="solid" w:color="000000" w:fill="000000"/>
                <w:fitText w:val="161" w:id="-1304782076"/>
                <w14:textFill>
                  <w14:solidFill>
                    <w14:srgbClr w14:val="000000">
                      <w14:alpha w14:val="100000"/>
                    </w14:srgbClr>
                  </w14:solidFill>
                </w14:textFill>
              </w:rPr>
              <w:t>|</w:t>
            </w:r>
            <w:r w:rsidR="0081723D">
              <w:rPr>
                <w:vertAlign w:val="superscript"/>
              </w:rPr>
              <w:t>3</w:t>
            </w:r>
          </w:p>
        </w:tc>
      </w:tr>
      <w:tr w:rsidR="00F45E7D" w14:paraId="3A40F32C" w14:textId="77777777">
        <w:tblPrEx>
          <w:tblCellMar>
            <w:left w:w="108" w:type="dxa"/>
            <w:right w:w="108" w:type="dxa"/>
          </w:tblCellMar>
        </w:tblPrEx>
        <w:tc>
          <w:tcPr>
            <w:tcW w:w="2830" w:type="dxa"/>
            <w:shd w:val="clear" w:color="auto" w:fill="auto"/>
            <w:tcMar>
              <w:left w:w="28" w:type="dxa"/>
              <w:right w:w="28" w:type="dxa"/>
            </w:tcMar>
          </w:tcPr>
          <w:p w14:paraId="1E9AA891" w14:textId="65DC546D" w:rsidR="00F45E7D" w:rsidRDefault="0087463C" w:rsidP="00E551BD">
            <w:pPr>
              <w:pStyle w:val="TableText0"/>
              <w:rPr>
                <w:b/>
                <w:bCs w:val="0"/>
              </w:rPr>
            </w:pPr>
            <w:r>
              <w:rPr>
                <w:b/>
                <w:bCs w:val="0"/>
              </w:rPr>
              <w:t>Overall net cost</w:t>
            </w:r>
            <w:r w:rsidR="0081723D" w:rsidRPr="0081723D">
              <w:t xml:space="preserve"> ($)</w:t>
            </w:r>
          </w:p>
        </w:tc>
        <w:tc>
          <w:tcPr>
            <w:tcW w:w="993" w:type="dxa"/>
            <w:shd w:val="clear" w:color="auto" w:fill="auto"/>
            <w:tcMar>
              <w:left w:w="28" w:type="dxa"/>
              <w:right w:w="28" w:type="dxa"/>
            </w:tcMar>
            <w:vAlign w:val="center"/>
          </w:tcPr>
          <w:p w14:paraId="2E418DFB" w14:textId="72A30D55" w:rsidR="00F45E7D" w:rsidRPr="0081723D" w:rsidRDefault="006A317A" w:rsidP="00E551BD">
            <w:pPr>
              <w:pStyle w:val="TableText0"/>
              <w:jc w:val="center"/>
              <w:rPr>
                <w:b/>
                <w:bCs w:val="0"/>
                <w:highlight w:val="darkGray"/>
              </w:rPr>
            </w:pPr>
            <w:r w:rsidRPr="006A317A">
              <w:rPr>
                <w:b/>
                <w:bCs w:val="0"/>
                <w:color w:val="000000"/>
                <w:spacing w:val="69"/>
                <w:shd w:val="solid" w:color="000000" w:fill="000000"/>
                <w:fitText w:val="161" w:id="-1304782075"/>
                <w14:textFill>
                  <w14:solidFill>
                    <w14:srgbClr w14:val="000000">
                      <w14:alpha w14:val="100000"/>
                    </w14:srgbClr>
                  </w14:solidFill>
                </w14:textFill>
              </w:rPr>
              <w:t>|</w:t>
            </w:r>
            <w:r w:rsidRPr="006A317A">
              <w:rPr>
                <w:b/>
                <w:bCs w:val="0"/>
                <w:color w:val="000000"/>
                <w:spacing w:val="1"/>
                <w:shd w:val="solid" w:color="000000" w:fill="000000"/>
                <w:fitText w:val="161" w:id="-1304782075"/>
                <w14:textFill>
                  <w14:solidFill>
                    <w14:srgbClr w14:val="000000">
                      <w14:alpha w14:val="100000"/>
                    </w14:srgbClr>
                  </w14:solidFill>
                </w14:textFill>
              </w:rPr>
              <w:t>|</w:t>
            </w:r>
            <w:r w:rsidR="0081723D">
              <w:rPr>
                <w:vertAlign w:val="superscript"/>
              </w:rPr>
              <w:t>3</w:t>
            </w:r>
          </w:p>
        </w:tc>
        <w:tc>
          <w:tcPr>
            <w:tcW w:w="992" w:type="dxa"/>
            <w:shd w:val="clear" w:color="auto" w:fill="auto"/>
            <w:tcMar>
              <w:left w:w="28" w:type="dxa"/>
              <w:right w:w="28" w:type="dxa"/>
            </w:tcMar>
            <w:vAlign w:val="center"/>
          </w:tcPr>
          <w:p w14:paraId="23F09EB7" w14:textId="73D95A99" w:rsidR="00F45E7D" w:rsidRPr="0081723D" w:rsidRDefault="006A317A" w:rsidP="00E551BD">
            <w:pPr>
              <w:pStyle w:val="TableText0"/>
              <w:jc w:val="center"/>
              <w:rPr>
                <w:b/>
                <w:bCs w:val="0"/>
                <w:highlight w:val="darkGray"/>
              </w:rPr>
            </w:pPr>
            <w:r w:rsidRPr="006A317A">
              <w:rPr>
                <w:b/>
                <w:bCs w:val="0"/>
                <w:color w:val="000000"/>
                <w:spacing w:val="69"/>
                <w:shd w:val="solid" w:color="000000" w:fill="000000"/>
                <w:fitText w:val="161" w:id="-1304782074"/>
                <w14:textFill>
                  <w14:solidFill>
                    <w14:srgbClr w14:val="000000">
                      <w14:alpha w14:val="100000"/>
                    </w14:srgbClr>
                  </w14:solidFill>
                </w14:textFill>
              </w:rPr>
              <w:t>|</w:t>
            </w:r>
            <w:r w:rsidRPr="006A317A">
              <w:rPr>
                <w:b/>
                <w:bCs w:val="0"/>
                <w:color w:val="000000"/>
                <w:spacing w:val="1"/>
                <w:shd w:val="solid" w:color="000000" w:fill="000000"/>
                <w:fitText w:val="161" w:id="-1304782074"/>
                <w14:textFill>
                  <w14:solidFill>
                    <w14:srgbClr w14:val="000000">
                      <w14:alpha w14:val="100000"/>
                    </w14:srgbClr>
                  </w14:solidFill>
                </w14:textFill>
              </w:rPr>
              <w:t>|</w:t>
            </w:r>
            <w:r w:rsidR="0081723D">
              <w:rPr>
                <w:vertAlign w:val="superscript"/>
              </w:rPr>
              <w:t>3</w:t>
            </w:r>
          </w:p>
        </w:tc>
        <w:tc>
          <w:tcPr>
            <w:tcW w:w="992" w:type="dxa"/>
            <w:shd w:val="clear" w:color="auto" w:fill="auto"/>
            <w:tcMar>
              <w:left w:w="28" w:type="dxa"/>
              <w:right w:w="28" w:type="dxa"/>
            </w:tcMar>
            <w:vAlign w:val="center"/>
          </w:tcPr>
          <w:p w14:paraId="6105A5B9" w14:textId="16CA8EA5" w:rsidR="00F45E7D" w:rsidRPr="0081723D" w:rsidRDefault="006A317A" w:rsidP="00E551BD">
            <w:pPr>
              <w:pStyle w:val="TableText0"/>
              <w:jc w:val="center"/>
              <w:rPr>
                <w:b/>
                <w:bCs w:val="0"/>
                <w:highlight w:val="darkGray"/>
              </w:rPr>
            </w:pPr>
            <w:r w:rsidRPr="006A317A">
              <w:rPr>
                <w:b/>
                <w:bCs w:val="0"/>
                <w:color w:val="000000"/>
                <w:spacing w:val="70"/>
                <w:shd w:val="solid" w:color="000000" w:fill="000000"/>
                <w:fitText w:val="162" w:id="-1304782073"/>
                <w14:textFill>
                  <w14:solidFill>
                    <w14:srgbClr w14:val="000000">
                      <w14:alpha w14:val="100000"/>
                    </w14:srgbClr>
                  </w14:solidFill>
                </w14:textFill>
              </w:rPr>
              <w:t>|</w:t>
            </w:r>
            <w:r w:rsidRPr="006A317A">
              <w:rPr>
                <w:b/>
                <w:bCs w:val="0"/>
                <w:color w:val="000000"/>
                <w:spacing w:val="1"/>
                <w:shd w:val="solid" w:color="000000" w:fill="000000"/>
                <w:fitText w:val="162" w:id="-1304782073"/>
                <w14:textFill>
                  <w14:solidFill>
                    <w14:srgbClr w14:val="000000">
                      <w14:alpha w14:val="100000"/>
                    </w14:srgbClr>
                  </w14:solidFill>
                </w14:textFill>
              </w:rPr>
              <w:t>|</w:t>
            </w:r>
            <w:r w:rsidR="0081723D">
              <w:rPr>
                <w:vertAlign w:val="superscript"/>
              </w:rPr>
              <w:t>3</w:t>
            </w:r>
          </w:p>
        </w:tc>
        <w:tc>
          <w:tcPr>
            <w:tcW w:w="992" w:type="dxa"/>
            <w:shd w:val="clear" w:color="auto" w:fill="auto"/>
            <w:tcMar>
              <w:left w:w="28" w:type="dxa"/>
              <w:right w:w="28" w:type="dxa"/>
            </w:tcMar>
            <w:vAlign w:val="center"/>
          </w:tcPr>
          <w:p w14:paraId="30B3A2D8" w14:textId="63B34D92" w:rsidR="00F45E7D" w:rsidRPr="0081723D" w:rsidRDefault="006A317A" w:rsidP="00E551BD">
            <w:pPr>
              <w:pStyle w:val="TableText0"/>
              <w:jc w:val="center"/>
              <w:rPr>
                <w:b/>
                <w:bCs w:val="0"/>
                <w:highlight w:val="darkGray"/>
              </w:rPr>
            </w:pPr>
            <w:r w:rsidRPr="006A317A">
              <w:rPr>
                <w:b/>
                <w:bCs w:val="0"/>
                <w:color w:val="000000"/>
                <w:spacing w:val="69"/>
                <w:shd w:val="solid" w:color="000000" w:fill="000000"/>
                <w:fitText w:val="161" w:id="-1304782072"/>
                <w14:textFill>
                  <w14:solidFill>
                    <w14:srgbClr w14:val="000000">
                      <w14:alpha w14:val="100000"/>
                    </w14:srgbClr>
                  </w14:solidFill>
                </w14:textFill>
              </w:rPr>
              <w:t>|</w:t>
            </w:r>
            <w:r w:rsidRPr="006A317A">
              <w:rPr>
                <w:b/>
                <w:bCs w:val="0"/>
                <w:color w:val="000000"/>
                <w:spacing w:val="1"/>
                <w:shd w:val="solid" w:color="000000" w:fill="000000"/>
                <w:fitText w:val="161" w:id="-1304782072"/>
                <w14:textFill>
                  <w14:solidFill>
                    <w14:srgbClr w14:val="000000">
                      <w14:alpha w14:val="100000"/>
                    </w14:srgbClr>
                  </w14:solidFill>
                </w14:textFill>
              </w:rPr>
              <w:t>|</w:t>
            </w:r>
            <w:r w:rsidR="0081723D">
              <w:rPr>
                <w:vertAlign w:val="superscript"/>
              </w:rPr>
              <w:t>3</w:t>
            </w:r>
          </w:p>
        </w:tc>
        <w:tc>
          <w:tcPr>
            <w:tcW w:w="993" w:type="dxa"/>
            <w:shd w:val="clear" w:color="auto" w:fill="auto"/>
            <w:tcMar>
              <w:left w:w="28" w:type="dxa"/>
              <w:right w:w="28" w:type="dxa"/>
            </w:tcMar>
            <w:vAlign w:val="center"/>
          </w:tcPr>
          <w:p w14:paraId="767AFCE0" w14:textId="5ED2EC09" w:rsidR="00F45E7D" w:rsidRPr="0081723D" w:rsidRDefault="006A317A" w:rsidP="00E551BD">
            <w:pPr>
              <w:pStyle w:val="TableText0"/>
              <w:jc w:val="center"/>
              <w:rPr>
                <w:b/>
                <w:bCs w:val="0"/>
                <w:highlight w:val="darkGray"/>
              </w:rPr>
            </w:pPr>
            <w:r w:rsidRPr="006A317A">
              <w:rPr>
                <w:b/>
                <w:bCs w:val="0"/>
                <w:color w:val="000000"/>
                <w:spacing w:val="69"/>
                <w:shd w:val="solid" w:color="000000" w:fill="000000"/>
                <w:fitText w:val="161" w:id="-1304782071"/>
                <w14:textFill>
                  <w14:solidFill>
                    <w14:srgbClr w14:val="000000">
                      <w14:alpha w14:val="100000"/>
                    </w14:srgbClr>
                  </w14:solidFill>
                </w14:textFill>
              </w:rPr>
              <w:t>|</w:t>
            </w:r>
            <w:r w:rsidRPr="006A317A">
              <w:rPr>
                <w:b/>
                <w:bCs w:val="0"/>
                <w:color w:val="000000"/>
                <w:spacing w:val="1"/>
                <w:shd w:val="solid" w:color="000000" w:fill="000000"/>
                <w:fitText w:val="161" w:id="-1304782071"/>
                <w14:textFill>
                  <w14:solidFill>
                    <w14:srgbClr w14:val="000000">
                      <w14:alpha w14:val="100000"/>
                    </w14:srgbClr>
                  </w14:solidFill>
                </w14:textFill>
              </w:rPr>
              <w:t>|</w:t>
            </w:r>
            <w:r w:rsidR="0081723D">
              <w:rPr>
                <w:vertAlign w:val="superscript"/>
              </w:rPr>
              <w:t>3</w:t>
            </w:r>
          </w:p>
        </w:tc>
        <w:tc>
          <w:tcPr>
            <w:tcW w:w="992" w:type="dxa"/>
            <w:shd w:val="clear" w:color="auto" w:fill="auto"/>
            <w:tcMar>
              <w:left w:w="28" w:type="dxa"/>
              <w:right w:w="28" w:type="dxa"/>
            </w:tcMar>
            <w:vAlign w:val="center"/>
          </w:tcPr>
          <w:p w14:paraId="6744175B" w14:textId="72FE8F74" w:rsidR="00F45E7D" w:rsidRPr="0081723D" w:rsidRDefault="006A317A" w:rsidP="00E551BD">
            <w:pPr>
              <w:pStyle w:val="TableText0"/>
              <w:jc w:val="center"/>
              <w:rPr>
                <w:b/>
                <w:bCs w:val="0"/>
                <w:highlight w:val="darkGray"/>
              </w:rPr>
            </w:pPr>
            <w:r w:rsidRPr="006A317A">
              <w:rPr>
                <w:b/>
                <w:bCs w:val="0"/>
                <w:color w:val="000000"/>
                <w:spacing w:val="69"/>
                <w:shd w:val="solid" w:color="000000" w:fill="000000"/>
                <w:fitText w:val="161" w:id="-1304782070"/>
                <w14:textFill>
                  <w14:solidFill>
                    <w14:srgbClr w14:val="000000">
                      <w14:alpha w14:val="100000"/>
                    </w14:srgbClr>
                  </w14:solidFill>
                </w14:textFill>
              </w:rPr>
              <w:t>|</w:t>
            </w:r>
            <w:r w:rsidRPr="006A317A">
              <w:rPr>
                <w:b/>
                <w:bCs w:val="0"/>
                <w:color w:val="000000"/>
                <w:spacing w:val="1"/>
                <w:shd w:val="solid" w:color="000000" w:fill="000000"/>
                <w:fitText w:val="161" w:id="-1304782070"/>
                <w14:textFill>
                  <w14:solidFill>
                    <w14:srgbClr w14:val="000000">
                      <w14:alpha w14:val="100000"/>
                    </w14:srgbClr>
                  </w14:solidFill>
                </w14:textFill>
              </w:rPr>
              <w:t>|</w:t>
            </w:r>
            <w:r w:rsidR="0081723D">
              <w:rPr>
                <w:vertAlign w:val="superscript"/>
              </w:rPr>
              <w:t>3</w:t>
            </w:r>
          </w:p>
        </w:tc>
      </w:tr>
    </w:tbl>
    <w:p w14:paraId="68BDB526" w14:textId="77777777" w:rsidR="00F45E7D" w:rsidRDefault="0087463C" w:rsidP="00E551BD">
      <w:pPr>
        <w:pStyle w:val="FooterTableFigure"/>
        <w:keepNext/>
      </w:pPr>
      <w:r>
        <w:t>Source: Section 4_BIM_Fst Recurrer.xlsx workbook</w:t>
      </w:r>
    </w:p>
    <w:p w14:paraId="50DB6EA9" w14:textId="77777777" w:rsidR="00F45E7D" w:rsidRDefault="0087463C" w:rsidP="00E551BD">
      <w:pPr>
        <w:pStyle w:val="FooterTableFigure"/>
        <w:keepNext/>
        <w:rPr>
          <w:iCs/>
        </w:rPr>
      </w:pPr>
      <w:r>
        <w:t>MBS = Medical Benefits Schedule; NIVO = nivolumab; PBS = Pharmaceutical Benefit Scheme; RPBS = Repatriation Pharmaceutical Benefit Scheme</w:t>
      </w:r>
      <w:r>
        <w:rPr>
          <w:iCs/>
        </w:rPr>
        <w:t>.</w:t>
      </w:r>
    </w:p>
    <w:p w14:paraId="0D312CE7" w14:textId="77B290A7" w:rsidR="00F45E7D" w:rsidRDefault="0087463C" w:rsidP="0081723D">
      <w:pPr>
        <w:pStyle w:val="FooterTableFigure"/>
        <w:keepNext/>
        <w:spacing w:after="0"/>
      </w:pPr>
      <w:r>
        <w:t>* Average PBS co-payment = $25.31, average RPBS co-payment = $6.38</w:t>
      </w:r>
    </w:p>
    <w:p w14:paraId="599F7AA0" w14:textId="77777777" w:rsidR="0081723D" w:rsidRPr="009A6D58" w:rsidRDefault="0081723D" w:rsidP="0081723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63039F8" w14:textId="236BC984" w:rsidR="0081723D" w:rsidRPr="009A6D58" w:rsidRDefault="0081723D" w:rsidP="0081723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81723D">
        <w:rPr>
          <w:rFonts w:ascii="Arial Narrow" w:hAnsi="Arial Narrow"/>
          <w:i/>
          <w:sz w:val="18"/>
          <w:szCs w:val="18"/>
        </w:rPr>
        <w:t>&lt; 500</w:t>
      </w:r>
    </w:p>
    <w:p w14:paraId="132CC3E0" w14:textId="57F2B4E3" w:rsidR="0081723D" w:rsidRPr="009A6D58" w:rsidRDefault="0081723D" w:rsidP="0081723D">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81723D">
        <w:rPr>
          <w:rFonts w:ascii="Arial Narrow" w:hAnsi="Arial Narrow"/>
          <w:i/>
          <w:sz w:val="18"/>
          <w:szCs w:val="18"/>
        </w:rPr>
        <w:t>500 to &lt; 5,000</w:t>
      </w:r>
    </w:p>
    <w:p w14:paraId="1864445E" w14:textId="24D7B102" w:rsidR="0081723D" w:rsidRPr="0081723D" w:rsidRDefault="0081723D" w:rsidP="0081723D">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81723D">
        <w:rPr>
          <w:rFonts w:ascii="Arial Narrow" w:hAnsi="Arial Narrow"/>
          <w:i/>
          <w:sz w:val="18"/>
          <w:szCs w:val="18"/>
        </w:rPr>
        <w:t>$0 to &lt; $10 millio</w:t>
      </w:r>
      <w:r>
        <w:rPr>
          <w:rFonts w:ascii="Arial Narrow" w:hAnsi="Arial Narrow"/>
          <w:i/>
          <w:sz w:val="18"/>
          <w:szCs w:val="18"/>
        </w:rPr>
        <w:t>n</w:t>
      </w:r>
    </w:p>
    <w:p w14:paraId="329455C9" w14:textId="16FB9A7A" w:rsidR="00F45E7D" w:rsidRDefault="0087463C" w:rsidP="0081723D">
      <w:pPr>
        <w:pStyle w:val="3-BodyText"/>
        <w:ind w:left="709"/>
      </w:pPr>
      <w:r>
        <w:t xml:space="preserve">The submission estimated that expansion of the restriction would result in additional cost to the PBS/RPBS of approximately </w:t>
      </w:r>
      <w:bookmarkStart w:id="64" w:name="_Hlk113629090"/>
      <w:r w:rsidR="0081723D" w:rsidRPr="0081723D">
        <w:t>$0 to &lt; $10 million</w:t>
      </w:r>
      <w:bookmarkEnd w:id="64"/>
      <w:r w:rsidR="0081723D">
        <w:t xml:space="preserve"> </w:t>
      </w:r>
      <w:r>
        <w:t xml:space="preserve">in Year 1, </w:t>
      </w:r>
      <w:r w:rsidR="0081723D" w:rsidRPr="0081723D">
        <w:t>$0 to &lt; $10 million</w:t>
      </w:r>
      <w:r w:rsidR="0081723D">
        <w:t xml:space="preserve"> </w:t>
      </w:r>
      <w:r>
        <w:t xml:space="preserve">in Year 6 and a total of </w:t>
      </w:r>
      <w:r w:rsidR="0081723D" w:rsidRPr="0081723D">
        <w:t>$0 to &lt; $10 million</w:t>
      </w:r>
      <w:r w:rsidR="0081723D">
        <w:t xml:space="preserve"> </w:t>
      </w:r>
      <w:r>
        <w:t xml:space="preserve">over the first 6 years of listing. </w:t>
      </w:r>
      <w:r w:rsidRPr="0081723D">
        <w:rPr>
          <w:iCs/>
        </w:rPr>
        <w:t>The net cost to the MBS increased due to the additional use of MBS item 13950 (parenteral administration of antineoplastic drugs).</w:t>
      </w:r>
    </w:p>
    <w:p w14:paraId="7FABDEE0" w14:textId="77777777" w:rsidR="00F45E7D" w:rsidRDefault="0087463C">
      <w:pPr>
        <w:pStyle w:val="3-BodyText"/>
        <w:ind w:left="709"/>
        <w:rPr>
          <w:iCs/>
        </w:rPr>
      </w:pPr>
      <w:r>
        <w:rPr>
          <w:iCs/>
        </w:rPr>
        <w:t xml:space="preserve">The net cost of expanding the restriction was uncertain as uptake of NIVO + IPI on the PBS/RPBS may be higher than estimated by the OMCP. </w:t>
      </w:r>
    </w:p>
    <w:p w14:paraId="7F9235ED" w14:textId="1EF1B78B" w:rsidR="00F45E7D" w:rsidRDefault="0087463C">
      <w:pPr>
        <w:pStyle w:val="4-SubsectionHeading"/>
      </w:pPr>
      <w:bookmarkStart w:id="65" w:name="_Toc22897685"/>
      <w:bookmarkStart w:id="66" w:name="_Toc107927679"/>
      <w:bookmarkStart w:id="67" w:name="_Toc112548523"/>
      <w:bookmarkStart w:id="68" w:name="_Toc114052262"/>
      <w:r>
        <w:t>Quality use of medicines</w:t>
      </w:r>
      <w:bookmarkEnd w:id="65"/>
      <w:bookmarkEnd w:id="66"/>
      <w:bookmarkEnd w:id="67"/>
      <w:bookmarkEnd w:id="68"/>
    </w:p>
    <w:p w14:paraId="272BBD5C" w14:textId="77777777" w:rsidR="00F45E7D" w:rsidRDefault="0087463C">
      <w:pPr>
        <w:pStyle w:val="3-BodyText"/>
        <w:ind w:left="709"/>
      </w:pPr>
      <w:r>
        <w:t xml:space="preserve">The submission discussed the activities to support the quality use of medicines, including physician education, immuno-oncology preceptorship, peer-to-peer support, nursing and pharmacy in-services, and a risk management plan. The submission stated that the Sponsor has committed to continuing education/quality use of medicine initiatives. </w:t>
      </w:r>
    </w:p>
    <w:p w14:paraId="540C3A6D" w14:textId="55E90CC9" w:rsidR="00F45E7D" w:rsidRDefault="0087463C">
      <w:pPr>
        <w:pStyle w:val="4-SubsectionHeading"/>
      </w:pPr>
      <w:bookmarkStart w:id="69" w:name="_Toc22897649"/>
      <w:bookmarkStart w:id="70" w:name="_Toc107927635"/>
      <w:r>
        <w:t>Financial Management – Risk Sharing Arrangements</w:t>
      </w:r>
      <w:bookmarkEnd w:id="69"/>
      <w:bookmarkEnd w:id="70"/>
    </w:p>
    <w:p w14:paraId="742A56CA" w14:textId="77777777" w:rsidR="00F45E7D" w:rsidRDefault="0087463C">
      <w:pPr>
        <w:pStyle w:val="3-BodyText"/>
        <w:ind w:left="709"/>
        <w:rPr>
          <w:iCs/>
        </w:rPr>
      </w:pPr>
      <w:r>
        <w:t xml:space="preserve">The submission requested an increase to the current PD-1 inhibitor melanoma expenditure cap to accommodate the increased utilisation of NIVO in this setting. </w:t>
      </w:r>
      <w:r>
        <w:rPr>
          <w:iCs/>
        </w:rPr>
        <w:t>No further details were presented in the submission.</w:t>
      </w:r>
    </w:p>
    <w:p w14:paraId="17507281" w14:textId="77777777" w:rsidR="00F45E7D" w:rsidRDefault="0087463C">
      <w:pPr>
        <w:jc w:val="left"/>
        <w:rPr>
          <w:i/>
          <w:iCs/>
        </w:rPr>
      </w:pPr>
      <w:r>
        <w:rPr>
          <w:i/>
          <w:iCs/>
        </w:rPr>
        <w:t>For more detail on PBAC’s view, see section 7 PBAC outcome.</w:t>
      </w:r>
    </w:p>
    <w:p w14:paraId="044580BB" w14:textId="77777777" w:rsidR="00F45E7D" w:rsidRDefault="0087463C">
      <w:pPr>
        <w:pStyle w:val="2-SectionHeading"/>
        <w:keepNext w:val="0"/>
      </w:pPr>
      <w:r>
        <w:t>PBAC outcome</w:t>
      </w:r>
    </w:p>
    <w:p w14:paraId="7ABFAF0C" w14:textId="6E249569" w:rsidR="0055474F" w:rsidRDefault="0055474F" w:rsidP="0055474F">
      <w:pPr>
        <w:pStyle w:val="3-BodyText"/>
      </w:pPr>
      <w:r>
        <w:t xml:space="preserve">The PBAC recommended expanding the listing of nivolumab in combination with ipilimumab (NIVO + IPI) to allow the treatment of Stage III or IV malignant melanoma in patients who experience melanoma recurrence while receiving or within 6 months of completing adjuvant PD-1 inhibitor monotherapy. The PBAC </w:t>
      </w:r>
      <w:r>
        <w:lastRenderedPageBreak/>
        <w:t xml:space="preserve">noted that the magnitude of benefit of NIVO + IPI in the proposed population was </w:t>
      </w:r>
      <w:r w:rsidR="009F2092">
        <w:t xml:space="preserve">highly </w:t>
      </w:r>
      <w:r>
        <w:t>uncertain due to the low quality of the clinical evidence presented. T</w:t>
      </w:r>
      <w:r>
        <w:rPr>
          <w:snapToGrid w:val="0"/>
        </w:rPr>
        <w:t xml:space="preserve">he PBAC considered that, although uncertain, the cost-effectiveness of NIVO + IPI </w:t>
      </w:r>
      <w:r w:rsidR="00DD356E">
        <w:rPr>
          <w:snapToGrid w:val="0"/>
        </w:rPr>
        <w:t xml:space="preserve">as </w:t>
      </w:r>
      <w:r>
        <w:rPr>
          <w:snapToGrid w:val="0"/>
        </w:rPr>
        <w:t>previously determined for patients with unresectable Stage III or IV malignant melanoma</w:t>
      </w:r>
      <w:r w:rsidR="00DD356E">
        <w:rPr>
          <w:snapToGrid w:val="0"/>
        </w:rPr>
        <w:t xml:space="preserve"> was unlikely to be substantially altered by inclusion of the expanded population</w:t>
      </w:r>
      <w:r>
        <w:t xml:space="preserve">. The PBAC considered these uncertainties were acceptable in the context of the modest financial impact and advised that the financial impact be managed through the existing PD-1 inhibitor melanoma risk sharing arrangement (RSA). </w:t>
      </w:r>
    </w:p>
    <w:p w14:paraId="2C7DF931" w14:textId="77777777" w:rsidR="00F45E7D" w:rsidRDefault="0087463C">
      <w:pPr>
        <w:pStyle w:val="3-BodyText"/>
      </w:pPr>
      <w:r>
        <w:t>The PBAC noted the strong clinician support for the expansion of the metastatic melanoma listings for NIVO and IPI which was received via the clinician statement and the Consumer Comments facility.</w:t>
      </w:r>
    </w:p>
    <w:p w14:paraId="77CD964D" w14:textId="1D368792" w:rsidR="00F45E7D" w:rsidRDefault="0087463C">
      <w:pPr>
        <w:pStyle w:val="3-BodyText"/>
      </w:pPr>
      <w:r>
        <w:t>The PBAC considered that the proposed restriction</w:t>
      </w:r>
      <w:r w:rsidR="00B02FFA">
        <w:t>s</w:t>
      </w:r>
      <w:r>
        <w:t xml:space="preserve"> for NIVO and IPI</w:t>
      </w:r>
      <w:r w:rsidR="00B660CF">
        <w:t xml:space="preserve"> </w:t>
      </w:r>
      <w:r w:rsidR="00C8350B">
        <w:t xml:space="preserve">were reasonable. </w:t>
      </w:r>
      <w:r w:rsidR="00B02FFA">
        <w:t xml:space="preserve">The PBAC considered that </w:t>
      </w:r>
      <w:r w:rsidR="008D0105">
        <w:t>the</w:t>
      </w:r>
      <w:r w:rsidR="00C96F4E">
        <w:t xml:space="preserve"> </w:t>
      </w:r>
      <w:r w:rsidR="00B02FFA">
        <w:t>grandfather restriction</w:t>
      </w:r>
      <w:r w:rsidR="008D0105">
        <w:t>s</w:t>
      </w:r>
      <w:r w:rsidR="00B02FFA">
        <w:t xml:space="preserve"> for NIVO would be required </w:t>
      </w:r>
      <w:r>
        <w:t>to allow patients to transfer from the patient access program to the PBS</w:t>
      </w:r>
      <w:r w:rsidR="00C8350B">
        <w:t>,</w:t>
      </w:r>
      <w:r w:rsidR="00C96F4E">
        <w:t xml:space="preserve"> noting that the sponsor did not request such </w:t>
      </w:r>
      <w:r w:rsidR="008D0105">
        <w:t xml:space="preserve">a </w:t>
      </w:r>
      <w:r w:rsidR="00C96F4E">
        <w:t>restriction for the ipilimumab component of initial treatment</w:t>
      </w:r>
      <w:r>
        <w:t>.</w:t>
      </w:r>
    </w:p>
    <w:p w14:paraId="250C0F72" w14:textId="77777777" w:rsidR="00F45E7D" w:rsidRDefault="0087463C">
      <w:pPr>
        <w:pStyle w:val="3-BodyText"/>
      </w:pPr>
      <w:r>
        <w:t>The PBAC considered that the nominated comparators of IPI monotherapy and BRAF inhibitor (BRAFi) therapy were appropriate.</w:t>
      </w:r>
    </w:p>
    <w:p w14:paraId="5AB94B79" w14:textId="77777777" w:rsidR="00F45E7D" w:rsidRDefault="0087463C">
      <w:pPr>
        <w:pStyle w:val="3-BodyText"/>
      </w:pPr>
      <w:r>
        <w:t>The PBAC noted that the submission presented data from two retrospective, cohort studies, da Silva et al (2021) and Owen et al (2020). The PBAC considered that the data presented was uncertain as:</w:t>
      </w:r>
    </w:p>
    <w:p w14:paraId="1191509A" w14:textId="77777777" w:rsidR="00F45E7D" w:rsidRDefault="0087463C" w:rsidP="00C053E0">
      <w:pPr>
        <w:pStyle w:val="ListParagraph"/>
        <w:ind w:left="1077" w:hanging="357"/>
        <w:jc w:val="both"/>
        <w:rPr>
          <w:iCs/>
        </w:rPr>
      </w:pPr>
      <w:r>
        <w:rPr>
          <w:iCs/>
        </w:rPr>
        <w:t>Neither study was designed to examine the comparative efficacy and safety of NIVO + IPI against the nominated comparators of IPI monotherapy (da Silva et al [2001]) or BRAFi (Owen et al [2020]) in the target population.</w:t>
      </w:r>
    </w:p>
    <w:p w14:paraId="0ECDF027" w14:textId="77777777" w:rsidR="00F45E7D" w:rsidRDefault="0087463C" w:rsidP="00C053E0">
      <w:pPr>
        <w:pStyle w:val="ListParagraph"/>
        <w:ind w:left="1077" w:hanging="357"/>
        <w:jc w:val="both"/>
      </w:pPr>
      <w:r>
        <w:rPr>
          <w:iCs/>
        </w:rPr>
        <w:t>There was heterogeneity in the baseline characteristics between the treatment groups in terms of age, BRAF status and ECOG status which suggests treatment allocation by have been affected by these factors.</w:t>
      </w:r>
    </w:p>
    <w:p w14:paraId="0D82B13B" w14:textId="77777777" w:rsidR="00F45E7D" w:rsidRDefault="0087463C" w:rsidP="00C053E0">
      <w:pPr>
        <w:pStyle w:val="ListParagraph"/>
        <w:ind w:left="1077" w:hanging="357"/>
        <w:jc w:val="both"/>
      </w:pPr>
      <w:r>
        <w:rPr>
          <w:iCs/>
        </w:rPr>
        <w:t xml:space="preserve">The number of patients in the applicable subgroup of da Silva et al (2021) was small </w:t>
      </w:r>
      <w:r>
        <w:t>(44/355). As 36 patients in the subgroup received IPI + PD-1 inhibitor and only 8 received IPI monotherapy, the comparison for clinical efficacy was unreliable</w:t>
      </w:r>
      <w:r>
        <w:rPr>
          <w:iCs/>
        </w:rPr>
        <w:t>.</w:t>
      </w:r>
    </w:p>
    <w:p w14:paraId="69D5EC96" w14:textId="1A1D60B9" w:rsidR="00F45E7D" w:rsidRDefault="0087463C" w:rsidP="00C053E0">
      <w:pPr>
        <w:pStyle w:val="ListParagraph"/>
        <w:ind w:left="1077" w:hanging="357"/>
        <w:jc w:val="both"/>
      </w:pPr>
      <w:r>
        <w:t>In Owen e</w:t>
      </w:r>
      <w:r w:rsidR="005E3F50">
        <w:t>t</w:t>
      </w:r>
      <w:r>
        <w:t xml:space="preserve"> a</w:t>
      </w:r>
      <w:r w:rsidR="005E3F50">
        <w:t>l</w:t>
      </w:r>
      <w:r>
        <w:t xml:space="preserve"> (2020) results were presented for a pooled population of patients re-treated with either IPI monotherapy or IPI + PD-1 inhibitor (n=44) versus patients re-treated with a BRAFi (n=40). Therefore, the patient group used for the clinical comparison did not match the target population</w:t>
      </w:r>
      <w:r>
        <w:rPr>
          <w:iCs/>
        </w:rPr>
        <w:t>.</w:t>
      </w:r>
    </w:p>
    <w:p w14:paraId="4EE2339F" w14:textId="74145885" w:rsidR="00F45E7D" w:rsidRDefault="0087463C">
      <w:pPr>
        <w:pStyle w:val="3-BodyText"/>
      </w:pPr>
      <w:r>
        <w:lastRenderedPageBreak/>
        <w:t xml:space="preserve">In the context that the response rates for </w:t>
      </w:r>
      <w:r>
        <w:rPr>
          <w:snapToGrid w:val="0"/>
        </w:rPr>
        <w:t xml:space="preserve">IPI + PD-1 inhibitor </w:t>
      </w:r>
      <w:r>
        <w:t xml:space="preserve">therapy in the treatment of melanoma are high relative to those with PD-1 inhibitor therapy for other tumour types and noting that it was unlikely that better quality data would become available, the PBAC considered that the claim </w:t>
      </w:r>
      <w:r>
        <w:rPr>
          <w:snapToGrid w:val="0"/>
        </w:rPr>
        <w:t>that IPI + PD-1 inhibitor was superior in terms of comparative effectiveness compared to IPI monotherapy and BRAFi was likely to be reasonable, although the magnitude of benefit was highly uncertain.</w:t>
      </w:r>
      <w:r>
        <w:t xml:space="preserve"> </w:t>
      </w:r>
    </w:p>
    <w:p w14:paraId="56E341A3" w14:textId="77777777" w:rsidR="00F45E7D" w:rsidRDefault="0087463C">
      <w:pPr>
        <w:pStyle w:val="3-BodyText"/>
        <w:rPr>
          <w:snapToGrid w:val="0"/>
        </w:rPr>
      </w:pPr>
      <w:r>
        <w:rPr>
          <w:snapToGrid w:val="0"/>
        </w:rPr>
        <w:t>The PBAC considered that the claim that IPI + PD-1 inhibitor was inferior in terms of comparative safety compared to IPI monotherapy and BRAFi was reasonable.</w:t>
      </w:r>
    </w:p>
    <w:p w14:paraId="6759F31D" w14:textId="013DDC7D" w:rsidR="00F45E7D" w:rsidRDefault="0087463C">
      <w:pPr>
        <w:pStyle w:val="3-BodyText"/>
        <w:rPr>
          <w:snapToGrid w:val="0"/>
        </w:rPr>
      </w:pPr>
      <w:r>
        <w:rPr>
          <w:snapToGrid w:val="0"/>
        </w:rPr>
        <w:t xml:space="preserve">The PBAC noted that the submission did not present an economic evaluation, instead requesting the current </w:t>
      </w:r>
      <w:r w:rsidR="00C8350B">
        <w:rPr>
          <w:snapToGrid w:val="0"/>
        </w:rPr>
        <w:t xml:space="preserve">weighted </w:t>
      </w:r>
      <w:r>
        <w:rPr>
          <w:snapToGrid w:val="0"/>
        </w:rPr>
        <w:t>approved ex-manufacturer prices (AEMPs) for NIVO and IPI in unresectable Stage III or Stage IV malignant melanoma for the expanded population</w:t>
      </w:r>
      <w:r>
        <w:t xml:space="preserve"> of patients who have received adjuvant PD-1 monotherapy and then </w:t>
      </w:r>
      <w:r w:rsidR="00D33278">
        <w:t xml:space="preserve">experienced </w:t>
      </w:r>
      <w:r>
        <w:t>recurre</w:t>
      </w:r>
      <w:r w:rsidR="00D33278">
        <w:t>nce</w:t>
      </w:r>
      <w:r>
        <w:t>.</w:t>
      </w:r>
      <w:r>
        <w:rPr>
          <w:snapToGrid w:val="0"/>
        </w:rPr>
        <w:t xml:space="preserve"> The PBAC considered that</w:t>
      </w:r>
      <w:r w:rsidR="00C8350B">
        <w:rPr>
          <w:snapToGrid w:val="0"/>
        </w:rPr>
        <w:t>, although uncertain,</w:t>
      </w:r>
      <w:r>
        <w:rPr>
          <w:snapToGrid w:val="0"/>
        </w:rPr>
        <w:t xml:space="preserve"> the cost-effectiveness </w:t>
      </w:r>
      <w:r w:rsidR="00C8350B">
        <w:rPr>
          <w:snapToGrid w:val="0"/>
        </w:rPr>
        <w:t xml:space="preserve">of NIVO + IPI </w:t>
      </w:r>
      <w:r>
        <w:rPr>
          <w:snapToGrid w:val="0"/>
        </w:rPr>
        <w:t xml:space="preserve">in the expanded population was unlikely to be substantially different to that </w:t>
      </w:r>
      <w:r w:rsidR="00C8350B">
        <w:rPr>
          <w:snapToGrid w:val="0"/>
        </w:rPr>
        <w:t>previously determined by the PBAC for patients with unresectable Stage III or IV malignant melanoma</w:t>
      </w:r>
      <w:r>
        <w:rPr>
          <w:snapToGrid w:val="0"/>
        </w:rPr>
        <w:t xml:space="preserve">, and therefore that the current </w:t>
      </w:r>
      <w:r w:rsidR="00C8350B">
        <w:rPr>
          <w:snapToGrid w:val="0"/>
        </w:rPr>
        <w:t xml:space="preserve">weighted </w:t>
      </w:r>
      <w:r>
        <w:rPr>
          <w:snapToGrid w:val="0"/>
        </w:rPr>
        <w:t xml:space="preserve">AEMPs would be reasonable for the new population. </w:t>
      </w:r>
    </w:p>
    <w:p w14:paraId="00D084C4" w14:textId="7E7BD6B4" w:rsidR="00F45E7D" w:rsidRDefault="0087463C">
      <w:pPr>
        <w:pStyle w:val="3-BodyText"/>
        <w:rPr>
          <w:snapToGrid w:val="0"/>
        </w:rPr>
      </w:pPr>
      <w:r>
        <w:rPr>
          <w:snapToGrid w:val="0"/>
        </w:rPr>
        <w:t xml:space="preserve">The PBAC considered that the assumption in the submission that there would be an increase in NIVO utilisation only, with no change in the utilisation of IPI, was reasonable and noted that the estimated utilisation and financial impact of expanding the NIVO restrictions would be </w:t>
      </w:r>
      <w:r w:rsidR="0055474F">
        <w:rPr>
          <w:snapToGrid w:val="0"/>
        </w:rPr>
        <w:t xml:space="preserve">modest </w:t>
      </w:r>
      <w:r>
        <w:t>(</w:t>
      </w:r>
      <w:r w:rsidR="009B4A9E" w:rsidRPr="009B4A9E">
        <w:t>$0 to &lt; $10 million</w:t>
      </w:r>
      <w:r w:rsidR="006722CE">
        <w:t xml:space="preserve"> </w:t>
      </w:r>
      <w:r>
        <w:t>over 6 years)</w:t>
      </w:r>
      <w:r>
        <w:rPr>
          <w:snapToGrid w:val="0"/>
        </w:rPr>
        <w:t>.</w:t>
      </w:r>
    </w:p>
    <w:p w14:paraId="5A8215E3" w14:textId="4D388C8A" w:rsidR="00F45E7D" w:rsidRDefault="0087463C">
      <w:pPr>
        <w:pStyle w:val="3-BodyText"/>
      </w:pPr>
      <w:r>
        <w:t xml:space="preserve">The PBAC noted that the submission requested an increase to the current PD-1 inhibitor melanoma expenditure caps to accommodate the increased utilisation of NIVO in this setting. The PBAC noted the Commonwealth payment for Year 1 (20/21) and Year 2 (21/22) was </w:t>
      </w:r>
      <w:r w:rsidR="006A317A" w:rsidRPr="00D8701A">
        <w:rPr>
          <w:color w:val="000000"/>
          <w:w w:val="15"/>
          <w:shd w:val="solid" w:color="000000" w:fill="000000"/>
          <w:fitText w:val="-20" w:id="-1304782069"/>
          <w14:textFill>
            <w14:solidFill>
              <w14:srgbClr w14:val="000000">
                <w14:alpha w14:val="100000"/>
              </w14:srgbClr>
            </w14:solidFill>
          </w14:textFill>
        </w:rPr>
        <w:t xml:space="preserve">|    ################## </w:t>
      </w:r>
      <w:r w:rsidR="006A317A" w:rsidRPr="00D8701A">
        <w:rPr>
          <w:color w:val="000000"/>
          <w:spacing w:val="-416"/>
          <w:w w:val="15"/>
          <w:shd w:val="solid" w:color="000000" w:fill="000000"/>
          <w:fitText w:val="-20" w:id="-1304782069"/>
          <w14:textFill>
            <w14:solidFill>
              <w14:srgbClr w14:val="000000">
                <w14:alpha w14:val="100000"/>
              </w14:srgbClr>
            </w14:solidFill>
          </w14:textFill>
        </w:rPr>
        <w:t>|</w:t>
      </w:r>
      <w:r>
        <w:t xml:space="preserve">% of the cap thresholds and that the rebate for use exceeding the caps was </w:t>
      </w:r>
      <w:r w:rsidR="006A317A" w:rsidRPr="00D8701A">
        <w:rPr>
          <w:color w:val="000000"/>
          <w:w w:val="15"/>
          <w:shd w:val="solid" w:color="000000" w:fill="000000"/>
          <w:fitText w:val="-20" w:id="-1304782068"/>
          <w14:textFill>
            <w14:solidFill>
              <w14:srgbClr w14:val="000000">
                <w14:alpha w14:val="100000"/>
              </w14:srgbClr>
            </w14:solidFill>
          </w14:textFill>
        </w:rPr>
        <w:t xml:space="preserve">| ################# </w:t>
      </w:r>
      <w:r w:rsidR="006A317A" w:rsidRPr="00D8701A">
        <w:rPr>
          <w:color w:val="000000"/>
          <w:spacing w:val="-374"/>
          <w:w w:val="15"/>
          <w:shd w:val="solid" w:color="000000" w:fill="000000"/>
          <w:fitText w:val="-20" w:id="-1304782068"/>
          <w14:textFill>
            <w14:solidFill>
              <w14:srgbClr w14:val="000000">
                <w14:alpha w14:val="100000"/>
              </w14:srgbClr>
            </w14:solidFill>
          </w14:textFill>
        </w:rPr>
        <w:t>|</w:t>
      </w:r>
      <w:r>
        <w:t xml:space="preserve">%. In this context, the PBAC advised the risk associated with the </w:t>
      </w:r>
      <w:r w:rsidR="00C8350B">
        <w:t>modest financial impact</w:t>
      </w:r>
      <w:r>
        <w:t xml:space="preserve"> of NIVO + IPI for the expanded population should be managed by </w:t>
      </w:r>
      <w:r w:rsidR="00C8350B">
        <w:t>including the expenditure for the expanded population in the existing PD-1 inhibitor</w:t>
      </w:r>
      <w:r>
        <w:t xml:space="preserve"> melanoma expenditure caps.</w:t>
      </w:r>
    </w:p>
    <w:p w14:paraId="4B8E98A1" w14:textId="36981D01" w:rsidR="00F45E7D" w:rsidRDefault="0087463C">
      <w:pPr>
        <w:pStyle w:val="3-BodyText"/>
      </w:pPr>
      <w:r>
        <w:t>The PBAC advised that because the expansion of the NIVO + IPI restriction was uncertain in terms of the magnitude of benefit and was not expected to address a high and urgent unmet clinical need given the presence of alternative therapies, the criteria prescribed by the National Health (Pharmaceuticals and Vaccines – Cost Recovery) Regulations 2022 for Pricing Pathway A were not met.</w:t>
      </w:r>
    </w:p>
    <w:p w14:paraId="388244C3" w14:textId="77777777" w:rsidR="00F45E7D" w:rsidRDefault="0087463C">
      <w:pPr>
        <w:pStyle w:val="3-BodyText"/>
      </w:pPr>
      <w:r>
        <w:t>The PBAC affirmed its previous advice that NIVO and IPI are not suitable for inclusion in the PBS medicines for prescribing by nurse practitioners/midwives within collaborative arrangements such as continuing therapy only/within a shared care model.</w:t>
      </w:r>
    </w:p>
    <w:p w14:paraId="7894B25F" w14:textId="77777777" w:rsidR="00F45E7D" w:rsidRDefault="0087463C">
      <w:pPr>
        <w:pStyle w:val="3-BodyText"/>
      </w:pPr>
      <w:r>
        <w:lastRenderedPageBreak/>
        <w:t>The PBAC advised that NIVO and IPI should not be exempt from the Early Supply Rule.</w:t>
      </w:r>
    </w:p>
    <w:p w14:paraId="7B8BD5ED" w14:textId="77777777" w:rsidR="00F45E7D" w:rsidRDefault="0087463C">
      <w:pPr>
        <w:pStyle w:val="3-BodyText"/>
      </w:pPr>
      <w:r>
        <w:t>The PBAC noted that this submission is not eligible for an Independent Review as it received a positive recommendation.</w:t>
      </w:r>
    </w:p>
    <w:p w14:paraId="57F105FE" w14:textId="560A2E38" w:rsidR="00F45E7D" w:rsidRDefault="0087463C">
      <w:pPr>
        <w:pStyle w:val="3-BodyText"/>
        <w:numPr>
          <w:ilvl w:val="0"/>
          <w:numId w:val="0"/>
        </w:numPr>
      </w:pPr>
      <w:r>
        <w:rPr>
          <w:b/>
          <w:bCs/>
        </w:rPr>
        <w:t>Outcome:</w:t>
      </w:r>
      <w:r>
        <w:rPr>
          <w:b/>
          <w:bCs/>
        </w:rPr>
        <w:br/>
      </w:r>
      <w:r>
        <w:t>Recommended</w:t>
      </w:r>
    </w:p>
    <w:p w14:paraId="5F9BF228" w14:textId="77777777" w:rsidR="006722CE" w:rsidRPr="005E3F50" w:rsidRDefault="006722CE">
      <w:pPr>
        <w:pStyle w:val="3-BodyText"/>
        <w:numPr>
          <w:ilvl w:val="0"/>
          <w:numId w:val="0"/>
        </w:numPr>
      </w:pPr>
    </w:p>
    <w:p w14:paraId="4695928A" w14:textId="1057E78B" w:rsidR="00F45E7D" w:rsidRDefault="0087463C" w:rsidP="00031C85">
      <w:pPr>
        <w:pStyle w:val="2-SectionHeading"/>
        <w:keepNext w:val="0"/>
      </w:pPr>
      <w:bookmarkStart w:id="71" w:name="_Toc114052266"/>
      <w:r>
        <w:t>Recommended listing</w:t>
      </w:r>
    </w:p>
    <w:p w14:paraId="73238CF3" w14:textId="77777777" w:rsidR="00F45E7D" w:rsidRDefault="0087463C">
      <w:pPr>
        <w:pStyle w:val="3-BodyText"/>
      </w:pPr>
      <w:r>
        <w:t>Amend the following PBS restrictions as indicated below:</w:t>
      </w:r>
    </w:p>
    <w:p w14:paraId="72D8D79F" w14:textId="77777777" w:rsidR="0055474F" w:rsidRPr="0055474F" w:rsidRDefault="0055474F" w:rsidP="0055474F">
      <w:pPr>
        <w:rPr>
          <w:rFonts w:ascii="Arial Narrow" w:hAnsi="Arial Narrow"/>
          <w:b/>
          <w:bCs/>
          <w:sz w:val="20"/>
          <w:szCs w:val="20"/>
        </w:rPr>
      </w:pPr>
      <w:r w:rsidRPr="0055474F">
        <w:rPr>
          <w:rFonts w:ascii="Arial Narrow" w:hAnsi="Arial Narrow"/>
          <w:b/>
          <w:bCs/>
          <w:sz w:val="20"/>
          <w:szCs w:val="20"/>
        </w:rPr>
        <w:t>NIVO induction (for use in combination with IPI):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688"/>
        <w:gridCol w:w="2340"/>
        <w:gridCol w:w="2203"/>
        <w:gridCol w:w="1515"/>
        <w:gridCol w:w="1464"/>
      </w:tblGrid>
      <w:tr w:rsidR="0055474F" w14:paraId="6F2A0B5C" w14:textId="77777777" w:rsidTr="00C65AFD">
        <w:trPr>
          <w:cantSplit/>
          <w:trHeight w:val="20"/>
        </w:trPr>
        <w:tc>
          <w:tcPr>
            <w:tcW w:w="2041" w:type="pct"/>
            <w:gridSpan w:val="3"/>
            <w:vAlign w:val="center"/>
          </w:tcPr>
          <w:p w14:paraId="03D4E899" w14:textId="77777777" w:rsidR="0055474F" w:rsidRDefault="0055474F" w:rsidP="00C65AFD">
            <w:pPr>
              <w:keepNext/>
              <w:rPr>
                <w:rFonts w:ascii="Arial Narrow" w:hAnsi="Arial Narrow"/>
                <w:b/>
                <w:bCs/>
                <w:sz w:val="20"/>
                <w:szCs w:val="20"/>
              </w:rPr>
            </w:pPr>
            <w:r>
              <w:rPr>
                <w:rFonts w:ascii="Arial Narrow" w:hAnsi="Arial Narrow"/>
                <w:b/>
                <w:bCs/>
                <w:sz w:val="20"/>
                <w:szCs w:val="20"/>
              </w:rPr>
              <w:t>MEDICINAL PRODUCT</w:t>
            </w:r>
          </w:p>
          <w:p w14:paraId="19EBF68C" w14:textId="77777777" w:rsidR="0055474F" w:rsidRDefault="0055474F" w:rsidP="00C65AFD">
            <w:pPr>
              <w:keepNext/>
              <w:rPr>
                <w:rFonts w:ascii="Arial Narrow" w:hAnsi="Arial Narrow"/>
                <w:b/>
                <w:sz w:val="20"/>
                <w:szCs w:val="20"/>
              </w:rPr>
            </w:pPr>
            <w:r>
              <w:rPr>
                <w:rFonts w:ascii="Arial Narrow" w:hAnsi="Arial Narrow"/>
                <w:b/>
                <w:sz w:val="20"/>
                <w:szCs w:val="20"/>
              </w:rPr>
              <w:t>Form</w:t>
            </w:r>
          </w:p>
        </w:tc>
        <w:tc>
          <w:tcPr>
            <w:tcW w:w="1258" w:type="pct"/>
            <w:vAlign w:val="center"/>
          </w:tcPr>
          <w:p w14:paraId="0C5E1ED9" w14:textId="77777777" w:rsidR="0055474F" w:rsidRDefault="0055474F" w:rsidP="00C65AFD">
            <w:pPr>
              <w:keepNext/>
              <w:jc w:val="center"/>
              <w:rPr>
                <w:rFonts w:ascii="Arial Narrow" w:hAnsi="Arial Narrow"/>
                <w:b/>
                <w:sz w:val="20"/>
                <w:szCs w:val="20"/>
              </w:rPr>
            </w:pPr>
            <w:r>
              <w:rPr>
                <w:rFonts w:ascii="Arial Narrow" w:hAnsi="Arial Narrow"/>
                <w:b/>
                <w:sz w:val="20"/>
                <w:szCs w:val="20"/>
              </w:rPr>
              <w:t>PBS item code</w:t>
            </w:r>
          </w:p>
        </w:tc>
        <w:tc>
          <w:tcPr>
            <w:tcW w:w="865" w:type="pct"/>
            <w:vAlign w:val="center"/>
          </w:tcPr>
          <w:p w14:paraId="11D210F9" w14:textId="77777777" w:rsidR="0055474F" w:rsidRDefault="0055474F" w:rsidP="00C65AFD">
            <w:pPr>
              <w:keepNext/>
              <w:jc w:val="center"/>
              <w:rPr>
                <w:rFonts w:ascii="Arial Narrow" w:hAnsi="Arial Narrow"/>
                <w:b/>
                <w:sz w:val="20"/>
                <w:szCs w:val="20"/>
              </w:rPr>
            </w:pPr>
            <w:r>
              <w:rPr>
                <w:rFonts w:ascii="Arial Narrow" w:hAnsi="Arial Narrow"/>
                <w:b/>
                <w:sz w:val="20"/>
                <w:szCs w:val="20"/>
              </w:rPr>
              <w:t>Max. Amount</w:t>
            </w:r>
          </w:p>
        </w:tc>
        <w:tc>
          <w:tcPr>
            <w:tcW w:w="836" w:type="pct"/>
            <w:vAlign w:val="center"/>
          </w:tcPr>
          <w:p w14:paraId="42E1E564" w14:textId="77777777" w:rsidR="0055474F" w:rsidRDefault="0055474F" w:rsidP="00C65AFD">
            <w:pPr>
              <w:keepNext/>
              <w:jc w:val="center"/>
              <w:rPr>
                <w:rFonts w:ascii="Arial Narrow" w:hAnsi="Arial Narrow"/>
                <w:b/>
                <w:sz w:val="20"/>
                <w:szCs w:val="20"/>
              </w:rPr>
            </w:pPr>
            <w:r>
              <w:rPr>
                <w:rFonts w:ascii="Arial Narrow" w:hAnsi="Arial Narrow"/>
                <w:b/>
                <w:sz w:val="20"/>
                <w:szCs w:val="20"/>
              </w:rPr>
              <w:t>№. of Rpts</w:t>
            </w:r>
          </w:p>
        </w:tc>
      </w:tr>
      <w:tr w:rsidR="0055474F" w14:paraId="5A326CBC" w14:textId="77777777" w:rsidTr="00C65AFD">
        <w:trPr>
          <w:cantSplit/>
          <w:trHeight w:val="20"/>
        </w:trPr>
        <w:tc>
          <w:tcPr>
            <w:tcW w:w="2041" w:type="pct"/>
            <w:gridSpan w:val="3"/>
            <w:vAlign w:val="center"/>
          </w:tcPr>
          <w:p w14:paraId="3B02C70D" w14:textId="77777777" w:rsidR="0055474F" w:rsidRDefault="0055474F" w:rsidP="00C65AFD">
            <w:pPr>
              <w:keepNext/>
              <w:rPr>
                <w:rFonts w:ascii="Arial Narrow" w:hAnsi="Arial Narrow"/>
                <w:sz w:val="20"/>
                <w:szCs w:val="20"/>
              </w:rPr>
            </w:pPr>
            <w:r>
              <w:rPr>
                <w:rFonts w:ascii="Arial Narrow" w:hAnsi="Arial Narrow"/>
                <w:sz w:val="20"/>
                <w:szCs w:val="20"/>
              </w:rPr>
              <w:t>NIVOLUMAB</w:t>
            </w:r>
          </w:p>
          <w:p w14:paraId="749B16A9" w14:textId="77777777" w:rsidR="0055474F" w:rsidRDefault="0055474F" w:rsidP="00C65AFD">
            <w:pPr>
              <w:keepNext/>
              <w:rPr>
                <w:rFonts w:ascii="Arial Narrow" w:hAnsi="Arial Narrow"/>
                <w:sz w:val="20"/>
                <w:szCs w:val="20"/>
              </w:rPr>
            </w:pPr>
            <w:r>
              <w:rPr>
                <w:rFonts w:ascii="Arial Narrow" w:hAnsi="Arial Narrow"/>
                <w:sz w:val="20"/>
                <w:szCs w:val="20"/>
              </w:rPr>
              <w:t>Injection</w:t>
            </w:r>
          </w:p>
        </w:tc>
        <w:tc>
          <w:tcPr>
            <w:tcW w:w="1258" w:type="pct"/>
            <w:vAlign w:val="center"/>
          </w:tcPr>
          <w:p w14:paraId="7CC14288" w14:textId="77777777" w:rsidR="0055474F" w:rsidRDefault="0055474F" w:rsidP="00C65AFD">
            <w:pPr>
              <w:keepNext/>
              <w:jc w:val="center"/>
              <w:rPr>
                <w:rFonts w:ascii="Arial Narrow" w:hAnsi="Arial Narrow"/>
                <w:sz w:val="20"/>
                <w:szCs w:val="20"/>
              </w:rPr>
            </w:pPr>
            <w:r>
              <w:rPr>
                <w:rFonts w:ascii="Arial Narrow" w:hAnsi="Arial Narrow"/>
                <w:sz w:val="20"/>
                <w:szCs w:val="20"/>
              </w:rPr>
              <w:t>11543M (Public)</w:t>
            </w:r>
          </w:p>
          <w:p w14:paraId="1D226667" w14:textId="77777777" w:rsidR="0055474F" w:rsidRDefault="0055474F" w:rsidP="00C65AFD">
            <w:pPr>
              <w:keepNext/>
              <w:jc w:val="center"/>
              <w:rPr>
                <w:rFonts w:ascii="Arial Narrow" w:hAnsi="Arial Narrow"/>
                <w:sz w:val="20"/>
                <w:szCs w:val="20"/>
              </w:rPr>
            </w:pPr>
            <w:r>
              <w:rPr>
                <w:rFonts w:ascii="Arial Narrow" w:hAnsi="Arial Narrow"/>
                <w:sz w:val="20"/>
                <w:szCs w:val="20"/>
              </w:rPr>
              <w:t>11532Y (Private)</w:t>
            </w:r>
          </w:p>
        </w:tc>
        <w:tc>
          <w:tcPr>
            <w:tcW w:w="865" w:type="pct"/>
            <w:vAlign w:val="center"/>
          </w:tcPr>
          <w:p w14:paraId="4BBF2ECC" w14:textId="77777777" w:rsidR="0055474F" w:rsidRDefault="0055474F" w:rsidP="00C65AFD">
            <w:pPr>
              <w:keepNext/>
              <w:jc w:val="center"/>
              <w:rPr>
                <w:rFonts w:ascii="Arial Narrow" w:hAnsi="Arial Narrow"/>
                <w:sz w:val="20"/>
                <w:szCs w:val="20"/>
              </w:rPr>
            </w:pPr>
            <w:r>
              <w:rPr>
                <w:rFonts w:ascii="Arial Narrow" w:hAnsi="Arial Narrow"/>
                <w:sz w:val="20"/>
                <w:szCs w:val="20"/>
              </w:rPr>
              <w:t>120 mg</w:t>
            </w:r>
          </w:p>
        </w:tc>
        <w:tc>
          <w:tcPr>
            <w:tcW w:w="836" w:type="pct"/>
            <w:vAlign w:val="center"/>
          </w:tcPr>
          <w:p w14:paraId="0073167D" w14:textId="77777777" w:rsidR="0055474F" w:rsidRDefault="0055474F" w:rsidP="00C65AFD">
            <w:pPr>
              <w:keepNext/>
              <w:jc w:val="center"/>
              <w:rPr>
                <w:rFonts w:ascii="Arial Narrow" w:hAnsi="Arial Narrow"/>
                <w:sz w:val="20"/>
                <w:szCs w:val="20"/>
              </w:rPr>
            </w:pPr>
            <w:r>
              <w:rPr>
                <w:rFonts w:ascii="Arial Narrow" w:hAnsi="Arial Narrow"/>
                <w:sz w:val="20"/>
                <w:szCs w:val="20"/>
              </w:rPr>
              <w:t>3</w:t>
            </w:r>
          </w:p>
        </w:tc>
      </w:tr>
      <w:tr w:rsidR="0055474F" w14:paraId="319FD9CA" w14:textId="77777777" w:rsidTr="00C65AFD">
        <w:trPr>
          <w:cantSplit/>
          <w:trHeight w:val="20"/>
        </w:trPr>
        <w:tc>
          <w:tcPr>
            <w:tcW w:w="5000" w:type="pct"/>
            <w:gridSpan w:val="6"/>
            <w:vAlign w:val="center"/>
          </w:tcPr>
          <w:p w14:paraId="5B825265" w14:textId="77777777" w:rsidR="0055474F" w:rsidRDefault="0055474F" w:rsidP="00C65AFD">
            <w:pPr>
              <w:keepNext/>
              <w:rPr>
                <w:rFonts w:ascii="Arial Narrow" w:hAnsi="Arial Narrow"/>
                <w:b/>
                <w:sz w:val="20"/>
                <w:szCs w:val="20"/>
              </w:rPr>
            </w:pPr>
            <w:r>
              <w:rPr>
                <w:rFonts w:ascii="Arial Narrow" w:hAnsi="Arial Narrow"/>
                <w:b/>
                <w:sz w:val="20"/>
                <w:szCs w:val="20"/>
              </w:rPr>
              <w:t xml:space="preserve">Available brands </w:t>
            </w:r>
          </w:p>
        </w:tc>
      </w:tr>
      <w:tr w:rsidR="0055474F" w14:paraId="4B2BCBDE" w14:textId="77777777" w:rsidTr="00C65AFD">
        <w:trPr>
          <w:cantSplit/>
          <w:trHeight w:val="20"/>
        </w:trPr>
        <w:tc>
          <w:tcPr>
            <w:tcW w:w="5000" w:type="pct"/>
            <w:gridSpan w:val="6"/>
            <w:vAlign w:val="center"/>
          </w:tcPr>
          <w:p w14:paraId="5C72DFD7" w14:textId="77777777" w:rsidR="0055474F" w:rsidRDefault="0055474F" w:rsidP="00C65AFD">
            <w:pPr>
              <w:keepNext/>
              <w:rPr>
                <w:rFonts w:ascii="Arial Narrow" w:hAnsi="Arial Narrow"/>
                <w:sz w:val="20"/>
                <w:szCs w:val="20"/>
              </w:rPr>
            </w:pPr>
            <w:r>
              <w:rPr>
                <w:rFonts w:ascii="Arial Narrow" w:hAnsi="Arial Narrow"/>
                <w:sz w:val="20"/>
                <w:szCs w:val="20"/>
              </w:rPr>
              <w:t>Opdivo</w:t>
            </w:r>
          </w:p>
          <w:p w14:paraId="3E02238E" w14:textId="77777777" w:rsidR="0055474F" w:rsidRDefault="0055474F" w:rsidP="00C65AFD">
            <w:pPr>
              <w:keepNext/>
              <w:rPr>
                <w:rFonts w:ascii="Arial Narrow" w:hAnsi="Arial Narrow"/>
                <w:sz w:val="20"/>
                <w:szCs w:val="20"/>
              </w:rPr>
            </w:pPr>
            <w:r>
              <w:rPr>
                <w:rFonts w:ascii="Arial Narrow" w:hAnsi="Arial Narrow"/>
                <w:sz w:val="20"/>
                <w:szCs w:val="20"/>
              </w:rPr>
              <w:t>(nivolumab 40 mg/4 mL injection, 4 mL vial)</w:t>
            </w:r>
          </w:p>
          <w:p w14:paraId="731AE05D" w14:textId="77777777" w:rsidR="0055474F" w:rsidRDefault="0055474F" w:rsidP="00C65AFD">
            <w:pPr>
              <w:keepNext/>
              <w:rPr>
                <w:rFonts w:ascii="Arial Narrow" w:hAnsi="Arial Narrow"/>
                <w:sz w:val="20"/>
                <w:szCs w:val="20"/>
              </w:rPr>
            </w:pPr>
            <w:r>
              <w:rPr>
                <w:rFonts w:ascii="Arial Narrow" w:hAnsi="Arial Narrow"/>
                <w:sz w:val="20"/>
                <w:szCs w:val="20"/>
              </w:rPr>
              <w:t>Opdivo</w:t>
            </w:r>
          </w:p>
          <w:p w14:paraId="691E518F" w14:textId="77777777" w:rsidR="0055474F" w:rsidRDefault="0055474F" w:rsidP="00C65AFD">
            <w:pPr>
              <w:keepNext/>
              <w:rPr>
                <w:rFonts w:ascii="Arial Narrow" w:hAnsi="Arial Narrow"/>
                <w:sz w:val="20"/>
                <w:szCs w:val="20"/>
              </w:rPr>
            </w:pPr>
            <w:r>
              <w:rPr>
                <w:rFonts w:ascii="Arial Narrow" w:hAnsi="Arial Narrow"/>
                <w:sz w:val="20"/>
                <w:szCs w:val="20"/>
              </w:rPr>
              <w:t>(nivolumab 100 mg/10 mL injection, 4 mL vial)</w:t>
            </w:r>
          </w:p>
        </w:tc>
      </w:tr>
      <w:tr w:rsidR="0055474F" w14:paraId="210C07CD" w14:textId="77777777" w:rsidTr="00C65AFD">
        <w:trPr>
          <w:cantSplit/>
          <w:trHeight w:val="20"/>
        </w:trPr>
        <w:tc>
          <w:tcPr>
            <w:tcW w:w="5000" w:type="pct"/>
            <w:gridSpan w:val="6"/>
            <w:vAlign w:val="center"/>
          </w:tcPr>
          <w:p w14:paraId="6A38D338" w14:textId="77777777" w:rsidR="0055474F" w:rsidRDefault="0055474F" w:rsidP="00C65AFD">
            <w:pPr>
              <w:keepNext/>
              <w:rPr>
                <w:rFonts w:ascii="Arial Narrow" w:hAnsi="Arial Narrow"/>
                <w:sz w:val="20"/>
                <w:szCs w:val="20"/>
              </w:rPr>
            </w:pPr>
          </w:p>
        </w:tc>
      </w:tr>
      <w:tr w:rsidR="0055474F" w14:paraId="7C834B42" w14:textId="77777777" w:rsidTr="00C65AFD">
        <w:trPr>
          <w:cantSplit/>
          <w:trHeight w:val="20"/>
        </w:trPr>
        <w:tc>
          <w:tcPr>
            <w:tcW w:w="5000" w:type="pct"/>
            <w:gridSpan w:val="6"/>
            <w:vAlign w:val="center"/>
          </w:tcPr>
          <w:p w14:paraId="659411FF" w14:textId="149A85DF" w:rsidR="0055474F" w:rsidRDefault="0055474F" w:rsidP="00C65AFD">
            <w:pPr>
              <w:keepNext/>
              <w:rPr>
                <w:rFonts w:ascii="Arial Narrow" w:hAnsi="Arial Narrow"/>
                <w:color w:val="FF0000"/>
                <w:sz w:val="20"/>
                <w:szCs w:val="20"/>
              </w:rPr>
            </w:pPr>
            <w:r>
              <w:rPr>
                <w:rFonts w:ascii="Arial Narrow" w:hAnsi="Arial Narrow"/>
                <w:b/>
                <w:sz w:val="20"/>
                <w:szCs w:val="20"/>
              </w:rPr>
              <w:t xml:space="preserve">Amend Restriction Summary/ Treatment of Concept: </w:t>
            </w:r>
          </w:p>
        </w:tc>
      </w:tr>
      <w:tr w:rsidR="00E551BD" w:rsidRPr="00E551BD" w14:paraId="0F322409"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53EB2B32" w14:textId="77777777" w:rsidR="0055474F" w:rsidRPr="00E551BD" w:rsidRDefault="0055474F" w:rsidP="00C65AFD">
            <w:pPr>
              <w:keepNext/>
              <w:jc w:val="center"/>
              <w:rPr>
                <w:rFonts w:ascii="Arial Narrow" w:hAnsi="Arial Narrow"/>
                <w:b/>
                <w:sz w:val="20"/>
                <w:szCs w:val="20"/>
              </w:rPr>
            </w:pPr>
            <w:r w:rsidRPr="00E551BD">
              <w:rPr>
                <w:rFonts w:ascii="Arial Narrow" w:hAnsi="Arial Narrow"/>
                <w:b/>
                <w:sz w:val="20"/>
                <w:szCs w:val="20"/>
              </w:rPr>
              <w:t xml:space="preserve">Concept ID </w:t>
            </w:r>
            <w:r w:rsidRPr="00E551BD">
              <w:rPr>
                <w:rFonts w:ascii="Arial Narrow" w:hAnsi="Arial Narrow"/>
                <w:sz w:val="20"/>
                <w:szCs w:val="20"/>
              </w:rPr>
              <w:t>(for internal Dept. use)</w:t>
            </w:r>
          </w:p>
        </w:tc>
        <w:tc>
          <w:tcPr>
            <w:tcW w:w="4295" w:type="pct"/>
            <w:gridSpan w:val="4"/>
          </w:tcPr>
          <w:p w14:paraId="7FE4FFB1" w14:textId="77777777" w:rsidR="0055474F" w:rsidRPr="00E551BD" w:rsidRDefault="0055474F" w:rsidP="00C65AFD">
            <w:pPr>
              <w:keepNext/>
              <w:rPr>
                <w:rFonts w:ascii="Arial Narrow" w:hAnsi="Arial Narrow"/>
                <w:sz w:val="20"/>
                <w:szCs w:val="20"/>
              </w:rPr>
            </w:pPr>
            <w:r w:rsidRPr="00E551BD">
              <w:rPr>
                <w:rFonts w:ascii="Arial Narrow" w:hAnsi="Arial Narrow"/>
                <w:b/>
                <w:sz w:val="20"/>
                <w:szCs w:val="20"/>
              </w:rPr>
              <w:t xml:space="preserve">Category / Program: </w:t>
            </w:r>
            <w:r w:rsidRPr="00E551BD">
              <w:rPr>
                <w:rFonts w:ascii="Arial Narrow" w:hAnsi="Arial Narrow"/>
                <w:sz w:val="20"/>
                <w:szCs w:val="20"/>
              </w:rPr>
              <w:t>Section 100 – Efficient Funding of Chemotherapy Public/Private hospitals</w:t>
            </w:r>
          </w:p>
        </w:tc>
      </w:tr>
      <w:tr w:rsidR="00E551BD" w:rsidRPr="00E551BD" w14:paraId="7FB1C818"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119D3521" w14:textId="77777777" w:rsidR="0055474F" w:rsidRPr="00E551BD" w:rsidRDefault="0055474F" w:rsidP="00C65AFD">
            <w:pPr>
              <w:keepNext/>
              <w:rPr>
                <w:rFonts w:ascii="Arial Narrow" w:hAnsi="Arial Narrow"/>
                <w:sz w:val="20"/>
                <w:szCs w:val="20"/>
              </w:rPr>
            </w:pPr>
          </w:p>
        </w:tc>
        <w:tc>
          <w:tcPr>
            <w:tcW w:w="4295" w:type="pct"/>
            <w:gridSpan w:val="4"/>
          </w:tcPr>
          <w:p w14:paraId="570BEDE1" w14:textId="77777777" w:rsidR="0055474F" w:rsidRPr="00E551BD" w:rsidRDefault="0055474F" w:rsidP="00C65AFD">
            <w:pPr>
              <w:keepNext/>
              <w:rPr>
                <w:rFonts w:ascii="Arial Narrow" w:hAnsi="Arial Narrow"/>
                <w:b/>
                <w:sz w:val="20"/>
                <w:szCs w:val="20"/>
              </w:rPr>
            </w:pPr>
            <w:r w:rsidRPr="00E551BD">
              <w:rPr>
                <w:rFonts w:ascii="Arial Narrow" w:hAnsi="Arial Narrow"/>
                <w:b/>
                <w:sz w:val="20"/>
                <w:szCs w:val="20"/>
              </w:rPr>
              <w:t xml:space="preserve">Prescriber type: </w:t>
            </w:r>
            <w:r w:rsidRPr="00E551BD">
              <w:rPr>
                <w:rFonts w:ascii="Arial Narrow" w:hAnsi="Arial Narrow"/>
                <w:sz w:val="20"/>
                <w:szCs w:val="20"/>
              </w:rPr>
              <w:fldChar w:fldCharType="begin">
                <w:ffData>
                  <w:name w:val=""/>
                  <w:enabled/>
                  <w:calcOnExit w:val="0"/>
                  <w:checkBox>
                    <w:sizeAuto/>
                    <w:default w:val="1"/>
                  </w:checkBox>
                </w:ffData>
              </w:fldChar>
            </w:r>
            <w:r w:rsidRPr="00E551BD">
              <w:rPr>
                <w:rFonts w:ascii="Arial Narrow" w:hAnsi="Arial Narrow"/>
                <w:sz w:val="20"/>
                <w:szCs w:val="20"/>
              </w:rPr>
              <w:instrText xml:space="preserve"> FORMCHECKBOX </w:instrText>
            </w:r>
            <w:r w:rsidR="00D8701A">
              <w:rPr>
                <w:rFonts w:ascii="Arial Narrow" w:hAnsi="Arial Narrow"/>
                <w:sz w:val="20"/>
                <w:szCs w:val="20"/>
              </w:rPr>
            </w:r>
            <w:r w:rsidR="00D8701A">
              <w:rPr>
                <w:rFonts w:ascii="Arial Narrow" w:hAnsi="Arial Narrow"/>
                <w:sz w:val="20"/>
                <w:szCs w:val="20"/>
              </w:rPr>
              <w:fldChar w:fldCharType="separate"/>
            </w:r>
            <w:r w:rsidRPr="00E551BD">
              <w:rPr>
                <w:rFonts w:ascii="Arial Narrow" w:hAnsi="Arial Narrow"/>
                <w:sz w:val="20"/>
                <w:szCs w:val="20"/>
              </w:rPr>
              <w:fldChar w:fldCharType="end"/>
            </w:r>
            <w:r w:rsidRPr="00E551BD">
              <w:rPr>
                <w:rFonts w:ascii="Arial Narrow" w:hAnsi="Arial Narrow"/>
                <w:sz w:val="20"/>
                <w:szCs w:val="20"/>
              </w:rPr>
              <w:t>Medical Practitioners</w:t>
            </w:r>
          </w:p>
        </w:tc>
      </w:tr>
      <w:tr w:rsidR="00E551BD" w:rsidRPr="00E551BD" w14:paraId="3D58A062"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62564E7B" w14:textId="77777777" w:rsidR="0055474F" w:rsidRPr="00E551BD" w:rsidRDefault="0055474F" w:rsidP="00C65AFD">
            <w:pPr>
              <w:rPr>
                <w:rFonts w:ascii="Arial Narrow" w:hAnsi="Arial Narrow"/>
                <w:sz w:val="20"/>
                <w:szCs w:val="20"/>
              </w:rPr>
            </w:pPr>
          </w:p>
        </w:tc>
        <w:tc>
          <w:tcPr>
            <w:tcW w:w="4295" w:type="pct"/>
            <w:gridSpan w:val="4"/>
          </w:tcPr>
          <w:p w14:paraId="240DB800" w14:textId="4E9E8E2E" w:rsidR="0055474F" w:rsidRPr="00E551BD" w:rsidRDefault="0055474F" w:rsidP="00C65AFD">
            <w:pPr>
              <w:rPr>
                <w:rFonts w:ascii="Arial Narrow" w:eastAsia="Calibri" w:hAnsi="Arial Narrow"/>
                <w:sz w:val="20"/>
                <w:szCs w:val="20"/>
              </w:rPr>
            </w:pPr>
            <w:r w:rsidRPr="00E551BD">
              <w:rPr>
                <w:rFonts w:ascii="Arial Narrow" w:hAnsi="Arial Narrow"/>
                <w:b/>
                <w:sz w:val="20"/>
                <w:szCs w:val="20"/>
              </w:rPr>
              <w:t xml:space="preserve">Restriction type: </w:t>
            </w:r>
            <w:r w:rsidRPr="00E551BD">
              <w:rPr>
                <w:rFonts w:ascii="Arial Narrow" w:eastAsia="Calibri" w:hAnsi="Arial Narrow"/>
                <w:sz w:val="20"/>
                <w:szCs w:val="20"/>
              </w:rPr>
              <w:fldChar w:fldCharType="begin">
                <w:ffData>
                  <w:name w:val=""/>
                  <w:enabled/>
                  <w:calcOnExit w:val="0"/>
                  <w:checkBox>
                    <w:sizeAuto/>
                    <w:default w:val="1"/>
                  </w:checkBox>
                </w:ffData>
              </w:fldChar>
            </w:r>
            <w:r w:rsidRPr="00E551BD">
              <w:rPr>
                <w:rFonts w:ascii="Arial Narrow" w:eastAsia="Calibri" w:hAnsi="Arial Narrow"/>
                <w:sz w:val="20"/>
                <w:szCs w:val="20"/>
              </w:rPr>
              <w:instrText xml:space="preserve"> FORMCHECKBOX </w:instrText>
            </w:r>
            <w:r w:rsidR="00D8701A">
              <w:rPr>
                <w:rFonts w:ascii="Arial Narrow" w:eastAsia="Calibri" w:hAnsi="Arial Narrow"/>
                <w:sz w:val="20"/>
                <w:szCs w:val="20"/>
              </w:rPr>
            </w:r>
            <w:r w:rsidR="00D8701A">
              <w:rPr>
                <w:rFonts w:ascii="Arial Narrow" w:eastAsia="Calibri" w:hAnsi="Arial Narrow"/>
                <w:sz w:val="20"/>
                <w:szCs w:val="20"/>
              </w:rPr>
              <w:fldChar w:fldCharType="separate"/>
            </w:r>
            <w:r w:rsidRPr="00E551BD">
              <w:rPr>
                <w:rFonts w:ascii="Arial Narrow" w:eastAsia="Calibri" w:hAnsi="Arial Narrow"/>
                <w:sz w:val="20"/>
                <w:szCs w:val="20"/>
              </w:rPr>
              <w:fldChar w:fldCharType="end"/>
            </w:r>
            <w:r w:rsidRPr="00E551BD">
              <w:rPr>
                <w:rFonts w:ascii="Arial Narrow" w:eastAsia="Calibri" w:hAnsi="Arial Narrow"/>
                <w:sz w:val="20"/>
                <w:szCs w:val="20"/>
              </w:rPr>
              <w:t xml:space="preserve">Authority Required (STREAMLINED) </w:t>
            </w:r>
          </w:p>
        </w:tc>
      </w:tr>
      <w:tr w:rsidR="00E551BD" w:rsidRPr="00E551BD" w14:paraId="7B98AD8D"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tcPr>
          <w:p w14:paraId="0016892A" w14:textId="77777777" w:rsidR="001D6273" w:rsidRPr="00E551BD" w:rsidRDefault="001D6273" w:rsidP="00C65AFD">
            <w:pPr>
              <w:rPr>
                <w:rFonts w:ascii="Arial Narrow" w:hAnsi="Arial Narrow"/>
                <w:b/>
                <w:sz w:val="20"/>
                <w:szCs w:val="20"/>
              </w:rPr>
            </w:pPr>
          </w:p>
        </w:tc>
      </w:tr>
      <w:tr w:rsidR="00E551BD" w:rsidRPr="00E551BD" w14:paraId="6EDC1A74"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B46FB41" w14:textId="00222AA0" w:rsidR="0055474F" w:rsidRPr="00E551BD" w:rsidRDefault="0055474F" w:rsidP="00C65AFD">
            <w:pPr>
              <w:jc w:val="center"/>
              <w:rPr>
                <w:rFonts w:ascii="Arial Narrow" w:hAnsi="Arial Narrow"/>
                <w:sz w:val="20"/>
                <w:szCs w:val="20"/>
              </w:rPr>
            </w:pPr>
          </w:p>
        </w:tc>
        <w:tc>
          <w:tcPr>
            <w:tcW w:w="4295" w:type="pct"/>
            <w:gridSpan w:val="4"/>
            <w:vAlign w:val="center"/>
          </w:tcPr>
          <w:p w14:paraId="5D21A5A2"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Caution:</w:t>
            </w:r>
            <w:r w:rsidRPr="00E551BD">
              <w:rPr>
                <w:rFonts w:ascii="Arial Narrow" w:hAnsi="Arial Narrow"/>
                <w:sz w:val="20"/>
                <w:szCs w:val="20"/>
              </w:rPr>
              <w:t xml:space="preserve"> Combination treatment with ipilimumab and nivolumab is associated with an increased incidence and severity of immune-related adverse reactions compared with monotherapy with these agents. Monitoring at least prior to each dose is recommended.</w:t>
            </w:r>
          </w:p>
        </w:tc>
      </w:tr>
      <w:tr w:rsidR="00E551BD" w:rsidRPr="00E551BD" w14:paraId="511263A7"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tcPr>
          <w:p w14:paraId="67EB8320" w14:textId="77777777" w:rsidR="001D6273" w:rsidRPr="00E551BD" w:rsidRDefault="001D6273" w:rsidP="00C65AFD">
            <w:pPr>
              <w:rPr>
                <w:rFonts w:ascii="Arial Narrow" w:hAnsi="Arial Narrow"/>
                <w:b/>
                <w:sz w:val="20"/>
                <w:szCs w:val="20"/>
              </w:rPr>
            </w:pPr>
          </w:p>
        </w:tc>
      </w:tr>
      <w:tr w:rsidR="00E551BD" w:rsidRPr="00E551BD" w14:paraId="0872033F" w14:textId="77777777" w:rsidTr="00C65AFD">
        <w:tblPrEx>
          <w:tblCellMar>
            <w:top w:w="15" w:type="dxa"/>
            <w:bottom w:w="15" w:type="dxa"/>
          </w:tblCellMar>
          <w:tblLook w:val="04A0" w:firstRow="1" w:lastRow="0" w:firstColumn="1" w:lastColumn="0" w:noHBand="0" w:noVBand="1"/>
        </w:tblPrEx>
        <w:trPr>
          <w:trHeight w:val="20"/>
        </w:trPr>
        <w:tc>
          <w:tcPr>
            <w:tcW w:w="312" w:type="pct"/>
            <w:vMerge w:val="restart"/>
            <w:textDirection w:val="btLr"/>
            <w:vAlign w:val="center"/>
          </w:tcPr>
          <w:p w14:paraId="4985CF44" w14:textId="52C5740A" w:rsidR="0055474F" w:rsidRPr="00E551BD" w:rsidRDefault="0055474F" w:rsidP="00C65AFD">
            <w:pPr>
              <w:keepLines/>
              <w:ind w:right="113"/>
              <w:jc w:val="center"/>
              <w:rPr>
                <w:rFonts w:ascii="Arial Narrow" w:hAnsi="Arial Narrow"/>
                <w:sz w:val="20"/>
                <w:szCs w:val="20"/>
              </w:rPr>
            </w:pPr>
          </w:p>
        </w:tc>
        <w:tc>
          <w:tcPr>
            <w:tcW w:w="393" w:type="pct"/>
            <w:vAlign w:val="center"/>
          </w:tcPr>
          <w:p w14:paraId="2D6D3620" w14:textId="5879C69E" w:rsidR="0055474F" w:rsidRPr="00E551BD" w:rsidRDefault="0055474F" w:rsidP="00C65AFD">
            <w:pPr>
              <w:keepLines/>
              <w:ind w:hanging="35"/>
              <w:jc w:val="center"/>
              <w:rPr>
                <w:rFonts w:ascii="Arial Narrow" w:hAnsi="Arial Narrow"/>
                <w:sz w:val="20"/>
                <w:szCs w:val="20"/>
              </w:rPr>
            </w:pPr>
          </w:p>
        </w:tc>
        <w:tc>
          <w:tcPr>
            <w:tcW w:w="4295" w:type="pct"/>
            <w:gridSpan w:val="4"/>
            <w:vAlign w:val="center"/>
          </w:tcPr>
          <w:p w14:paraId="23838AD6" w14:textId="0A18CAE2" w:rsidR="0055474F" w:rsidRPr="00E551BD" w:rsidRDefault="0055474F" w:rsidP="00C65AFD">
            <w:pPr>
              <w:keepLines/>
              <w:rPr>
                <w:rFonts w:ascii="Arial Narrow" w:hAnsi="Arial Narrow"/>
                <w:sz w:val="20"/>
                <w:szCs w:val="20"/>
              </w:rPr>
            </w:pPr>
            <w:r w:rsidRPr="00E551BD">
              <w:rPr>
                <w:rFonts w:ascii="Arial Narrow" w:hAnsi="Arial Narrow"/>
                <w:b/>
                <w:bCs/>
                <w:sz w:val="20"/>
                <w:szCs w:val="20"/>
              </w:rPr>
              <w:t xml:space="preserve">Administrative Advice: </w:t>
            </w:r>
            <w:r w:rsidRPr="00E551BD">
              <w:rPr>
                <w:rFonts w:ascii="Arial Narrow" w:hAnsi="Arial Narrow"/>
                <w:sz w:val="20"/>
                <w:szCs w:val="20"/>
              </w:rPr>
              <w:t>No increase in the maximum number of repeats may be authorised.</w:t>
            </w:r>
          </w:p>
        </w:tc>
      </w:tr>
      <w:tr w:rsidR="00E551BD" w:rsidRPr="00E551BD" w14:paraId="7A11E2DB" w14:textId="77777777" w:rsidTr="00E46F2E">
        <w:tblPrEx>
          <w:tblCellMar>
            <w:top w:w="15" w:type="dxa"/>
            <w:bottom w:w="15" w:type="dxa"/>
          </w:tblCellMar>
          <w:tblLook w:val="04A0" w:firstRow="1" w:lastRow="0" w:firstColumn="1" w:lastColumn="0" w:noHBand="0" w:noVBand="1"/>
        </w:tblPrEx>
        <w:trPr>
          <w:trHeight w:val="49"/>
        </w:trPr>
        <w:tc>
          <w:tcPr>
            <w:tcW w:w="312" w:type="pct"/>
            <w:vMerge/>
            <w:vAlign w:val="center"/>
          </w:tcPr>
          <w:p w14:paraId="18F330A7" w14:textId="77777777" w:rsidR="0055474F" w:rsidRPr="00E551BD" w:rsidRDefault="0055474F" w:rsidP="00C65AFD">
            <w:pPr>
              <w:keepLines/>
              <w:jc w:val="center"/>
              <w:rPr>
                <w:rFonts w:ascii="Arial Narrow" w:hAnsi="Arial Narrow"/>
                <w:sz w:val="20"/>
                <w:szCs w:val="20"/>
              </w:rPr>
            </w:pPr>
          </w:p>
        </w:tc>
        <w:tc>
          <w:tcPr>
            <w:tcW w:w="393" w:type="pct"/>
            <w:vAlign w:val="center"/>
          </w:tcPr>
          <w:p w14:paraId="449E22F3" w14:textId="7C0178E6" w:rsidR="0055474F" w:rsidRPr="00E551BD" w:rsidRDefault="0055474F" w:rsidP="00C65AFD">
            <w:pPr>
              <w:keepLines/>
              <w:ind w:hanging="35"/>
              <w:jc w:val="center"/>
              <w:rPr>
                <w:rFonts w:ascii="Arial Narrow" w:hAnsi="Arial Narrow"/>
                <w:sz w:val="20"/>
                <w:szCs w:val="20"/>
              </w:rPr>
            </w:pPr>
          </w:p>
        </w:tc>
        <w:tc>
          <w:tcPr>
            <w:tcW w:w="4295" w:type="pct"/>
            <w:gridSpan w:val="4"/>
            <w:vAlign w:val="center"/>
          </w:tcPr>
          <w:p w14:paraId="4B543F6C" w14:textId="742BFC44" w:rsidR="0055474F" w:rsidRPr="00E551BD" w:rsidRDefault="0055474F" w:rsidP="00C65AFD">
            <w:pPr>
              <w:keepLines/>
              <w:rPr>
                <w:rFonts w:ascii="Arial Narrow" w:hAnsi="Arial Narrow"/>
                <w:sz w:val="20"/>
                <w:szCs w:val="20"/>
              </w:rPr>
            </w:pPr>
            <w:r w:rsidRPr="00E551BD">
              <w:rPr>
                <w:rFonts w:ascii="Arial Narrow" w:hAnsi="Arial Narrow"/>
                <w:b/>
                <w:bCs/>
                <w:sz w:val="20"/>
                <w:szCs w:val="20"/>
              </w:rPr>
              <w:t xml:space="preserve">Administrative Advice: </w:t>
            </w:r>
            <w:r w:rsidRPr="00E551BD">
              <w:rPr>
                <w:rFonts w:ascii="Arial Narrow" w:hAnsi="Arial Narrow"/>
                <w:sz w:val="20"/>
                <w:szCs w:val="20"/>
              </w:rPr>
              <w:t>Special Pricing Arrangements apply.</w:t>
            </w:r>
          </w:p>
        </w:tc>
      </w:tr>
      <w:tr w:rsidR="00E551BD" w:rsidRPr="00E551BD" w14:paraId="596AE334" w14:textId="77777777" w:rsidTr="001D6273">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71FB86AF" w14:textId="77777777" w:rsidR="001D6273" w:rsidRPr="00E551BD" w:rsidRDefault="001D6273" w:rsidP="00C65AFD">
            <w:pPr>
              <w:keepLines/>
              <w:rPr>
                <w:rFonts w:ascii="Arial Narrow" w:hAnsi="Arial Narrow"/>
                <w:b/>
                <w:bCs/>
                <w:sz w:val="20"/>
                <w:szCs w:val="20"/>
              </w:rPr>
            </w:pPr>
          </w:p>
        </w:tc>
      </w:tr>
      <w:tr w:rsidR="00E551BD" w:rsidRPr="00E551BD" w14:paraId="0AB9F20E"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749B3700" w14:textId="71760A65" w:rsidR="0055474F" w:rsidRPr="00E551BD" w:rsidRDefault="0055474F" w:rsidP="00C65AFD">
            <w:pPr>
              <w:keepLines/>
              <w:jc w:val="center"/>
              <w:rPr>
                <w:rFonts w:ascii="Arial Narrow" w:hAnsi="Arial Narrow"/>
                <w:sz w:val="20"/>
                <w:szCs w:val="20"/>
              </w:rPr>
            </w:pPr>
          </w:p>
        </w:tc>
        <w:tc>
          <w:tcPr>
            <w:tcW w:w="4295" w:type="pct"/>
            <w:gridSpan w:val="4"/>
            <w:vAlign w:val="center"/>
            <w:hideMark/>
          </w:tcPr>
          <w:p w14:paraId="0199F789" w14:textId="77777777" w:rsidR="0055474F" w:rsidRPr="00E551BD" w:rsidRDefault="0055474F" w:rsidP="00C65AFD">
            <w:pPr>
              <w:keepLines/>
              <w:rPr>
                <w:rFonts w:ascii="Arial Narrow" w:hAnsi="Arial Narrow"/>
                <w:sz w:val="20"/>
                <w:szCs w:val="20"/>
              </w:rPr>
            </w:pPr>
            <w:r w:rsidRPr="00E551BD">
              <w:rPr>
                <w:rFonts w:ascii="Arial Narrow" w:hAnsi="Arial Narrow"/>
                <w:b/>
                <w:bCs/>
                <w:sz w:val="20"/>
                <w:szCs w:val="20"/>
              </w:rPr>
              <w:t>Indication:</w:t>
            </w:r>
            <w:r w:rsidRPr="00E551BD">
              <w:rPr>
                <w:rFonts w:ascii="Arial Narrow" w:hAnsi="Arial Narrow"/>
                <w:sz w:val="20"/>
                <w:szCs w:val="20"/>
              </w:rPr>
              <w:t xml:space="preserve"> Unresectable Stage III or Stage IV malignant melanoma</w:t>
            </w:r>
          </w:p>
        </w:tc>
      </w:tr>
      <w:tr w:rsidR="00E551BD" w:rsidRPr="00E551BD" w14:paraId="0724F3A1"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13D48F6" w14:textId="77777777" w:rsidR="001D6273" w:rsidRPr="00E551BD" w:rsidRDefault="001D6273" w:rsidP="00C65AFD">
            <w:pPr>
              <w:keepLines/>
              <w:rPr>
                <w:rFonts w:ascii="Arial Narrow" w:hAnsi="Arial Narrow"/>
                <w:b/>
                <w:bCs/>
                <w:sz w:val="20"/>
                <w:szCs w:val="20"/>
              </w:rPr>
            </w:pPr>
          </w:p>
        </w:tc>
      </w:tr>
      <w:tr w:rsidR="00E551BD" w:rsidRPr="00E551BD" w14:paraId="488E29F2"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2FA312A6" w14:textId="77777777" w:rsidR="0055474F" w:rsidRPr="00E551BD" w:rsidRDefault="0055474F" w:rsidP="00C65AFD">
            <w:pPr>
              <w:jc w:val="center"/>
              <w:rPr>
                <w:rFonts w:ascii="Arial Narrow" w:hAnsi="Arial Narrow"/>
                <w:sz w:val="20"/>
                <w:szCs w:val="20"/>
              </w:rPr>
            </w:pPr>
          </w:p>
        </w:tc>
        <w:tc>
          <w:tcPr>
            <w:tcW w:w="4295" w:type="pct"/>
            <w:gridSpan w:val="4"/>
            <w:vAlign w:val="center"/>
            <w:hideMark/>
          </w:tcPr>
          <w:p w14:paraId="1E0F35C3"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Treatment Phase:</w:t>
            </w:r>
            <w:r w:rsidRPr="00E551BD">
              <w:rPr>
                <w:rFonts w:ascii="Arial Narrow" w:hAnsi="Arial Narrow"/>
                <w:sz w:val="20"/>
                <w:szCs w:val="20"/>
              </w:rPr>
              <w:t xml:space="preserve"> Induction treatment</w:t>
            </w:r>
          </w:p>
        </w:tc>
      </w:tr>
      <w:tr w:rsidR="00E551BD" w:rsidRPr="00E551BD" w14:paraId="65B44D0E"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6F95164" w14:textId="77777777" w:rsidR="001D6273" w:rsidRPr="00E551BD" w:rsidRDefault="001D6273" w:rsidP="00C65AFD">
            <w:pPr>
              <w:rPr>
                <w:rFonts w:ascii="Arial Narrow" w:hAnsi="Arial Narrow"/>
                <w:b/>
                <w:bCs/>
                <w:sz w:val="20"/>
                <w:szCs w:val="20"/>
              </w:rPr>
            </w:pPr>
          </w:p>
        </w:tc>
      </w:tr>
      <w:tr w:rsidR="00E551BD" w:rsidRPr="00E551BD" w14:paraId="3AF67E35"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0FD0939" w14:textId="261EF441" w:rsidR="0055474F" w:rsidRPr="00E551BD" w:rsidRDefault="0055474F" w:rsidP="00C65AFD">
            <w:pPr>
              <w:jc w:val="center"/>
              <w:rPr>
                <w:rFonts w:ascii="Arial Narrow" w:hAnsi="Arial Narrow"/>
                <w:sz w:val="20"/>
                <w:szCs w:val="20"/>
              </w:rPr>
            </w:pPr>
          </w:p>
        </w:tc>
        <w:tc>
          <w:tcPr>
            <w:tcW w:w="4295" w:type="pct"/>
            <w:gridSpan w:val="4"/>
            <w:vAlign w:val="center"/>
            <w:hideMark/>
          </w:tcPr>
          <w:p w14:paraId="1657A235"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Clinical criteria:</w:t>
            </w:r>
          </w:p>
        </w:tc>
      </w:tr>
      <w:tr w:rsidR="00E551BD" w:rsidRPr="00E551BD" w14:paraId="310A9BD6"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D547E83" w14:textId="0C8D21D5" w:rsidR="0055474F" w:rsidRPr="00E551BD" w:rsidRDefault="0055474F" w:rsidP="00C65AFD">
            <w:pPr>
              <w:jc w:val="center"/>
              <w:rPr>
                <w:rFonts w:ascii="Arial Narrow" w:hAnsi="Arial Narrow"/>
                <w:sz w:val="20"/>
                <w:szCs w:val="20"/>
              </w:rPr>
            </w:pPr>
          </w:p>
        </w:tc>
        <w:tc>
          <w:tcPr>
            <w:tcW w:w="4295" w:type="pct"/>
            <w:gridSpan w:val="4"/>
            <w:vAlign w:val="center"/>
            <w:hideMark/>
          </w:tcPr>
          <w:p w14:paraId="4D863777" w14:textId="77777777" w:rsidR="0055474F" w:rsidRPr="00E551BD" w:rsidRDefault="0055474F" w:rsidP="00C65AFD">
            <w:pPr>
              <w:rPr>
                <w:rFonts w:ascii="Arial Narrow" w:hAnsi="Arial Narrow"/>
                <w:sz w:val="20"/>
                <w:szCs w:val="20"/>
              </w:rPr>
            </w:pPr>
            <w:r w:rsidRPr="00E551BD">
              <w:rPr>
                <w:rFonts w:ascii="Arial Narrow" w:hAnsi="Arial Narrow"/>
                <w:sz w:val="20"/>
                <w:szCs w:val="20"/>
              </w:rPr>
              <w:t>Patient must not have received prior treatment with ipilimumab or a PD-1 (programmed cell death-1) inhibitor for the treatment of unresectable Stage III or Stage IV malignant melanoma</w:t>
            </w:r>
          </w:p>
        </w:tc>
      </w:tr>
      <w:tr w:rsidR="00E551BD" w:rsidRPr="00E551BD" w14:paraId="32731781"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F091EC7" w14:textId="77777777" w:rsidR="0055474F" w:rsidRPr="00E551BD" w:rsidRDefault="0055474F" w:rsidP="00C65AFD">
            <w:pPr>
              <w:jc w:val="center"/>
              <w:rPr>
                <w:rFonts w:ascii="Arial Narrow" w:hAnsi="Arial Narrow"/>
                <w:sz w:val="20"/>
                <w:szCs w:val="20"/>
              </w:rPr>
            </w:pPr>
          </w:p>
        </w:tc>
        <w:tc>
          <w:tcPr>
            <w:tcW w:w="4295" w:type="pct"/>
            <w:gridSpan w:val="4"/>
            <w:vAlign w:val="center"/>
            <w:hideMark/>
          </w:tcPr>
          <w:p w14:paraId="1BEEC7C8"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AND</w:t>
            </w:r>
          </w:p>
        </w:tc>
      </w:tr>
      <w:tr w:rsidR="00E551BD" w:rsidRPr="00E551BD" w14:paraId="7D4BF6DB"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4596D29" w14:textId="1D578F0B" w:rsidR="0055474F" w:rsidRPr="00E551BD" w:rsidRDefault="0055474F" w:rsidP="00C65AFD">
            <w:pPr>
              <w:jc w:val="center"/>
              <w:rPr>
                <w:rFonts w:ascii="Arial Narrow" w:hAnsi="Arial Narrow"/>
                <w:sz w:val="20"/>
                <w:szCs w:val="20"/>
              </w:rPr>
            </w:pPr>
          </w:p>
        </w:tc>
        <w:tc>
          <w:tcPr>
            <w:tcW w:w="4295" w:type="pct"/>
            <w:gridSpan w:val="4"/>
            <w:vAlign w:val="center"/>
            <w:hideMark/>
          </w:tcPr>
          <w:p w14:paraId="75BD6155" w14:textId="77777777" w:rsidR="0055474F" w:rsidRPr="00E551BD" w:rsidRDefault="0055474F" w:rsidP="00C65AFD">
            <w:pPr>
              <w:rPr>
                <w:rFonts w:ascii="Arial Narrow" w:hAnsi="Arial Narrow"/>
                <w:strike/>
                <w:sz w:val="20"/>
                <w:szCs w:val="20"/>
              </w:rPr>
            </w:pPr>
            <w:r w:rsidRPr="00E551BD">
              <w:rPr>
                <w:rFonts w:ascii="Arial Narrow" w:hAnsi="Arial Narrow"/>
                <w:b/>
                <w:bCs/>
                <w:strike/>
                <w:sz w:val="20"/>
                <w:szCs w:val="20"/>
              </w:rPr>
              <w:t>Clinical criteria:</w:t>
            </w:r>
          </w:p>
        </w:tc>
      </w:tr>
      <w:tr w:rsidR="00E551BD" w:rsidRPr="00E551BD" w14:paraId="135C29DF"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6F49F23" w14:textId="43176858" w:rsidR="0055474F" w:rsidRPr="00E551BD" w:rsidRDefault="0055474F" w:rsidP="00C65AFD">
            <w:pPr>
              <w:jc w:val="center"/>
              <w:rPr>
                <w:rFonts w:ascii="Arial Narrow" w:hAnsi="Arial Narrow"/>
                <w:sz w:val="20"/>
                <w:szCs w:val="20"/>
              </w:rPr>
            </w:pPr>
          </w:p>
        </w:tc>
        <w:tc>
          <w:tcPr>
            <w:tcW w:w="4295" w:type="pct"/>
            <w:gridSpan w:val="4"/>
            <w:vAlign w:val="center"/>
            <w:hideMark/>
          </w:tcPr>
          <w:p w14:paraId="3189ED2A" w14:textId="77777777" w:rsidR="0055474F" w:rsidRPr="00E551BD" w:rsidRDefault="0055474F" w:rsidP="00C65AFD">
            <w:pPr>
              <w:rPr>
                <w:rFonts w:ascii="Arial Narrow" w:hAnsi="Arial Narrow"/>
                <w:strike/>
                <w:sz w:val="20"/>
                <w:szCs w:val="20"/>
              </w:rPr>
            </w:pPr>
            <w:r w:rsidRPr="00E551BD">
              <w:rPr>
                <w:rFonts w:ascii="Arial Narrow" w:hAnsi="Arial Narrow"/>
                <w:strike/>
                <w:sz w:val="20"/>
                <w:szCs w:val="20"/>
              </w:rPr>
              <w:t>Patient must not have experienced disease progression whilst on adjuvant PD-1 inhibitor treatment or disease recurrence within 6 months of completion of adjuvant PD-1 inhibitor treatment if treated for resected Stage IIIB, IIIC, IIID or IV melanoma</w:t>
            </w:r>
          </w:p>
        </w:tc>
      </w:tr>
      <w:tr w:rsidR="00E551BD" w:rsidRPr="00E551BD" w14:paraId="279C6358"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1BEF9AC" w14:textId="77777777" w:rsidR="0055474F" w:rsidRPr="00E551BD" w:rsidRDefault="0055474F" w:rsidP="00C65AFD">
            <w:pPr>
              <w:jc w:val="center"/>
              <w:rPr>
                <w:rFonts w:ascii="Arial Narrow" w:hAnsi="Arial Narrow"/>
                <w:strike/>
                <w:sz w:val="20"/>
                <w:szCs w:val="20"/>
              </w:rPr>
            </w:pPr>
          </w:p>
        </w:tc>
        <w:tc>
          <w:tcPr>
            <w:tcW w:w="4295" w:type="pct"/>
            <w:gridSpan w:val="4"/>
            <w:vAlign w:val="center"/>
          </w:tcPr>
          <w:p w14:paraId="267D1507" w14:textId="77777777" w:rsidR="0055474F" w:rsidRPr="00E551BD" w:rsidRDefault="0055474F" w:rsidP="00C65AFD">
            <w:pPr>
              <w:rPr>
                <w:rFonts w:ascii="Arial Narrow" w:hAnsi="Arial Narrow"/>
                <w:strike/>
                <w:sz w:val="20"/>
                <w:szCs w:val="20"/>
              </w:rPr>
            </w:pPr>
            <w:r w:rsidRPr="00E551BD">
              <w:rPr>
                <w:rFonts w:ascii="Arial Narrow" w:hAnsi="Arial Narrow"/>
                <w:b/>
                <w:bCs/>
                <w:strike/>
                <w:sz w:val="20"/>
                <w:szCs w:val="20"/>
              </w:rPr>
              <w:t>AND</w:t>
            </w:r>
          </w:p>
        </w:tc>
      </w:tr>
      <w:tr w:rsidR="00E551BD" w:rsidRPr="00E551BD" w14:paraId="6163BEFB"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59BEA7B" w14:textId="740ADF84" w:rsidR="0055474F" w:rsidRPr="00E551BD" w:rsidRDefault="0055474F" w:rsidP="00C65AFD">
            <w:pPr>
              <w:jc w:val="center"/>
              <w:rPr>
                <w:rFonts w:ascii="Arial Narrow" w:hAnsi="Arial Narrow"/>
                <w:sz w:val="20"/>
                <w:szCs w:val="20"/>
              </w:rPr>
            </w:pPr>
          </w:p>
        </w:tc>
        <w:tc>
          <w:tcPr>
            <w:tcW w:w="4295" w:type="pct"/>
            <w:gridSpan w:val="4"/>
            <w:vAlign w:val="center"/>
          </w:tcPr>
          <w:p w14:paraId="397F3D69"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Clinical criteria:</w:t>
            </w:r>
          </w:p>
        </w:tc>
      </w:tr>
      <w:tr w:rsidR="00E551BD" w:rsidRPr="00E551BD" w14:paraId="6408D685"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AA29B38" w14:textId="602DCC34" w:rsidR="0055474F" w:rsidRPr="00E551BD" w:rsidRDefault="0055474F" w:rsidP="00C65AFD">
            <w:pPr>
              <w:jc w:val="center"/>
              <w:rPr>
                <w:rFonts w:ascii="Arial Narrow" w:hAnsi="Arial Narrow"/>
                <w:sz w:val="20"/>
                <w:szCs w:val="20"/>
              </w:rPr>
            </w:pPr>
          </w:p>
        </w:tc>
        <w:tc>
          <w:tcPr>
            <w:tcW w:w="4295" w:type="pct"/>
            <w:gridSpan w:val="4"/>
            <w:vAlign w:val="center"/>
          </w:tcPr>
          <w:p w14:paraId="5B298CBB" w14:textId="77777777" w:rsidR="0055474F" w:rsidRPr="00E551BD" w:rsidRDefault="0055474F" w:rsidP="00C65AFD">
            <w:pPr>
              <w:rPr>
                <w:rFonts w:ascii="Arial Narrow" w:hAnsi="Arial Narrow"/>
                <w:sz w:val="20"/>
                <w:szCs w:val="20"/>
              </w:rPr>
            </w:pPr>
            <w:r w:rsidRPr="00E551BD">
              <w:rPr>
                <w:rFonts w:ascii="Arial Narrow" w:hAnsi="Arial Narrow"/>
                <w:sz w:val="20"/>
                <w:szCs w:val="20"/>
              </w:rPr>
              <w:t>Patient must have an Eastern Cooperative Oncology Group (ECOG) performance status of 0 or 1</w:t>
            </w:r>
          </w:p>
        </w:tc>
      </w:tr>
      <w:tr w:rsidR="00E551BD" w:rsidRPr="00E551BD" w14:paraId="42A96EDB"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21A9E6F" w14:textId="77777777" w:rsidR="0055474F" w:rsidRPr="00E551BD" w:rsidRDefault="0055474F" w:rsidP="00C65AFD">
            <w:pPr>
              <w:jc w:val="center"/>
              <w:rPr>
                <w:rFonts w:ascii="Arial Narrow" w:hAnsi="Arial Narrow"/>
                <w:sz w:val="20"/>
                <w:szCs w:val="20"/>
              </w:rPr>
            </w:pPr>
          </w:p>
        </w:tc>
        <w:tc>
          <w:tcPr>
            <w:tcW w:w="4295" w:type="pct"/>
            <w:gridSpan w:val="4"/>
            <w:vAlign w:val="center"/>
            <w:hideMark/>
          </w:tcPr>
          <w:p w14:paraId="123CD44E"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AND</w:t>
            </w:r>
          </w:p>
        </w:tc>
      </w:tr>
      <w:tr w:rsidR="00E551BD" w:rsidRPr="00E551BD" w14:paraId="030C35CD"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90E9C13" w14:textId="57FFCD77" w:rsidR="0055474F" w:rsidRPr="00E551BD" w:rsidRDefault="0055474F" w:rsidP="00C65AFD">
            <w:pPr>
              <w:jc w:val="center"/>
              <w:rPr>
                <w:rFonts w:ascii="Arial Narrow" w:hAnsi="Arial Narrow"/>
                <w:sz w:val="20"/>
                <w:szCs w:val="20"/>
              </w:rPr>
            </w:pPr>
          </w:p>
        </w:tc>
        <w:tc>
          <w:tcPr>
            <w:tcW w:w="4295" w:type="pct"/>
            <w:gridSpan w:val="4"/>
            <w:vAlign w:val="center"/>
            <w:hideMark/>
          </w:tcPr>
          <w:p w14:paraId="408680E9"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 xml:space="preserve">Clinical criteria: </w:t>
            </w:r>
          </w:p>
        </w:tc>
      </w:tr>
      <w:tr w:rsidR="00E551BD" w:rsidRPr="00E551BD" w14:paraId="36B22146"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678B412" w14:textId="0B7A41A0" w:rsidR="0055474F" w:rsidRPr="00E551BD" w:rsidRDefault="0055474F" w:rsidP="00C65AFD">
            <w:pPr>
              <w:jc w:val="center"/>
              <w:rPr>
                <w:rFonts w:ascii="Arial Narrow" w:hAnsi="Arial Narrow"/>
                <w:sz w:val="20"/>
                <w:szCs w:val="20"/>
              </w:rPr>
            </w:pPr>
          </w:p>
        </w:tc>
        <w:tc>
          <w:tcPr>
            <w:tcW w:w="4295" w:type="pct"/>
            <w:gridSpan w:val="4"/>
            <w:vAlign w:val="center"/>
            <w:hideMark/>
          </w:tcPr>
          <w:p w14:paraId="5FA0CBAA" w14:textId="77777777" w:rsidR="0055474F" w:rsidRPr="00E551BD" w:rsidRDefault="0055474F" w:rsidP="00C65AFD">
            <w:pPr>
              <w:rPr>
                <w:rFonts w:ascii="Arial Narrow" w:hAnsi="Arial Narrow"/>
                <w:sz w:val="20"/>
                <w:szCs w:val="20"/>
              </w:rPr>
            </w:pPr>
            <w:r w:rsidRPr="00E551BD">
              <w:rPr>
                <w:rFonts w:ascii="Arial Narrow" w:hAnsi="Arial Narrow"/>
                <w:sz w:val="20"/>
                <w:szCs w:val="20"/>
              </w:rPr>
              <w:t>The condition must not be ocular or uveal melanoma</w:t>
            </w:r>
          </w:p>
        </w:tc>
      </w:tr>
      <w:tr w:rsidR="00E551BD" w:rsidRPr="00E551BD" w14:paraId="12F39699"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AB353E4" w14:textId="77777777" w:rsidR="0055474F" w:rsidRPr="00E551BD" w:rsidRDefault="0055474F" w:rsidP="00C65AFD">
            <w:pPr>
              <w:jc w:val="center"/>
              <w:rPr>
                <w:rFonts w:ascii="Arial Narrow" w:hAnsi="Arial Narrow"/>
                <w:sz w:val="20"/>
                <w:szCs w:val="20"/>
              </w:rPr>
            </w:pPr>
          </w:p>
        </w:tc>
        <w:tc>
          <w:tcPr>
            <w:tcW w:w="4295" w:type="pct"/>
            <w:gridSpan w:val="4"/>
            <w:vAlign w:val="center"/>
          </w:tcPr>
          <w:p w14:paraId="7CA64D62"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AND</w:t>
            </w:r>
          </w:p>
        </w:tc>
      </w:tr>
      <w:tr w:rsidR="00E551BD" w:rsidRPr="00E551BD" w14:paraId="392A565A"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5E537F0" w14:textId="2099F37B" w:rsidR="0055474F" w:rsidRPr="00E551BD" w:rsidRDefault="0055474F" w:rsidP="00C65AFD">
            <w:pPr>
              <w:jc w:val="center"/>
              <w:rPr>
                <w:rFonts w:ascii="Arial Narrow" w:hAnsi="Arial Narrow"/>
                <w:sz w:val="20"/>
                <w:szCs w:val="20"/>
              </w:rPr>
            </w:pPr>
          </w:p>
        </w:tc>
        <w:tc>
          <w:tcPr>
            <w:tcW w:w="4295" w:type="pct"/>
            <w:gridSpan w:val="4"/>
            <w:vAlign w:val="center"/>
          </w:tcPr>
          <w:p w14:paraId="659FA92F"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 xml:space="preserve">Clinical criteria: </w:t>
            </w:r>
          </w:p>
        </w:tc>
      </w:tr>
      <w:tr w:rsidR="00E551BD" w:rsidRPr="00E551BD" w14:paraId="05197ED5"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83F9237" w14:textId="4D1E7FF0" w:rsidR="0055474F" w:rsidRPr="00E551BD" w:rsidRDefault="0055474F" w:rsidP="00C65AFD">
            <w:pPr>
              <w:jc w:val="center"/>
              <w:rPr>
                <w:rFonts w:ascii="Arial Narrow" w:hAnsi="Arial Narrow"/>
                <w:sz w:val="20"/>
                <w:szCs w:val="20"/>
              </w:rPr>
            </w:pPr>
          </w:p>
        </w:tc>
        <w:tc>
          <w:tcPr>
            <w:tcW w:w="4295" w:type="pct"/>
            <w:gridSpan w:val="4"/>
            <w:vAlign w:val="center"/>
          </w:tcPr>
          <w:p w14:paraId="29D90174" w14:textId="682AA16B" w:rsidR="0055474F" w:rsidRPr="00E551BD" w:rsidRDefault="0055474F" w:rsidP="00C65AFD">
            <w:pPr>
              <w:rPr>
                <w:rFonts w:ascii="Arial Narrow" w:hAnsi="Arial Narrow"/>
                <w:sz w:val="20"/>
                <w:szCs w:val="20"/>
              </w:rPr>
            </w:pPr>
            <w:r w:rsidRPr="00E551BD">
              <w:rPr>
                <w:rFonts w:ascii="Arial Narrow" w:hAnsi="Arial Narrow"/>
                <w:sz w:val="20"/>
                <w:szCs w:val="20"/>
              </w:rPr>
              <w:t xml:space="preserve">The treatment must be in combination with PBS-subsidised treatment with ipilimumab as induction for this condition </w:t>
            </w:r>
          </w:p>
        </w:tc>
      </w:tr>
      <w:tr w:rsidR="00E551BD" w:rsidRPr="00E551BD" w14:paraId="4B08F9BD"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1259D1B" w14:textId="77777777" w:rsidR="001D6273" w:rsidRPr="00E551BD" w:rsidRDefault="001D6273" w:rsidP="00C65AFD">
            <w:pPr>
              <w:rPr>
                <w:rFonts w:ascii="Arial Narrow" w:hAnsi="Arial Narrow"/>
                <w:b/>
                <w:bCs/>
                <w:sz w:val="20"/>
                <w:szCs w:val="20"/>
              </w:rPr>
            </w:pPr>
          </w:p>
        </w:tc>
      </w:tr>
      <w:tr w:rsidR="00E551BD" w:rsidRPr="00E551BD" w14:paraId="19025CBF"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26194EA" w14:textId="2E0619C9" w:rsidR="0055474F" w:rsidRPr="00E551BD" w:rsidRDefault="0055474F" w:rsidP="00C65AFD">
            <w:pPr>
              <w:jc w:val="center"/>
              <w:rPr>
                <w:rFonts w:ascii="Arial Narrow" w:hAnsi="Arial Narrow"/>
                <w:sz w:val="20"/>
                <w:szCs w:val="20"/>
              </w:rPr>
            </w:pPr>
          </w:p>
        </w:tc>
        <w:tc>
          <w:tcPr>
            <w:tcW w:w="4295" w:type="pct"/>
            <w:gridSpan w:val="4"/>
            <w:vAlign w:val="center"/>
            <w:hideMark/>
          </w:tcPr>
          <w:p w14:paraId="649A92E6"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 xml:space="preserve">Prescribing Instructions: </w:t>
            </w:r>
            <w:r w:rsidRPr="00E551BD">
              <w:rPr>
                <w:rFonts w:ascii="Arial Narrow" w:hAnsi="Arial Narrow"/>
                <w:sz w:val="20"/>
                <w:szCs w:val="20"/>
              </w:rPr>
              <w:t>Induction treatment with nivolumab must not exceed a total of 4 doses at a maximum dose of 1 mg per kg every 3 weeks.</w:t>
            </w:r>
          </w:p>
        </w:tc>
      </w:tr>
      <w:tr w:rsidR="0055474F" w:rsidRPr="00E551BD" w14:paraId="763C9038"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AACC10A" w14:textId="3B17F189" w:rsidR="0055474F" w:rsidRPr="00E551BD" w:rsidRDefault="0055474F" w:rsidP="00C65AFD">
            <w:pPr>
              <w:jc w:val="center"/>
              <w:rPr>
                <w:rFonts w:ascii="Arial Narrow" w:hAnsi="Arial Narrow"/>
                <w:sz w:val="20"/>
                <w:szCs w:val="20"/>
              </w:rPr>
            </w:pPr>
          </w:p>
        </w:tc>
        <w:tc>
          <w:tcPr>
            <w:tcW w:w="4295" w:type="pct"/>
            <w:gridSpan w:val="4"/>
            <w:vAlign w:val="center"/>
          </w:tcPr>
          <w:p w14:paraId="20765235"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 xml:space="preserve">Prescribing Instructions: </w:t>
            </w:r>
            <w:r w:rsidRPr="00E551BD">
              <w:rPr>
                <w:rFonts w:ascii="Arial Narrow" w:hAnsi="Arial Narrow"/>
                <w:sz w:val="20"/>
                <w:szCs w:val="20"/>
              </w:rPr>
              <w:t>Induction treatment with ipilimumab must not exceed a total of 4 doses at a maximum dose of 3 mg per kg every 3 weeks.</w:t>
            </w:r>
          </w:p>
        </w:tc>
      </w:tr>
    </w:tbl>
    <w:p w14:paraId="24E59CF9" w14:textId="77777777" w:rsidR="00E46F2E" w:rsidRPr="00E551BD" w:rsidRDefault="00E46F2E" w:rsidP="00E46F2E"/>
    <w:p w14:paraId="0C75B3CD" w14:textId="467F8387" w:rsidR="0055474F" w:rsidRPr="00E551BD" w:rsidRDefault="0055474F" w:rsidP="00E46F2E">
      <w:pPr>
        <w:keepNext/>
        <w:rPr>
          <w:rFonts w:ascii="Arial Narrow" w:hAnsi="Arial Narrow"/>
          <w:b/>
          <w:bCs/>
          <w:sz w:val="20"/>
          <w:szCs w:val="20"/>
        </w:rPr>
      </w:pPr>
      <w:r w:rsidRPr="00E551BD">
        <w:rPr>
          <w:rFonts w:ascii="Arial Narrow" w:hAnsi="Arial Narrow"/>
          <w:b/>
          <w:bCs/>
          <w:sz w:val="20"/>
          <w:szCs w:val="20"/>
        </w:rPr>
        <w:t>NIVO maintenance (for use after NIVO + IPI induction):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688"/>
        <w:gridCol w:w="2340"/>
        <w:gridCol w:w="2203"/>
        <w:gridCol w:w="1515"/>
        <w:gridCol w:w="1464"/>
      </w:tblGrid>
      <w:tr w:rsidR="00E551BD" w:rsidRPr="00E551BD" w14:paraId="5C562B47" w14:textId="77777777" w:rsidTr="00C65AFD">
        <w:trPr>
          <w:cantSplit/>
          <w:trHeight w:val="20"/>
        </w:trPr>
        <w:tc>
          <w:tcPr>
            <w:tcW w:w="2041" w:type="pct"/>
            <w:gridSpan w:val="3"/>
            <w:vAlign w:val="center"/>
          </w:tcPr>
          <w:p w14:paraId="1A7F71E7" w14:textId="77777777" w:rsidR="0055474F" w:rsidRPr="00E551BD" w:rsidRDefault="0055474F" w:rsidP="00E46F2E">
            <w:pPr>
              <w:keepNext/>
              <w:rPr>
                <w:rFonts w:ascii="Arial Narrow" w:hAnsi="Arial Narrow"/>
                <w:b/>
                <w:bCs/>
                <w:sz w:val="20"/>
                <w:szCs w:val="20"/>
              </w:rPr>
            </w:pPr>
            <w:r w:rsidRPr="00E551BD">
              <w:rPr>
                <w:rFonts w:ascii="Arial Narrow" w:hAnsi="Arial Narrow"/>
                <w:b/>
                <w:bCs/>
                <w:sz w:val="20"/>
                <w:szCs w:val="20"/>
              </w:rPr>
              <w:t>MEDICINAL PRODUCT</w:t>
            </w:r>
          </w:p>
          <w:p w14:paraId="264167C3" w14:textId="77777777" w:rsidR="0055474F" w:rsidRPr="00E551BD" w:rsidRDefault="0055474F" w:rsidP="00E46F2E">
            <w:pPr>
              <w:keepNext/>
              <w:rPr>
                <w:rFonts w:ascii="Arial Narrow" w:hAnsi="Arial Narrow"/>
                <w:b/>
                <w:sz w:val="20"/>
                <w:szCs w:val="20"/>
              </w:rPr>
            </w:pPr>
            <w:r w:rsidRPr="00E551BD">
              <w:rPr>
                <w:rFonts w:ascii="Arial Narrow" w:hAnsi="Arial Narrow"/>
                <w:b/>
                <w:sz w:val="20"/>
                <w:szCs w:val="20"/>
              </w:rPr>
              <w:t>Form</w:t>
            </w:r>
          </w:p>
        </w:tc>
        <w:tc>
          <w:tcPr>
            <w:tcW w:w="1258" w:type="pct"/>
            <w:vAlign w:val="center"/>
          </w:tcPr>
          <w:p w14:paraId="36366A33" w14:textId="77777777" w:rsidR="0055474F" w:rsidRPr="00E551BD" w:rsidRDefault="0055474F" w:rsidP="00E46F2E">
            <w:pPr>
              <w:keepNext/>
              <w:jc w:val="center"/>
              <w:rPr>
                <w:rFonts w:ascii="Arial Narrow" w:hAnsi="Arial Narrow"/>
                <w:b/>
                <w:sz w:val="20"/>
                <w:szCs w:val="20"/>
              </w:rPr>
            </w:pPr>
            <w:r w:rsidRPr="00E551BD">
              <w:rPr>
                <w:rFonts w:ascii="Arial Narrow" w:hAnsi="Arial Narrow"/>
                <w:b/>
                <w:sz w:val="20"/>
                <w:szCs w:val="20"/>
              </w:rPr>
              <w:t>PBS item code</w:t>
            </w:r>
          </w:p>
        </w:tc>
        <w:tc>
          <w:tcPr>
            <w:tcW w:w="865" w:type="pct"/>
            <w:vAlign w:val="center"/>
          </w:tcPr>
          <w:p w14:paraId="6094EF81" w14:textId="77777777" w:rsidR="0055474F" w:rsidRPr="00E551BD" w:rsidRDefault="0055474F" w:rsidP="00E46F2E">
            <w:pPr>
              <w:keepNext/>
              <w:jc w:val="center"/>
              <w:rPr>
                <w:rFonts w:ascii="Arial Narrow" w:hAnsi="Arial Narrow"/>
                <w:b/>
                <w:sz w:val="20"/>
                <w:szCs w:val="20"/>
              </w:rPr>
            </w:pPr>
            <w:r w:rsidRPr="00E551BD">
              <w:rPr>
                <w:rFonts w:ascii="Arial Narrow" w:hAnsi="Arial Narrow"/>
                <w:b/>
                <w:sz w:val="20"/>
                <w:szCs w:val="20"/>
              </w:rPr>
              <w:t>Max. Amount</w:t>
            </w:r>
          </w:p>
        </w:tc>
        <w:tc>
          <w:tcPr>
            <w:tcW w:w="836" w:type="pct"/>
            <w:vAlign w:val="center"/>
          </w:tcPr>
          <w:p w14:paraId="4CB524EB" w14:textId="77777777" w:rsidR="0055474F" w:rsidRPr="00E551BD" w:rsidRDefault="0055474F" w:rsidP="00E46F2E">
            <w:pPr>
              <w:keepNext/>
              <w:jc w:val="center"/>
              <w:rPr>
                <w:rFonts w:ascii="Arial Narrow" w:hAnsi="Arial Narrow"/>
                <w:b/>
                <w:sz w:val="20"/>
                <w:szCs w:val="20"/>
              </w:rPr>
            </w:pPr>
            <w:r w:rsidRPr="00E551BD">
              <w:rPr>
                <w:rFonts w:ascii="Arial Narrow" w:hAnsi="Arial Narrow"/>
                <w:b/>
                <w:sz w:val="20"/>
                <w:szCs w:val="20"/>
              </w:rPr>
              <w:t>№. of Rpts</w:t>
            </w:r>
          </w:p>
        </w:tc>
      </w:tr>
      <w:tr w:rsidR="00E551BD" w:rsidRPr="00E551BD" w14:paraId="10B44A59" w14:textId="77777777" w:rsidTr="00C65AFD">
        <w:trPr>
          <w:cantSplit/>
          <w:trHeight w:val="20"/>
        </w:trPr>
        <w:tc>
          <w:tcPr>
            <w:tcW w:w="2041" w:type="pct"/>
            <w:gridSpan w:val="3"/>
            <w:vAlign w:val="center"/>
          </w:tcPr>
          <w:p w14:paraId="70C72FD0"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NIVOLUMAB</w:t>
            </w:r>
          </w:p>
          <w:p w14:paraId="2482236B"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Injection</w:t>
            </w:r>
          </w:p>
        </w:tc>
        <w:tc>
          <w:tcPr>
            <w:tcW w:w="1258" w:type="pct"/>
            <w:vAlign w:val="center"/>
          </w:tcPr>
          <w:p w14:paraId="2F95863B" w14:textId="77777777" w:rsidR="0055474F" w:rsidRPr="00E551BD" w:rsidRDefault="0055474F" w:rsidP="00C65AFD">
            <w:pPr>
              <w:keepNext/>
              <w:jc w:val="center"/>
              <w:rPr>
                <w:rFonts w:ascii="Arial Narrow" w:hAnsi="Arial Narrow"/>
                <w:sz w:val="20"/>
                <w:szCs w:val="20"/>
              </w:rPr>
            </w:pPr>
            <w:r w:rsidRPr="00E551BD">
              <w:rPr>
                <w:rFonts w:ascii="Arial Narrow" w:hAnsi="Arial Narrow"/>
                <w:sz w:val="20"/>
                <w:szCs w:val="20"/>
              </w:rPr>
              <w:t>10745M (Public)</w:t>
            </w:r>
          </w:p>
          <w:p w14:paraId="164B4E6B" w14:textId="77777777" w:rsidR="0055474F" w:rsidRPr="00E551BD" w:rsidRDefault="0055474F" w:rsidP="00C65AFD">
            <w:pPr>
              <w:keepNext/>
              <w:jc w:val="center"/>
              <w:rPr>
                <w:rFonts w:ascii="Arial Narrow" w:hAnsi="Arial Narrow"/>
                <w:sz w:val="20"/>
                <w:szCs w:val="20"/>
              </w:rPr>
            </w:pPr>
            <w:r w:rsidRPr="00E551BD">
              <w:rPr>
                <w:rFonts w:ascii="Arial Narrow" w:hAnsi="Arial Narrow"/>
                <w:sz w:val="20"/>
                <w:szCs w:val="20"/>
              </w:rPr>
              <w:t>10748Q (Private)</w:t>
            </w:r>
          </w:p>
        </w:tc>
        <w:tc>
          <w:tcPr>
            <w:tcW w:w="865" w:type="pct"/>
            <w:vAlign w:val="center"/>
          </w:tcPr>
          <w:p w14:paraId="620C0F33" w14:textId="77777777" w:rsidR="0055474F" w:rsidRPr="00E551BD" w:rsidRDefault="0055474F" w:rsidP="00C65AFD">
            <w:pPr>
              <w:keepNext/>
              <w:jc w:val="center"/>
              <w:rPr>
                <w:rFonts w:ascii="Arial Narrow" w:hAnsi="Arial Narrow"/>
                <w:sz w:val="20"/>
                <w:szCs w:val="20"/>
              </w:rPr>
            </w:pPr>
            <w:r w:rsidRPr="00E551BD">
              <w:rPr>
                <w:rFonts w:ascii="Arial Narrow" w:hAnsi="Arial Narrow"/>
                <w:sz w:val="20"/>
                <w:szCs w:val="20"/>
              </w:rPr>
              <w:t>480 mg</w:t>
            </w:r>
          </w:p>
        </w:tc>
        <w:tc>
          <w:tcPr>
            <w:tcW w:w="836" w:type="pct"/>
            <w:vAlign w:val="center"/>
          </w:tcPr>
          <w:p w14:paraId="03AFF771" w14:textId="77777777" w:rsidR="0055474F" w:rsidRPr="00E551BD" w:rsidRDefault="0055474F" w:rsidP="00C65AFD">
            <w:pPr>
              <w:keepNext/>
              <w:jc w:val="center"/>
              <w:rPr>
                <w:rFonts w:ascii="Arial Narrow" w:hAnsi="Arial Narrow"/>
                <w:sz w:val="20"/>
                <w:szCs w:val="20"/>
              </w:rPr>
            </w:pPr>
            <w:r w:rsidRPr="00E551BD">
              <w:rPr>
                <w:rFonts w:ascii="Arial Narrow" w:hAnsi="Arial Narrow"/>
                <w:sz w:val="20"/>
                <w:szCs w:val="20"/>
              </w:rPr>
              <w:t>11</w:t>
            </w:r>
          </w:p>
        </w:tc>
      </w:tr>
      <w:tr w:rsidR="00E551BD" w:rsidRPr="00E551BD" w14:paraId="40CDC2DC" w14:textId="77777777" w:rsidTr="00C65AFD">
        <w:trPr>
          <w:cantSplit/>
          <w:trHeight w:val="20"/>
        </w:trPr>
        <w:tc>
          <w:tcPr>
            <w:tcW w:w="5000" w:type="pct"/>
            <w:gridSpan w:val="6"/>
            <w:vAlign w:val="center"/>
          </w:tcPr>
          <w:p w14:paraId="6F94F6D2" w14:textId="77777777" w:rsidR="0055474F" w:rsidRPr="00E551BD" w:rsidRDefault="0055474F" w:rsidP="00C65AFD">
            <w:pPr>
              <w:keepNext/>
              <w:rPr>
                <w:rFonts w:ascii="Arial Narrow" w:hAnsi="Arial Narrow"/>
                <w:b/>
                <w:sz w:val="20"/>
                <w:szCs w:val="20"/>
              </w:rPr>
            </w:pPr>
            <w:r w:rsidRPr="00E551BD">
              <w:rPr>
                <w:rFonts w:ascii="Arial Narrow" w:hAnsi="Arial Narrow"/>
                <w:b/>
                <w:sz w:val="20"/>
                <w:szCs w:val="20"/>
              </w:rPr>
              <w:t xml:space="preserve">Available brands </w:t>
            </w:r>
          </w:p>
        </w:tc>
      </w:tr>
      <w:tr w:rsidR="00E551BD" w:rsidRPr="00E551BD" w14:paraId="3B0C6D89" w14:textId="77777777" w:rsidTr="00C65AFD">
        <w:trPr>
          <w:cantSplit/>
          <w:trHeight w:val="20"/>
        </w:trPr>
        <w:tc>
          <w:tcPr>
            <w:tcW w:w="5000" w:type="pct"/>
            <w:gridSpan w:val="6"/>
            <w:vAlign w:val="center"/>
          </w:tcPr>
          <w:p w14:paraId="30B95368"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Opdivo</w:t>
            </w:r>
          </w:p>
          <w:p w14:paraId="50C17C52"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(nivolumab 40 mg/4 mL injection, 4 mL vial)</w:t>
            </w:r>
          </w:p>
          <w:p w14:paraId="29CB30D4"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Opdivo</w:t>
            </w:r>
          </w:p>
          <w:p w14:paraId="731D0317"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(nivolumab 100 mg/10 mL injection, 4 mL vial)</w:t>
            </w:r>
          </w:p>
        </w:tc>
      </w:tr>
      <w:tr w:rsidR="00E551BD" w:rsidRPr="00E551BD" w14:paraId="46104DEA" w14:textId="77777777" w:rsidTr="00C65AFD">
        <w:trPr>
          <w:cantSplit/>
          <w:trHeight w:val="20"/>
        </w:trPr>
        <w:tc>
          <w:tcPr>
            <w:tcW w:w="5000" w:type="pct"/>
            <w:gridSpan w:val="6"/>
            <w:vAlign w:val="center"/>
          </w:tcPr>
          <w:p w14:paraId="66D2F510" w14:textId="77777777" w:rsidR="0055474F" w:rsidRPr="00E551BD" w:rsidRDefault="0055474F" w:rsidP="00C65AFD">
            <w:pPr>
              <w:keepNext/>
              <w:rPr>
                <w:rFonts w:ascii="Arial Narrow" w:hAnsi="Arial Narrow"/>
                <w:sz w:val="20"/>
                <w:szCs w:val="20"/>
              </w:rPr>
            </w:pPr>
          </w:p>
        </w:tc>
      </w:tr>
      <w:tr w:rsidR="00E551BD" w:rsidRPr="00E551BD" w14:paraId="169AD1A5" w14:textId="77777777" w:rsidTr="00C65AFD">
        <w:trPr>
          <w:cantSplit/>
          <w:trHeight w:val="20"/>
        </w:trPr>
        <w:tc>
          <w:tcPr>
            <w:tcW w:w="5000" w:type="pct"/>
            <w:gridSpan w:val="6"/>
            <w:vAlign w:val="center"/>
          </w:tcPr>
          <w:p w14:paraId="7A89E172" w14:textId="0D442C23" w:rsidR="0055474F" w:rsidRPr="00E551BD" w:rsidRDefault="0055474F" w:rsidP="00C65AFD">
            <w:pPr>
              <w:keepNext/>
              <w:rPr>
                <w:rFonts w:ascii="Arial Narrow" w:hAnsi="Arial Narrow"/>
                <w:sz w:val="20"/>
                <w:szCs w:val="20"/>
              </w:rPr>
            </w:pPr>
            <w:r w:rsidRPr="00E551BD">
              <w:rPr>
                <w:rFonts w:ascii="Arial Narrow" w:hAnsi="Arial Narrow"/>
                <w:b/>
                <w:sz w:val="20"/>
                <w:szCs w:val="20"/>
              </w:rPr>
              <w:t>Amend Restriction Summary  / Treatment of Concept:</w:t>
            </w:r>
          </w:p>
        </w:tc>
      </w:tr>
      <w:tr w:rsidR="00E551BD" w:rsidRPr="00E551BD" w14:paraId="6DA589D4"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4C696AE7" w14:textId="77777777" w:rsidR="0055474F" w:rsidRPr="00E551BD" w:rsidRDefault="0055474F" w:rsidP="00C65AFD">
            <w:pPr>
              <w:keepNext/>
              <w:jc w:val="center"/>
              <w:rPr>
                <w:rFonts w:ascii="Arial Narrow" w:hAnsi="Arial Narrow"/>
                <w:b/>
                <w:sz w:val="20"/>
                <w:szCs w:val="20"/>
              </w:rPr>
            </w:pPr>
            <w:r w:rsidRPr="00E551BD">
              <w:rPr>
                <w:rFonts w:ascii="Arial Narrow" w:hAnsi="Arial Narrow"/>
                <w:b/>
                <w:sz w:val="20"/>
                <w:szCs w:val="20"/>
              </w:rPr>
              <w:t xml:space="preserve">Concept ID </w:t>
            </w:r>
            <w:r w:rsidRPr="00E551BD">
              <w:rPr>
                <w:rFonts w:ascii="Arial Narrow" w:hAnsi="Arial Narrow"/>
                <w:sz w:val="20"/>
                <w:szCs w:val="20"/>
              </w:rPr>
              <w:t>(for internal Dept. use)</w:t>
            </w:r>
          </w:p>
        </w:tc>
        <w:tc>
          <w:tcPr>
            <w:tcW w:w="4295" w:type="pct"/>
            <w:gridSpan w:val="4"/>
          </w:tcPr>
          <w:p w14:paraId="0336F018" w14:textId="77777777" w:rsidR="0055474F" w:rsidRPr="00E551BD" w:rsidRDefault="0055474F" w:rsidP="00C65AFD">
            <w:pPr>
              <w:keepNext/>
              <w:rPr>
                <w:rFonts w:ascii="Arial Narrow" w:hAnsi="Arial Narrow"/>
                <w:sz w:val="20"/>
                <w:szCs w:val="20"/>
              </w:rPr>
            </w:pPr>
            <w:r w:rsidRPr="00E551BD">
              <w:rPr>
                <w:rFonts w:ascii="Arial Narrow" w:hAnsi="Arial Narrow"/>
                <w:b/>
                <w:sz w:val="20"/>
                <w:szCs w:val="20"/>
              </w:rPr>
              <w:t xml:space="preserve">Category / Program: </w:t>
            </w:r>
            <w:r w:rsidRPr="00E551BD">
              <w:rPr>
                <w:rFonts w:ascii="Arial Narrow" w:hAnsi="Arial Narrow"/>
                <w:sz w:val="20"/>
                <w:szCs w:val="20"/>
              </w:rPr>
              <w:t>Section 100 – Efficient Funding of Chemotherapy Public/Private hospitals</w:t>
            </w:r>
          </w:p>
        </w:tc>
      </w:tr>
      <w:tr w:rsidR="00E551BD" w:rsidRPr="00E551BD" w14:paraId="545C15A6"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02A5844E" w14:textId="77777777" w:rsidR="0055474F" w:rsidRPr="00E551BD" w:rsidRDefault="0055474F" w:rsidP="00C65AFD">
            <w:pPr>
              <w:keepNext/>
              <w:rPr>
                <w:rFonts w:ascii="Arial Narrow" w:hAnsi="Arial Narrow"/>
                <w:sz w:val="20"/>
                <w:szCs w:val="20"/>
              </w:rPr>
            </w:pPr>
          </w:p>
        </w:tc>
        <w:tc>
          <w:tcPr>
            <w:tcW w:w="4295" w:type="pct"/>
            <w:gridSpan w:val="4"/>
          </w:tcPr>
          <w:p w14:paraId="22D15950" w14:textId="77777777" w:rsidR="0055474F" w:rsidRPr="00E551BD" w:rsidRDefault="0055474F" w:rsidP="00C65AFD">
            <w:pPr>
              <w:keepNext/>
              <w:rPr>
                <w:rFonts w:ascii="Arial Narrow" w:hAnsi="Arial Narrow"/>
                <w:b/>
                <w:sz w:val="20"/>
                <w:szCs w:val="20"/>
              </w:rPr>
            </w:pPr>
            <w:r w:rsidRPr="00E551BD">
              <w:rPr>
                <w:rFonts w:ascii="Arial Narrow" w:hAnsi="Arial Narrow"/>
                <w:b/>
                <w:sz w:val="20"/>
                <w:szCs w:val="20"/>
              </w:rPr>
              <w:t xml:space="preserve">Prescriber type: </w:t>
            </w:r>
            <w:r w:rsidRPr="00E551BD">
              <w:rPr>
                <w:rFonts w:ascii="Arial Narrow" w:hAnsi="Arial Narrow"/>
                <w:sz w:val="20"/>
                <w:szCs w:val="20"/>
              </w:rPr>
              <w:fldChar w:fldCharType="begin">
                <w:ffData>
                  <w:name w:val=""/>
                  <w:enabled/>
                  <w:calcOnExit w:val="0"/>
                  <w:checkBox>
                    <w:sizeAuto/>
                    <w:default w:val="1"/>
                  </w:checkBox>
                </w:ffData>
              </w:fldChar>
            </w:r>
            <w:r w:rsidRPr="00E551BD">
              <w:rPr>
                <w:rFonts w:ascii="Arial Narrow" w:hAnsi="Arial Narrow"/>
                <w:sz w:val="20"/>
                <w:szCs w:val="20"/>
              </w:rPr>
              <w:instrText xml:space="preserve"> FORMCHECKBOX </w:instrText>
            </w:r>
            <w:r w:rsidR="00D8701A">
              <w:rPr>
                <w:rFonts w:ascii="Arial Narrow" w:hAnsi="Arial Narrow"/>
                <w:sz w:val="20"/>
                <w:szCs w:val="20"/>
              </w:rPr>
            </w:r>
            <w:r w:rsidR="00D8701A">
              <w:rPr>
                <w:rFonts w:ascii="Arial Narrow" w:hAnsi="Arial Narrow"/>
                <w:sz w:val="20"/>
                <w:szCs w:val="20"/>
              </w:rPr>
              <w:fldChar w:fldCharType="separate"/>
            </w:r>
            <w:r w:rsidRPr="00E551BD">
              <w:rPr>
                <w:rFonts w:ascii="Arial Narrow" w:hAnsi="Arial Narrow"/>
                <w:sz w:val="20"/>
                <w:szCs w:val="20"/>
              </w:rPr>
              <w:fldChar w:fldCharType="end"/>
            </w:r>
            <w:r w:rsidRPr="00E551BD">
              <w:rPr>
                <w:rFonts w:ascii="Arial Narrow" w:hAnsi="Arial Narrow"/>
                <w:sz w:val="20"/>
                <w:szCs w:val="20"/>
              </w:rPr>
              <w:t>Medical Practitioners</w:t>
            </w:r>
          </w:p>
        </w:tc>
      </w:tr>
      <w:tr w:rsidR="00E551BD" w:rsidRPr="00E551BD" w14:paraId="6C937F65"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6BB76C00" w14:textId="77777777" w:rsidR="0055474F" w:rsidRPr="00E551BD" w:rsidRDefault="0055474F" w:rsidP="00C65AFD">
            <w:pPr>
              <w:rPr>
                <w:rFonts w:ascii="Arial Narrow" w:hAnsi="Arial Narrow"/>
                <w:sz w:val="20"/>
                <w:szCs w:val="20"/>
              </w:rPr>
            </w:pPr>
          </w:p>
        </w:tc>
        <w:tc>
          <w:tcPr>
            <w:tcW w:w="4295" w:type="pct"/>
            <w:gridSpan w:val="4"/>
          </w:tcPr>
          <w:p w14:paraId="76B72F03" w14:textId="0B5DF17E" w:rsidR="0055474F" w:rsidRPr="00E551BD" w:rsidRDefault="0055474F" w:rsidP="00C65AFD">
            <w:pPr>
              <w:rPr>
                <w:rFonts w:ascii="Arial Narrow" w:eastAsia="Calibri" w:hAnsi="Arial Narrow"/>
                <w:sz w:val="20"/>
                <w:szCs w:val="20"/>
              </w:rPr>
            </w:pPr>
            <w:r w:rsidRPr="00E551BD">
              <w:rPr>
                <w:rFonts w:ascii="Arial Narrow" w:hAnsi="Arial Narrow"/>
                <w:b/>
                <w:sz w:val="20"/>
                <w:szCs w:val="20"/>
              </w:rPr>
              <w:t xml:space="preserve">Restriction type: </w:t>
            </w:r>
            <w:r w:rsidRPr="00E551BD">
              <w:rPr>
                <w:rFonts w:ascii="Arial Narrow" w:eastAsia="Calibri" w:hAnsi="Arial Narrow"/>
                <w:sz w:val="20"/>
                <w:szCs w:val="20"/>
              </w:rPr>
              <w:fldChar w:fldCharType="begin">
                <w:ffData>
                  <w:name w:val=""/>
                  <w:enabled/>
                  <w:calcOnExit w:val="0"/>
                  <w:checkBox>
                    <w:sizeAuto/>
                    <w:default w:val="1"/>
                  </w:checkBox>
                </w:ffData>
              </w:fldChar>
            </w:r>
            <w:r w:rsidRPr="00E551BD">
              <w:rPr>
                <w:rFonts w:ascii="Arial Narrow" w:eastAsia="Calibri" w:hAnsi="Arial Narrow"/>
                <w:sz w:val="20"/>
                <w:szCs w:val="20"/>
              </w:rPr>
              <w:instrText xml:space="preserve"> FORMCHECKBOX </w:instrText>
            </w:r>
            <w:r w:rsidR="00D8701A">
              <w:rPr>
                <w:rFonts w:ascii="Arial Narrow" w:eastAsia="Calibri" w:hAnsi="Arial Narrow"/>
                <w:sz w:val="20"/>
                <w:szCs w:val="20"/>
              </w:rPr>
            </w:r>
            <w:r w:rsidR="00D8701A">
              <w:rPr>
                <w:rFonts w:ascii="Arial Narrow" w:eastAsia="Calibri" w:hAnsi="Arial Narrow"/>
                <w:sz w:val="20"/>
                <w:szCs w:val="20"/>
              </w:rPr>
              <w:fldChar w:fldCharType="separate"/>
            </w:r>
            <w:r w:rsidRPr="00E551BD">
              <w:rPr>
                <w:rFonts w:ascii="Arial Narrow" w:eastAsia="Calibri" w:hAnsi="Arial Narrow"/>
                <w:sz w:val="20"/>
                <w:szCs w:val="20"/>
              </w:rPr>
              <w:fldChar w:fldCharType="end"/>
            </w:r>
            <w:r w:rsidRPr="00E551BD">
              <w:rPr>
                <w:rFonts w:ascii="Arial Narrow" w:eastAsia="Calibri" w:hAnsi="Arial Narrow"/>
                <w:sz w:val="20"/>
                <w:szCs w:val="20"/>
              </w:rPr>
              <w:t xml:space="preserve">Authority Required (STREAMLINED) </w:t>
            </w:r>
          </w:p>
        </w:tc>
      </w:tr>
      <w:tr w:rsidR="00E551BD" w:rsidRPr="00E551BD" w14:paraId="28A6EA40"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tcPr>
          <w:p w14:paraId="07782EC5" w14:textId="77777777" w:rsidR="001D6273" w:rsidRPr="00E551BD" w:rsidRDefault="001D6273" w:rsidP="00C65AFD">
            <w:pPr>
              <w:rPr>
                <w:rFonts w:ascii="Arial Narrow" w:hAnsi="Arial Narrow"/>
                <w:b/>
                <w:sz w:val="20"/>
                <w:szCs w:val="20"/>
              </w:rPr>
            </w:pPr>
          </w:p>
        </w:tc>
      </w:tr>
      <w:tr w:rsidR="00E551BD" w:rsidRPr="00E551BD" w14:paraId="425C9C2D" w14:textId="77777777" w:rsidTr="00C65AFD">
        <w:tblPrEx>
          <w:tblCellMar>
            <w:top w:w="15" w:type="dxa"/>
            <w:bottom w:w="15" w:type="dxa"/>
          </w:tblCellMar>
          <w:tblLook w:val="04A0" w:firstRow="1" w:lastRow="0" w:firstColumn="1" w:lastColumn="0" w:noHBand="0" w:noVBand="1"/>
        </w:tblPrEx>
        <w:trPr>
          <w:trHeight w:val="20"/>
        </w:trPr>
        <w:tc>
          <w:tcPr>
            <w:tcW w:w="312" w:type="pct"/>
            <w:vMerge w:val="restart"/>
            <w:textDirection w:val="btLr"/>
            <w:vAlign w:val="center"/>
          </w:tcPr>
          <w:p w14:paraId="267552F2" w14:textId="7DAC6671" w:rsidR="0055474F" w:rsidRPr="00E551BD" w:rsidRDefault="0055474F" w:rsidP="00C65AFD">
            <w:pPr>
              <w:keepLines/>
              <w:ind w:right="113"/>
              <w:jc w:val="center"/>
              <w:rPr>
                <w:rFonts w:ascii="Arial Narrow" w:hAnsi="Arial Narrow"/>
                <w:sz w:val="20"/>
                <w:szCs w:val="20"/>
              </w:rPr>
            </w:pPr>
          </w:p>
        </w:tc>
        <w:tc>
          <w:tcPr>
            <w:tcW w:w="393" w:type="pct"/>
            <w:vAlign w:val="center"/>
          </w:tcPr>
          <w:p w14:paraId="7DFBE281" w14:textId="4B725ED1" w:rsidR="0055474F" w:rsidRPr="00E551BD" w:rsidRDefault="0055474F" w:rsidP="00C65AFD">
            <w:pPr>
              <w:keepLines/>
              <w:ind w:hanging="35"/>
              <w:jc w:val="center"/>
              <w:rPr>
                <w:rFonts w:ascii="Arial Narrow" w:hAnsi="Arial Narrow"/>
                <w:sz w:val="20"/>
                <w:szCs w:val="20"/>
              </w:rPr>
            </w:pPr>
          </w:p>
        </w:tc>
        <w:tc>
          <w:tcPr>
            <w:tcW w:w="4295" w:type="pct"/>
            <w:gridSpan w:val="4"/>
            <w:vAlign w:val="center"/>
          </w:tcPr>
          <w:p w14:paraId="41750C10" w14:textId="5B768655" w:rsidR="0055474F" w:rsidRPr="00E551BD" w:rsidRDefault="0055474F" w:rsidP="00C65AFD">
            <w:pPr>
              <w:keepLines/>
              <w:rPr>
                <w:rFonts w:ascii="Arial Narrow" w:hAnsi="Arial Narrow"/>
                <w:sz w:val="20"/>
                <w:szCs w:val="20"/>
              </w:rPr>
            </w:pPr>
            <w:r w:rsidRPr="00E551BD">
              <w:rPr>
                <w:rFonts w:ascii="Arial Narrow" w:hAnsi="Arial Narrow"/>
                <w:b/>
                <w:bCs/>
                <w:sz w:val="20"/>
                <w:szCs w:val="20"/>
              </w:rPr>
              <w:t xml:space="preserve">Administrative Advice: </w:t>
            </w:r>
            <w:r w:rsidRPr="00E551BD">
              <w:rPr>
                <w:rFonts w:ascii="Arial Narrow" w:hAnsi="Arial Narrow"/>
                <w:sz w:val="20"/>
                <w:szCs w:val="20"/>
              </w:rPr>
              <w:t>No increase in the maximum number of repeats may be authorised.</w:t>
            </w:r>
          </w:p>
        </w:tc>
      </w:tr>
      <w:tr w:rsidR="00E551BD" w:rsidRPr="00E551BD" w14:paraId="7CB486F4" w14:textId="77777777" w:rsidTr="00C65AFD">
        <w:tblPrEx>
          <w:tblCellMar>
            <w:top w:w="15" w:type="dxa"/>
            <w:bottom w:w="15" w:type="dxa"/>
          </w:tblCellMar>
          <w:tblLook w:val="04A0" w:firstRow="1" w:lastRow="0" w:firstColumn="1" w:lastColumn="0" w:noHBand="0" w:noVBand="1"/>
        </w:tblPrEx>
        <w:trPr>
          <w:trHeight w:val="20"/>
        </w:trPr>
        <w:tc>
          <w:tcPr>
            <w:tcW w:w="312" w:type="pct"/>
            <w:vMerge/>
            <w:vAlign w:val="center"/>
          </w:tcPr>
          <w:p w14:paraId="75E0466E" w14:textId="77777777" w:rsidR="0055474F" w:rsidRPr="00E551BD" w:rsidRDefault="0055474F" w:rsidP="00C65AFD">
            <w:pPr>
              <w:keepLines/>
              <w:jc w:val="center"/>
              <w:rPr>
                <w:rFonts w:ascii="Arial Narrow" w:hAnsi="Arial Narrow"/>
                <w:sz w:val="20"/>
                <w:szCs w:val="20"/>
              </w:rPr>
            </w:pPr>
          </w:p>
        </w:tc>
        <w:tc>
          <w:tcPr>
            <w:tcW w:w="393" w:type="pct"/>
            <w:vAlign w:val="center"/>
          </w:tcPr>
          <w:p w14:paraId="37FAF33B" w14:textId="59E2FA2E" w:rsidR="0055474F" w:rsidRPr="00E551BD" w:rsidRDefault="0055474F" w:rsidP="00C65AFD">
            <w:pPr>
              <w:keepLines/>
              <w:ind w:hanging="35"/>
              <w:jc w:val="center"/>
              <w:rPr>
                <w:rFonts w:ascii="Arial Narrow" w:hAnsi="Arial Narrow"/>
                <w:sz w:val="20"/>
                <w:szCs w:val="20"/>
              </w:rPr>
            </w:pPr>
          </w:p>
        </w:tc>
        <w:tc>
          <w:tcPr>
            <w:tcW w:w="4295" w:type="pct"/>
            <w:gridSpan w:val="4"/>
            <w:vAlign w:val="center"/>
          </w:tcPr>
          <w:p w14:paraId="2F55769F" w14:textId="6D0C4ADC" w:rsidR="0055474F" w:rsidRPr="00E551BD" w:rsidRDefault="0055474F" w:rsidP="00C65AFD">
            <w:pPr>
              <w:keepLines/>
              <w:rPr>
                <w:rFonts w:ascii="Arial Narrow" w:hAnsi="Arial Narrow"/>
                <w:sz w:val="20"/>
                <w:szCs w:val="20"/>
              </w:rPr>
            </w:pPr>
            <w:r w:rsidRPr="00E551BD">
              <w:rPr>
                <w:rFonts w:ascii="Arial Narrow" w:hAnsi="Arial Narrow"/>
                <w:b/>
                <w:bCs/>
                <w:sz w:val="20"/>
                <w:szCs w:val="20"/>
              </w:rPr>
              <w:t xml:space="preserve">Administrative Advice: </w:t>
            </w:r>
            <w:r w:rsidRPr="00E551BD">
              <w:rPr>
                <w:rFonts w:ascii="Arial Narrow" w:hAnsi="Arial Narrow"/>
                <w:sz w:val="20"/>
                <w:szCs w:val="20"/>
              </w:rPr>
              <w:t>Special Pricing Arrangements apply.</w:t>
            </w:r>
          </w:p>
        </w:tc>
      </w:tr>
      <w:tr w:rsidR="00E551BD" w:rsidRPr="00E551BD" w14:paraId="4E36D909" w14:textId="77777777" w:rsidTr="001D6273">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7F7F3590" w14:textId="77777777" w:rsidR="001D6273" w:rsidRPr="00E551BD" w:rsidRDefault="001D6273" w:rsidP="00C65AFD">
            <w:pPr>
              <w:keepLines/>
              <w:rPr>
                <w:rFonts w:ascii="Arial Narrow" w:hAnsi="Arial Narrow"/>
                <w:b/>
                <w:bCs/>
                <w:sz w:val="20"/>
                <w:szCs w:val="20"/>
              </w:rPr>
            </w:pPr>
          </w:p>
        </w:tc>
      </w:tr>
      <w:tr w:rsidR="00E551BD" w:rsidRPr="00E551BD" w14:paraId="576A147D"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293114B3" w14:textId="7E6D8ACA" w:rsidR="0055474F" w:rsidRPr="00E551BD" w:rsidRDefault="0055474F" w:rsidP="00C65AFD">
            <w:pPr>
              <w:keepLines/>
              <w:jc w:val="center"/>
              <w:rPr>
                <w:rFonts w:ascii="Arial Narrow" w:hAnsi="Arial Narrow"/>
                <w:sz w:val="20"/>
                <w:szCs w:val="20"/>
              </w:rPr>
            </w:pPr>
          </w:p>
        </w:tc>
        <w:tc>
          <w:tcPr>
            <w:tcW w:w="4295" w:type="pct"/>
            <w:gridSpan w:val="4"/>
            <w:vAlign w:val="center"/>
            <w:hideMark/>
          </w:tcPr>
          <w:p w14:paraId="5AF3D61E" w14:textId="77777777" w:rsidR="0055474F" w:rsidRPr="00E551BD" w:rsidRDefault="0055474F" w:rsidP="00C65AFD">
            <w:pPr>
              <w:keepLines/>
              <w:rPr>
                <w:rFonts w:ascii="Arial Narrow" w:hAnsi="Arial Narrow"/>
                <w:sz w:val="20"/>
                <w:szCs w:val="20"/>
              </w:rPr>
            </w:pPr>
            <w:r w:rsidRPr="00E551BD">
              <w:rPr>
                <w:rFonts w:ascii="Arial Narrow" w:hAnsi="Arial Narrow"/>
                <w:b/>
                <w:bCs/>
                <w:sz w:val="20"/>
                <w:szCs w:val="20"/>
              </w:rPr>
              <w:t>Indication:</w:t>
            </w:r>
            <w:r w:rsidRPr="00E551BD">
              <w:rPr>
                <w:rFonts w:ascii="Arial Narrow" w:hAnsi="Arial Narrow"/>
                <w:sz w:val="20"/>
                <w:szCs w:val="20"/>
              </w:rPr>
              <w:t xml:space="preserve"> Unresectable Stage III or Stage IV malignant melanoma</w:t>
            </w:r>
          </w:p>
        </w:tc>
      </w:tr>
      <w:tr w:rsidR="00E551BD" w:rsidRPr="00E551BD" w14:paraId="23D8EF36"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6AC878D" w14:textId="77777777" w:rsidR="001D6273" w:rsidRPr="00E551BD" w:rsidRDefault="001D6273" w:rsidP="00C65AFD">
            <w:pPr>
              <w:keepLines/>
              <w:rPr>
                <w:rFonts w:ascii="Arial Narrow" w:hAnsi="Arial Narrow"/>
                <w:b/>
                <w:bCs/>
                <w:sz w:val="20"/>
                <w:szCs w:val="20"/>
              </w:rPr>
            </w:pPr>
          </w:p>
        </w:tc>
      </w:tr>
      <w:tr w:rsidR="00E551BD" w:rsidRPr="00E551BD" w14:paraId="676B4C11"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545DACEE" w14:textId="77777777" w:rsidR="0055474F" w:rsidRPr="00E551BD" w:rsidRDefault="0055474F" w:rsidP="00C65AFD">
            <w:pPr>
              <w:jc w:val="center"/>
              <w:rPr>
                <w:rFonts w:ascii="Arial Narrow" w:hAnsi="Arial Narrow"/>
                <w:sz w:val="20"/>
                <w:szCs w:val="20"/>
              </w:rPr>
            </w:pPr>
          </w:p>
        </w:tc>
        <w:tc>
          <w:tcPr>
            <w:tcW w:w="4295" w:type="pct"/>
            <w:gridSpan w:val="4"/>
            <w:vAlign w:val="center"/>
            <w:hideMark/>
          </w:tcPr>
          <w:p w14:paraId="28BFF6C9"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Treatment Phase:</w:t>
            </w:r>
            <w:r w:rsidRPr="00E551BD">
              <w:rPr>
                <w:rFonts w:ascii="Arial Narrow" w:hAnsi="Arial Narrow"/>
                <w:sz w:val="20"/>
                <w:szCs w:val="20"/>
              </w:rPr>
              <w:t xml:space="preserve"> Maintenance treatment</w:t>
            </w:r>
          </w:p>
        </w:tc>
      </w:tr>
      <w:tr w:rsidR="00E551BD" w:rsidRPr="00E551BD" w14:paraId="4388B0B3"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AC49B5A" w14:textId="77777777" w:rsidR="001D6273" w:rsidRPr="00E551BD" w:rsidRDefault="001D6273" w:rsidP="00C65AFD">
            <w:pPr>
              <w:rPr>
                <w:rFonts w:ascii="Arial Narrow" w:hAnsi="Arial Narrow"/>
                <w:b/>
                <w:bCs/>
                <w:sz w:val="20"/>
                <w:szCs w:val="20"/>
              </w:rPr>
            </w:pPr>
          </w:p>
        </w:tc>
      </w:tr>
      <w:tr w:rsidR="00E551BD" w:rsidRPr="00E551BD" w14:paraId="30812DA4"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DEF972B" w14:textId="5009A7A0" w:rsidR="0055474F" w:rsidRPr="00E551BD" w:rsidRDefault="0055474F" w:rsidP="00C65AFD">
            <w:pPr>
              <w:jc w:val="center"/>
              <w:rPr>
                <w:rFonts w:ascii="Arial Narrow" w:hAnsi="Arial Narrow"/>
                <w:sz w:val="20"/>
                <w:szCs w:val="20"/>
              </w:rPr>
            </w:pPr>
          </w:p>
        </w:tc>
        <w:tc>
          <w:tcPr>
            <w:tcW w:w="4295" w:type="pct"/>
            <w:gridSpan w:val="4"/>
            <w:vAlign w:val="center"/>
            <w:hideMark/>
          </w:tcPr>
          <w:p w14:paraId="1B874C27"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 xml:space="preserve">Clinical criteria: </w:t>
            </w:r>
          </w:p>
        </w:tc>
      </w:tr>
      <w:tr w:rsidR="00E551BD" w:rsidRPr="00E551BD" w14:paraId="2083FA0C"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6C0AC44" w14:textId="1D70760D" w:rsidR="0055474F" w:rsidRPr="00E551BD" w:rsidRDefault="0055474F" w:rsidP="00C65AFD">
            <w:pPr>
              <w:jc w:val="center"/>
              <w:rPr>
                <w:rFonts w:ascii="Arial Narrow" w:hAnsi="Arial Narrow"/>
                <w:sz w:val="20"/>
                <w:szCs w:val="20"/>
              </w:rPr>
            </w:pPr>
          </w:p>
        </w:tc>
        <w:tc>
          <w:tcPr>
            <w:tcW w:w="4295" w:type="pct"/>
            <w:gridSpan w:val="4"/>
            <w:vAlign w:val="center"/>
            <w:hideMark/>
          </w:tcPr>
          <w:p w14:paraId="089D95AE" w14:textId="77777777" w:rsidR="0055474F" w:rsidRPr="00E551BD" w:rsidRDefault="0055474F" w:rsidP="00C65AFD">
            <w:pPr>
              <w:rPr>
                <w:rFonts w:ascii="Arial Narrow" w:hAnsi="Arial Narrow"/>
                <w:sz w:val="20"/>
                <w:szCs w:val="20"/>
              </w:rPr>
            </w:pPr>
            <w:r w:rsidRPr="00E551BD">
              <w:rPr>
                <w:rFonts w:ascii="Arial Narrow" w:hAnsi="Arial Narrow"/>
                <w:sz w:val="20"/>
                <w:szCs w:val="20"/>
              </w:rPr>
              <w:t>Patient must have previously received of up to maximum 4 doses of PBS-subsidised combined therapy with nivolumab and ipilimumab as induction for this condition</w:t>
            </w:r>
          </w:p>
        </w:tc>
      </w:tr>
      <w:tr w:rsidR="00E551BD" w:rsidRPr="00E551BD" w14:paraId="63DB03B7"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021C5CEE" w14:textId="77777777" w:rsidR="0055474F" w:rsidRPr="00E551BD" w:rsidRDefault="0055474F" w:rsidP="00C65AFD">
            <w:pPr>
              <w:jc w:val="center"/>
              <w:rPr>
                <w:rFonts w:ascii="Arial Narrow" w:hAnsi="Arial Narrow"/>
                <w:sz w:val="20"/>
                <w:szCs w:val="20"/>
              </w:rPr>
            </w:pPr>
          </w:p>
        </w:tc>
        <w:tc>
          <w:tcPr>
            <w:tcW w:w="4295" w:type="pct"/>
            <w:gridSpan w:val="4"/>
            <w:vAlign w:val="center"/>
            <w:hideMark/>
          </w:tcPr>
          <w:p w14:paraId="1525BD47"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AND</w:t>
            </w:r>
          </w:p>
        </w:tc>
      </w:tr>
      <w:tr w:rsidR="00E551BD" w:rsidRPr="00E551BD" w14:paraId="2CB08AB6"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42A79CA" w14:textId="1D428961" w:rsidR="0055474F" w:rsidRPr="00E551BD" w:rsidRDefault="0055474F" w:rsidP="00C65AFD">
            <w:pPr>
              <w:jc w:val="center"/>
              <w:rPr>
                <w:rFonts w:ascii="Arial Narrow" w:hAnsi="Arial Narrow"/>
                <w:sz w:val="20"/>
                <w:szCs w:val="20"/>
              </w:rPr>
            </w:pPr>
          </w:p>
        </w:tc>
        <w:tc>
          <w:tcPr>
            <w:tcW w:w="4295" w:type="pct"/>
            <w:gridSpan w:val="4"/>
            <w:vAlign w:val="center"/>
            <w:hideMark/>
          </w:tcPr>
          <w:p w14:paraId="4C8F3351"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Clinical criteria:</w:t>
            </w:r>
          </w:p>
        </w:tc>
      </w:tr>
      <w:tr w:rsidR="00E551BD" w:rsidRPr="00E551BD" w14:paraId="6CA3E25D"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BC62B42" w14:textId="1C9D0D08" w:rsidR="0055474F" w:rsidRPr="00E551BD" w:rsidRDefault="0055474F" w:rsidP="00C65AFD">
            <w:pPr>
              <w:jc w:val="center"/>
              <w:rPr>
                <w:rFonts w:ascii="Arial Narrow" w:hAnsi="Arial Narrow"/>
                <w:sz w:val="20"/>
                <w:szCs w:val="20"/>
              </w:rPr>
            </w:pPr>
          </w:p>
        </w:tc>
        <w:tc>
          <w:tcPr>
            <w:tcW w:w="4295" w:type="pct"/>
            <w:gridSpan w:val="4"/>
            <w:vAlign w:val="center"/>
            <w:hideMark/>
          </w:tcPr>
          <w:p w14:paraId="4C762CDC" w14:textId="77777777" w:rsidR="0055474F" w:rsidRPr="00E551BD" w:rsidRDefault="0055474F" w:rsidP="00C65AFD">
            <w:pPr>
              <w:rPr>
                <w:rFonts w:ascii="Arial Narrow" w:hAnsi="Arial Narrow"/>
                <w:sz w:val="20"/>
                <w:szCs w:val="20"/>
              </w:rPr>
            </w:pPr>
            <w:r w:rsidRPr="00E551BD">
              <w:rPr>
                <w:rFonts w:ascii="Arial Narrow" w:hAnsi="Arial Narrow"/>
                <w:sz w:val="20"/>
                <w:szCs w:val="20"/>
              </w:rPr>
              <w:t>The treatment must be as monotherapy for this condition</w:t>
            </w:r>
          </w:p>
        </w:tc>
      </w:tr>
      <w:tr w:rsidR="00E551BD" w:rsidRPr="00E551BD" w14:paraId="34D6A00B"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62FFFF2" w14:textId="77777777" w:rsidR="0055474F" w:rsidRPr="00E551BD" w:rsidRDefault="0055474F" w:rsidP="00C65AFD">
            <w:pPr>
              <w:jc w:val="center"/>
              <w:rPr>
                <w:rFonts w:ascii="Arial Narrow" w:hAnsi="Arial Narrow"/>
                <w:sz w:val="20"/>
                <w:szCs w:val="20"/>
              </w:rPr>
            </w:pPr>
          </w:p>
        </w:tc>
        <w:tc>
          <w:tcPr>
            <w:tcW w:w="4295" w:type="pct"/>
            <w:gridSpan w:val="4"/>
            <w:vAlign w:val="center"/>
            <w:hideMark/>
          </w:tcPr>
          <w:p w14:paraId="5A7AD1FC"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AND</w:t>
            </w:r>
          </w:p>
        </w:tc>
      </w:tr>
      <w:tr w:rsidR="00E551BD" w:rsidRPr="00E551BD" w14:paraId="673AD222"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8C68443" w14:textId="73C16FD3" w:rsidR="0055474F" w:rsidRPr="00E551BD" w:rsidRDefault="0055474F" w:rsidP="00C65AFD">
            <w:pPr>
              <w:jc w:val="center"/>
              <w:rPr>
                <w:rFonts w:ascii="Arial Narrow" w:hAnsi="Arial Narrow"/>
                <w:sz w:val="20"/>
                <w:szCs w:val="20"/>
              </w:rPr>
            </w:pPr>
          </w:p>
        </w:tc>
        <w:tc>
          <w:tcPr>
            <w:tcW w:w="4295" w:type="pct"/>
            <w:gridSpan w:val="4"/>
            <w:vAlign w:val="center"/>
            <w:hideMark/>
          </w:tcPr>
          <w:p w14:paraId="62CCD601"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Clinical criteria:</w:t>
            </w:r>
          </w:p>
        </w:tc>
      </w:tr>
      <w:tr w:rsidR="00E551BD" w:rsidRPr="00E551BD" w14:paraId="6112E88D"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69C4029" w14:textId="5EEBF5D3" w:rsidR="0055474F" w:rsidRPr="00E551BD" w:rsidRDefault="0055474F" w:rsidP="00C65AFD">
            <w:pPr>
              <w:jc w:val="center"/>
              <w:rPr>
                <w:rFonts w:ascii="Arial Narrow" w:hAnsi="Arial Narrow"/>
                <w:sz w:val="20"/>
                <w:szCs w:val="20"/>
              </w:rPr>
            </w:pPr>
          </w:p>
        </w:tc>
        <w:tc>
          <w:tcPr>
            <w:tcW w:w="4295" w:type="pct"/>
            <w:gridSpan w:val="4"/>
            <w:vAlign w:val="center"/>
            <w:hideMark/>
          </w:tcPr>
          <w:p w14:paraId="43564E9E" w14:textId="0B2956AA" w:rsidR="0055474F" w:rsidRPr="00E551BD" w:rsidRDefault="0055474F" w:rsidP="00C65AFD">
            <w:pPr>
              <w:rPr>
                <w:rFonts w:ascii="Arial Narrow" w:hAnsi="Arial Narrow"/>
                <w:sz w:val="20"/>
                <w:szCs w:val="20"/>
              </w:rPr>
            </w:pPr>
            <w:r w:rsidRPr="00E551BD">
              <w:rPr>
                <w:rFonts w:ascii="Arial Narrow" w:hAnsi="Arial Narrow"/>
                <w:sz w:val="20"/>
                <w:szCs w:val="20"/>
              </w:rPr>
              <w:t xml:space="preserve">Patient must not have developed disease progression while receiving PBS-subsidised treatment with this drug for this </w:t>
            </w:r>
            <w:r w:rsidRPr="00E551BD">
              <w:rPr>
                <w:rFonts w:ascii="Arial Narrow" w:hAnsi="Arial Narrow"/>
                <w:strike/>
                <w:sz w:val="20"/>
                <w:szCs w:val="20"/>
              </w:rPr>
              <w:t>condition</w:t>
            </w:r>
            <w:r w:rsidRPr="00E551BD">
              <w:rPr>
                <w:rFonts w:ascii="Arial Narrow" w:hAnsi="Arial Narrow"/>
                <w:sz w:val="20"/>
                <w:szCs w:val="20"/>
              </w:rPr>
              <w:t xml:space="preserve"> </w:t>
            </w:r>
            <w:r w:rsidRPr="00E551BD">
              <w:rPr>
                <w:rFonts w:ascii="Arial Narrow" w:hAnsi="Arial Narrow"/>
                <w:i/>
                <w:iCs/>
                <w:sz w:val="20"/>
                <w:szCs w:val="20"/>
              </w:rPr>
              <w:t>PBS indication</w:t>
            </w:r>
          </w:p>
        </w:tc>
      </w:tr>
      <w:tr w:rsidR="00E551BD" w:rsidRPr="00E551BD" w14:paraId="411F1E98" w14:textId="77777777" w:rsidTr="00E46F2E">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2C094F3" w14:textId="77777777" w:rsidR="00E46F2E" w:rsidRPr="00E551BD" w:rsidRDefault="00E46F2E" w:rsidP="00C65AFD">
            <w:pPr>
              <w:rPr>
                <w:rFonts w:ascii="Arial Narrow" w:hAnsi="Arial Narrow"/>
                <w:sz w:val="20"/>
                <w:szCs w:val="20"/>
              </w:rPr>
            </w:pPr>
          </w:p>
        </w:tc>
      </w:tr>
      <w:tr w:rsidR="00E551BD" w:rsidRPr="00E551BD" w14:paraId="1FAD8469"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D704B4E" w14:textId="0FDB2566" w:rsidR="0055474F" w:rsidRPr="00E551BD" w:rsidRDefault="0055474F" w:rsidP="00C65AFD">
            <w:pPr>
              <w:jc w:val="center"/>
              <w:rPr>
                <w:rFonts w:ascii="Arial Narrow" w:hAnsi="Arial Narrow"/>
                <w:sz w:val="20"/>
                <w:szCs w:val="20"/>
              </w:rPr>
            </w:pPr>
          </w:p>
        </w:tc>
        <w:tc>
          <w:tcPr>
            <w:tcW w:w="4295" w:type="pct"/>
            <w:gridSpan w:val="4"/>
            <w:vAlign w:val="center"/>
            <w:hideMark/>
          </w:tcPr>
          <w:p w14:paraId="4805C042"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Prescribing Instructions:</w:t>
            </w:r>
            <w:r w:rsidRPr="00E551BD">
              <w:rPr>
                <w:rFonts w:ascii="Arial Narrow" w:hAnsi="Arial Narrow"/>
                <w:sz w:val="20"/>
                <w:szCs w:val="20"/>
              </w:rPr>
              <w:t xml:space="preserve"> Patients must only receive a maximum of 240 mg every two weeks or 480 mg every four weeks under a weight based or flat dosing regimen.</w:t>
            </w:r>
          </w:p>
        </w:tc>
      </w:tr>
      <w:tr w:rsidR="0055474F" w:rsidRPr="00E551BD" w14:paraId="205A8A87"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EBD8137" w14:textId="65366B5B" w:rsidR="0055474F" w:rsidRPr="00E551BD" w:rsidRDefault="0055474F" w:rsidP="00C65AFD">
            <w:pPr>
              <w:jc w:val="center"/>
              <w:rPr>
                <w:rFonts w:ascii="Arial Narrow" w:hAnsi="Arial Narrow"/>
                <w:sz w:val="20"/>
                <w:szCs w:val="20"/>
              </w:rPr>
            </w:pPr>
          </w:p>
        </w:tc>
        <w:tc>
          <w:tcPr>
            <w:tcW w:w="4295" w:type="pct"/>
            <w:gridSpan w:val="4"/>
            <w:vAlign w:val="center"/>
          </w:tcPr>
          <w:p w14:paraId="2713095A" w14:textId="77777777" w:rsidR="0055474F" w:rsidRPr="00E551BD" w:rsidRDefault="0055474F" w:rsidP="00C65AFD">
            <w:pPr>
              <w:rPr>
                <w:rFonts w:ascii="Arial Narrow" w:hAnsi="Arial Narrow"/>
                <w:b/>
                <w:bCs/>
                <w:sz w:val="20"/>
                <w:szCs w:val="20"/>
              </w:rPr>
            </w:pPr>
            <w:r w:rsidRPr="00E551BD">
              <w:rPr>
                <w:rFonts w:ascii="Arial Narrow" w:hAnsi="Arial Narrow"/>
                <w:b/>
                <w:bCs/>
                <w:sz w:val="20"/>
                <w:szCs w:val="20"/>
              </w:rPr>
              <w:t>Prescribing Instructions:</w:t>
            </w:r>
            <w:r w:rsidRPr="00E551BD">
              <w:rPr>
                <w:rFonts w:ascii="Arial Narrow" w:hAnsi="Arial Narrow"/>
                <w:sz w:val="20"/>
                <w:szCs w:val="20"/>
              </w:rPr>
              <w:t xml:space="preserve"> The patient's body weight must be documented in the patient's medical records at the time treatment is initiated.</w:t>
            </w:r>
          </w:p>
        </w:tc>
      </w:tr>
    </w:tbl>
    <w:p w14:paraId="1A5A61AA" w14:textId="77777777" w:rsidR="00E46F2E" w:rsidRPr="00E551BD" w:rsidRDefault="00E46F2E" w:rsidP="00E46F2E"/>
    <w:p w14:paraId="4C8125CC" w14:textId="6B46E8B5" w:rsidR="0055474F" w:rsidRPr="00E551BD" w:rsidRDefault="0055474F" w:rsidP="00E46F2E">
      <w:pPr>
        <w:keepNext/>
        <w:rPr>
          <w:rFonts w:ascii="Arial Narrow" w:hAnsi="Arial Narrow"/>
          <w:b/>
          <w:bCs/>
          <w:sz w:val="20"/>
          <w:szCs w:val="20"/>
        </w:rPr>
      </w:pPr>
      <w:r w:rsidRPr="00E551BD">
        <w:rPr>
          <w:rFonts w:ascii="Arial Narrow" w:hAnsi="Arial Narrow"/>
          <w:b/>
          <w:bCs/>
          <w:sz w:val="20"/>
          <w:szCs w:val="20"/>
        </w:rPr>
        <w:t>NIVO induction (for use in combination with IPI) – grandfather: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688"/>
        <w:gridCol w:w="2340"/>
        <w:gridCol w:w="2203"/>
        <w:gridCol w:w="1515"/>
        <w:gridCol w:w="1464"/>
      </w:tblGrid>
      <w:tr w:rsidR="00E551BD" w:rsidRPr="00E551BD" w14:paraId="1DF7E11A" w14:textId="77777777" w:rsidTr="00C65AFD">
        <w:trPr>
          <w:cantSplit/>
          <w:trHeight w:val="20"/>
        </w:trPr>
        <w:tc>
          <w:tcPr>
            <w:tcW w:w="2041" w:type="pct"/>
            <w:gridSpan w:val="3"/>
            <w:vAlign w:val="center"/>
          </w:tcPr>
          <w:p w14:paraId="1193EB43" w14:textId="77777777" w:rsidR="0055474F" w:rsidRPr="00E551BD" w:rsidRDefault="0055474F" w:rsidP="00E46F2E">
            <w:pPr>
              <w:keepNext/>
              <w:rPr>
                <w:rFonts w:ascii="Arial Narrow" w:hAnsi="Arial Narrow"/>
                <w:b/>
                <w:bCs/>
                <w:sz w:val="20"/>
                <w:szCs w:val="20"/>
              </w:rPr>
            </w:pPr>
            <w:r w:rsidRPr="00E551BD">
              <w:rPr>
                <w:rFonts w:ascii="Arial Narrow" w:hAnsi="Arial Narrow"/>
                <w:b/>
                <w:bCs/>
                <w:sz w:val="20"/>
                <w:szCs w:val="20"/>
              </w:rPr>
              <w:t>MEDICINAL PRODUCT</w:t>
            </w:r>
          </w:p>
          <w:p w14:paraId="72B52F3F" w14:textId="77777777" w:rsidR="0055474F" w:rsidRPr="00E551BD" w:rsidRDefault="0055474F" w:rsidP="00E46F2E">
            <w:pPr>
              <w:keepNext/>
              <w:rPr>
                <w:rFonts w:ascii="Arial Narrow" w:hAnsi="Arial Narrow"/>
                <w:b/>
                <w:sz w:val="20"/>
                <w:szCs w:val="20"/>
              </w:rPr>
            </w:pPr>
            <w:r w:rsidRPr="00E551BD">
              <w:rPr>
                <w:rFonts w:ascii="Arial Narrow" w:hAnsi="Arial Narrow"/>
                <w:b/>
                <w:sz w:val="20"/>
                <w:szCs w:val="20"/>
              </w:rPr>
              <w:t>Form</w:t>
            </w:r>
          </w:p>
        </w:tc>
        <w:tc>
          <w:tcPr>
            <w:tcW w:w="1258" w:type="pct"/>
            <w:vAlign w:val="center"/>
          </w:tcPr>
          <w:p w14:paraId="2BE26FC9" w14:textId="77777777" w:rsidR="0055474F" w:rsidRPr="00E551BD" w:rsidRDefault="0055474F" w:rsidP="00E46F2E">
            <w:pPr>
              <w:keepNext/>
              <w:jc w:val="center"/>
              <w:rPr>
                <w:rFonts w:ascii="Arial Narrow" w:hAnsi="Arial Narrow"/>
                <w:b/>
                <w:sz w:val="20"/>
                <w:szCs w:val="20"/>
              </w:rPr>
            </w:pPr>
            <w:r w:rsidRPr="00E551BD">
              <w:rPr>
                <w:rFonts w:ascii="Arial Narrow" w:hAnsi="Arial Narrow"/>
                <w:b/>
                <w:sz w:val="20"/>
                <w:szCs w:val="20"/>
              </w:rPr>
              <w:t>PBS item code</w:t>
            </w:r>
          </w:p>
        </w:tc>
        <w:tc>
          <w:tcPr>
            <w:tcW w:w="865" w:type="pct"/>
            <w:vAlign w:val="center"/>
          </w:tcPr>
          <w:p w14:paraId="28E73B14" w14:textId="77777777" w:rsidR="0055474F" w:rsidRPr="00E551BD" w:rsidRDefault="0055474F" w:rsidP="00E46F2E">
            <w:pPr>
              <w:keepNext/>
              <w:jc w:val="center"/>
              <w:rPr>
                <w:rFonts w:ascii="Arial Narrow" w:hAnsi="Arial Narrow"/>
                <w:b/>
                <w:sz w:val="20"/>
                <w:szCs w:val="20"/>
              </w:rPr>
            </w:pPr>
            <w:r w:rsidRPr="00E551BD">
              <w:rPr>
                <w:rFonts w:ascii="Arial Narrow" w:hAnsi="Arial Narrow"/>
                <w:b/>
                <w:sz w:val="20"/>
                <w:szCs w:val="20"/>
              </w:rPr>
              <w:t>Max. Amount</w:t>
            </w:r>
          </w:p>
        </w:tc>
        <w:tc>
          <w:tcPr>
            <w:tcW w:w="836" w:type="pct"/>
            <w:vAlign w:val="center"/>
          </w:tcPr>
          <w:p w14:paraId="49D22590" w14:textId="77777777" w:rsidR="0055474F" w:rsidRPr="00E551BD" w:rsidRDefault="0055474F" w:rsidP="00E46F2E">
            <w:pPr>
              <w:keepNext/>
              <w:jc w:val="center"/>
              <w:rPr>
                <w:rFonts w:ascii="Arial Narrow" w:hAnsi="Arial Narrow"/>
                <w:b/>
                <w:sz w:val="20"/>
                <w:szCs w:val="20"/>
              </w:rPr>
            </w:pPr>
            <w:r w:rsidRPr="00E551BD">
              <w:rPr>
                <w:rFonts w:ascii="Arial Narrow" w:hAnsi="Arial Narrow"/>
                <w:b/>
                <w:sz w:val="20"/>
                <w:szCs w:val="20"/>
              </w:rPr>
              <w:t>№. of Rpts</w:t>
            </w:r>
          </w:p>
        </w:tc>
      </w:tr>
      <w:tr w:rsidR="00E551BD" w:rsidRPr="00E551BD" w14:paraId="3F3A149B" w14:textId="77777777" w:rsidTr="00C65AFD">
        <w:trPr>
          <w:cantSplit/>
          <w:trHeight w:val="214"/>
        </w:trPr>
        <w:tc>
          <w:tcPr>
            <w:tcW w:w="2041" w:type="pct"/>
            <w:gridSpan w:val="3"/>
            <w:vAlign w:val="center"/>
          </w:tcPr>
          <w:p w14:paraId="4983697A"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NIVOLUMAB</w:t>
            </w:r>
          </w:p>
          <w:p w14:paraId="51724EA7"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Injection</w:t>
            </w:r>
          </w:p>
        </w:tc>
        <w:tc>
          <w:tcPr>
            <w:tcW w:w="1258" w:type="pct"/>
            <w:vAlign w:val="center"/>
          </w:tcPr>
          <w:p w14:paraId="294034A3" w14:textId="77777777" w:rsidR="0055474F" w:rsidRPr="00E551BD" w:rsidRDefault="0055474F" w:rsidP="00C65AFD">
            <w:pPr>
              <w:keepNext/>
              <w:jc w:val="center"/>
              <w:rPr>
                <w:rFonts w:ascii="Arial Narrow" w:hAnsi="Arial Narrow"/>
                <w:i/>
                <w:iCs/>
                <w:sz w:val="20"/>
                <w:szCs w:val="20"/>
              </w:rPr>
            </w:pPr>
            <w:r w:rsidRPr="00E551BD">
              <w:rPr>
                <w:rFonts w:ascii="Arial Narrow" w:hAnsi="Arial Narrow"/>
                <w:i/>
                <w:iCs/>
                <w:sz w:val="20"/>
                <w:szCs w:val="20"/>
              </w:rPr>
              <w:t>11543M (Public)</w:t>
            </w:r>
          </w:p>
          <w:p w14:paraId="1F300E22" w14:textId="77777777" w:rsidR="0055474F" w:rsidRPr="00E551BD" w:rsidRDefault="0055474F" w:rsidP="00C65AFD">
            <w:pPr>
              <w:keepNext/>
              <w:jc w:val="center"/>
              <w:rPr>
                <w:rFonts w:ascii="Arial Narrow" w:hAnsi="Arial Narrow"/>
                <w:i/>
                <w:iCs/>
                <w:sz w:val="20"/>
                <w:szCs w:val="20"/>
              </w:rPr>
            </w:pPr>
            <w:r w:rsidRPr="00E551BD">
              <w:rPr>
                <w:rFonts w:ascii="Arial Narrow" w:hAnsi="Arial Narrow"/>
                <w:i/>
                <w:iCs/>
                <w:sz w:val="20"/>
                <w:szCs w:val="20"/>
              </w:rPr>
              <w:t>11532Y (private)</w:t>
            </w:r>
          </w:p>
        </w:tc>
        <w:tc>
          <w:tcPr>
            <w:tcW w:w="865" w:type="pct"/>
            <w:vAlign w:val="center"/>
          </w:tcPr>
          <w:p w14:paraId="119AFBAE" w14:textId="77777777" w:rsidR="0055474F" w:rsidRPr="00E551BD" w:rsidRDefault="0055474F" w:rsidP="00C65AFD">
            <w:pPr>
              <w:keepNext/>
              <w:jc w:val="center"/>
              <w:rPr>
                <w:rFonts w:ascii="Arial Narrow" w:hAnsi="Arial Narrow"/>
                <w:sz w:val="20"/>
                <w:szCs w:val="20"/>
              </w:rPr>
            </w:pPr>
            <w:r w:rsidRPr="00E551BD">
              <w:rPr>
                <w:rFonts w:ascii="Arial Narrow" w:hAnsi="Arial Narrow"/>
                <w:sz w:val="20"/>
                <w:szCs w:val="20"/>
              </w:rPr>
              <w:t>120 mg</w:t>
            </w:r>
          </w:p>
        </w:tc>
        <w:tc>
          <w:tcPr>
            <w:tcW w:w="836" w:type="pct"/>
            <w:vAlign w:val="center"/>
          </w:tcPr>
          <w:p w14:paraId="01B60713" w14:textId="77777777" w:rsidR="0055474F" w:rsidRPr="00E551BD" w:rsidRDefault="0055474F" w:rsidP="00C65AFD">
            <w:pPr>
              <w:keepNext/>
              <w:jc w:val="center"/>
              <w:rPr>
                <w:rFonts w:ascii="Arial Narrow" w:hAnsi="Arial Narrow"/>
                <w:sz w:val="20"/>
                <w:szCs w:val="20"/>
              </w:rPr>
            </w:pPr>
            <w:r w:rsidRPr="00E551BD">
              <w:rPr>
                <w:rFonts w:ascii="Arial Narrow" w:hAnsi="Arial Narrow"/>
                <w:sz w:val="20"/>
                <w:szCs w:val="20"/>
              </w:rPr>
              <w:t>3</w:t>
            </w:r>
          </w:p>
        </w:tc>
      </w:tr>
      <w:tr w:rsidR="00E551BD" w:rsidRPr="00E551BD" w14:paraId="43E54E15" w14:textId="77777777" w:rsidTr="00C65AFD">
        <w:trPr>
          <w:cantSplit/>
          <w:trHeight w:val="20"/>
        </w:trPr>
        <w:tc>
          <w:tcPr>
            <w:tcW w:w="5000" w:type="pct"/>
            <w:gridSpan w:val="6"/>
            <w:vAlign w:val="center"/>
          </w:tcPr>
          <w:p w14:paraId="32355AB3" w14:textId="77777777" w:rsidR="0055474F" w:rsidRPr="00E551BD" w:rsidRDefault="0055474F" w:rsidP="00C65AFD">
            <w:pPr>
              <w:keepNext/>
              <w:rPr>
                <w:rFonts w:ascii="Arial Narrow" w:hAnsi="Arial Narrow"/>
                <w:b/>
                <w:sz w:val="20"/>
                <w:szCs w:val="20"/>
              </w:rPr>
            </w:pPr>
            <w:r w:rsidRPr="00E551BD">
              <w:rPr>
                <w:rFonts w:ascii="Arial Narrow" w:hAnsi="Arial Narrow"/>
                <w:b/>
                <w:sz w:val="20"/>
                <w:szCs w:val="20"/>
              </w:rPr>
              <w:t xml:space="preserve">Available brands </w:t>
            </w:r>
          </w:p>
        </w:tc>
      </w:tr>
      <w:tr w:rsidR="00E551BD" w:rsidRPr="00E551BD" w14:paraId="29C9457D" w14:textId="77777777" w:rsidTr="00C65AFD">
        <w:trPr>
          <w:cantSplit/>
          <w:trHeight w:val="20"/>
        </w:trPr>
        <w:tc>
          <w:tcPr>
            <w:tcW w:w="5000" w:type="pct"/>
            <w:gridSpan w:val="6"/>
            <w:vAlign w:val="center"/>
          </w:tcPr>
          <w:p w14:paraId="4EF1594A"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Opdivo</w:t>
            </w:r>
          </w:p>
          <w:p w14:paraId="1BFB47AC"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(nivolumab 40 mg/4 mL injection, 4 mL vial)</w:t>
            </w:r>
          </w:p>
          <w:p w14:paraId="11F95885"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Opdivo</w:t>
            </w:r>
          </w:p>
          <w:p w14:paraId="25C5A149"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(nivolumab 100 mg/10 mL injection, 4 mL vial)</w:t>
            </w:r>
          </w:p>
        </w:tc>
      </w:tr>
      <w:tr w:rsidR="00E551BD" w:rsidRPr="00E551BD" w14:paraId="035028D8" w14:textId="77777777" w:rsidTr="00C65AFD">
        <w:trPr>
          <w:cantSplit/>
          <w:trHeight w:val="20"/>
        </w:trPr>
        <w:tc>
          <w:tcPr>
            <w:tcW w:w="5000" w:type="pct"/>
            <w:gridSpan w:val="6"/>
            <w:vAlign w:val="center"/>
          </w:tcPr>
          <w:p w14:paraId="297B8954" w14:textId="77777777" w:rsidR="0055474F" w:rsidRPr="00E551BD" w:rsidRDefault="0055474F" w:rsidP="00C65AFD">
            <w:pPr>
              <w:keepNext/>
              <w:rPr>
                <w:rFonts w:ascii="Arial Narrow" w:hAnsi="Arial Narrow"/>
                <w:sz w:val="20"/>
                <w:szCs w:val="20"/>
              </w:rPr>
            </w:pPr>
          </w:p>
        </w:tc>
      </w:tr>
      <w:tr w:rsidR="00E551BD" w:rsidRPr="00E551BD" w14:paraId="4D288C96" w14:textId="77777777" w:rsidTr="00C65AFD">
        <w:trPr>
          <w:cantSplit/>
          <w:trHeight w:val="20"/>
        </w:trPr>
        <w:tc>
          <w:tcPr>
            <w:tcW w:w="5000" w:type="pct"/>
            <w:gridSpan w:val="6"/>
            <w:vAlign w:val="center"/>
          </w:tcPr>
          <w:p w14:paraId="353BAB54" w14:textId="77777777" w:rsidR="0055474F" w:rsidRPr="00E551BD" w:rsidRDefault="0055474F" w:rsidP="00C65AFD">
            <w:pPr>
              <w:keepNext/>
              <w:rPr>
                <w:rFonts w:ascii="Arial Narrow" w:hAnsi="Arial Narrow"/>
                <w:sz w:val="20"/>
                <w:szCs w:val="20"/>
              </w:rPr>
            </w:pPr>
            <w:r w:rsidRPr="00E551BD">
              <w:rPr>
                <w:rFonts w:ascii="Arial Narrow" w:hAnsi="Arial Narrow"/>
                <w:b/>
                <w:sz w:val="20"/>
                <w:szCs w:val="20"/>
              </w:rPr>
              <w:t>Restriction Summary [new] / Treatment of Concept: [new]</w:t>
            </w:r>
          </w:p>
        </w:tc>
      </w:tr>
      <w:tr w:rsidR="00E551BD" w:rsidRPr="00E551BD" w14:paraId="3861854F"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27A62385" w14:textId="77777777" w:rsidR="0055474F" w:rsidRPr="00E551BD" w:rsidRDefault="0055474F" w:rsidP="00C65AFD">
            <w:pPr>
              <w:keepNext/>
              <w:jc w:val="center"/>
              <w:rPr>
                <w:rFonts w:ascii="Arial Narrow" w:hAnsi="Arial Narrow"/>
                <w:b/>
                <w:sz w:val="20"/>
                <w:szCs w:val="20"/>
              </w:rPr>
            </w:pPr>
            <w:r w:rsidRPr="00E551BD">
              <w:rPr>
                <w:rFonts w:ascii="Arial Narrow" w:hAnsi="Arial Narrow"/>
                <w:b/>
                <w:sz w:val="20"/>
                <w:szCs w:val="20"/>
              </w:rPr>
              <w:t xml:space="preserve">Concept ID </w:t>
            </w:r>
            <w:r w:rsidRPr="00E551BD">
              <w:rPr>
                <w:rFonts w:ascii="Arial Narrow" w:hAnsi="Arial Narrow"/>
                <w:sz w:val="20"/>
                <w:szCs w:val="20"/>
              </w:rPr>
              <w:t>(for internal Dept. use)</w:t>
            </w:r>
          </w:p>
        </w:tc>
        <w:tc>
          <w:tcPr>
            <w:tcW w:w="4295" w:type="pct"/>
            <w:gridSpan w:val="4"/>
          </w:tcPr>
          <w:p w14:paraId="2BAD74AB" w14:textId="77777777" w:rsidR="0055474F" w:rsidRPr="00E551BD" w:rsidRDefault="0055474F" w:rsidP="00C65AFD">
            <w:pPr>
              <w:keepNext/>
              <w:rPr>
                <w:rFonts w:ascii="Arial Narrow" w:hAnsi="Arial Narrow"/>
                <w:sz w:val="20"/>
                <w:szCs w:val="20"/>
              </w:rPr>
            </w:pPr>
            <w:r w:rsidRPr="00E551BD">
              <w:rPr>
                <w:rFonts w:ascii="Arial Narrow" w:hAnsi="Arial Narrow"/>
                <w:b/>
                <w:sz w:val="20"/>
                <w:szCs w:val="20"/>
              </w:rPr>
              <w:t xml:space="preserve">Category / Program: </w:t>
            </w:r>
            <w:r w:rsidRPr="00E551BD">
              <w:rPr>
                <w:rFonts w:ascii="Arial Narrow" w:hAnsi="Arial Narrow"/>
                <w:sz w:val="20"/>
                <w:szCs w:val="20"/>
              </w:rPr>
              <w:t>Section 100 – Efficient Funding of Chemotherapy Public/Private hospitals</w:t>
            </w:r>
          </w:p>
        </w:tc>
      </w:tr>
      <w:tr w:rsidR="00E551BD" w:rsidRPr="00E551BD" w14:paraId="302C6EB2"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10440297" w14:textId="77777777" w:rsidR="0055474F" w:rsidRPr="00E551BD" w:rsidRDefault="0055474F" w:rsidP="00C65AFD">
            <w:pPr>
              <w:keepNext/>
              <w:rPr>
                <w:rFonts w:ascii="Arial Narrow" w:hAnsi="Arial Narrow"/>
                <w:sz w:val="20"/>
                <w:szCs w:val="20"/>
              </w:rPr>
            </w:pPr>
          </w:p>
        </w:tc>
        <w:tc>
          <w:tcPr>
            <w:tcW w:w="4295" w:type="pct"/>
            <w:gridSpan w:val="4"/>
          </w:tcPr>
          <w:p w14:paraId="1C241AFF" w14:textId="77777777" w:rsidR="0055474F" w:rsidRPr="00E551BD" w:rsidRDefault="0055474F" w:rsidP="00C65AFD">
            <w:pPr>
              <w:keepNext/>
              <w:rPr>
                <w:rFonts w:ascii="Arial Narrow" w:hAnsi="Arial Narrow"/>
                <w:b/>
                <w:sz w:val="20"/>
                <w:szCs w:val="20"/>
              </w:rPr>
            </w:pPr>
            <w:r w:rsidRPr="00E551BD">
              <w:rPr>
                <w:rFonts w:ascii="Arial Narrow" w:hAnsi="Arial Narrow"/>
                <w:b/>
                <w:sz w:val="20"/>
                <w:szCs w:val="20"/>
              </w:rPr>
              <w:t xml:space="preserve">Prescriber type: </w:t>
            </w:r>
            <w:r w:rsidRPr="00E551BD">
              <w:rPr>
                <w:rFonts w:ascii="Arial Narrow" w:hAnsi="Arial Narrow"/>
                <w:sz w:val="20"/>
                <w:szCs w:val="20"/>
              </w:rPr>
              <w:fldChar w:fldCharType="begin">
                <w:ffData>
                  <w:name w:val=""/>
                  <w:enabled/>
                  <w:calcOnExit w:val="0"/>
                  <w:checkBox>
                    <w:sizeAuto/>
                    <w:default w:val="1"/>
                  </w:checkBox>
                </w:ffData>
              </w:fldChar>
            </w:r>
            <w:r w:rsidRPr="00E551BD">
              <w:rPr>
                <w:rFonts w:ascii="Arial Narrow" w:hAnsi="Arial Narrow"/>
                <w:sz w:val="20"/>
                <w:szCs w:val="20"/>
              </w:rPr>
              <w:instrText xml:space="preserve"> FORMCHECKBOX </w:instrText>
            </w:r>
            <w:r w:rsidR="00D8701A">
              <w:rPr>
                <w:rFonts w:ascii="Arial Narrow" w:hAnsi="Arial Narrow"/>
                <w:sz w:val="20"/>
                <w:szCs w:val="20"/>
              </w:rPr>
            </w:r>
            <w:r w:rsidR="00D8701A">
              <w:rPr>
                <w:rFonts w:ascii="Arial Narrow" w:hAnsi="Arial Narrow"/>
                <w:sz w:val="20"/>
                <w:szCs w:val="20"/>
              </w:rPr>
              <w:fldChar w:fldCharType="separate"/>
            </w:r>
            <w:r w:rsidRPr="00E551BD">
              <w:rPr>
                <w:rFonts w:ascii="Arial Narrow" w:hAnsi="Arial Narrow"/>
                <w:sz w:val="20"/>
                <w:szCs w:val="20"/>
              </w:rPr>
              <w:fldChar w:fldCharType="end"/>
            </w:r>
            <w:r w:rsidRPr="00E551BD">
              <w:rPr>
                <w:rFonts w:ascii="Arial Narrow" w:hAnsi="Arial Narrow"/>
                <w:sz w:val="20"/>
                <w:szCs w:val="20"/>
              </w:rPr>
              <w:t>Medical Practitioners</w:t>
            </w:r>
          </w:p>
        </w:tc>
      </w:tr>
      <w:tr w:rsidR="00E551BD" w:rsidRPr="00E551BD" w14:paraId="68D66273"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339F7623" w14:textId="77777777" w:rsidR="0055474F" w:rsidRPr="00E551BD" w:rsidRDefault="0055474F" w:rsidP="00C65AFD">
            <w:pPr>
              <w:rPr>
                <w:rFonts w:ascii="Arial Narrow" w:hAnsi="Arial Narrow"/>
                <w:sz w:val="20"/>
                <w:szCs w:val="20"/>
              </w:rPr>
            </w:pPr>
          </w:p>
        </w:tc>
        <w:tc>
          <w:tcPr>
            <w:tcW w:w="4295" w:type="pct"/>
            <w:gridSpan w:val="4"/>
          </w:tcPr>
          <w:p w14:paraId="0783DD88" w14:textId="77777777" w:rsidR="0055474F" w:rsidRPr="00E551BD" w:rsidRDefault="0055474F" w:rsidP="00C65AFD">
            <w:pPr>
              <w:rPr>
                <w:rFonts w:ascii="Arial Narrow" w:eastAsia="Calibri" w:hAnsi="Arial Narrow"/>
                <w:sz w:val="20"/>
                <w:szCs w:val="20"/>
              </w:rPr>
            </w:pPr>
            <w:r w:rsidRPr="00E551BD">
              <w:rPr>
                <w:rFonts w:ascii="Arial Narrow" w:hAnsi="Arial Narrow"/>
                <w:b/>
                <w:sz w:val="20"/>
                <w:szCs w:val="20"/>
              </w:rPr>
              <w:t xml:space="preserve">Restriction type: </w:t>
            </w:r>
            <w:r w:rsidRPr="00E551BD">
              <w:rPr>
                <w:rFonts w:ascii="Arial Narrow" w:eastAsia="Calibri" w:hAnsi="Arial Narrow"/>
                <w:sz w:val="20"/>
                <w:szCs w:val="20"/>
              </w:rPr>
              <w:fldChar w:fldCharType="begin">
                <w:ffData>
                  <w:name w:val=""/>
                  <w:enabled/>
                  <w:calcOnExit w:val="0"/>
                  <w:checkBox>
                    <w:sizeAuto/>
                    <w:default w:val="1"/>
                  </w:checkBox>
                </w:ffData>
              </w:fldChar>
            </w:r>
            <w:r w:rsidRPr="00E551BD">
              <w:rPr>
                <w:rFonts w:ascii="Arial Narrow" w:eastAsia="Calibri" w:hAnsi="Arial Narrow"/>
                <w:sz w:val="20"/>
                <w:szCs w:val="20"/>
              </w:rPr>
              <w:instrText xml:space="preserve"> FORMCHECKBOX </w:instrText>
            </w:r>
            <w:r w:rsidR="00D8701A">
              <w:rPr>
                <w:rFonts w:ascii="Arial Narrow" w:eastAsia="Calibri" w:hAnsi="Arial Narrow"/>
                <w:sz w:val="20"/>
                <w:szCs w:val="20"/>
              </w:rPr>
            </w:r>
            <w:r w:rsidR="00D8701A">
              <w:rPr>
                <w:rFonts w:ascii="Arial Narrow" w:eastAsia="Calibri" w:hAnsi="Arial Narrow"/>
                <w:sz w:val="20"/>
                <w:szCs w:val="20"/>
              </w:rPr>
              <w:fldChar w:fldCharType="separate"/>
            </w:r>
            <w:r w:rsidRPr="00E551BD">
              <w:rPr>
                <w:rFonts w:ascii="Arial Narrow" w:eastAsia="Calibri" w:hAnsi="Arial Narrow"/>
                <w:sz w:val="20"/>
                <w:szCs w:val="20"/>
              </w:rPr>
              <w:fldChar w:fldCharType="end"/>
            </w:r>
            <w:r w:rsidRPr="00E551BD">
              <w:rPr>
                <w:rFonts w:ascii="Arial Narrow" w:eastAsia="Calibri" w:hAnsi="Arial Narrow"/>
                <w:sz w:val="20"/>
                <w:szCs w:val="20"/>
              </w:rPr>
              <w:t>Authority Required (STREAMLINED) [New Code]</w:t>
            </w:r>
          </w:p>
        </w:tc>
      </w:tr>
      <w:tr w:rsidR="00E551BD" w:rsidRPr="00E551BD" w14:paraId="1E2ABD63"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tcPr>
          <w:p w14:paraId="25D958A7" w14:textId="77777777" w:rsidR="001D6273" w:rsidRPr="00E551BD" w:rsidRDefault="001D6273" w:rsidP="00C65AFD">
            <w:pPr>
              <w:rPr>
                <w:rFonts w:ascii="Arial Narrow" w:hAnsi="Arial Narrow"/>
                <w:b/>
                <w:sz w:val="20"/>
                <w:szCs w:val="20"/>
              </w:rPr>
            </w:pPr>
          </w:p>
        </w:tc>
      </w:tr>
      <w:tr w:rsidR="00E551BD" w:rsidRPr="00E551BD" w14:paraId="47659CBD"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8B033B6" w14:textId="4F912F94" w:rsidR="0055474F" w:rsidRPr="00E551BD" w:rsidRDefault="0055474F" w:rsidP="00C65AFD">
            <w:pPr>
              <w:jc w:val="center"/>
              <w:rPr>
                <w:rFonts w:ascii="Arial Narrow" w:hAnsi="Arial Narrow"/>
                <w:i/>
                <w:iCs/>
                <w:sz w:val="20"/>
                <w:szCs w:val="20"/>
              </w:rPr>
            </w:pPr>
          </w:p>
        </w:tc>
        <w:tc>
          <w:tcPr>
            <w:tcW w:w="4295" w:type="pct"/>
            <w:gridSpan w:val="4"/>
            <w:vAlign w:val="center"/>
          </w:tcPr>
          <w:p w14:paraId="4ABCC886" w14:textId="77777777" w:rsidR="0055474F" w:rsidRPr="00E551BD" w:rsidRDefault="0055474F" w:rsidP="00C65AFD">
            <w:pPr>
              <w:rPr>
                <w:rFonts w:ascii="Arial Narrow" w:hAnsi="Arial Narrow"/>
                <w:i/>
                <w:iCs/>
                <w:sz w:val="20"/>
                <w:szCs w:val="20"/>
              </w:rPr>
            </w:pPr>
            <w:r w:rsidRPr="00E551BD">
              <w:rPr>
                <w:rFonts w:ascii="Arial Narrow" w:hAnsi="Arial Narrow"/>
                <w:b/>
                <w:bCs/>
                <w:i/>
                <w:iCs/>
                <w:sz w:val="20"/>
                <w:szCs w:val="20"/>
              </w:rPr>
              <w:t>Caution:</w:t>
            </w:r>
            <w:r w:rsidRPr="00E551BD">
              <w:rPr>
                <w:rFonts w:ascii="Arial Narrow" w:hAnsi="Arial Narrow"/>
                <w:i/>
                <w:iCs/>
                <w:sz w:val="20"/>
                <w:szCs w:val="20"/>
              </w:rPr>
              <w:t xml:space="preserve"> Combination treatment with ipilimumab and nivolumab is associated with an increased incidence and severity of immune-related adverse reactions compared with monotherapy with these agents. Monitoring at least prior to each dose is recommended.</w:t>
            </w:r>
          </w:p>
        </w:tc>
      </w:tr>
      <w:tr w:rsidR="00E551BD" w:rsidRPr="00E551BD" w14:paraId="761E1506"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tcPr>
          <w:p w14:paraId="0BC7413A" w14:textId="77777777" w:rsidR="001D6273" w:rsidRPr="00E551BD" w:rsidRDefault="001D6273" w:rsidP="00C65AFD">
            <w:pPr>
              <w:rPr>
                <w:rFonts w:ascii="Arial Narrow" w:hAnsi="Arial Narrow"/>
                <w:b/>
                <w:sz w:val="20"/>
                <w:szCs w:val="20"/>
              </w:rPr>
            </w:pPr>
          </w:p>
        </w:tc>
      </w:tr>
      <w:tr w:rsidR="00E551BD" w:rsidRPr="00E551BD" w14:paraId="56293195" w14:textId="77777777" w:rsidTr="00C65AFD">
        <w:tblPrEx>
          <w:tblCellMar>
            <w:top w:w="15" w:type="dxa"/>
            <w:bottom w:w="15" w:type="dxa"/>
          </w:tblCellMar>
          <w:tblLook w:val="04A0" w:firstRow="1" w:lastRow="0" w:firstColumn="1" w:lastColumn="0" w:noHBand="0" w:noVBand="1"/>
        </w:tblPrEx>
        <w:trPr>
          <w:trHeight w:val="20"/>
        </w:trPr>
        <w:tc>
          <w:tcPr>
            <w:tcW w:w="312" w:type="pct"/>
            <w:vMerge w:val="restart"/>
            <w:textDirection w:val="btLr"/>
            <w:vAlign w:val="center"/>
          </w:tcPr>
          <w:p w14:paraId="7B1987E7" w14:textId="5EB5102C" w:rsidR="0055474F" w:rsidRPr="00E551BD" w:rsidRDefault="0055474F" w:rsidP="00C65AFD">
            <w:pPr>
              <w:keepLines/>
              <w:ind w:right="113"/>
              <w:jc w:val="center"/>
              <w:rPr>
                <w:rFonts w:ascii="Arial Narrow" w:hAnsi="Arial Narrow"/>
                <w:sz w:val="20"/>
                <w:szCs w:val="20"/>
              </w:rPr>
            </w:pPr>
          </w:p>
        </w:tc>
        <w:tc>
          <w:tcPr>
            <w:tcW w:w="393" w:type="pct"/>
            <w:vAlign w:val="center"/>
          </w:tcPr>
          <w:p w14:paraId="1D7FAB85" w14:textId="57226CCE" w:rsidR="0055474F" w:rsidRPr="00E551BD" w:rsidRDefault="0055474F" w:rsidP="00C65AFD">
            <w:pPr>
              <w:keepLines/>
              <w:ind w:hanging="35"/>
              <w:jc w:val="center"/>
              <w:rPr>
                <w:rFonts w:ascii="Arial Narrow" w:hAnsi="Arial Narrow"/>
                <w:sz w:val="20"/>
                <w:szCs w:val="20"/>
              </w:rPr>
            </w:pPr>
          </w:p>
        </w:tc>
        <w:tc>
          <w:tcPr>
            <w:tcW w:w="4295" w:type="pct"/>
            <w:gridSpan w:val="4"/>
            <w:vAlign w:val="center"/>
          </w:tcPr>
          <w:p w14:paraId="50DD5596" w14:textId="4C166F51" w:rsidR="0055474F" w:rsidRPr="00E551BD" w:rsidRDefault="0055474F" w:rsidP="00C65AFD">
            <w:pPr>
              <w:keepLines/>
              <w:rPr>
                <w:rFonts w:ascii="Arial Narrow" w:hAnsi="Arial Narrow"/>
                <w:sz w:val="20"/>
                <w:szCs w:val="20"/>
              </w:rPr>
            </w:pPr>
            <w:r w:rsidRPr="00E551BD">
              <w:rPr>
                <w:rFonts w:ascii="Arial Narrow" w:hAnsi="Arial Narrow"/>
                <w:b/>
                <w:bCs/>
                <w:sz w:val="20"/>
                <w:szCs w:val="20"/>
              </w:rPr>
              <w:t xml:space="preserve">Administrative Advice: </w:t>
            </w:r>
            <w:r w:rsidRPr="00E551BD">
              <w:rPr>
                <w:rFonts w:ascii="Arial Narrow" w:hAnsi="Arial Narrow"/>
                <w:sz w:val="20"/>
                <w:szCs w:val="20"/>
              </w:rPr>
              <w:t>No increase in the maximum number of repeats may be authorised.</w:t>
            </w:r>
          </w:p>
        </w:tc>
      </w:tr>
      <w:tr w:rsidR="00E551BD" w:rsidRPr="00E551BD" w14:paraId="1579AF61" w14:textId="77777777" w:rsidTr="00C65AFD">
        <w:tblPrEx>
          <w:tblCellMar>
            <w:top w:w="15" w:type="dxa"/>
            <w:bottom w:w="15" w:type="dxa"/>
          </w:tblCellMar>
          <w:tblLook w:val="04A0" w:firstRow="1" w:lastRow="0" w:firstColumn="1" w:lastColumn="0" w:noHBand="0" w:noVBand="1"/>
        </w:tblPrEx>
        <w:trPr>
          <w:trHeight w:val="20"/>
        </w:trPr>
        <w:tc>
          <w:tcPr>
            <w:tcW w:w="312" w:type="pct"/>
            <w:vMerge/>
            <w:vAlign w:val="center"/>
          </w:tcPr>
          <w:p w14:paraId="05601605" w14:textId="77777777" w:rsidR="0055474F" w:rsidRPr="00E551BD" w:rsidRDefault="0055474F" w:rsidP="00C65AFD">
            <w:pPr>
              <w:keepLines/>
              <w:jc w:val="center"/>
              <w:rPr>
                <w:rFonts w:ascii="Arial Narrow" w:hAnsi="Arial Narrow"/>
                <w:sz w:val="20"/>
                <w:szCs w:val="20"/>
              </w:rPr>
            </w:pPr>
          </w:p>
        </w:tc>
        <w:tc>
          <w:tcPr>
            <w:tcW w:w="393" w:type="pct"/>
            <w:vAlign w:val="center"/>
          </w:tcPr>
          <w:p w14:paraId="52397F14" w14:textId="633A530E" w:rsidR="0055474F" w:rsidRPr="00E551BD" w:rsidRDefault="0055474F" w:rsidP="00C65AFD">
            <w:pPr>
              <w:keepLines/>
              <w:ind w:hanging="35"/>
              <w:jc w:val="center"/>
              <w:rPr>
                <w:rFonts w:ascii="Arial Narrow" w:hAnsi="Arial Narrow"/>
                <w:sz w:val="20"/>
                <w:szCs w:val="20"/>
              </w:rPr>
            </w:pPr>
          </w:p>
        </w:tc>
        <w:tc>
          <w:tcPr>
            <w:tcW w:w="4295" w:type="pct"/>
            <w:gridSpan w:val="4"/>
            <w:vAlign w:val="center"/>
          </w:tcPr>
          <w:p w14:paraId="0E23FBA5" w14:textId="0D1A7C12" w:rsidR="0055474F" w:rsidRPr="00E551BD" w:rsidRDefault="0055474F" w:rsidP="00C65AFD">
            <w:pPr>
              <w:keepLines/>
              <w:rPr>
                <w:rFonts w:ascii="Arial Narrow" w:hAnsi="Arial Narrow"/>
                <w:sz w:val="20"/>
                <w:szCs w:val="20"/>
              </w:rPr>
            </w:pPr>
            <w:r w:rsidRPr="00E551BD">
              <w:rPr>
                <w:rFonts w:ascii="Arial Narrow" w:hAnsi="Arial Narrow"/>
                <w:b/>
                <w:bCs/>
                <w:sz w:val="20"/>
                <w:szCs w:val="20"/>
              </w:rPr>
              <w:t xml:space="preserve">Administrative Advice: </w:t>
            </w:r>
            <w:r w:rsidRPr="00E551BD">
              <w:rPr>
                <w:rFonts w:ascii="Arial Narrow" w:hAnsi="Arial Narrow"/>
                <w:sz w:val="20"/>
                <w:szCs w:val="20"/>
              </w:rPr>
              <w:t>Special Pricing Arrangements apply.</w:t>
            </w:r>
          </w:p>
        </w:tc>
      </w:tr>
      <w:tr w:rsidR="00E551BD" w:rsidRPr="00E551BD" w14:paraId="62E7F587" w14:textId="77777777" w:rsidTr="001D6273">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34CE2180" w14:textId="77777777" w:rsidR="001D6273" w:rsidRPr="00E551BD" w:rsidRDefault="001D6273" w:rsidP="00C65AFD">
            <w:pPr>
              <w:keepLines/>
              <w:rPr>
                <w:rFonts w:ascii="Arial Narrow" w:hAnsi="Arial Narrow"/>
                <w:b/>
                <w:bCs/>
                <w:sz w:val="20"/>
                <w:szCs w:val="20"/>
              </w:rPr>
            </w:pPr>
          </w:p>
        </w:tc>
      </w:tr>
      <w:tr w:rsidR="00E551BD" w:rsidRPr="00E551BD" w14:paraId="4BB033AA"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77C32790" w14:textId="4297DDBD" w:rsidR="0055474F" w:rsidRPr="00E551BD" w:rsidRDefault="0055474F" w:rsidP="00C65AFD">
            <w:pPr>
              <w:keepLines/>
              <w:jc w:val="center"/>
              <w:rPr>
                <w:rFonts w:ascii="Arial Narrow" w:hAnsi="Arial Narrow"/>
                <w:sz w:val="20"/>
                <w:szCs w:val="20"/>
              </w:rPr>
            </w:pPr>
          </w:p>
        </w:tc>
        <w:tc>
          <w:tcPr>
            <w:tcW w:w="4295" w:type="pct"/>
            <w:gridSpan w:val="4"/>
            <w:vAlign w:val="center"/>
            <w:hideMark/>
          </w:tcPr>
          <w:p w14:paraId="14D1B241" w14:textId="77777777" w:rsidR="0055474F" w:rsidRPr="00E551BD" w:rsidRDefault="0055474F" w:rsidP="00C65AFD">
            <w:pPr>
              <w:keepLines/>
              <w:rPr>
                <w:rFonts w:ascii="Arial Narrow" w:hAnsi="Arial Narrow"/>
                <w:sz w:val="20"/>
                <w:szCs w:val="20"/>
              </w:rPr>
            </w:pPr>
            <w:r w:rsidRPr="00E551BD">
              <w:rPr>
                <w:rFonts w:ascii="Arial Narrow" w:hAnsi="Arial Narrow"/>
                <w:b/>
                <w:bCs/>
                <w:sz w:val="20"/>
                <w:szCs w:val="20"/>
              </w:rPr>
              <w:t>Indication:</w:t>
            </w:r>
            <w:r w:rsidRPr="00E551BD">
              <w:rPr>
                <w:rFonts w:ascii="Arial Narrow" w:hAnsi="Arial Narrow"/>
                <w:sz w:val="20"/>
                <w:szCs w:val="20"/>
              </w:rPr>
              <w:t xml:space="preserve"> Unresectable Stage III or Stage IV malignant melanoma</w:t>
            </w:r>
          </w:p>
        </w:tc>
      </w:tr>
      <w:tr w:rsidR="00E551BD" w:rsidRPr="00E551BD" w14:paraId="07837D8F"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A7A7912" w14:textId="77777777" w:rsidR="001D6273" w:rsidRPr="00E551BD" w:rsidRDefault="001D6273" w:rsidP="00C65AFD">
            <w:pPr>
              <w:keepLines/>
              <w:rPr>
                <w:rFonts w:ascii="Arial Narrow" w:hAnsi="Arial Narrow"/>
                <w:b/>
                <w:bCs/>
                <w:sz w:val="20"/>
                <w:szCs w:val="20"/>
              </w:rPr>
            </w:pPr>
          </w:p>
        </w:tc>
      </w:tr>
      <w:tr w:rsidR="00E551BD" w:rsidRPr="00E551BD" w14:paraId="3F919027"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5A749E81" w14:textId="77777777" w:rsidR="0055474F" w:rsidRPr="00E551BD" w:rsidRDefault="0055474F" w:rsidP="00C65AFD">
            <w:pPr>
              <w:jc w:val="center"/>
              <w:rPr>
                <w:rFonts w:ascii="Arial Narrow" w:hAnsi="Arial Narrow"/>
                <w:sz w:val="20"/>
                <w:szCs w:val="20"/>
              </w:rPr>
            </w:pPr>
          </w:p>
        </w:tc>
        <w:tc>
          <w:tcPr>
            <w:tcW w:w="4295" w:type="pct"/>
            <w:gridSpan w:val="4"/>
            <w:vAlign w:val="center"/>
            <w:hideMark/>
          </w:tcPr>
          <w:p w14:paraId="46F1A69C" w14:textId="7BB9B5AB" w:rsidR="0055474F" w:rsidRPr="00E551BD" w:rsidRDefault="0055474F" w:rsidP="00E46F2E">
            <w:pPr>
              <w:jc w:val="left"/>
              <w:rPr>
                <w:rFonts w:ascii="Arial Narrow" w:hAnsi="Arial Narrow"/>
                <w:sz w:val="20"/>
                <w:szCs w:val="20"/>
              </w:rPr>
            </w:pPr>
            <w:r w:rsidRPr="00E551BD">
              <w:rPr>
                <w:rFonts w:ascii="Arial Narrow" w:hAnsi="Arial Narrow"/>
                <w:b/>
                <w:bCs/>
                <w:sz w:val="20"/>
                <w:szCs w:val="20"/>
              </w:rPr>
              <w:t xml:space="preserve">Treatment Phase: </w:t>
            </w:r>
            <w:r w:rsidRPr="00E551BD">
              <w:rPr>
                <w:rFonts w:ascii="Arial Narrow" w:hAnsi="Arial Narrow"/>
                <w:i/>
                <w:iCs/>
                <w:sz w:val="20"/>
                <w:szCs w:val="20"/>
              </w:rPr>
              <w:t xml:space="preserve">Transitioning from non-PBS to PBS-subsidised supply - Grandfather arrangements for combination </w:t>
            </w:r>
            <w:r w:rsidR="00E46F2E" w:rsidRPr="00E551BD">
              <w:rPr>
                <w:rFonts w:ascii="Arial Narrow" w:hAnsi="Arial Narrow"/>
                <w:i/>
                <w:iCs/>
                <w:sz w:val="20"/>
                <w:szCs w:val="20"/>
              </w:rPr>
              <w:t xml:space="preserve">induction </w:t>
            </w:r>
            <w:r w:rsidRPr="00E551BD">
              <w:rPr>
                <w:rFonts w:ascii="Arial Narrow" w:hAnsi="Arial Narrow"/>
                <w:i/>
                <w:iCs/>
                <w:sz w:val="20"/>
                <w:szCs w:val="20"/>
              </w:rPr>
              <w:t>therapy</w:t>
            </w:r>
            <w:r w:rsidRPr="00E551BD">
              <w:rPr>
                <w:rFonts w:ascii="Arial Narrow" w:hAnsi="Arial Narrow"/>
                <w:b/>
                <w:bCs/>
                <w:i/>
                <w:iCs/>
                <w:sz w:val="20"/>
                <w:szCs w:val="20"/>
              </w:rPr>
              <w:t xml:space="preserve"> </w:t>
            </w:r>
          </w:p>
        </w:tc>
      </w:tr>
      <w:tr w:rsidR="00E551BD" w:rsidRPr="00E551BD" w14:paraId="3F0C32D7"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9ACA395" w14:textId="77777777" w:rsidR="001D6273" w:rsidRPr="00E551BD" w:rsidRDefault="001D6273" w:rsidP="00C65AFD">
            <w:pPr>
              <w:rPr>
                <w:rFonts w:ascii="Arial Narrow" w:hAnsi="Arial Narrow"/>
                <w:b/>
                <w:bCs/>
                <w:sz w:val="20"/>
                <w:szCs w:val="20"/>
              </w:rPr>
            </w:pPr>
          </w:p>
        </w:tc>
      </w:tr>
      <w:tr w:rsidR="00E551BD" w:rsidRPr="00E551BD" w14:paraId="7A475CCA"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2074649" w14:textId="262EDEA7" w:rsidR="0055474F" w:rsidRPr="00E551BD" w:rsidRDefault="0055474F" w:rsidP="00C65AFD">
            <w:pPr>
              <w:jc w:val="center"/>
              <w:rPr>
                <w:rFonts w:ascii="Arial Narrow" w:hAnsi="Arial Narrow"/>
                <w:sz w:val="20"/>
                <w:szCs w:val="20"/>
              </w:rPr>
            </w:pPr>
          </w:p>
        </w:tc>
        <w:tc>
          <w:tcPr>
            <w:tcW w:w="4295" w:type="pct"/>
            <w:gridSpan w:val="4"/>
            <w:vAlign w:val="center"/>
            <w:hideMark/>
          </w:tcPr>
          <w:p w14:paraId="7C2032BC"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Clinical criteria:</w:t>
            </w:r>
          </w:p>
        </w:tc>
      </w:tr>
      <w:tr w:rsidR="00E551BD" w:rsidRPr="00E551BD" w14:paraId="43F986E5"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EBFB363" w14:textId="6F206F5A" w:rsidR="0055474F" w:rsidRPr="00E551BD" w:rsidRDefault="0055474F" w:rsidP="00C65AFD">
            <w:pPr>
              <w:jc w:val="center"/>
              <w:rPr>
                <w:rFonts w:ascii="Arial Narrow" w:hAnsi="Arial Narrow"/>
                <w:sz w:val="20"/>
                <w:szCs w:val="20"/>
              </w:rPr>
            </w:pPr>
          </w:p>
        </w:tc>
        <w:tc>
          <w:tcPr>
            <w:tcW w:w="4295" w:type="pct"/>
            <w:gridSpan w:val="4"/>
            <w:vAlign w:val="center"/>
            <w:hideMark/>
          </w:tcPr>
          <w:p w14:paraId="3B519623" w14:textId="1E7B4A06" w:rsidR="0055474F" w:rsidRPr="00E551BD" w:rsidRDefault="0055474F" w:rsidP="00C65AFD">
            <w:pPr>
              <w:rPr>
                <w:rFonts w:ascii="Arial Narrow" w:hAnsi="Arial Narrow"/>
                <w:sz w:val="20"/>
                <w:szCs w:val="20"/>
              </w:rPr>
            </w:pPr>
            <w:r w:rsidRPr="00E551BD">
              <w:rPr>
                <w:rFonts w:ascii="Arial Narrow" w:hAnsi="Arial Narrow"/>
                <w:sz w:val="20"/>
                <w:szCs w:val="20"/>
              </w:rPr>
              <w:t xml:space="preserve">Patient </w:t>
            </w:r>
            <w:r w:rsidRPr="00E551BD">
              <w:rPr>
                <w:rFonts w:ascii="Arial Narrow" w:hAnsi="Arial Narrow"/>
                <w:i/>
                <w:iCs/>
                <w:sz w:val="20"/>
                <w:szCs w:val="20"/>
              </w:rPr>
              <w:t xml:space="preserve">must </w:t>
            </w:r>
            <w:r w:rsidRPr="00E551BD">
              <w:rPr>
                <w:rFonts w:ascii="Arial Narrow" w:hAnsi="Arial Narrow"/>
                <w:sz w:val="20"/>
                <w:szCs w:val="20"/>
              </w:rPr>
              <w:t xml:space="preserve">have </w:t>
            </w:r>
            <w:r w:rsidRPr="00E551BD">
              <w:rPr>
                <w:rFonts w:ascii="Arial Narrow" w:hAnsi="Arial Narrow"/>
                <w:strike/>
                <w:sz w:val="20"/>
                <w:szCs w:val="20"/>
              </w:rPr>
              <w:t xml:space="preserve">previously </w:t>
            </w:r>
            <w:r w:rsidRPr="00E551BD">
              <w:rPr>
                <w:rFonts w:ascii="Arial Narrow" w:hAnsi="Arial Narrow"/>
                <w:sz w:val="20"/>
                <w:szCs w:val="20"/>
              </w:rPr>
              <w:t xml:space="preserve">received non-PBS subsidised </w:t>
            </w:r>
            <w:r w:rsidRPr="00E551BD">
              <w:rPr>
                <w:rFonts w:ascii="Arial Narrow" w:hAnsi="Arial Narrow"/>
                <w:i/>
                <w:iCs/>
                <w:sz w:val="20"/>
                <w:szCs w:val="20"/>
              </w:rPr>
              <w:t>treatment with</w:t>
            </w:r>
            <w:r w:rsidRPr="00E551BD">
              <w:rPr>
                <w:rFonts w:ascii="Arial Narrow" w:hAnsi="Arial Narrow"/>
                <w:sz w:val="20"/>
                <w:szCs w:val="20"/>
              </w:rPr>
              <w:t xml:space="preserve"> nivolumab in combination with ipilimumab for this </w:t>
            </w:r>
            <w:r w:rsidRPr="00E551BD">
              <w:rPr>
                <w:rFonts w:ascii="Arial Narrow" w:hAnsi="Arial Narrow"/>
                <w:i/>
                <w:iCs/>
                <w:sz w:val="20"/>
                <w:szCs w:val="20"/>
              </w:rPr>
              <w:t>PBS</w:t>
            </w:r>
            <w:r w:rsidRPr="00E551BD">
              <w:rPr>
                <w:rFonts w:ascii="Arial Narrow" w:hAnsi="Arial Narrow"/>
                <w:sz w:val="20"/>
                <w:szCs w:val="20"/>
              </w:rPr>
              <w:t xml:space="preserve"> indication prior to </w:t>
            </w:r>
            <w:r w:rsidRPr="00E551BD">
              <w:rPr>
                <w:rFonts w:ascii="Arial Narrow" w:hAnsi="Arial Narrow"/>
                <w:strike/>
                <w:sz w:val="20"/>
                <w:szCs w:val="20"/>
              </w:rPr>
              <w:t>(date to be determined)</w:t>
            </w:r>
            <w:r w:rsidR="00E46F2E" w:rsidRPr="00E551BD">
              <w:rPr>
                <w:rFonts w:ascii="Arial Narrow" w:hAnsi="Arial Narrow"/>
                <w:sz w:val="20"/>
                <w:szCs w:val="20"/>
              </w:rPr>
              <w:t xml:space="preserve"> </w:t>
            </w:r>
            <w:r w:rsidRPr="00E551BD">
              <w:rPr>
                <w:rFonts w:ascii="Arial Narrow" w:hAnsi="Arial Narrow"/>
                <w:i/>
                <w:iCs/>
                <w:sz w:val="20"/>
                <w:szCs w:val="20"/>
              </w:rPr>
              <w:t>[listing date]</w:t>
            </w:r>
          </w:p>
        </w:tc>
      </w:tr>
      <w:tr w:rsidR="00E551BD" w:rsidRPr="00E551BD" w14:paraId="3568A1FF"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6B8D249" w14:textId="77777777" w:rsidR="0055474F" w:rsidRPr="00E551BD" w:rsidRDefault="0055474F" w:rsidP="00C65AFD">
            <w:pPr>
              <w:jc w:val="center"/>
              <w:rPr>
                <w:rFonts w:ascii="Arial Narrow" w:hAnsi="Arial Narrow"/>
                <w:sz w:val="20"/>
                <w:szCs w:val="20"/>
              </w:rPr>
            </w:pPr>
          </w:p>
        </w:tc>
        <w:tc>
          <w:tcPr>
            <w:tcW w:w="4295" w:type="pct"/>
            <w:gridSpan w:val="4"/>
            <w:vAlign w:val="center"/>
            <w:hideMark/>
          </w:tcPr>
          <w:p w14:paraId="0B682539"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AND</w:t>
            </w:r>
          </w:p>
        </w:tc>
      </w:tr>
      <w:tr w:rsidR="00E551BD" w:rsidRPr="00E551BD" w14:paraId="7D5B3BD4"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A1B8683" w14:textId="4A5CC2DC" w:rsidR="0055474F" w:rsidRPr="00E551BD" w:rsidRDefault="0055474F" w:rsidP="00C65AFD">
            <w:pPr>
              <w:jc w:val="center"/>
              <w:rPr>
                <w:rFonts w:ascii="Arial Narrow" w:hAnsi="Arial Narrow"/>
                <w:sz w:val="20"/>
                <w:szCs w:val="20"/>
              </w:rPr>
            </w:pPr>
          </w:p>
        </w:tc>
        <w:tc>
          <w:tcPr>
            <w:tcW w:w="4295" w:type="pct"/>
            <w:gridSpan w:val="4"/>
            <w:vAlign w:val="center"/>
          </w:tcPr>
          <w:p w14:paraId="5D03FF05"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Clinical criteria:</w:t>
            </w:r>
          </w:p>
        </w:tc>
      </w:tr>
      <w:tr w:rsidR="00E551BD" w:rsidRPr="00E551BD" w14:paraId="4A8C1885"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0132C21" w14:textId="63AC52CD" w:rsidR="0055474F" w:rsidRPr="00E551BD" w:rsidRDefault="0055474F" w:rsidP="00C65AFD">
            <w:pPr>
              <w:jc w:val="center"/>
              <w:rPr>
                <w:rFonts w:ascii="Arial Narrow" w:hAnsi="Arial Narrow"/>
                <w:sz w:val="20"/>
                <w:szCs w:val="20"/>
              </w:rPr>
            </w:pPr>
          </w:p>
        </w:tc>
        <w:tc>
          <w:tcPr>
            <w:tcW w:w="4295" w:type="pct"/>
            <w:gridSpan w:val="4"/>
            <w:vAlign w:val="center"/>
          </w:tcPr>
          <w:p w14:paraId="6A90A80E" w14:textId="77777777" w:rsidR="0055474F" w:rsidRPr="00E551BD" w:rsidRDefault="0055474F" w:rsidP="00C65AFD">
            <w:pPr>
              <w:rPr>
                <w:rFonts w:ascii="Arial Narrow" w:hAnsi="Arial Narrow"/>
                <w:sz w:val="20"/>
                <w:szCs w:val="20"/>
              </w:rPr>
            </w:pPr>
            <w:r w:rsidRPr="00E551BD">
              <w:rPr>
                <w:rFonts w:ascii="Arial Narrow" w:hAnsi="Arial Narrow"/>
                <w:sz w:val="20"/>
                <w:szCs w:val="20"/>
              </w:rPr>
              <w:t xml:space="preserve">Patient must have </w:t>
            </w:r>
            <w:r w:rsidRPr="00E551BD">
              <w:rPr>
                <w:rFonts w:ascii="Arial Narrow" w:hAnsi="Arial Narrow"/>
                <w:i/>
                <w:iCs/>
                <w:sz w:val="20"/>
                <w:szCs w:val="20"/>
              </w:rPr>
              <w:t>had</w:t>
            </w:r>
            <w:r w:rsidRPr="00E551BD">
              <w:rPr>
                <w:rFonts w:ascii="Arial Narrow" w:hAnsi="Arial Narrow"/>
                <w:sz w:val="20"/>
                <w:szCs w:val="20"/>
              </w:rPr>
              <w:t xml:space="preserve"> an Eastern Cooperative Oncology Group (ECOG) performance status of 0 or 1 </w:t>
            </w:r>
            <w:r w:rsidRPr="00E551BD">
              <w:rPr>
                <w:rFonts w:ascii="Arial Narrow" w:hAnsi="Arial Narrow"/>
                <w:i/>
                <w:iCs/>
                <w:sz w:val="20"/>
                <w:szCs w:val="20"/>
              </w:rPr>
              <w:t>prior to commencing non-PBS-subsidised treatment</w:t>
            </w:r>
          </w:p>
        </w:tc>
      </w:tr>
      <w:tr w:rsidR="00E551BD" w:rsidRPr="00E551BD" w14:paraId="2B090A53"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B9594AF" w14:textId="77777777" w:rsidR="0055474F" w:rsidRPr="00E551BD" w:rsidRDefault="0055474F" w:rsidP="00C65AFD">
            <w:pPr>
              <w:jc w:val="center"/>
              <w:rPr>
                <w:rFonts w:ascii="Arial Narrow" w:hAnsi="Arial Narrow"/>
                <w:sz w:val="20"/>
                <w:szCs w:val="20"/>
              </w:rPr>
            </w:pPr>
          </w:p>
        </w:tc>
        <w:tc>
          <w:tcPr>
            <w:tcW w:w="4295" w:type="pct"/>
            <w:gridSpan w:val="4"/>
            <w:vAlign w:val="center"/>
            <w:hideMark/>
          </w:tcPr>
          <w:p w14:paraId="3475ECC5"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AND</w:t>
            </w:r>
          </w:p>
        </w:tc>
      </w:tr>
      <w:tr w:rsidR="00E551BD" w:rsidRPr="00E551BD" w14:paraId="51849666"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4DDD3F1" w14:textId="64F17D5A" w:rsidR="0055474F" w:rsidRPr="00E551BD" w:rsidRDefault="0055474F" w:rsidP="00C65AFD">
            <w:pPr>
              <w:jc w:val="center"/>
              <w:rPr>
                <w:rFonts w:ascii="Arial Narrow" w:hAnsi="Arial Narrow"/>
                <w:sz w:val="20"/>
                <w:szCs w:val="20"/>
              </w:rPr>
            </w:pPr>
          </w:p>
        </w:tc>
        <w:tc>
          <w:tcPr>
            <w:tcW w:w="4295" w:type="pct"/>
            <w:gridSpan w:val="4"/>
            <w:vAlign w:val="center"/>
            <w:hideMark/>
          </w:tcPr>
          <w:p w14:paraId="1D188A76"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 xml:space="preserve">Clinical criteria: </w:t>
            </w:r>
          </w:p>
        </w:tc>
      </w:tr>
      <w:tr w:rsidR="00E551BD" w:rsidRPr="00E551BD" w14:paraId="44881230"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68AB679" w14:textId="1F62E1B4" w:rsidR="0055474F" w:rsidRPr="00E551BD" w:rsidRDefault="0055474F" w:rsidP="00C65AFD">
            <w:pPr>
              <w:jc w:val="center"/>
              <w:rPr>
                <w:rFonts w:ascii="Arial Narrow" w:hAnsi="Arial Narrow"/>
                <w:sz w:val="20"/>
                <w:szCs w:val="20"/>
              </w:rPr>
            </w:pPr>
          </w:p>
        </w:tc>
        <w:tc>
          <w:tcPr>
            <w:tcW w:w="4295" w:type="pct"/>
            <w:gridSpan w:val="4"/>
            <w:vAlign w:val="center"/>
            <w:hideMark/>
          </w:tcPr>
          <w:p w14:paraId="72871D9D" w14:textId="77777777" w:rsidR="0055474F" w:rsidRPr="00E551BD" w:rsidRDefault="0055474F" w:rsidP="00C65AFD">
            <w:pPr>
              <w:rPr>
                <w:rFonts w:ascii="Arial Narrow" w:hAnsi="Arial Narrow"/>
                <w:sz w:val="20"/>
                <w:szCs w:val="20"/>
              </w:rPr>
            </w:pPr>
            <w:r w:rsidRPr="00E551BD">
              <w:rPr>
                <w:rFonts w:ascii="Arial Narrow" w:hAnsi="Arial Narrow"/>
                <w:sz w:val="20"/>
                <w:szCs w:val="20"/>
              </w:rPr>
              <w:t>The condition must not be ocular or uveal melanoma</w:t>
            </w:r>
          </w:p>
        </w:tc>
      </w:tr>
      <w:tr w:rsidR="00E551BD" w:rsidRPr="00E551BD" w14:paraId="7BD2C3F3"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32E828C" w14:textId="77777777" w:rsidR="0055474F" w:rsidRPr="00E551BD" w:rsidRDefault="0055474F" w:rsidP="00C65AFD">
            <w:pPr>
              <w:jc w:val="center"/>
              <w:rPr>
                <w:rFonts w:ascii="Arial Narrow" w:hAnsi="Arial Narrow"/>
                <w:sz w:val="20"/>
                <w:szCs w:val="20"/>
              </w:rPr>
            </w:pPr>
          </w:p>
        </w:tc>
        <w:tc>
          <w:tcPr>
            <w:tcW w:w="4295" w:type="pct"/>
            <w:gridSpan w:val="4"/>
            <w:vAlign w:val="center"/>
          </w:tcPr>
          <w:p w14:paraId="1A52F6CD" w14:textId="77777777" w:rsidR="0055474F" w:rsidRPr="00E551BD" w:rsidRDefault="0055474F" w:rsidP="00C65AFD">
            <w:pPr>
              <w:rPr>
                <w:rFonts w:ascii="Arial Narrow" w:hAnsi="Arial Narrow"/>
                <w:i/>
                <w:iCs/>
                <w:sz w:val="20"/>
                <w:szCs w:val="20"/>
              </w:rPr>
            </w:pPr>
            <w:r w:rsidRPr="00E551BD">
              <w:rPr>
                <w:rFonts w:ascii="Arial Narrow" w:hAnsi="Arial Narrow"/>
                <w:b/>
                <w:bCs/>
                <w:i/>
                <w:iCs/>
                <w:sz w:val="20"/>
                <w:szCs w:val="20"/>
              </w:rPr>
              <w:t>AND</w:t>
            </w:r>
          </w:p>
        </w:tc>
      </w:tr>
      <w:tr w:rsidR="00E551BD" w:rsidRPr="00E551BD" w14:paraId="3E86B4DE"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FB44B4B" w14:textId="2F798178" w:rsidR="0055474F" w:rsidRPr="00E551BD" w:rsidRDefault="0055474F" w:rsidP="00C65AFD">
            <w:pPr>
              <w:jc w:val="center"/>
              <w:rPr>
                <w:rFonts w:ascii="Arial Narrow" w:hAnsi="Arial Narrow"/>
                <w:i/>
                <w:iCs/>
                <w:sz w:val="20"/>
                <w:szCs w:val="20"/>
              </w:rPr>
            </w:pPr>
          </w:p>
        </w:tc>
        <w:tc>
          <w:tcPr>
            <w:tcW w:w="4295" w:type="pct"/>
            <w:gridSpan w:val="4"/>
            <w:vAlign w:val="center"/>
          </w:tcPr>
          <w:p w14:paraId="22B96C91" w14:textId="77777777" w:rsidR="0055474F" w:rsidRPr="00E551BD" w:rsidRDefault="0055474F" w:rsidP="00C65AFD">
            <w:pPr>
              <w:rPr>
                <w:rFonts w:ascii="Arial Narrow" w:hAnsi="Arial Narrow"/>
                <w:i/>
                <w:iCs/>
                <w:sz w:val="20"/>
                <w:szCs w:val="20"/>
              </w:rPr>
            </w:pPr>
            <w:r w:rsidRPr="00E551BD">
              <w:rPr>
                <w:rFonts w:ascii="Arial Narrow" w:hAnsi="Arial Narrow"/>
                <w:b/>
                <w:bCs/>
                <w:i/>
                <w:iCs/>
                <w:sz w:val="20"/>
                <w:szCs w:val="20"/>
              </w:rPr>
              <w:t xml:space="preserve">Clinical criteria: </w:t>
            </w:r>
          </w:p>
        </w:tc>
      </w:tr>
      <w:tr w:rsidR="00E551BD" w:rsidRPr="00E551BD" w14:paraId="2D82D35C"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0D57958" w14:textId="6368B295" w:rsidR="0055474F" w:rsidRPr="00E551BD" w:rsidRDefault="0055474F" w:rsidP="00C65AFD">
            <w:pPr>
              <w:jc w:val="center"/>
              <w:rPr>
                <w:rFonts w:ascii="Arial Narrow" w:hAnsi="Arial Narrow"/>
                <w:i/>
                <w:iCs/>
                <w:sz w:val="20"/>
                <w:szCs w:val="20"/>
              </w:rPr>
            </w:pPr>
          </w:p>
        </w:tc>
        <w:tc>
          <w:tcPr>
            <w:tcW w:w="4295" w:type="pct"/>
            <w:gridSpan w:val="4"/>
            <w:vAlign w:val="center"/>
          </w:tcPr>
          <w:p w14:paraId="289D16DD" w14:textId="77777777" w:rsidR="0055474F" w:rsidRPr="00E551BD" w:rsidRDefault="0055474F" w:rsidP="00C65AFD">
            <w:pPr>
              <w:rPr>
                <w:rFonts w:ascii="Arial Narrow" w:hAnsi="Arial Narrow"/>
                <w:i/>
                <w:iCs/>
                <w:sz w:val="20"/>
                <w:szCs w:val="20"/>
              </w:rPr>
            </w:pPr>
            <w:r w:rsidRPr="00E551BD">
              <w:rPr>
                <w:rFonts w:ascii="Arial Narrow" w:hAnsi="Arial Narrow"/>
                <w:i/>
                <w:iCs/>
                <w:sz w:val="20"/>
                <w:szCs w:val="20"/>
              </w:rPr>
              <w:t>The treatment must be in combination with PBS-subsidised treatment with ipilimumab as induction therapy for this condition</w:t>
            </w:r>
          </w:p>
        </w:tc>
      </w:tr>
      <w:tr w:rsidR="00E551BD" w:rsidRPr="00E551BD" w14:paraId="6C13AC24"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39D7EBC" w14:textId="77777777" w:rsidR="001D6273" w:rsidRPr="00E551BD" w:rsidRDefault="001D6273" w:rsidP="00C65AFD">
            <w:pPr>
              <w:rPr>
                <w:rFonts w:ascii="Arial Narrow" w:hAnsi="Arial Narrow"/>
                <w:b/>
                <w:bCs/>
                <w:i/>
                <w:iCs/>
                <w:sz w:val="20"/>
                <w:szCs w:val="20"/>
              </w:rPr>
            </w:pPr>
          </w:p>
        </w:tc>
      </w:tr>
      <w:tr w:rsidR="00E551BD" w:rsidRPr="00E551BD" w14:paraId="4E9DA993"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9BFC39C" w14:textId="6E3D10FF" w:rsidR="0055474F" w:rsidRPr="00E551BD" w:rsidRDefault="0055474F" w:rsidP="00C65AFD">
            <w:pPr>
              <w:jc w:val="center"/>
              <w:rPr>
                <w:rFonts w:ascii="Arial Narrow" w:hAnsi="Arial Narrow"/>
                <w:sz w:val="20"/>
                <w:szCs w:val="20"/>
              </w:rPr>
            </w:pPr>
          </w:p>
        </w:tc>
        <w:tc>
          <w:tcPr>
            <w:tcW w:w="4295" w:type="pct"/>
            <w:gridSpan w:val="4"/>
            <w:vAlign w:val="center"/>
            <w:hideMark/>
          </w:tcPr>
          <w:p w14:paraId="5CC00C1D"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 xml:space="preserve">Prescribing Instructions: </w:t>
            </w:r>
            <w:r w:rsidRPr="00E551BD">
              <w:rPr>
                <w:rFonts w:ascii="Arial Narrow" w:hAnsi="Arial Narrow"/>
                <w:sz w:val="20"/>
                <w:szCs w:val="20"/>
              </w:rPr>
              <w:t>Induction treatment with nivolumab must not exceed a total of 4 doses at a maximum dose of 1 mg per kg every 3 weeks.</w:t>
            </w:r>
          </w:p>
        </w:tc>
      </w:tr>
      <w:tr w:rsidR="0055474F" w:rsidRPr="00E551BD" w14:paraId="7CD1BD13"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17F3B9B" w14:textId="37C1F05D" w:rsidR="0055474F" w:rsidRPr="00E551BD" w:rsidRDefault="0055474F" w:rsidP="00C65AFD">
            <w:pPr>
              <w:jc w:val="center"/>
              <w:rPr>
                <w:rFonts w:ascii="Arial Narrow" w:hAnsi="Arial Narrow"/>
                <w:sz w:val="20"/>
                <w:szCs w:val="20"/>
              </w:rPr>
            </w:pPr>
          </w:p>
        </w:tc>
        <w:tc>
          <w:tcPr>
            <w:tcW w:w="4295" w:type="pct"/>
            <w:gridSpan w:val="4"/>
            <w:vAlign w:val="center"/>
          </w:tcPr>
          <w:p w14:paraId="591E5C8F"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 xml:space="preserve">Prescribing Instructions: </w:t>
            </w:r>
            <w:r w:rsidRPr="00E551BD">
              <w:rPr>
                <w:rFonts w:ascii="Arial Narrow" w:hAnsi="Arial Narrow"/>
                <w:sz w:val="20"/>
                <w:szCs w:val="20"/>
              </w:rPr>
              <w:t>Induction treatment with ipilimumab must not exceed a total of 4 doses at a maximum dose of 3 mg per kg every 3 weeks.</w:t>
            </w:r>
          </w:p>
        </w:tc>
      </w:tr>
    </w:tbl>
    <w:p w14:paraId="35B74472" w14:textId="26CD9298" w:rsidR="006722CE" w:rsidRDefault="006722CE" w:rsidP="00E46F2E"/>
    <w:p w14:paraId="377D93FB" w14:textId="77777777" w:rsidR="006722CE" w:rsidRDefault="006722CE">
      <w:pPr>
        <w:jc w:val="left"/>
      </w:pPr>
      <w:r>
        <w:br w:type="page"/>
      </w:r>
    </w:p>
    <w:p w14:paraId="154F8E05" w14:textId="6C528B4F" w:rsidR="0055474F" w:rsidRPr="00E551BD" w:rsidRDefault="0055474F" w:rsidP="00E46F2E">
      <w:pPr>
        <w:rPr>
          <w:rFonts w:ascii="Arial Narrow" w:hAnsi="Arial Narrow"/>
          <w:b/>
          <w:bCs/>
          <w:sz w:val="20"/>
          <w:szCs w:val="20"/>
        </w:rPr>
      </w:pPr>
      <w:r w:rsidRPr="00E551BD">
        <w:rPr>
          <w:rFonts w:ascii="Arial Narrow" w:hAnsi="Arial Narrow"/>
          <w:b/>
          <w:bCs/>
          <w:sz w:val="20"/>
          <w:szCs w:val="20"/>
        </w:rPr>
        <w:t>NIVO maintenance (for use after NIVO + IPI induction) – grandfather: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688"/>
        <w:gridCol w:w="2340"/>
        <w:gridCol w:w="2203"/>
        <w:gridCol w:w="1515"/>
        <w:gridCol w:w="1464"/>
      </w:tblGrid>
      <w:tr w:rsidR="00E551BD" w:rsidRPr="00E551BD" w14:paraId="79038B40" w14:textId="77777777" w:rsidTr="00C65AFD">
        <w:trPr>
          <w:cantSplit/>
          <w:trHeight w:val="20"/>
        </w:trPr>
        <w:tc>
          <w:tcPr>
            <w:tcW w:w="2041" w:type="pct"/>
            <w:gridSpan w:val="3"/>
            <w:vAlign w:val="center"/>
          </w:tcPr>
          <w:p w14:paraId="28082312" w14:textId="77777777" w:rsidR="0055474F" w:rsidRPr="00E551BD" w:rsidRDefault="0055474F" w:rsidP="00C65AFD">
            <w:pPr>
              <w:keepNext/>
              <w:rPr>
                <w:rFonts w:ascii="Arial Narrow" w:hAnsi="Arial Narrow"/>
                <w:b/>
                <w:bCs/>
                <w:sz w:val="20"/>
                <w:szCs w:val="20"/>
              </w:rPr>
            </w:pPr>
            <w:r w:rsidRPr="00E551BD">
              <w:rPr>
                <w:rFonts w:ascii="Arial Narrow" w:hAnsi="Arial Narrow"/>
                <w:b/>
                <w:bCs/>
                <w:sz w:val="20"/>
                <w:szCs w:val="20"/>
              </w:rPr>
              <w:t>MEDICINAL PRODUCT</w:t>
            </w:r>
          </w:p>
          <w:p w14:paraId="5B36276E" w14:textId="77777777" w:rsidR="0055474F" w:rsidRPr="00E551BD" w:rsidRDefault="0055474F" w:rsidP="00C65AFD">
            <w:pPr>
              <w:keepNext/>
              <w:rPr>
                <w:rFonts w:ascii="Arial Narrow" w:hAnsi="Arial Narrow"/>
                <w:b/>
                <w:sz w:val="20"/>
                <w:szCs w:val="20"/>
              </w:rPr>
            </w:pPr>
            <w:r w:rsidRPr="00E551BD">
              <w:rPr>
                <w:rFonts w:ascii="Arial Narrow" w:hAnsi="Arial Narrow"/>
                <w:b/>
                <w:sz w:val="20"/>
                <w:szCs w:val="20"/>
              </w:rPr>
              <w:t>Form</w:t>
            </w:r>
          </w:p>
        </w:tc>
        <w:tc>
          <w:tcPr>
            <w:tcW w:w="1258" w:type="pct"/>
            <w:vAlign w:val="center"/>
          </w:tcPr>
          <w:p w14:paraId="47938226" w14:textId="77777777" w:rsidR="0055474F" w:rsidRPr="00E551BD" w:rsidRDefault="0055474F" w:rsidP="00C65AFD">
            <w:pPr>
              <w:keepNext/>
              <w:jc w:val="center"/>
              <w:rPr>
                <w:rFonts w:ascii="Arial Narrow" w:hAnsi="Arial Narrow"/>
                <w:b/>
                <w:sz w:val="20"/>
                <w:szCs w:val="20"/>
              </w:rPr>
            </w:pPr>
            <w:r w:rsidRPr="00E551BD">
              <w:rPr>
                <w:rFonts w:ascii="Arial Narrow" w:hAnsi="Arial Narrow"/>
                <w:b/>
                <w:sz w:val="20"/>
                <w:szCs w:val="20"/>
              </w:rPr>
              <w:t>PBS item code</w:t>
            </w:r>
          </w:p>
        </w:tc>
        <w:tc>
          <w:tcPr>
            <w:tcW w:w="865" w:type="pct"/>
            <w:vAlign w:val="center"/>
          </w:tcPr>
          <w:p w14:paraId="00F4C7D2" w14:textId="77777777" w:rsidR="0055474F" w:rsidRPr="00E551BD" w:rsidRDefault="0055474F" w:rsidP="00C65AFD">
            <w:pPr>
              <w:keepNext/>
              <w:jc w:val="center"/>
              <w:rPr>
                <w:rFonts w:ascii="Arial Narrow" w:hAnsi="Arial Narrow"/>
                <w:b/>
                <w:sz w:val="20"/>
                <w:szCs w:val="20"/>
              </w:rPr>
            </w:pPr>
            <w:r w:rsidRPr="00E551BD">
              <w:rPr>
                <w:rFonts w:ascii="Arial Narrow" w:hAnsi="Arial Narrow"/>
                <w:b/>
                <w:sz w:val="20"/>
                <w:szCs w:val="20"/>
              </w:rPr>
              <w:t>Max. Amount</w:t>
            </w:r>
          </w:p>
        </w:tc>
        <w:tc>
          <w:tcPr>
            <w:tcW w:w="836" w:type="pct"/>
            <w:vAlign w:val="center"/>
          </w:tcPr>
          <w:p w14:paraId="49A278DD" w14:textId="77777777" w:rsidR="0055474F" w:rsidRPr="00E551BD" w:rsidRDefault="0055474F" w:rsidP="00C65AFD">
            <w:pPr>
              <w:keepNext/>
              <w:jc w:val="center"/>
              <w:rPr>
                <w:rFonts w:ascii="Arial Narrow" w:hAnsi="Arial Narrow"/>
                <w:b/>
                <w:sz w:val="20"/>
                <w:szCs w:val="20"/>
              </w:rPr>
            </w:pPr>
            <w:r w:rsidRPr="00E551BD">
              <w:rPr>
                <w:rFonts w:ascii="Arial Narrow" w:hAnsi="Arial Narrow"/>
                <w:b/>
                <w:sz w:val="20"/>
                <w:szCs w:val="20"/>
              </w:rPr>
              <w:t>№. of Rpts</w:t>
            </w:r>
          </w:p>
        </w:tc>
      </w:tr>
      <w:tr w:rsidR="00E551BD" w:rsidRPr="00E551BD" w14:paraId="21ED557A" w14:textId="77777777" w:rsidTr="00C65AFD">
        <w:trPr>
          <w:cantSplit/>
          <w:trHeight w:val="20"/>
        </w:trPr>
        <w:tc>
          <w:tcPr>
            <w:tcW w:w="2041" w:type="pct"/>
            <w:gridSpan w:val="3"/>
            <w:vAlign w:val="center"/>
          </w:tcPr>
          <w:p w14:paraId="1802212B"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NIVOLUMAB</w:t>
            </w:r>
          </w:p>
          <w:p w14:paraId="24BF3F79"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Injection</w:t>
            </w:r>
          </w:p>
        </w:tc>
        <w:tc>
          <w:tcPr>
            <w:tcW w:w="1258" w:type="pct"/>
            <w:vAlign w:val="center"/>
          </w:tcPr>
          <w:p w14:paraId="57F2B80F" w14:textId="77777777" w:rsidR="0055474F" w:rsidRPr="00E551BD" w:rsidRDefault="0055474F" w:rsidP="00C65AFD">
            <w:pPr>
              <w:keepNext/>
              <w:jc w:val="center"/>
              <w:rPr>
                <w:rFonts w:ascii="Arial Narrow" w:hAnsi="Arial Narrow"/>
                <w:i/>
                <w:iCs/>
                <w:sz w:val="20"/>
                <w:szCs w:val="20"/>
              </w:rPr>
            </w:pPr>
            <w:r w:rsidRPr="00E551BD">
              <w:rPr>
                <w:rFonts w:ascii="Arial Narrow" w:hAnsi="Arial Narrow"/>
                <w:i/>
                <w:iCs/>
                <w:sz w:val="20"/>
                <w:szCs w:val="20"/>
              </w:rPr>
              <w:t>10745M (Public)</w:t>
            </w:r>
          </w:p>
          <w:p w14:paraId="158BECA5" w14:textId="77777777" w:rsidR="0055474F" w:rsidRPr="00E551BD" w:rsidRDefault="0055474F" w:rsidP="00C65AFD">
            <w:pPr>
              <w:keepNext/>
              <w:jc w:val="center"/>
              <w:rPr>
                <w:rFonts w:ascii="Arial Narrow" w:hAnsi="Arial Narrow"/>
                <w:sz w:val="20"/>
                <w:szCs w:val="20"/>
              </w:rPr>
            </w:pPr>
            <w:r w:rsidRPr="00E551BD">
              <w:rPr>
                <w:rFonts w:ascii="Arial Narrow" w:hAnsi="Arial Narrow"/>
                <w:i/>
                <w:iCs/>
                <w:sz w:val="20"/>
                <w:szCs w:val="20"/>
              </w:rPr>
              <w:t>10748Q (Private)</w:t>
            </w:r>
          </w:p>
        </w:tc>
        <w:tc>
          <w:tcPr>
            <w:tcW w:w="865" w:type="pct"/>
            <w:vAlign w:val="center"/>
          </w:tcPr>
          <w:p w14:paraId="34023D93" w14:textId="77777777" w:rsidR="0055474F" w:rsidRPr="00E551BD" w:rsidRDefault="0055474F" w:rsidP="00C65AFD">
            <w:pPr>
              <w:keepNext/>
              <w:jc w:val="center"/>
              <w:rPr>
                <w:rFonts w:ascii="Arial Narrow" w:hAnsi="Arial Narrow"/>
                <w:sz w:val="20"/>
                <w:szCs w:val="20"/>
              </w:rPr>
            </w:pPr>
            <w:r w:rsidRPr="00E551BD">
              <w:rPr>
                <w:rFonts w:ascii="Arial Narrow" w:hAnsi="Arial Narrow"/>
                <w:sz w:val="20"/>
                <w:szCs w:val="20"/>
              </w:rPr>
              <w:t>480 mg</w:t>
            </w:r>
          </w:p>
        </w:tc>
        <w:tc>
          <w:tcPr>
            <w:tcW w:w="836" w:type="pct"/>
            <w:vAlign w:val="center"/>
          </w:tcPr>
          <w:p w14:paraId="5500FCC1" w14:textId="77777777" w:rsidR="0055474F" w:rsidRPr="00E551BD" w:rsidRDefault="0055474F" w:rsidP="00C65AFD">
            <w:pPr>
              <w:keepNext/>
              <w:jc w:val="center"/>
              <w:rPr>
                <w:rFonts w:ascii="Arial Narrow" w:hAnsi="Arial Narrow"/>
                <w:sz w:val="20"/>
                <w:szCs w:val="20"/>
              </w:rPr>
            </w:pPr>
            <w:r w:rsidRPr="00E551BD">
              <w:rPr>
                <w:rFonts w:ascii="Arial Narrow" w:hAnsi="Arial Narrow"/>
                <w:sz w:val="20"/>
                <w:szCs w:val="20"/>
              </w:rPr>
              <w:t>11</w:t>
            </w:r>
          </w:p>
        </w:tc>
      </w:tr>
      <w:tr w:rsidR="00E551BD" w:rsidRPr="00E551BD" w14:paraId="56A47A50" w14:textId="77777777" w:rsidTr="00C65AFD">
        <w:trPr>
          <w:cantSplit/>
          <w:trHeight w:val="20"/>
        </w:trPr>
        <w:tc>
          <w:tcPr>
            <w:tcW w:w="5000" w:type="pct"/>
            <w:gridSpan w:val="6"/>
            <w:vAlign w:val="center"/>
          </w:tcPr>
          <w:p w14:paraId="28F4E93C" w14:textId="77777777" w:rsidR="0055474F" w:rsidRPr="00E551BD" w:rsidRDefault="0055474F" w:rsidP="00C65AFD">
            <w:pPr>
              <w:keepNext/>
              <w:rPr>
                <w:rFonts w:ascii="Arial Narrow" w:hAnsi="Arial Narrow"/>
                <w:b/>
                <w:sz w:val="20"/>
                <w:szCs w:val="20"/>
              </w:rPr>
            </w:pPr>
            <w:r w:rsidRPr="00E551BD">
              <w:rPr>
                <w:rFonts w:ascii="Arial Narrow" w:hAnsi="Arial Narrow"/>
                <w:b/>
                <w:sz w:val="20"/>
                <w:szCs w:val="20"/>
              </w:rPr>
              <w:t xml:space="preserve">Available brands </w:t>
            </w:r>
          </w:p>
        </w:tc>
      </w:tr>
      <w:tr w:rsidR="00E551BD" w:rsidRPr="00E551BD" w14:paraId="111FC598" w14:textId="77777777" w:rsidTr="00C65AFD">
        <w:trPr>
          <w:cantSplit/>
          <w:trHeight w:val="20"/>
        </w:trPr>
        <w:tc>
          <w:tcPr>
            <w:tcW w:w="5000" w:type="pct"/>
            <w:gridSpan w:val="6"/>
            <w:vAlign w:val="center"/>
          </w:tcPr>
          <w:p w14:paraId="7EF52EE4"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Opdivo</w:t>
            </w:r>
          </w:p>
          <w:p w14:paraId="1F14ED3F"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(nivolumab 40 mg/4 mL injection, 4 mL vial)</w:t>
            </w:r>
          </w:p>
          <w:p w14:paraId="00DE4CA7"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Opdivo</w:t>
            </w:r>
          </w:p>
          <w:p w14:paraId="6B2F5012"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(nivolumab 100 mg/10 mL injection, 4 mL vial)</w:t>
            </w:r>
          </w:p>
        </w:tc>
      </w:tr>
      <w:tr w:rsidR="00E551BD" w:rsidRPr="00E551BD" w14:paraId="1C7DFDDB" w14:textId="77777777" w:rsidTr="00C65AFD">
        <w:trPr>
          <w:cantSplit/>
          <w:trHeight w:val="20"/>
        </w:trPr>
        <w:tc>
          <w:tcPr>
            <w:tcW w:w="5000" w:type="pct"/>
            <w:gridSpan w:val="6"/>
            <w:vAlign w:val="center"/>
          </w:tcPr>
          <w:p w14:paraId="0AEC0B66" w14:textId="77777777" w:rsidR="0055474F" w:rsidRPr="00E551BD" w:rsidRDefault="0055474F" w:rsidP="00C65AFD">
            <w:pPr>
              <w:keepNext/>
              <w:rPr>
                <w:rFonts w:ascii="Arial Narrow" w:hAnsi="Arial Narrow"/>
                <w:sz w:val="20"/>
                <w:szCs w:val="20"/>
              </w:rPr>
            </w:pPr>
          </w:p>
        </w:tc>
      </w:tr>
      <w:tr w:rsidR="00E551BD" w:rsidRPr="00E551BD" w14:paraId="64714544" w14:textId="77777777" w:rsidTr="00C65AFD">
        <w:trPr>
          <w:cantSplit/>
          <w:trHeight w:val="20"/>
        </w:trPr>
        <w:tc>
          <w:tcPr>
            <w:tcW w:w="5000" w:type="pct"/>
            <w:gridSpan w:val="6"/>
            <w:vAlign w:val="center"/>
          </w:tcPr>
          <w:p w14:paraId="28807E12" w14:textId="77777777" w:rsidR="0055474F" w:rsidRPr="00E551BD" w:rsidRDefault="0055474F" w:rsidP="00C65AFD">
            <w:pPr>
              <w:keepNext/>
              <w:rPr>
                <w:rFonts w:ascii="Arial Narrow" w:hAnsi="Arial Narrow"/>
                <w:sz w:val="20"/>
                <w:szCs w:val="20"/>
              </w:rPr>
            </w:pPr>
            <w:r w:rsidRPr="00E551BD">
              <w:rPr>
                <w:rFonts w:ascii="Arial Narrow" w:hAnsi="Arial Narrow"/>
                <w:b/>
                <w:sz w:val="20"/>
                <w:szCs w:val="20"/>
              </w:rPr>
              <w:t>Amend Restriction Summary [new] / Treatment of Concept: [new]</w:t>
            </w:r>
          </w:p>
        </w:tc>
      </w:tr>
      <w:tr w:rsidR="00E551BD" w:rsidRPr="00E551BD" w14:paraId="0587CC04"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687B1B8A" w14:textId="77777777" w:rsidR="0055474F" w:rsidRPr="00E551BD" w:rsidRDefault="0055474F" w:rsidP="00C65AFD">
            <w:pPr>
              <w:keepNext/>
              <w:jc w:val="center"/>
              <w:rPr>
                <w:rFonts w:ascii="Arial Narrow" w:hAnsi="Arial Narrow"/>
                <w:b/>
                <w:sz w:val="20"/>
                <w:szCs w:val="20"/>
              </w:rPr>
            </w:pPr>
            <w:r w:rsidRPr="00E551BD">
              <w:rPr>
                <w:rFonts w:ascii="Arial Narrow" w:hAnsi="Arial Narrow"/>
                <w:b/>
                <w:sz w:val="20"/>
                <w:szCs w:val="20"/>
              </w:rPr>
              <w:t xml:space="preserve">Concept ID </w:t>
            </w:r>
            <w:r w:rsidRPr="00E551BD">
              <w:rPr>
                <w:rFonts w:ascii="Arial Narrow" w:hAnsi="Arial Narrow"/>
                <w:sz w:val="20"/>
                <w:szCs w:val="20"/>
              </w:rPr>
              <w:t>(for internal Dept. use)</w:t>
            </w:r>
          </w:p>
        </w:tc>
        <w:tc>
          <w:tcPr>
            <w:tcW w:w="4295" w:type="pct"/>
            <w:gridSpan w:val="4"/>
          </w:tcPr>
          <w:p w14:paraId="55DC752B" w14:textId="77777777" w:rsidR="0055474F" w:rsidRPr="00E551BD" w:rsidRDefault="0055474F" w:rsidP="00C65AFD">
            <w:pPr>
              <w:keepNext/>
              <w:rPr>
                <w:rFonts w:ascii="Arial Narrow" w:hAnsi="Arial Narrow"/>
                <w:sz w:val="20"/>
                <w:szCs w:val="20"/>
              </w:rPr>
            </w:pPr>
            <w:r w:rsidRPr="00E551BD">
              <w:rPr>
                <w:rFonts w:ascii="Arial Narrow" w:hAnsi="Arial Narrow"/>
                <w:b/>
                <w:sz w:val="20"/>
                <w:szCs w:val="20"/>
              </w:rPr>
              <w:t xml:space="preserve">Category / Program: </w:t>
            </w:r>
            <w:r w:rsidRPr="00E551BD">
              <w:rPr>
                <w:rFonts w:ascii="Arial Narrow" w:hAnsi="Arial Narrow"/>
                <w:sz w:val="20"/>
                <w:szCs w:val="20"/>
              </w:rPr>
              <w:t>Section 100 – Efficient Funding of Chemotherapy Public/Private hospitals</w:t>
            </w:r>
          </w:p>
        </w:tc>
      </w:tr>
      <w:tr w:rsidR="00E551BD" w:rsidRPr="00E551BD" w14:paraId="030888B1"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45AA5D51" w14:textId="77777777" w:rsidR="0055474F" w:rsidRPr="00E551BD" w:rsidRDefault="0055474F" w:rsidP="00C65AFD">
            <w:pPr>
              <w:keepNext/>
              <w:rPr>
                <w:rFonts w:ascii="Arial Narrow" w:hAnsi="Arial Narrow"/>
                <w:sz w:val="20"/>
                <w:szCs w:val="20"/>
              </w:rPr>
            </w:pPr>
          </w:p>
        </w:tc>
        <w:tc>
          <w:tcPr>
            <w:tcW w:w="4295" w:type="pct"/>
            <w:gridSpan w:val="4"/>
          </w:tcPr>
          <w:p w14:paraId="33CAB82E" w14:textId="77777777" w:rsidR="0055474F" w:rsidRPr="00E551BD" w:rsidRDefault="0055474F" w:rsidP="00C65AFD">
            <w:pPr>
              <w:keepNext/>
              <w:rPr>
                <w:rFonts w:ascii="Arial Narrow" w:hAnsi="Arial Narrow"/>
                <w:b/>
                <w:sz w:val="20"/>
                <w:szCs w:val="20"/>
              </w:rPr>
            </w:pPr>
            <w:r w:rsidRPr="00E551BD">
              <w:rPr>
                <w:rFonts w:ascii="Arial Narrow" w:hAnsi="Arial Narrow"/>
                <w:b/>
                <w:sz w:val="20"/>
                <w:szCs w:val="20"/>
              </w:rPr>
              <w:t xml:space="preserve">Prescriber type: </w:t>
            </w:r>
            <w:r w:rsidRPr="00E551BD">
              <w:rPr>
                <w:rFonts w:ascii="Arial Narrow" w:hAnsi="Arial Narrow"/>
                <w:sz w:val="20"/>
                <w:szCs w:val="20"/>
              </w:rPr>
              <w:fldChar w:fldCharType="begin">
                <w:ffData>
                  <w:name w:val=""/>
                  <w:enabled/>
                  <w:calcOnExit w:val="0"/>
                  <w:checkBox>
                    <w:sizeAuto/>
                    <w:default w:val="1"/>
                  </w:checkBox>
                </w:ffData>
              </w:fldChar>
            </w:r>
            <w:r w:rsidRPr="00E551BD">
              <w:rPr>
                <w:rFonts w:ascii="Arial Narrow" w:hAnsi="Arial Narrow"/>
                <w:sz w:val="20"/>
                <w:szCs w:val="20"/>
              </w:rPr>
              <w:instrText xml:space="preserve"> FORMCHECKBOX </w:instrText>
            </w:r>
            <w:r w:rsidR="00D8701A">
              <w:rPr>
                <w:rFonts w:ascii="Arial Narrow" w:hAnsi="Arial Narrow"/>
                <w:sz w:val="20"/>
                <w:szCs w:val="20"/>
              </w:rPr>
            </w:r>
            <w:r w:rsidR="00D8701A">
              <w:rPr>
                <w:rFonts w:ascii="Arial Narrow" w:hAnsi="Arial Narrow"/>
                <w:sz w:val="20"/>
                <w:szCs w:val="20"/>
              </w:rPr>
              <w:fldChar w:fldCharType="separate"/>
            </w:r>
            <w:r w:rsidRPr="00E551BD">
              <w:rPr>
                <w:rFonts w:ascii="Arial Narrow" w:hAnsi="Arial Narrow"/>
                <w:sz w:val="20"/>
                <w:szCs w:val="20"/>
              </w:rPr>
              <w:fldChar w:fldCharType="end"/>
            </w:r>
            <w:r w:rsidRPr="00E551BD">
              <w:rPr>
                <w:rFonts w:ascii="Arial Narrow" w:hAnsi="Arial Narrow"/>
                <w:sz w:val="20"/>
                <w:szCs w:val="20"/>
              </w:rPr>
              <w:t>Medical Practitioners</w:t>
            </w:r>
          </w:p>
        </w:tc>
      </w:tr>
      <w:tr w:rsidR="00E551BD" w:rsidRPr="00E551BD" w14:paraId="6B0775EB"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7970A8D1" w14:textId="77777777" w:rsidR="0055474F" w:rsidRPr="00E551BD" w:rsidRDefault="0055474F" w:rsidP="00C65AFD">
            <w:pPr>
              <w:rPr>
                <w:rFonts w:ascii="Arial Narrow" w:hAnsi="Arial Narrow"/>
                <w:sz w:val="20"/>
                <w:szCs w:val="20"/>
              </w:rPr>
            </w:pPr>
          </w:p>
        </w:tc>
        <w:tc>
          <w:tcPr>
            <w:tcW w:w="4295" w:type="pct"/>
            <w:gridSpan w:val="4"/>
          </w:tcPr>
          <w:p w14:paraId="720954CF" w14:textId="77777777" w:rsidR="0055474F" w:rsidRPr="00E551BD" w:rsidRDefault="0055474F" w:rsidP="00C65AFD">
            <w:pPr>
              <w:rPr>
                <w:rFonts w:ascii="Arial Narrow" w:eastAsia="Calibri" w:hAnsi="Arial Narrow"/>
                <w:sz w:val="20"/>
                <w:szCs w:val="20"/>
              </w:rPr>
            </w:pPr>
            <w:r w:rsidRPr="00E551BD">
              <w:rPr>
                <w:rFonts w:ascii="Arial Narrow" w:hAnsi="Arial Narrow"/>
                <w:b/>
                <w:sz w:val="20"/>
                <w:szCs w:val="20"/>
              </w:rPr>
              <w:t xml:space="preserve">Restriction type: </w:t>
            </w:r>
            <w:r w:rsidRPr="00E551BD">
              <w:rPr>
                <w:rFonts w:ascii="Arial Narrow" w:eastAsia="Calibri" w:hAnsi="Arial Narrow"/>
                <w:sz w:val="20"/>
                <w:szCs w:val="20"/>
              </w:rPr>
              <w:fldChar w:fldCharType="begin">
                <w:ffData>
                  <w:name w:val=""/>
                  <w:enabled/>
                  <w:calcOnExit w:val="0"/>
                  <w:checkBox>
                    <w:sizeAuto/>
                    <w:default w:val="1"/>
                  </w:checkBox>
                </w:ffData>
              </w:fldChar>
            </w:r>
            <w:r w:rsidRPr="00E551BD">
              <w:rPr>
                <w:rFonts w:ascii="Arial Narrow" w:eastAsia="Calibri" w:hAnsi="Arial Narrow"/>
                <w:sz w:val="20"/>
                <w:szCs w:val="20"/>
              </w:rPr>
              <w:instrText xml:space="preserve"> FORMCHECKBOX </w:instrText>
            </w:r>
            <w:r w:rsidR="00D8701A">
              <w:rPr>
                <w:rFonts w:ascii="Arial Narrow" w:eastAsia="Calibri" w:hAnsi="Arial Narrow"/>
                <w:sz w:val="20"/>
                <w:szCs w:val="20"/>
              </w:rPr>
            </w:r>
            <w:r w:rsidR="00D8701A">
              <w:rPr>
                <w:rFonts w:ascii="Arial Narrow" w:eastAsia="Calibri" w:hAnsi="Arial Narrow"/>
                <w:sz w:val="20"/>
                <w:szCs w:val="20"/>
              </w:rPr>
              <w:fldChar w:fldCharType="separate"/>
            </w:r>
            <w:r w:rsidRPr="00E551BD">
              <w:rPr>
                <w:rFonts w:ascii="Arial Narrow" w:eastAsia="Calibri" w:hAnsi="Arial Narrow"/>
                <w:sz w:val="20"/>
                <w:szCs w:val="20"/>
              </w:rPr>
              <w:fldChar w:fldCharType="end"/>
            </w:r>
            <w:r w:rsidRPr="00E551BD">
              <w:rPr>
                <w:rFonts w:ascii="Arial Narrow" w:eastAsia="Calibri" w:hAnsi="Arial Narrow"/>
                <w:sz w:val="20"/>
                <w:szCs w:val="20"/>
              </w:rPr>
              <w:t>Authority Required (STREAMLINED) [New code]</w:t>
            </w:r>
          </w:p>
        </w:tc>
      </w:tr>
      <w:tr w:rsidR="00E551BD" w:rsidRPr="00E551BD" w14:paraId="795837A7"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tcPr>
          <w:p w14:paraId="7688CE1D" w14:textId="77777777" w:rsidR="001D6273" w:rsidRPr="00E551BD" w:rsidRDefault="001D6273" w:rsidP="00C65AFD">
            <w:pPr>
              <w:rPr>
                <w:rFonts w:ascii="Arial Narrow" w:hAnsi="Arial Narrow"/>
                <w:b/>
                <w:sz w:val="20"/>
                <w:szCs w:val="20"/>
              </w:rPr>
            </w:pPr>
          </w:p>
        </w:tc>
      </w:tr>
      <w:tr w:rsidR="00E551BD" w:rsidRPr="00E551BD" w14:paraId="6FDF1EC8" w14:textId="77777777" w:rsidTr="001D6273">
        <w:tblPrEx>
          <w:tblCellMar>
            <w:top w:w="15" w:type="dxa"/>
            <w:bottom w:w="15" w:type="dxa"/>
          </w:tblCellMar>
          <w:tblLook w:val="04A0" w:firstRow="1" w:lastRow="0" w:firstColumn="1" w:lastColumn="0" w:noHBand="0" w:noVBand="1"/>
        </w:tblPrEx>
        <w:trPr>
          <w:trHeight w:val="168"/>
        </w:trPr>
        <w:tc>
          <w:tcPr>
            <w:tcW w:w="312" w:type="pct"/>
            <w:vMerge w:val="restart"/>
            <w:textDirection w:val="btLr"/>
            <w:vAlign w:val="center"/>
          </w:tcPr>
          <w:p w14:paraId="485BEB18" w14:textId="5E10D327" w:rsidR="0055474F" w:rsidRPr="00E551BD" w:rsidRDefault="0055474F" w:rsidP="00C65AFD">
            <w:pPr>
              <w:keepLines/>
              <w:ind w:right="113"/>
              <w:jc w:val="center"/>
              <w:rPr>
                <w:rFonts w:ascii="Arial Narrow" w:hAnsi="Arial Narrow"/>
                <w:sz w:val="20"/>
                <w:szCs w:val="20"/>
              </w:rPr>
            </w:pPr>
          </w:p>
        </w:tc>
        <w:tc>
          <w:tcPr>
            <w:tcW w:w="393" w:type="pct"/>
            <w:vAlign w:val="center"/>
          </w:tcPr>
          <w:p w14:paraId="0956C114" w14:textId="22C797A1" w:rsidR="0055474F" w:rsidRPr="00E551BD" w:rsidRDefault="0055474F" w:rsidP="00C65AFD">
            <w:pPr>
              <w:keepLines/>
              <w:ind w:hanging="35"/>
              <w:jc w:val="center"/>
              <w:rPr>
                <w:rFonts w:ascii="Arial Narrow" w:hAnsi="Arial Narrow"/>
                <w:sz w:val="20"/>
                <w:szCs w:val="20"/>
              </w:rPr>
            </w:pPr>
          </w:p>
        </w:tc>
        <w:tc>
          <w:tcPr>
            <w:tcW w:w="4295" w:type="pct"/>
            <w:gridSpan w:val="4"/>
            <w:vAlign w:val="center"/>
          </w:tcPr>
          <w:p w14:paraId="23E3A935" w14:textId="2BA24D1C" w:rsidR="0055474F" w:rsidRPr="00E551BD" w:rsidRDefault="0055474F" w:rsidP="00C65AFD">
            <w:pPr>
              <w:keepLines/>
              <w:rPr>
                <w:rFonts w:ascii="Arial Narrow" w:hAnsi="Arial Narrow"/>
                <w:sz w:val="20"/>
                <w:szCs w:val="20"/>
              </w:rPr>
            </w:pPr>
            <w:r w:rsidRPr="00E551BD">
              <w:rPr>
                <w:rFonts w:ascii="Arial Narrow" w:hAnsi="Arial Narrow"/>
                <w:b/>
                <w:bCs/>
                <w:sz w:val="20"/>
                <w:szCs w:val="20"/>
              </w:rPr>
              <w:t xml:space="preserve">Administrative Advice: </w:t>
            </w:r>
            <w:r w:rsidRPr="00E551BD">
              <w:rPr>
                <w:rFonts w:ascii="Arial Narrow" w:hAnsi="Arial Narrow"/>
                <w:sz w:val="20"/>
                <w:szCs w:val="20"/>
              </w:rPr>
              <w:t>No increase in the maximum number of repeats may be authorised.</w:t>
            </w:r>
          </w:p>
        </w:tc>
      </w:tr>
      <w:tr w:rsidR="00E551BD" w:rsidRPr="00E551BD" w14:paraId="4DA30C0A" w14:textId="77777777" w:rsidTr="00C65AFD">
        <w:tblPrEx>
          <w:tblCellMar>
            <w:top w:w="15" w:type="dxa"/>
            <w:bottom w:w="15" w:type="dxa"/>
          </w:tblCellMar>
          <w:tblLook w:val="04A0" w:firstRow="1" w:lastRow="0" w:firstColumn="1" w:lastColumn="0" w:noHBand="0" w:noVBand="1"/>
        </w:tblPrEx>
        <w:trPr>
          <w:trHeight w:val="20"/>
        </w:trPr>
        <w:tc>
          <w:tcPr>
            <w:tcW w:w="312" w:type="pct"/>
            <w:vMerge/>
            <w:vAlign w:val="center"/>
          </w:tcPr>
          <w:p w14:paraId="5DACD843" w14:textId="77777777" w:rsidR="0055474F" w:rsidRPr="00E551BD" w:rsidRDefault="0055474F" w:rsidP="00C65AFD">
            <w:pPr>
              <w:keepLines/>
              <w:jc w:val="center"/>
              <w:rPr>
                <w:rFonts w:ascii="Arial Narrow" w:hAnsi="Arial Narrow"/>
                <w:sz w:val="20"/>
                <w:szCs w:val="20"/>
              </w:rPr>
            </w:pPr>
          </w:p>
        </w:tc>
        <w:tc>
          <w:tcPr>
            <w:tcW w:w="393" w:type="pct"/>
            <w:vAlign w:val="center"/>
          </w:tcPr>
          <w:p w14:paraId="4AF17B0D" w14:textId="46816CF0" w:rsidR="0055474F" w:rsidRPr="00E551BD" w:rsidRDefault="0055474F" w:rsidP="00C65AFD">
            <w:pPr>
              <w:keepLines/>
              <w:ind w:hanging="35"/>
              <w:jc w:val="center"/>
              <w:rPr>
                <w:rFonts w:ascii="Arial Narrow" w:hAnsi="Arial Narrow"/>
                <w:sz w:val="20"/>
                <w:szCs w:val="20"/>
              </w:rPr>
            </w:pPr>
          </w:p>
        </w:tc>
        <w:tc>
          <w:tcPr>
            <w:tcW w:w="4295" w:type="pct"/>
            <w:gridSpan w:val="4"/>
            <w:vAlign w:val="center"/>
          </w:tcPr>
          <w:p w14:paraId="04084DF3" w14:textId="0C74F5A7" w:rsidR="0055474F" w:rsidRPr="00E551BD" w:rsidRDefault="0055474F" w:rsidP="00C65AFD">
            <w:pPr>
              <w:keepLines/>
              <w:rPr>
                <w:rFonts w:ascii="Arial Narrow" w:hAnsi="Arial Narrow"/>
                <w:sz w:val="20"/>
                <w:szCs w:val="20"/>
              </w:rPr>
            </w:pPr>
            <w:r w:rsidRPr="00E551BD">
              <w:rPr>
                <w:rFonts w:ascii="Arial Narrow" w:hAnsi="Arial Narrow"/>
                <w:b/>
                <w:bCs/>
                <w:sz w:val="20"/>
                <w:szCs w:val="20"/>
              </w:rPr>
              <w:t xml:space="preserve">Administrative Advice: </w:t>
            </w:r>
            <w:r w:rsidRPr="00E551BD">
              <w:rPr>
                <w:rFonts w:ascii="Arial Narrow" w:hAnsi="Arial Narrow"/>
                <w:sz w:val="20"/>
                <w:szCs w:val="20"/>
              </w:rPr>
              <w:t>Special Pricing Arrangements apply.</w:t>
            </w:r>
          </w:p>
        </w:tc>
      </w:tr>
      <w:tr w:rsidR="00E551BD" w:rsidRPr="00E551BD" w14:paraId="3D695280" w14:textId="77777777" w:rsidTr="001D6273">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3995A861" w14:textId="77777777" w:rsidR="001D6273" w:rsidRPr="00E551BD" w:rsidRDefault="001D6273" w:rsidP="00C65AFD">
            <w:pPr>
              <w:keepLines/>
              <w:rPr>
                <w:rFonts w:ascii="Arial Narrow" w:hAnsi="Arial Narrow"/>
                <w:b/>
                <w:bCs/>
                <w:sz w:val="20"/>
                <w:szCs w:val="20"/>
              </w:rPr>
            </w:pPr>
          </w:p>
        </w:tc>
      </w:tr>
      <w:tr w:rsidR="00E551BD" w:rsidRPr="00E551BD" w14:paraId="5C99307B"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0C8EDA5C" w14:textId="65344F00" w:rsidR="0055474F" w:rsidRPr="00E551BD" w:rsidRDefault="0055474F" w:rsidP="00C65AFD">
            <w:pPr>
              <w:keepLines/>
              <w:jc w:val="center"/>
              <w:rPr>
                <w:rFonts w:ascii="Arial Narrow" w:hAnsi="Arial Narrow"/>
                <w:sz w:val="20"/>
                <w:szCs w:val="20"/>
              </w:rPr>
            </w:pPr>
          </w:p>
        </w:tc>
        <w:tc>
          <w:tcPr>
            <w:tcW w:w="4295" w:type="pct"/>
            <w:gridSpan w:val="4"/>
            <w:vAlign w:val="center"/>
            <w:hideMark/>
          </w:tcPr>
          <w:p w14:paraId="5F5BB770" w14:textId="77777777" w:rsidR="0055474F" w:rsidRPr="00E551BD" w:rsidRDefault="0055474F" w:rsidP="00C65AFD">
            <w:pPr>
              <w:keepLines/>
              <w:rPr>
                <w:rFonts w:ascii="Arial Narrow" w:hAnsi="Arial Narrow"/>
                <w:sz w:val="20"/>
                <w:szCs w:val="20"/>
              </w:rPr>
            </w:pPr>
            <w:r w:rsidRPr="00E551BD">
              <w:rPr>
                <w:rFonts w:ascii="Arial Narrow" w:hAnsi="Arial Narrow"/>
                <w:b/>
                <w:bCs/>
                <w:sz w:val="20"/>
                <w:szCs w:val="20"/>
              </w:rPr>
              <w:t>Indication:</w:t>
            </w:r>
            <w:r w:rsidRPr="00E551BD">
              <w:rPr>
                <w:rFonts w:ascii="Arial Narrow" w:hAnsi="Arial Narrow"/>
                <w:sz w:val="20"/>
                <w:szCs w:val="20"/>
              </w:rPr>
              <w:t xml:space="preserve"> Unresectable Stage III or Stage IV malignant melanoma</w:t>
            </w:r>
          </w:p>
        </w:tc>
      </w:tr>
      <w:tr w:rsidR="00E551BD" w:rsidRPr="00E551BD" w14:paraId="30EC8AB0"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B290D35" w14:textId="77777777" w:rsidR="001D6273" w:rsidRPr="00E551BD" w:rsidRDefault="001D6273" w:rsidP="00C65AFD">
            <w:pPr>
              <w:keepLines/>
              <w:rPr>
                <w:rFonts w:ascii="Arial Narrow" w:hAnsi="Arial Narrow"/>
                <w:b/>
                <w:bCs/>
                <w:sz w:val="20"/>
                <w:szCs w:val="20"/>
              </w:rPr>
            </w:pPr>
          </w:p>
        </w:tc>
      </w:tr>
      <w:tr w:rsidR="00E551BD" w:rsidRPr="00E551BD" w14:paraId="340221FD"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7D915302" w14:textId="77777777" w:rsidR="0055474F" w:rsidRPr="00E551BD" w:rsidRDefault="0055474F" w:rsidP="00C65AFD">
            <w:pPr>
              <w:jc w:val="center"/>
              <w:rPr>
                <w:rFonts w:ascii="Arial Narrow" w:hAnsi="Arial Narrow"/>
                <w:sz w:val="20"/>
                <w:szCs w:val="20"/>
              </w:rPr>
            </w:pPr>
          </w:p>
        </w:tc>
        <w:tc>
          <w:tcPr>
            <w:tcW w:w="4295" w:type="pct"/>
            <w:gridSpan w:val="4"/>
            <w:vAlign w:val="center"/>
            <w:hideMark/>
          </w:tcPr>
          <w:p w14:paraId="4B2A6218"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Treatment Phase:</w:t>
            </w:r>
            <w:r w:rsidRPr="00E551BD">
              <w:rPr>
                <w:rFonts w:ascii="Arial Narrow" w:hAnsi="Arial Narrow"/>
                <w:sz w:val="20"/>
                <w:szCs w:val="20"/>
              </w:rPr>
              <w:t xml:space="preserve"> </w:t>
            </w:r>
            <w:r w:rsidRPr="00E551BD">
              <w:rPr>
                <w:rFonts w:ascii="Arial Narrow" w:hAnsi="Arial Narrow"/>
                <w:i/>
                <w:iCs/>
                <w:sz w:val="20"/>
                <w:szCs w:val="20"/>
              </w:rPr>
              <w:t>Transitioning from non-PBS to PBS-subsidised supply - Grandfather arrangements for maintenance treatment</w:t>
            </w:r>
            <w:r w:rsidRPr="00E551BD">
              <w:rPr>
                <w:rFonts w:ascii="Arial Narrow" w:hAnsi="Arial Narrow"/>
                <w:b/>
                <w:bCs/>
                <w:i/>
                <w:iCs/>
                <w:sz w:val="20"/>
                <w:szCs w:val="20"/>
              </w:rPr>
              <w:t xml:space="preserve"> </w:t>
            </w:r>
          </w:p>
        </w:tc>
      </w:tr>
      <w:tr w:rsidR="00E551BD" w:rsidRPr="00E551BD" w14:paraId="3125CC63"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B1148E2" w14:textId="77777777" w:rsidR="001D6273" w:rsidRPr="00E551BD" w:rsidRDefault="001D6273" w:rsidP="00C65AFD">
            <w:pPr>
              <w:rPr>
                <w:rFonts w:ascii="Arial Narrow" w:hAnsi="Arial Narrow"/>
                <w:b/>
                <w:bCs/>
                <w:sz w:val="20"/>
                <w:szCs w:val="20"/>
              </w:rPr>
            </w:pPr>
          </w:p>
        </w:tc>
      </w:tr>
      <w:tr w:rsidR="00E551BD" w:rsidRPr="00E551BD" w14:paraId="65B41E62"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21EB3FB" w14:textId="1D950C4E" w:rsidR="0055474F" w:rsidRPr="00E551BD" w:rsidRDefault="0055474F" w:rsidP="00C65AFD">
            <w:pPr>
              <w:jc w:val="center"/>
              <w:rPr>
                <w:rFonts w:ascii="Arial Narrow" w:hAnsi="Arial Narrow"/>
                <w:sz w:val="20"/>
                <w:szCs w:val="20"/>
              </w:rPr>
            </w:pPr>
          </w:p>
        </w:tc>
        <w:tc>
          <w:tcPr>
            <w:tcW w:w="4295" w:type="pct"/>
            <w:gridSpan w:val="4"/>
            <w:vAlign w:val="center"/>
            <w:hideMark/>
          </w:tcPr>
          <w:p w14:paraId="3EEB58A2"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 xml:space="preserve">Clinical criteria: </w:t>
            </w:r>
          </w:p>
        </w:tc>
      </w:tr>
      <w:tr w:rsidR="00E551BD" w:rsidRPr="00E551BD" w14:paraId="2686CE78"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9FE8625" w14:textId="7A05DD41" w:rsidR="0055474F" w:rsidRPr="00E551BD" w:rsidRDefault="0055474F" w:rsidP="00C65AFD">
            <w:pPr>
              <w:jc w:val="center"/>
              <w:rPr>
                <w:rFonts w:ascii="Arial Narrow" w:hAnsi="Arial Narrow"/>
                <w:sz w:val="20"/>
                <w:szCs w:val="20"/>
              </w:rPr>
            </w:pPr>
          </w:p>
        </w:tc>
        <w:tc>
          <w:tcPr>
            <w:tcW w:w="4295" w:type="pct"/>
            <w:gridSpan w:val="4"/>
            <w:vAlign w:val="center"/>
            <w:hideMark/>
          </w:tcPr>
          <w:p w14:paraId="446D0C89" w14:textId="77777777" w:rsidR="0055474F" w:rsidRPr="00E551BD" w:rsidRDefault="0055474F" w:rsidP="00C65AFD">
            <w:pPr>
              <w:rPr>
                <w:rFonts w:ascii="Arial Narrow" w:hAnsi="Arial Narrow"/>
                <w:sz w:val="20"/>
                <w:szCs w:val="20"/>
              </w:rPr>
            </w:pPr>
            <w:r w:rsidRPr="00E551BD">
              <w:rPr>
                <w:rFonts w:ascii="Arial Narrow" w:hAnsi="Arial Narrow"/>
                <w:sz w:val="20"/>
                <w:szCs w:val="20"/>
              </w:rPr>
              <w:t>Patient must have previously received of up to maximum 4 doses of PBS-subsidised ipilimumab combined therapy with non-PBS-</w:t>
            </w:r>
            <w:r w:rsidRPr="00E551BD">
              <w:rPr>
                <w:rFonts w:ascii="Arial Narrow" w:hAnsi="Arial Narrow"/>
                <w:i/>
                <w:iCs/>
                <w:sz w:val="20"/>
                <w:szCs w:val="20"/>
              </w:rPr>
              <w:t>subsidised</w:t>
            </w:r>
            <w:r w:rsidRPr="00E551BD">
              <w:rPr>
                <w:rFonts w:ascii="Arial Narrow" w:hAnsi="Arial Narrow"/>
                <w:sz w:val="20"/>
                <w:szCs w:val="20"/>
              </w:rPr>
              <w:t xml:space="preserve"> nivolumab as induction for this condition prior to </w:t>
            </w:r>
            <w:r w:rsidRPr="00E551BD">
              <w:rPr>
                <w:rFonts w:ascii="Arial Narrow" w:hAnsi="Arial Narrow"/>
                <w:strike/>
                <w:sz w:val="20"/>
                <w:szCs w:val="20"/>
              </w:rPr>
              <w:t>(date to be confirmed)</w:t>
            </w:r>
            <w:r w:rsidRPr="00E551BD">
              <w:rPr>
                <w:rFonts w:ascii="Arial Narrow" w:hAnsi="Arial Narrow"/>
                <w:sz w:val="20"/>
                <w:szCs w:val="20"/>
              </w:rPr>
              <w:t xml:space="preserve"> </w:t>
            </w:r>
            <w:r w:rsidRPr="00E551BD">
              <w:rPr>
                <w:rFonts w:ascii="Arial Narrow" w:hAnsi="Arial Narrow"/>
                <w:i/>
                <w:iCs/>
                <w:sz w:val="20"/>
                <w:szCs w:val="20"/>
              </w:rPr>
              <w:t>[listing date]</w:t>
            </w:r>
          </w:p>
        </w:tc>
      </w:tr>
      <w:tr w:rsidR="00E551BD" w:rsidRPr="00E551BD" w14:paraId="58974D45"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CAB9E3F" w14:textId="77777777" w:rsidR="0055474F" w:rsidRPr="00E551BD" w:rsidRDefault="0055474F" w:rsidP="00C65AFD">
            <w:pPr>
              <w:jc w:val="center"/>
              <w:rPr>
                <w:rFonts w:ascii="Arial Narrow" w:hAnsi="Arial Narrow"/>
                <w:sz w:val="20"/>
                <w:szCs w:val="20"/>
              </w:rPr>
            </w:pPr>
          </w:p>
        </w:tc>
        <w:tc>
          <w:tcPr>
            <w:tcW w:w="4295" w:type="pct"/>
            <w:gridSpan w:val="4"/>
            <w:vAlign w:val="center"/>
            <w:hideMark/>
          </w:tcPr>
          <w:p w14:paraId="7EE2A9C1"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AND</w:t>
            </w:r>
          </w:p>
        </w:tc>
      </w:tr>
      <w:tr w:rsidR="00E551BD" w:rsidRPr="00E551BD" w14:paraId="5699991F"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F7C2928" w14:textId="4E060D69" w:rsidR="0055474F" w:rsidRPr="00E551BD" w:rsidRDefault="0055474F" w:rsidP="00C65AFD">
            <w:pPr>
              <w:jc w:val="center"/>
              <w:rPr>
                <w:rFonts w:ascii="Arial Narrow" w:hAnsi="Arial Narrow"/>
                <w:sz w:val="20"/>
                <w:szCs w:val="20"/>
              </w:rPr>
            </w:pPr>
          </w:p>
        </w:tc>
        <w:tc>
          <w:tcPr>
            <w:tcW w:w="4295" w:type="pct"/>
            <w:gridSpan w:val="4"/>
            <w:vAlign w:val="center"/>
            <w:hideMark/>
          </w:tcPr>
          <w:p w14:paraId="1943BC40"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Clinical criteria:</w:t>
            </w:r>
          </w:p>
        </w:tc>
      </w:tr>
      <w:tr w:rsidR="00E551BD" w:rsidRPr="00E551BD" w14:paraId="61C683B8"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D942B1A" w14:textId="593D464A" w:rsidR="0055474F" w:rsidRPr="00E551BD" w:rsidRDefault="0055474F" w:rsidP="00C65AFD">
            <w:pPr>
              <w:jc w:val="center"/>
              <w:rPr>
                <w:rFonts w:ascii="Arial Narrow" w:hAnsi="Arial Narrow"/>
                <w:sz w:val="20"/>
                <w:szCs w:val="20"/>
              </w:rPr>
            </w:pPr>
          </w:p>
        </w:tc>
        <w:tc>
          <w:tcPr>
            <w:tcW w:w="4295" w:type="pct"/>
            <w:gridSpan w:val="4"/>
            <w:vAlign w:val="center"/>
            <w:hideMark/>
          </w:tcPr>
          <w:p w14:paraId="1846736B" w14:textId="77777777" w:rsidR="0055474F" w:rsidRPr="00E551BD" w:rsidRDefault="0055474F" w:rsidP="00C65AFD">
            <w:pPr>
              <w:rPr>
                <w:rFonts w:ascii="Arial Narrow" w:hAnsi="Arial Narrow"/>
                <w:sz w:val="20"/>
                <w:szCs w:val="20"/>
              </w:rPr>
            </w:pPr>
            <w:r w:rsidRPr="00E551BD">
              <w:rPr>
                <w:rFonts w:ascii="Arial Narrow" w:hAnsi="Arial Narrow"/>
                <w:sz w:val="20"/>
                <w:szCs w:val="20"/>
              </w:rPr>
              <w:t>The treatment must be as monotherapy for this condition</w:t>
            </w:r>
          </w:p>
        </w:tc>
      </w:tr>
      <w:tr w:rsidR="00E551BD" w:rsidRPr="00E551BD" w14:paraId="5483E55A"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7B81E5C" w14:textId="77777777" w:rsidR="0055474F" w:rsidRPr="00E551BD" w:rsidRDefault="0055474F" w:rsidP="00C65AFD">
            <w:pPr>
              <w:jc w:val="center"/>
              <w:rPr>
                <w:rFonts w:ascii="Arial Narrow" w:hAnsi="Arial Narrow"/>
                <w:sz w:val="20"/>
                <w:szCs w:val="20"/>
              </w:rPr>
            </w:pPr>
          </w:p>
        </w:tc>
        <w:tc>
          <w:tcPr>
            <w:tcW w:w="4295" w:type="pct"/>
            <w:gridSpan w:val="4"/>
            <w:vAlign w:val="center"/>
            <w:hideMark/>
          </w:tcPr>
          <w:p w14:paraId="0D717436"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AND</w:t>
            </w:r>
          </w:p>
        </w:tc>
      </w:tr>
      <w:tr w:rsidR="00E551BD" w:rsidRPr="00E551BD" w14:paraId="1392ECB6"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3028E33" w14:textId="1EBE7A39" w:rsidR="0055474F" w:rsidRPr="00E551BD" w:rsidRDefault="0055474F" w:rsidP="00C65AFD">
            <w:pPr>
              <w:jc w:val="center"/>
              <w:rPr>
                <w:rFonts w:ascii="Arial Narrow" w:hAnsi="Arial Narrow"/>
                <w:sz w:val="20"/>
                <w:szCs w:val="20"/>
              </w:rPr>
            </w:pPr>
          </w:p>
        </w:tc>
        <w:tc>
          <w:tcPr>
            <w:tcW w:w="4295" w:type="pct"/>
            <w:gridSpan w:val="4"/>
            <w:vAlign w:val="center"/>
            <w:hideMark/>
          </w:tcPr>
          <w:p w14:paraId="741638EE"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Clinical criteria:</w:t>
            </w:r>
          </w:p>
        </w:tc>
      </w:tr>
      <w:tr w:rsidR="00E551BD" w:rsidRPr="00E551BD" w14:paraId="5274214A"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68FCB7A" w14:textId="0C63A16B" w:rsidR="0055474F" w:rsidRPr="00E551BD" w:rsidRDefault="0055474F" w:rsidP="00C65AFD">
            <w:pPr>
              <w:jc w:val="center"/>
              <w:rPr>
                <w:rFonts w:ascii="Arial Narrow" w:hAnsi="Arial Narrow"/>
                <w:sz w:val="20"/>
                <w:szCs w:val="20"/>
              </w:rPr>
            </w:pPr>
          </w:p>
        </w:tc>
        <w:tc>
          <w:tcPr>
            <w:tcW w:w="4295" w:type="pct"/>
            <w:gridSpan w:val="4"/>
            <w:vAlign w:val="center"/>
            <w:hideMark/>
          </w:tcPr>
          <w:p w14:paraId="557DB420" w14:textId="05B598CE" w:rsidR="0055474F" w:rsidRPr="00E551BD" w:rsidRDefault="0055474F" w:rsidP="00C65AFD">
            <w:pPr>
              <w:rPr>
                <w:rFonts w:ascii="Arial Narrow" w:hAnsi="Arial Narrow"/>
                <w:sz w:val="20"/>
                <w:szCs w:val="20"/>
              </w:rPr>
            </w:pPr>
            <w:r w:rsidRPr="00E551BD">
              <w:rPr>
                <w:rFonts w:ascii="Arial Narrow" w:hAnsi="Arial Narrow"/>
                <w:sz w:val="20"/>
                <w:szCs w:val="20"/>
              </w:rPr>
              <w:t xml:space="preserve">Patient must not have developed disease progression while receiving </w:t>
            </w:r>
            <w:r w:rsidRPr="00E551BD">
              <w:rPr>
                <w:rFonts w:ascii="Arial Narrow" w:hAnsi="Arial Narrow"/>
                <w:strike/>
                <w:sz w:val="20"/>
                <w:szCs w:val="20"/>
              </w:rPr>
              <w:t>PBS-subsidised</w:t>
            </w:r>
            <w:r w:rsidRPr="00E551BD">
              <w:rPr>
                <w:rFonts w:ascii="Arial Narrow" w:hAnsi="Arial Narrow"/>
                <w:sz w:val="20"/>
                <w:szCs w:val="20"/>
              </w:rPr>
              <w:t xml:space="preserve"> treatment with this drug for this </w:t>
            </w:r>
            <w:r w:rsidRPr="00E551BD">
              <w:rPr>
                <w:rFonts w:ascii="Arial Narrow" w:hAnsi="Arial Narrow"/>
                <w:strike/>
                <w:sz w:val="20"/>
                <w:szCs w:val="20"/>
              </w:rPr>
              <w:t>condition</w:t>
            </w:r>
            <w:r w:rsidRPr="00E551BD">
              <w:rPr>
                <w:rFonts w:ascii="Arial Narrow" w:hAnsi="Arial Narrow"/>
                <w:sz w:val="20"/>
                <w:szCs w:val="20"/>
              </w:rPr>
              <w:t xml:space="preserve"> </w:t>
            </w:r>
            <w:r w:rsidRPr="00E551BD">
              <w:rPr>
                <w:rFonts w:ascii="Arial Narrow" w:hAnsi="Arial Narrow"/>
                <w:i/>
                <w:iCs/>
                <w:sz w:val="20"/>
                <w:szCs w:val="20"/>
              </w:rPr>
              <w:t>PBS indication</w:t>
            </w:r>
          </w:p>
        </w:tc>
      </w:tr>
      <w:tr w:rsidR="00E551BD" w:rsidRPr="00E551BD" w14:paraId="57953C15" w14:textId="77777777" w:rsidTr="00E46F2E">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795C437" w14:textId="77777777" w:rsidR="00E46F2E" w:rsidRPr="00E551BD" w:rsidRDefault="00E46F2E" w:rsidP="00C65AFD">
            <w:pPr>
              <w:rPr>
                <w:rFonts w:ascii="Arial Narrow" w:hAnsi="Arial Narrow"/>
                <w:sz w:val="20"/>
                <w:szCs w:val="20"/>
              </w:rPr>
            </w:pPr>
          </w:p>
        </w:tc>
      </w:tr>
      <w:tr w:rsidR="00E551BD" w:rsidRPr="00E551BD" w14:paraId="13B70368"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C2E02C7" w14:textId="40A1879E" w:rsidR="0055474F" w:rsidRPr="00E551BD" w:rsidRDefault="0055474F" w:rsidP="00C65AFD">
            <w:pPr>
              <w:jc w:val="center"/>
              <w:rPr>
                <w:rFonts w:ascii="Arial Narrow" w:hAnsi="Arial Narrow"/>
                <w:sz w:val="20"/>
                <w:szCs w:val="20"/>
              </w:rPr>
            </w:pPr>
          </w:p>
        </w:tc>
        <w:tc>
          <w:tcPr>
            <w:tcW w:w="4295" w:type="pct"/>
            <w:gridSpan w:val="4"/>
            <w:vAlign w:val="center"/>
            <w:hideMark/>
          </w:tcPr>
          <w:p w14:paraId="1C2D5F8A"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Prescribing Instructions:</w:t>
            </w:r>
            <w:r w:rsidRPr="00E551BD">
              <w:rPr>
                <w:rFonts w:ascii="Arial Narrow" w:hAnsi="Arial Narrow"/>
                <w:sz w:val="20"/>
                <w:szCs w:val="20"/>
              </w:rPr>
              <w:t xml:space="preserve"> Patients must only receive a maximum of 240 mg every two weeks or 480 mg every four weeks under a weight based or flat dosing regimen.</w:t>
            </w:r>
          </w:p>
        </w:tc>
      </w:tr>
      <w:tr w:rsidR="00E551BD" w:rsidRPr="00E551BD" w14:paraId="237255FC"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F0A7130" w14:textId="0FDC9D8E" w:rsidR="0055474F" w:rsidRPr="00E551BD" w:rsidRDefault="0055474F" w:rsidP="00C65AFD">
            <w:pPr>
              <w:jc w:val="center"/>
              <w:rPr>
                <w:rFonts w:ascii="Arial Narrow" w:hAnsi="Arial Narrow"/>
                <w:sz w:val="20"/>
                <w:szCs w:val="20"/>
              </w:rPr>
            </w:pPr>
          </w:p>
        </w:tc>
        <w:tc>
          <w:tcPr>
            <w:tcW w:w="4295" w:type="pct"/>
            <w:gridSpan w:val="4"/>
            <w:vAlign w:val="center"/>
          </w:tcPr>
          <w:p w14:paraId="7EA5386B" w14:textId="77777777" w:rsidR="0055474F" w:rsidRPr="00E551BD" w:rsidRDefault="0055474F" w:rsidP="00C65AFD">
            <w:pPr>
              <w:rPr>
                <w:rFonts w:ascii="Arial Narrow" w:hAnsi="Arial Narrow"/>
                <w:b/>
                <w:bCs/>
                <w:sz w:val="20"/>
                <w:szCs w:val="20"/>
              </w:rPr>
            </w:pPr>
            <w:r w:rsidRPr="00E551BD">
              <w:rPr>
                <w:rFonts w:ascii="Arial Narrow" w:hAnsi="Arial Narrow"/>
                <w:b/>
                <w:bCs/>
                <w:sz w:val="20"/>
                <w:szCs w:val="20"/>
              </w:rPr>
              <w:t>Prescribing Instructions:</w:t>
            </w:r>
            <w:r w:rsidRPr="00E551BD">
              <w:rPr>
                <w:rFonts w:ascii="Arial Narrow" w:hAnsi="Arial Narrow"/>
                <w:sz w:val="20"/>
                <w:szCs w:val="20"/>
              </w:rPr>
              <w:t xml:space="preserve"> The patient's body weight must be documented in the patient's medical records at the time treatment is initiated.</w:t>
            </w:r>
          </w:p>
        </w:tc>
      </w:tr>
    </w:tbl>
    <w:p w14:paraId="71491389" w14:textId="52D1CC71" w:rsidR="006722CE" w:rsidRDefault="006722CE" w:rsidP="001D6273"/>
    <w:p w14:paraId="559CE14B" w14:textId="77777777" w:rsidR="006722CE" w:rsidRDefault="006722CE">
      <w:pPr>
        <w:jc w:val="left"/>
      </w:pPr>
      <w:r>
        <w:br w:type="page"/>
      </w:r>
    </w:p>
    <w:p w14:paraId="74597AC9" w14:textId="313FA27B" w:rsidR="0055474F" w:rsidRPr="00E551BD" w:rsidRDefault="0055474F" w:rsidP="001D6273">
      <w:pPr>
        <w:rPr>
          <w:rFonts w:ascii="Arial Narrow" w:hAnsi="Arial Narrow"/>
          <w:b/>
          <w:bCs/>
          <w:sz w:val="20"/>
          <w:szCs w:val="20"/>
        </w:rPr>
      </w:pPr>
      <w:r w:rsidRPr="00E551BD">
        <w:rPr>
          <w:rFonts w:ascii="Arial Narrow" w:hAnsi="Arial Narrow"/>
          <w:b/>
          <w:bCs/>
          <w:sz w:val="20"/>
          <w:szCs w:val="20"/>
        </w:rPr>
        <w:t>IPI induction (for use in combination with NIVO):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688"/>
        <w:gridCol w:w="2340"/>
        <w:gridCol w:w="2478"/>
        <w:gridCol w:w="1378"/>
        <w:gridCol w:w="1326"/>
      </w:tblGrid>
      <w:tr w:rsidR="00E551BD" w:rsidRPr="00E551BD" w14:paraId="460D773D" w14:textId="77777777" w:rsidTr="00C65AFD">
        <w:trPr>
          <w:cantSplit/>
          <w:trHeight w:val="20"/>
        </w:trPr>
        <w:tc>
          <w:tcPr>
            <w:tcW w:w="2041" w:type="pct"/>
            <w:gridSpan w:val="3"/>
            <w:vAlign w:val="center"/>
          </w:tcPr>
          <w:p w14:paraId="27C873D9" w14:textId="77777777" w:rsidR="0055474F" w:rsidRPr="00E551BD" w:rsidRDefault="0055474F" w:rsidP="00C65AFD">
            <w:pPr>
              <w:keepNext/>
              <w:rPr>
                <w:rFonts w:ascii="Arial Narrow" w:hAnsi="Arial Narrow"/>
                <w:b/>
                <w:bCs/>
                <w:sz w:val="20"/>
                <w:szCs w:val="20"/>
              </w:rPr>
            </w:pPr>
            <w:r w:rsidRPr="00E551BD">
              <w:rPr>
                <w:rFonts w:ascii="Arial Narrow" w:hAnsi="Arial Narrow"/>
                <w:b/>
                <w:bCs/>
                <w:sz w:val="20"/>
                <w:szCs w:val="20"/>
              </w:rPr>
              <w:t>MEDICINAL PRODUCT</w:t>
            </w:r>
          </w:p>
          <w:p w14:paraId="50110500" w14:textId="77777777" w:rsidR="0055474F" w:rsidRPr="00E551BD" w:rsidRDefault="0055474F" w:rsidP="00C65AFD">
            <w:pPr>
              <w:keepNext/>
              <w:rPr>
                <w:rFonts w:ascii="Arial Narrow" w:hAnsi="Arial Narrow"/>
                <w:b/>
                <w:sz w:val="20"/>
                <w:szCs w:val="20"/>
              </w:rPr>
            </w:pPr>
            <w:r w:rsidRPr="00E551BD">
              <w:rPr>
                <w:rFonts w:ascii="Arial Narrow" w:hAnsi="Arial Narrow"/>
                <w:b/>
                <w:sz w:val="20"/>
                <w:szCs w:val="20"/>
              </w:rPr>
              <w:t>Form</w:t>
            </w:r>
          </w:p>
        </w:tc>
        <w:tc>
          <w:tcPr>
            <w:tcW w:w="1415" w:type="pct"/>
            <w:vAlign w:val="center"/>
          </w:tcPr>
          <w:p w14:paraId="37F9C18B" w14:textId="77777777" w:rsidR="0055474F" w:rsidRPr="00E551BD" w:rsidRDefault="0055474F" w:rsidP="00C65AFD">
            <w:pPr>
              <w:keepNext/>
              <w:jc w:val="center"/>
              <w:rPr>
                <w:rFonts w:ascii="Arial Narrow" w:hAnsi="Arial Narrow"/>
                <w:b/>
                <w:sz w:val="20"/>
                <w:szCs w:val="20"/>
              </w:rPr>
            </w:pPr>
            <w:r w:rsidRPr="00E551BD">
              <w:rPr>
                <w:rFonts w:ascii="Arial Narrow" w:hAnsi="Arial Narrow"/>
                <w:b/>
                <w:sz w:val="20"/>
                <w:szCs w:val="20"/>
              </w:rPr>
              <w:t>PBS item code</w:t>
            </w:r>
          </w:p>
        </w:tc>
        <w:tc>
          <w:tcPr>
            <w:tcW w:w="787" w:type="pct"/>
            <w:vAlign w:val="center"/>
          </w:tcPr>
          <w:p w14:paraId="0382C498" w14:textId="77777777" w:rsidR="0055474F" w:rsidRPr="00E551BD" w:rsidRDefault="0055474F" w:rsidP="00C65AFD">
            <w:pPr>
              <w:keepNext/>
              <w:jc w:val="center"/>
              <w:rPr>
                <w:rFonts w:ascii="Arial Narrow" w:hAnsi="Arial Narrow"/>
                <w:b/>
                <w:sz w:val="20"/>
                <w:szCs w:val="20"/>
              </w:rPr>
            </w:pPr>
            <w:r w:rsidRPr="00E551BD">
              <w:rPr>
                <w:rFonts w:ascii="Arial Narrow" w:hAnsi="Arial Narrow"/>
                <w:b/>
                <w:sz w:val="20"/>
                <w:szCs w:val="20"/>
              </w:rPr>
              <w:t>Max. Amount</w:t>
            </w:r>
          </w:p>
        </w:tc>
        <w:tc>
          <w:tcPr>
            <w:tcW w:w="757" w:type="pct"/>
            <w:vAlign w:val="center"/>
          </w:tcPr>
          <w:p w14:paraId="4ABCBF8E" w14:textId="77777777" w:rsidR="0055474F" w:rsidRPr="00E551BD" w:rsidRDefault="0055474F" w:rsidP="00C65AFD">
            <w:pPr>
              <w:keepNext/>
              <w:jc w:val="center"/>
              <w:rPr>
                <w:rFonts w:ascii="Arial Narrow" w:hAnsi="Arial Narrow"/>
                <w:b/>
                <w:sz w:val="20"/>
                <w:szCs w:val="20"/>
              </w:rPr>
            </w:pPr>
            <w:r w:rsidRPr="00E551BD">
              <w:rPr>
                <w:rFonts w:ascii="Arial Narrow" w:hAnsi="Arial Narrow"/>
                <w:b/>
                <w:sz w:val="20"/>
                <w:szCs w:val="20"/>
              </w:rPr>
              <w:t>№. of Rpts</w:t>
            </w:r>
          </w:p>
        </w:tc>
      </w:tr>
      <w:tr w:rsidR="00E551BD" w:rsidRPr="00E551BD" w14:paraId="55A2CAE1" w14:textId="77777777" w:rsidTr="00C65AFD">
        <w:trPr>
          <w:cantSplit/>
          <w:trHeight w:val="20"/>
        </w:trPr>
        <w:tc>
          <w:tcPr>
            <w:tcW w:w="2041" w:type="pct"/>
            <w:gridSpan w:val="3"/>
            <w:vAlign w:val="center"/>
          </w:tcPr>
          <w:p w14:paraId="0DA43209"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IPILIMUMAB</w:t>
            </w:r>
          </w:p>
          <w:p w14:paraId="6F2032B2"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Injection</w:t>
            </w:r>
          </w:p>
        </w:tc>
        <w:tc>
          <w:tcPr>
            <w:tcW w:w="1415" w:type="pct"/>
            <w:vAlign w:val="center"/>
          </w:tcPr>
          <w:p w14:paraId="4145D60B" w14:textId="77777777" w:rsidR="0055474F" w:rsidRPr="00E551BD" w:rsidRDefault="0055474F" w:rsidP="00C65AFD">
            <w:pPr>
              <w:keepNext/>
              <w:jc w:val="center"/>
              <w:rPr>
                <w:rFonts w:ascii="Arial Narrow" w:hAnsi="Arial Narrow"/>
                <w:sz w:val="20"/>
                <w:szCs w:val="20"/>
              </w:rPr>
            </w:pPr>
            <w:r w:rsidRPr="00E551BD">
              <w:rPr>
                <w:rFonts w:ascii="Arial Narrow" w:hAnsi="Arial Narrow"/>
                <w:sz w:val="20"/>
                <w:szCs w:val="20"/>
              </w:rPr>
              <w:t>2641B (Public)</w:t>
            </w:r>
          </w:p>
          <w:p w14:paraId="2F3135BF" w14:textId="77777777" w:rsidR="0055474F" w:rsidRPr="00E551BD" w:rsidRDefault="0055474F" w:rsidP="00C65AFD">
            <w:pPr>
              <w:keepNext/>
              <w:jc w:val="center"/>
              <w:rPr>
                <w:rFonts w:ascii="Arial Narrow" w:hAnsi="Arial Narrow"/>
                <w:sz w:val="20"/>
                <w:szCs w:val="20"/>
              </w:rPr>
            </w:pPr>
            <w:r w:rsidRPr="00E551BD">
              <w:rPr>
                <w:rFonts w:ascii="Arial Narrow" w:hAnsi="Arial Narrow"/>
                <w:sz w:val="20"/>
                <w:szCs w:val="20"/>
              </w:rPr>
              <w:t>2638W (Private)</w:t>
            </w:r>
          </w:p>
        </w:tc>
        <w:tc>
          <w:tcPr>
            <w:tcW w:w="787" w:type="pct"/>
            <w:vAlign w:val="center"/>
          </w:tcPr>
          <w:p w14:paraId="0DE79A62" w14:textId="77777777" w:rsidR="0055474F" w:rsidRPr="00E551BD" w:rsidRDefault="0055474F" w:rsidP="00C65AFD">
            <w:pPr>
              <w:keepNext/>
              <w:jc w:val="center"/>
              <w:rPr>
                <w:rFonts w:ascii="Arial Narrow" w:hAnsi="Arial Narrow"/>
                <w:sz w:val="20"/>
                <w:szCs w:val="20"/>
              </w:rPr>
            </w:pPr>
            <w:r w:rsidRPr="00E551BD">
              <w:rPr>
                <w:rFonts w:ascii="Arial Narrow" w:hAnsi="Arial Narrow"/>
                <w:sz w:val="20"/>
                <w:szCs w:val="20"/>
              </w:rPr>
              <w:t>360 mg</w:t>
            </w:r>
          </w:p>
        </w:tc>
        <w:tc>
          <w:tcPr>
            <w:tcW w:w="757" w:type="pct"/>
            <w:vAlign w:val="center"/>
          </w:tcPr>
          <w:p w14:paraId="091A6BB6" w14:textId="77777777" w:rsidR="0055474F" w:rsidRPr="00E551BD" w:rsidRDefault="0055474F" w:rsidP="00C65AFD">
            <w:pPr>
              <w:keepNext/>
              <w:jc w:val="center"/>
              <w:rPr>
                <w:rFonts w:ascii="Arial Narrow" w:hAnsi="Arial Narrow"/>
                <w:sz w:val="20"/>
                <w:szCs w:val="20"/>
              </w:rPr>
            </w:pPr>
            <w:r w:rsidRPr="00E551BD">
              <w:rPr>
                <w:rFonts w:ascii="Arial Narrow" w:hAnsi="Arial Narrow"/>
                <w:sz w:val="20"/>
                <w:szCs w:val="20"/>
              </w:rPr>
              <w:t>3</w:t>
            </w:r>
          </w:p>
        </w:tc>
      </w:tr>
      <w:tr w:rsidR="00E551BD" w:rsidRPr="00E551BD" w14:paraId="09AB223B" w14:textId="77777777" w:rsidTr="00C65AFD">
        <w:trPr>
          <w:cantSplit/>
          <w:trHeight w:val="20"/>
        </w:trPr>
        <w:tc>
          <w:tcPr>
            <w:tcW w:w="5000" w:type="pct"/>
            <w:gridSpan w:val="6"/>
            <w:vAlign w:val="center"/>
          </w:tcPr>
          <w:p w14:paraId="614E088E" w14:textId="77777777" w:rsidR="0055474F" w:rsidRPr="00E551BD" w:rsidRDefault="0055474F" w:rsidP="00C65AFD">
            <w:pPr>
              <w:keepNext/>
              <w:rPr>
                <w:rFonts w:ascii="Arial Narrow" w:hAnsi="Arial Narrow"/>
                <w:b/>
                <w:sz w:val="20"/>
                <w:szCs w:val="20"/>
              </w:rPr>
            </w:pPr>
            <w:r w:rsidRPr="00E551BD">
              <w:rPr>
                <w:rFonts w:ascii="Arial Narrow" w:hAnsi="Arial Narrow"/>
                <w:b/>
                <w:sz w:val="20"/>
                <w:szCs w:val="20"/>
              </w:rPr>
              <w:t xml:space="preserve">Available brands </w:t>
            </w:r>
          </w:p>
        </w:tc>
      </w:tr>
      <w:tr w:rsidR="00E551BD" w:rsidRPr="00E551BD" w14:paraId="1CF11CD2" w14:textId="77777777" w:rsidTr="00C65AFD">
        <w:trPr>
          <w:cantSplit/>
          <w:trHeight w:val="20"/>
        </w:trPr>
        <w:tc>
          <w:tcPr>
            <w:tcW w:w="5000" w:type="pct"/>
            <w:gridSpan w:val="6"/>
            <w:vAlign w:val="center"/>
          </w:tcPr>
          <w:p w14:paraId="054CE177"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Yervoy</w:t>
            </w:r>
          </w:p>
          <w:p w14:paraId="71725643"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(ipilimumab 50 mg/10 mL injection, 10 mL vial)</w:t>
            </w:r>
          </w:p>
          <w:p w14:paraId="4A6445D8"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Yervoy</w:t>
            </w:r>
          </w:p>
          <w:p w14:paraId="03D852E7" w14:textId="77777777" w:rsidR="0055474F" w:rsidRPr="00E551BD" w:rsidRDefault="0055474F" w:rsidP="00C65AFD">
            <w:pPr>
              <w:keepNext/>
              <w:rPr>
                <w:rFonts w:ascii="Arial Narrow" w:hAnsi="Arial Narrow"/>
                <w:sz w:val="20"/>
                <w:szCs w:val="20"/>
              </w:rPr>
            </w:pPr>
            <w:r w:rsidRPr="00E551BD">
              <w:rPr>
                <w:rFonts w:ascii="Arial Narrow" w:hAnsi="Arial Narrow"/>
                <w:sz w:val="20"/>
                <w:szCs w:val="20"/>
              </w:rPr>
              <w:t>(ipilimumab 200 mg/40 mL injection, 40 mL vial)</w:t>
            </w:r>
          </w:p>
        </w:tc>
      </w:tr>
      <w:tr w:rsidR="00E551BD" w:rsidRPr="00E551BD" w14:paraId="28F17C19" w14:textId="77777777" w:rsidTr="00C65AFD">
        <w:trPr>
          <w:cantSplit/>
          <w:trHeight w:val="20"/>
        </w:trPr>
        <w:tc>
          <w:tcPr>
            <w:tcW w:w="5000" w:type="pct"/>
            <w:gridSpan w:val="6"/>
            <w:vAlign w:val="center"/>
          </w:tcPr>
          <w:p w14:paraId="68EB60E7" w14:textId="0FD5741F" w:rsidR="0055474F" w:rsidRPr="00E551BD" w:rsidRDefault="0055474F" w:rsidP="00C65AFD">
            <w:pPr>
              <w:keepNext/>
              <w:rPr>
                <w:rFonts w:ascii="Arial Narrow" w:hAnsi="Arial Narrow"/>
                <w:sz w:val="20"/>
                <w:szCs w:val="20"/>
              </w:rPr>
            </w:pPr>
            <w:r w:rsidRPr="00E551BD">
              <w:rPr>
                <w:rFonts w:ascii="Arial Narrow" w:hAnsi="Arial Narrow"/>
                <w:b/>
                <w:sz w:val="20"/>
                <w:szCs w:val="20"/>
              </w:rPr>
              <w:t xml:space="preserve">Amend Restriction Summary  / Treatment of Concept: </w:t>
            </w:r>
          </w:p>
        </w:tc>
      </w:tr>
      <w:tr w:rsidR="00E551BD" w:rsidRPr="00E551BD" w14:paraId="5BED74BB"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5332A06D" w14:textId="77777777" w:rsidR="0055474F" w:rsidRPr="00E551BD" w:rsidRDefault="0055474F" w:rsidP="00C65AFD">
            <w:pPr>
              <w:keepNext/>
              <w:jc w:val="center"/>
              <w:rPr>
                <w:rFonts w:ascii="Arial Narrow" w:hAnsi="Arial Narrow"/>
                <w:b/>
                <w:sz w:val="20"/>
                <w:szCs w:val="20"/>
              </w:rPr>
            </w:pPr>
            <w:r w:rsidRPr="00E551BD">
              <w:rPr>
                <w:rFonts w:ascii="Arial Narrow" w:hAnsi="Arial Narrow"/>
                <w:b/>
                <w:sz w:val="20"/>
                <w:szCs w:val="20"/>
              </w:rPr>
              <w:t xml:space="preserve">Concept ID </w:t>
            </w:r>
            <w:r w:rsidRPr="00E551BD">
              <w:rPr>
                <w:rFonts w:ascii="Arial Narrow" w:hAnsi="Arial Narrow"/>
                <w:sz w:val="20"/>
                <w:szCs w:val="20"/>
              </w:rPr>
              <w:t>(for internal Dept. use)</w:t>
            </w:r>
          </w:p>
        </w:tc>
        <w:tc>
          <w:tcPr>
            <w:tcW w:w="4295" w:type="pct"/>
            <w:gridSpan w:val="4"/>
          </w:tcPr>
          <w:p w14:paraId="58414B2A" w14:textId="77777777" w:rsidR="0055474F" w:rsidRPr="00E551BD" w:rsidRDefault="0055474F" w:rsidP="00C65AFD">
            <w:pPr>
              <w:keepNext/>
              <w:rPr>
                <w:rFonts w:ascii="Arial Narrow" w:hAnsi="Arial Narrow"/>
                <w:sz w:val="20"/>
                <w:szCs w:val="20"/>
              </w:rPr>
            </w:pPr>
            <w:r w:rsidRPr="00E551BD">
              <w:rPr>
                <w:rFonts w:ascii="Arial Narrow" w:hAnsi="Arial Narrow"/>
                <w:b/>
                <w:sz w:val="20"/>
                <w:szCs w:val="20"/>
              </w:rPr>
              <w:t xml:space="preserve">Category / Program: </w:t>
            </w:r>
            <w:r w:rsidRPr="00E551BD">
              <w:rPr>
                <w:rFonts w:ascii="Arial Narrow" w:hAnsi="Arial Narrow"/>
                <w:sz w:val="20"/>
                <w:szCs w:val="20"/>
              </w:rPr>
              <w:t>Section 100 – Efficient Funding of Chemotherapy Public/Private hospitals</w:t>
            </w:r>
          </w:p>
        </w:tc>
      </w:tr>
      <w:tr w:rsidR="00E551BD" w:rsidRPr="00E551BD" w14:paraId="20CC451B"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3FA4080B" w14:textId="77777777" w:rsidR="0055474F" w:rsidRPr="00E551BD" w:rsidRDefault="0055474F" w:rsidP="00C65AFD">
            <w:pPr>
              <w:keepNext/>
              <w:rPr>
                <w:rFonts w:ascii="Arial Narrow" w:hAnsi="Arial Narrow"/>
                <w:sz w:val="20"/>
                <w:szCs w:val="20"/>
              </w:rPr>
            </w:pPr>
          </w:p>
        </w:tc>
        <w:tc>
          <w:tcPr>
            <w:tcW w:w="4295" w:type="pct"/>
            <w:gridSpan w:val="4"/>
          </w:tcPr>
          <w:p w14:paraId="12D56D3C" w14:textId="77777777" w:rsidR="0055474F" w:rsidRPr="00E551BD" w:rsidRDefault="0055474F" w:rsidP="00C65AFD">
            <w:pPr>
              <w:keepNext/>
              <w:rPr>
                <w:rFonts w:ascii="Arial Narrow" w:hAnsi="Arial Narrow"/>
                <w:b/>
                <w:sz w:val="20"/>
                <w:szCs w:val="20"/>
              </w:rPr>
            </w:pPr>
            <w:r w:rsidRPr="00E551BD">
              <w:rPr>
                <w:rFonts w:ascii="Arial Narrow" w:hAnsi="Arial Narrow"/>
                <w:b/>
                <w:sz w:val="20"/>
                <w:szCs w:val="20"/>
              </w:rPr>
              <w:t xml:space="preserve">Prescriber type: </w:t>
            </w:r>
            <w:r w:rsidRPr="00E551BD">
              <w:rPr>
                <w:rFonts w:ascii="Arial Narrow" w:hAnsi="Arial Narrow"/>
                <w:sz w:val="20"/>
                <w:szCs w:val="20"/>
              </w:rPr>
              <w:fldChar w:fldCharType="begin">
                <w:ffData>
                  <w:name w:val=""/>
                  <w:enabled/>
                  <w:calcOnExit w:val="0"/>
                  <w:checkBox>
                    <w:sizeAuto/>
                    <w:default w:val="1"/>
                  </w:checkBox>
                </w:ffData>
              </w:fldChar>
            </w:r>
            <w:r w:rsidRPr="00E551BD">
              <w:rPr>
                <w:rFonts w:ascii="Arial Narrow" w:hAnsi="Arial Narrow"/>
                <w:sz w:val="20"/>
                <w:szCs w:val="20"/>
              </w:rPr>
              <w:instrText xml:space="preserve"> FORMCHECKBOX </w:instrText>
            </w:r>
            <w:r w:rsidR="00D8701A">
              <w:rPr>
                <w:rFonts w:ascii="Arial Narrow" w:hAnsi="Arial Narrow"/>
                <w:sz w:val="20"/>
                <w:szCs w:val="20"/>
              </w:rPr>
            </w:r>
            <w:r w:rsidR="00D8701A">
              <w:rPr>
                <w:rFonts w:ascii="Arial Narrow" w:hAnsi="Arial Narrow"/>
                <w:sz w:val="20"/>
                <w:szCs w:val="20"/>
              </w:rPr>
              <w:fldChar w:fldCharType="separate"/>
            </w:r>
            <w:r w:rsidRPr="00E551BD">
              <w:rPr>
                <w:rFonts w:ascii="Arial Narrow" w:hAnsi="Arial Narrow"/>
                <w:sz w:val="20"/>
                <w:szCs w:val="20"/>
              </w:rPr>
              <w:fldChar w:fldCharType="end"/>
            </w:r>
            <w:r w:rsidRPr="00E551BD">
              <w:rPr>
                <w:rFonts w:ascii="Arial Narrow" w:hAnsi="Arial Narrow"/>
                <w:sz w:val="20"/>
                <w:szCs w:val="20"/>
              </w:rPr>
              <w:t>Medical Practitioners</w:t>
            </w:r>
          </w:p>
        </w:tc>
      </w:tr>
      <w:tr w:rsidR="00E551BD" w:rsidRPr="00E551BD" w14:paraId="3051C0FA"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5783DA06" w14:textId="77777777" w:rsidR="0055474F" w:rsidRPr="00E551BD" w:rsidRDefault="0055474F" w:rsidP="00C65AFD">
            <w:pPr>
              <w:rPr>
                <w:rFonts w:ascii="Arial Narrow" w:hAnsi="Arial Narrow"/>
                <w:sz w:val="20"/>
                <w:szCs w:val="20"/>
              </w:rPr>
            </w:pPr>
          </w:p>
        </w:tc>
        <w:tc>
          <w:tcPr>
            <w:tcW w:w="4295" w:type="pct"/>
            <w:gridSpan w:val="4"/>
          </w:tcPr>
          <w:p w14:paraId="78500160" w14:textId="0AD47B78" w:rsidR="0055474F" w:rsidRPr="00E551BD" w:rsidRDefault="0055474F" w:rsidP="00C65AFD">
            <w:pPr>
              <w:rPr>
                <w:rFonts w:ascii="Arial Narrow" w:eastAsia="Calibri" w:hAnsi="Arial Narrow"/>
                <w:sz w:val="20"/>
                <w:szCs w:val="20"/>
              </w:rPr>
            </w:pPr>
            <w:r w:rsidRPr="00E551BD">
              <w:rPr>
                <w:rFonts w:ascii="Arial Narrow" w:hAnsi="Arial Narrow"/>
                <w:b/>
                <w:sz w:val="20"/>
                <w:szCs w:val="20"/>
              </w:rPr>
              <w:t xml:space="preserve">Restriction type: </w:t>
            </w:r>
            <w:r w:rsidRPr="00E551BD">
              <w:rPr>
                <w:rFonts w:ascii="Arial Narrow" w:eastAsia="Calibri" w:hAnsi="Arial Narrow"/>
                <w:sz w:val="20"/>
                <w:szCs w:val="20"/>
              </w:rPr>
              <w:fldChar w:fldCharType="begin">
                <w:ffData>
                  <w:name w:val=""/>
                  <w:enabled/>
                  <w:calcOnExit w:val="0"/>
                  <w:checkBox>
                    <w:sizeAuto/>
                    <w:default w:val="1"/>
                  </w:checkBox>
                </w:ffData>
              </w:fldChar>
            </w:r>
            <w:r w:rsidRPr="00E551BD">
              <w:rPr>
                <w:rFonts w:ascii="Arial Narrow" w:eastAsia="Calibri" w:hAnsi="Arial Narrow"/>
                <w:sz w:val="20"/>
                <w:szCs w:val="20"/>
              </w:rPr>
              <w:instrText xml:space="preserve"> FORMCHECKBOX </w:instrText>
            </w:r>
            <w:r w:rsidR="00D8701A">
              <w:rPr>
                <w:rFonts w:ascii="Arial Narrow" w:eastAsia="Calibri" w:hAnsi="Arial Narrow"/>
                <w:sz w:val="20"/>
                <w:szCs w:val="20"/>
              </w:rPr>
            </w:r>
            <w:r w:rsidR="00D8701A">
              <w:rPr>
                <w:rFonts w:ascii="Arial Narrow" w:eastAsia="Calibri" w:hAnsi="Arial Narrow"/>
                <w:sz w:val="20"/>
                <w:szCs w:val="20"/>
              </w:rPr>
              <w:fldChar w:fldCharType="separate"/>
            </w:r>
            <w:r w:rsidRPr="00E551BD">
              <w:rPr>
                <w:rFonts w:ascii="Arial Narrow" w:eastAsia="Calibri" w:hAnsi="Arial Narrow"/>
                <w:sz w:val="20"/>
                <w:szCs w:val="20"/>
              </w:rPr>
              <w:fldChar w:fldCharType="end"/>
            </w:r>
            <w:r w:rsidRPr="00E551BD">
              <w:rPr>
                <w:rFonts w:ascii="Arial Narrow" w:eastAsia="Calibri" w:hAnsi="Arial Narrow"/>
                <w:sz w:val="20"/>
                <w:szCs w:val="20"/>
              </w:rPr>
              <w:t xml:space="preserve">Authority Required (STREAMLINED) </w:t>
            </w:r>
          </w:p>
        </w:tc>
      </w:tr>
      <w:tr w:rsidR="00E551BD" w:rsidRPr="00E551BD" w14:paraId="7C2BC850"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tcPr>
          <w:p w14:paraId="7F0EF722" w14:textId="77777777" w:rsidR="001D6273" w:rsidRPr="00E551BD" w:rsidRDefault="001D6273" w:rsidP="00C65AFD">
            <w:pPr>
              <w:rPr>
                <w:rFonts w:ascii="Arial Narrow" w:hAnsi="Arial Narrow"/>
                <w:b/>
                <w:sz w:val="20"/>
                <w:szCs w:val="20"/>
              </w:rPr>
            </w:pPr>
          </w:p>
        </w:tc>
      </w:tr>
      <w:tr w:rsidR="00E551BD" w:rsidRPr="00E551BD" w14:paraId="05EB98B9"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6B093BC" w14:textId="1A5F6027" w:rsidR="0055474F" w:rsidRPr="00E551BD" w:rsidRDefault="0055474F" w:rsidP="00C65AFD">
            <w:pPr>
              <w:jc w:val="center"/>
              <w:rPr>
                <w:rFonts w:ascii="Arial Narrow" w:hAnsi="Arial Narrow"/>
                <w:sz w:val="20"/>
                <w:szCs w:val="20"/>
              </w:rPr>
            </w:pPr>
          </w:p>
        </w:tc>
        <w:tc>
          <w:tcPr>
            <w:tcW w:w="4295" w:type="pct"/>
            <w:gridSpan w:val="4"/>
            <w:vAlign w:val="center"/>
          </w:tcPr>
          <w:p w14:paraId="2F2051B7"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Caution:</w:t>
            </w:r>
            <w:r w:rsidRPr="00E551BD">
              <w:rPr>
                <w:rFonts w:ascii="Arial Narrow" w:hAnsi="Arial Narrow"/>
                <w:sz w:val="20"/>
                <w:szCs w:val="20"/>
              </w:rPr>
              <w:t xml:space="preserve"> Combination treatment with ipilimumab and nivolumab is associated with an increased incidence and severity of immune-related adverse reactions compared with monotherapy with these agents. Monitoring at least prior to each dose is recommended.</w:t>
            </w:r>
          </w:p>
        </w:tc>
      </w:tr>
      <w:tr w:rsidR="00E551BD" w:rsidRPr="00E551BD" w14:paraId="29A29439"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tcPr>
          <w:p w14:paraId="77D10B11" w14:textId="77777777" w:rsidR="001D6273" w:rsidRPr="00E551BD" w:rsidRDefault="001D6273" w:rsidP="00C65AFD">
            <w:pPr>
              <w:rPr>
                <w:rFonts w:ascii="Arial Narrow" w:hAnsi="Arial Narrow"/>
                <w:b/>
                <w:sz w:val="20"/>
                <w:szCs w:val="20"/>
              </w:rPr>
            </w:pPr>
          </w:p>
        </w:tc>
      </w:tr>
      <w:tr w:rsidR="00E551BD" w:rsidRPr="00E551BD" w14:paraId="09E3E823" w14:textId="77777777" w:rsidTr="00C65AFD">
        <w:tblPrEx>
          <w:tblCellMar>
            <w:top w:w="15" w:type="dxa"/>
            <w:bottom w:w="15" w:type="dxa"/>
          </w:tblCellMar>
          <w:tblLook w:val="04A0" w:firstRow="1" w:lastRow="0" w:firstColumn="1" w:lastColumn="0" w:noHBand="0" w:noVBand="1"/>
        </w:tblPrEx>
        <w:trPr>
          <w:trHeight w:val="20"/>
        </w:trPr>
        <w:tc>
          <w:tcPr>
            <w:tcW w:w="312" w:type="pct"/>
            <w:vMerge w:val="restart"/>
            <w:textDirection w:val="btLr"/>
            <w:vAlign w:val="center"/>
          </w:tcPr>
          <w:p w14:paraId="5D1D0AB9" w14:textId="0A287CC4" w:rsidR="0055474F" w:rsidRPr="00E551BD" w:rsidRDefault="0055474F" w:rsidP="00C65AFD">
            <w:pPr>
              <w:keepLines/>
              <w:ind w:right="113"/>
              <w:jc w:val="center"/>
              <w:rPr>
                <w:rFonts w:ascii="Arial Narrow" w:hAnsi="Arial Narrow"/>
                <w:sz w:val="20"/>
                <w:szCs w:val="20"/>
              </w:rPr>
            </w:pPr>
          </w:p>
        </w:tc>
        <w:tc>
          <w:tcPr>
            <w:tcW w:w="393" w:type="pct"/>
            <w:vAlign w:val="center"/>
          </w:tcPr>
          <w:p w14:paraId="3E314801" w14:textId="45F95B18" w:rsidR="0055474F" w:rsidRPr="00E551BD" w:rsidRDefault="0055474F" w:rsidP="00C65AFD">
            <w:pPr>
              <w:keepLines/>
              <w:ind w:hanging="35"/>
              <w:jc w:val="center"/>
              <w:rPr>
                <w:rFonts w:ascii="Arial Narrow" w:hAnsi="Arial Narrow"/>
                <w:sz w:val="20"/>
                <w:szCs w:val="20"/>
              </w:rPr>
            </w:pPr>
          </w:p>
        </w:tc>
        <w:tc>
          <w:tcPr>
            <w:tcW w:w="4295" w:type="pct"/>
            <w:gridSpan w:val="4"/>
            <w:vAlign w:val="center"/>
          </w:tcPr>
          <w:p w14:paraId="4A2BB5A2" w14:textId="44C9E0AF" w:rsidR="0055474F" w:rsidRPr="00E551BD" w:rsidRDefault="0055474F" w:rsidP="00C65AFD">
            <w:pPr>
              <w:keepLines/>
              <w:rPr>
                <w:rFonts w:ascii="Arial Narrow" w:hAnsi="Arial Narrow"/>
                <w:sz w:val="20"/>
                <w:szCs w:val="20"/>
              </w:rPr>
            </w:pPr>
            <w:r w:rsidRPr="00E551BD">
              <w:rPr>
                <w:rFonts w:ascii="Arial Narrow" w:hAnsi="Arial Narrow"/>
                <w:b/>
                <w:bCs/>
                <w:sz w:val="20"/>
                <w:szCs w:val="20"/>
              </w:rPr>
              <w:t xml:space="preserve">Administrative Advice: </w:t>
            </w:r>
            <w:r w:rsidRPr="00E551BD">
              <w:rPr>
                <w:rFonts w:ascii="Arial Narrow" w:hAnsi="Arial Narrow"/>
                <w:sz w:val="20"/>
                <w:szCs w:val="20"/>
              </w:rPr>
              <w:t>No increase in the maximum number of repeats may be authorised.</w:t>
            </w:r>
          </w:p>
        </w:tc>
      </w:tr>
      <w:tr w:rsidR="00E551BD" w:rsidRPr="00E551BD" w14:paraId="08BA5BE7" w14:textId="77777777" w:rsidTr="00C65AFD">
        <w:tblPrEx>
          <w:tblCellMar>
            <w:top w:w="15" w:type="dxa"/>
            <w:bottom w:w="15" w:type="dxa"/>
          </w:tblCellMar>
          <w:tblLook w:val="04A0" w:firstRow="1" w:lastRow="0" w:firstColumn="1" w:lastColumn="0" w:noHBand="0" w:noVBand="1"/>
        </w:tblPrEx>
        <w:trPr>
          <w:trHeight w:val="20"/>
        </w:trPr>
        <w:tc>
          <w:tcPr>
            <w:tcW w:w="312" w:type="pct"/>
            <w:vMerge/>
            <w:vAlign w:val="center"/>
          </w:tcPr>
          <w:p w14:paraId="074D49DB" w14:textId="77777777" w:rsidR="0055474F" w:rsidRPr="00E551BD" w:rsidRDefault="0055474F" w:rsidP="00C65AFD">
            <w:pPr>
              <w:keepLines/>
              <w:jc w:val="center"/>
              <w:rPr>
                <w:rFonts w:ascii="Arial Narrow" w:hAnsi="Arial Narrow"/>
                <w:sz w:val="20"/>
                <w:szCs w:val="20"/>
              </w:rPr>
            </w:pPr>
          </w:p>
        </w:tc>
        <w:tc>
          <w:tcPr>
            <w:tcW w:w="393" w:type="pct"/>
            <w:vAlign w:val="center"/>
          </w:tcPr>
          <w:p w14:paraId="3B170072" w14:textId="4E4724E6" w:rsidR="0055474F" w:rsidRPr="00E551BD" w:rsidRDefault="0055474F" w:rsidP="00C65AFD">
            <w:pPr>
              <w:keepLines/>
              <w:ind w:hanging="35"/>
              <w:jc w:val="center"/>
              <w:rPr>
                <w:rFonts w:ascii="Arial Narrow" w:hAnsi="Arial Narrow"/>
                <w:sz w:val="20"/>
                <w:szCs w:val="20"/>
              </w:rPr>
            </w:pPr>
          </w:p>
        </w:tc>
        <w:tc>
          <w:tcPr>
            <w:tcW w:w="4295" w:type="pct"/>
            <w:gridSpan w:val="4"/>
            <w:vAlign w:val="center"/>
          </w:tcPr>
          <w:p w14:paraId="43D620EF" w14:textId="0FBD687A" w:rsidR="0055474F" w:rsidRPr="00E551BD" w:rsidRDefault="0055474F" w:rsidP="00C65AFD">
            <w:pPr>
              <w:keepLines/>
              <w:rPr>
                <w:rFonts w:ascii="Arial Narrow" w:hAnsi="Arial Narrow"/>
                <w:sz w:val="20"/>
                <w:szCs w:val="20"/>
              </w:rPr>
            </w:pPr>
            <w:r w:rsidRPr="00E551BD">
              <w:rPr>
                <w:rFonts w:ascii="Arial Narrow" w:hAnsi="Arial Narrow"/>
                <w:b/>
                <w:bCs/>
                <w:sz w:val="20"/>
                <w:szCs w:val="20"/>
              </w:rPr>
              <w:t xml:space="preserve">Administrative Advice: </w:t>
            </w:r>
            <w:r w:rsidRPr="00E551BD">
              <w:rPr>
                <w:rFonts w:ascii="Arial Narrow" w:hAnsi="Arial Narrow"/>
                <w:sz w:val="20"/>
                <w:szCs w:val="20"/>
              </w:rPr>
              <w:t>Special Pricing Arrangements apply.</w:t>
            </w:r>
          </w:p>
        </w:tc>
      </w:tr>
      <w:tr w:rsidR="00E551BD" w:rsidRPr="00E551BD" w14:paraId="433A083A" w14:textId="77777777" w:rsidTr="001D6273">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04D38FA3" w14:textId="77777777" w:rsidR="001D6273" w:rsidRPr="00E551BD" w:rsidRDefault="001D6273" w:rsidP="00C65AFD">
            <w:pPr>
              <w:keepLines/>
              <w:rPr>
                <w:rFonts w:ascii="Arial Narrow" w:hAnsi="Arial Narrow"/>
                <w:b/>
                <w:bCs/>
                <w:sz w:val="20"/>
                <w:szCs w:val="20"/>
              </w:rPr>
            </w:pPr>
          </w:p>
        </w:tc>
      </w:tr>
      <w:tr w:rsidR="00E551BD" w:rsidRPr="00E551BD" w14:paraId="13F8F709"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245A72C3" w14:textId="1B6D2A38" w:rsidR="0055474F" w:rsidRPr="00E551BD" w:rsidRDefault="0055474F" w:rsidP="00C65AFD">
            <w:pPr>
              <w:keepLines/>
              <w:jc w:val="center"/>
              <w:rPr>
                <w:rFonts w:ascii="Arial Narrow" w:hAnsi="Arial Narrow"/>
                <w:sz w:val="20"/>
                <w:szCs w:val="20"/>
              </w:rPr>
            </w:pPr>
          </w:p>
        </w:tc>
        <w:tc>
          <w:tcPr>
            <w:tcW w:w="4295" w:type="pct"/>
            <w:gridSpan w:val="4"/>
            <w:vAlign w:val="center"/>
            <w:hideMark/>
          </w:tcPr>
          <w:p w14:paraId="3CF16693" w14:textId="77777777" w:rsidR="0055474F" w:rsidRPr="00E551BD" w:rsidRDefault="0055474F" w:rsidP="00C65AFD">
            <w:pPr>
              <w:keepLines/>
              <w:rPr>
                <w:rFonts w:ascii="Arial Narrow" w:hAnsi="Arial Narrow"/>
                <w:sz w:val="20"/>
                <w:szCs w:val="20"/>
              </w:rPr>
            </w:pPr>
            <w:r w:rsidRPr="00E551BD">
              <w:rPr>
                <w:rFonts w:ascii="Arial Narrow" w:hAnsi="Arial Narrow"/>
                <w:b/>
                <w:bCs/>
                <w:sz w:val="20"/>
                <w:szCs w:val="20"/>
              </w:rPr>
              <w:t>Indication:</w:t>
            </w:r>
            <w:r w:rsidRPr="00E551BD">
              <w:rPr>
                <w:rFonts w:ascii="Arial Narrow" w:hAnsi="Arial Narrow"/>
                <w:sz w:val="20"/>
                <w:szCs w:val="20"/>
              </w:rPr>
              <w:t xml:space="preserve"> Unresectable Stage III or Stage IV malignant melanoma</w:t>
            </w:r>
          </w:p>
        </w:tc>
      </w:tr>
      <w:tr w:rsidR="00E551BD" w:rsidRPr="00E551BD" w14:paraId="693D17C9"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43B1263" w14:textId="77777777" w:rsidR="001D6273" w:rsidRPr="00E551BD" w:rsidRDefault="001D6273" w:rsidP="00C65AFD">
            <w:pPr>
              <w:keepLines/>
              <w:rPr>
                <w:rFonts w:ascii="Arial Narrow" w:hAnsi="Arial Narrow"/>
                <w:b/>
                <w:bCs/>
                <w:sz w:val="20"/>
                <w:szCs w:val="20"/>
              </w:rPr>
            </w:pPr>
          </w:p>
        </w:tc>
      </w:tr>
      <w:tr w:rsidR="00E551BD" w:rsidRPr="00E551BD" w14:paraId="240CECE7"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5129E1BF" w14:textId="77777777" w:rsidR="0055474F" w:rsidRPr="00E551BD" w:rsidRDefault="0055474F" w:rsidP="00C65AFD">
            <w:pPr>
              <w:jc w:val="center"/>
              <w:rPr>
                <w:rFonts w:ascii="Arial Narrow" w:hAnsi="Arial Narrow"/>
                <w:sz w:val="20"/>
                <w:szCs w:val="20"/>
              </w:rPr>
            </w:pPr>
          </w:p>
        </w:tc>
        <w:tc>
          <w:tcPr>
            <w:tcW w:w="4295" w:type="pct"/>
            <w:gridSpan w:val="4"/>
            <w:vAlign w:val="center"/>
            <w:hideMark/>
          </w:tcPr>
          <w:p w14:paraId="4EC62F2F"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Treatment Phase:</w:t>
            </w:r>
            <w:r w:rsidRPr="00E551BD">
              <w:rPr>
                <w:rFonts w:ascii="Arial Narrow" w:hAnsi="Arial Narrow"/>
                <w:sz w:val="20"/>
                <w:szCs w:val="20"/>
              </w:rPr>
              <w:t xml:space="preserve"> Induction treatment</w:t>
            </w:r>
          </w:p>
        </w:tc>
      </w:tr>
      <w:tr w:rsidR="00E551BD" w:rsidRPr="00E551BD" w14:paraId="73F76F03"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9DD2594" w14:textId="77777777" w:rsidR="001D6273" w:rsidRPr="00E551BD" w:rsidRDefault="001D6273" w:rsidP="00C65AFD">
            <w:pPr>
              <w:rPr>
                <w:rFonts w:ascii="Arial Narrow" w:hAnsi="Arial Narrow"/>
                <w:b/>
                <w:bCs/>
                <w:sz w:val="20"/>
                <w:szCs w:val="20"/>
              </w:rPr>
            </w:pPr>
          </w:p>
        </w:tc>
      </w:tr>
      <w:tr w:rsidR="00E551BD" w:rsidRPr="00E551BD" w14:paraId="1528D55E"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EE910B1" w14:textId="06647488" w:rsidR="0055474F" w:rsidRPr="00E551BD" w:rsidRDefault="0055474F" w:rsidP="00C65AFD">
            <w:pPr>
              <w:jc w:val="center"/>
              <w:rPr>
                <w:rFonts w:ascii="Arial Narrow" w:hAnsi="Arial Narrow"/>
                <w:sz w:val="20"/>
                <w:szCs w:val="20"/>
              </w:rPr>
            </w:pPr>
          </w:p>
        </w:tc>
        <w:tc>
          <w:tcPr>
            <w:tcW w:w="4295" w:type="pct"/>
            <w:gridSpan w:val="4"/>
            <w:vAlign w:val="center"/>
            <w:hideMark/>
          </w:tcPr>
          <w:p w14:paraId="6E3227AC"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Clinical criteria:</w:t>
            </w:r>
          </w:p>
        </w:tc>
      </w:tr>
      <w:tr w:rsidR="00E551BD" w:rsidRPr="00E551BD" w14:paraId="40737148"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A8E2F91" w14:textId="56D73A9B" w:rsidR="0055474F" w:rsidRPr="00E551BD" w:rsidRDefault="0055474F" w:rsidP="00C65AFD">
            <w:pPr>
              <w:jc w:val="center"/>
              <w:rPr>
                <w:rFonts w:ascii="Arial Narrow" w:hAnsi="Arial Narrow"/>
                <w:sz w:val="20"/>
                <w:szCs w:val="20"/>
              </w:rPr>
            </w:pPr>
          </w:p>
        </w:tc>
        <w:tc>
          <w:tcPr>
            <w:tcW w:w="4295" w:type="pct"/>
            <w:gridSpan w:val="4"/>
            <w:vAlign w:val="center"/>
            <w:hideMark/>
          </w:tcPr>
          <w:p w14:paraId="1BC3C544" w14:textId="77777777" w:rsidR="0055474F" w:rsidRPr="00E551BD" w:rsidRDefault="0055474F" w:rsidP="00C65AFD">
            <w:pPr>
              <w:rPr>
                <w:rFonts w:ascii="Arial Narrow" w:hAnsi="Arial Narrow"/>
                <w:sz w:val="20"/>
                <w:szCs w:val="20"/>
              </w:rPr>
            </w:pPr>
            <w:r w:rsidRPr="00E551BD">
              <w:rPr>
                <w:rFonts w:ascii="Arial Narrow" w:hAnsi="Arial Narrow"/>
                <w:sz w:val="20"/>
                <w:szCs w:val="20"/>
              </w:rPr>
              <w:t>Patient must not have received prior treatment with ipilimumab or a PD-1 (programmed cell death-1) inhibitor for the treatment of unresectable Stage III or Stage IV malignant melanoma</w:t>
            </w:r>
          </w:p>
        </w:tc>
      </w:tr>
      <w:tr w:rsidR="00E551BD" w:rsidRPr="00E551BD" w14:paraId="5D642AF4"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7CDBE1C" w14:textId="77777777" w:rsidR="0055474F" w:rsidRPr="00E551BD" w:rsidRDefault="0055474F" w:rsidP="00C65AFD">
            <w:pPr>
              <w:jc w:val="center"/>
              <w:rPr>
                <w:rFonts w:ascii="Arial Narrow" w:hAnsi="Arial Narrow"/>
                <w:sz w:val="20"/>
                <w:szCs w:val="20"/>
              </w:rPr>
            </w:pPr>
          </w:p>
        </w:tc>
        <w:tc>
          <w:tcPr>
            <w:tcW w:w="4295" w:type="pct"/>
            <w:gridSpan w:val="4"/>
            <w:vAlign w:val="center"/>
            <w:hideMark/>
          </w:tcPr>
          <w:p w14:paraId="1B0301AE"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AND</w:t>
            </w:r>
          </w:p>
        </w:tc>
      </w:tr>
      <w:tr w:rsidR="00E551BD" w:rsidRPr="00E551BD" w14:paraId="4EFDD1B5"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6D0BC10" w14:textId="19F03BCC" w:rsidR="0055474F" w:rsidRPr="00E551BD" w:rsidRDefault="0055474F" w:rsidP="00C65AFD">
            <w:pPr>
              <w:jc w:val="center"/>
              <w:rPr>
                <w:rFonts w:ascii="Arial Narrow" w:hAnsi="Arial Narrow"/>
                <w:strike/>
                <w:sz w:val="20"/>
                <w:szCs w:val="20"/>
              </w:rPr>
            </w:pPr>
          </w:p>
        </w:tc>
        <w:tc>
          <w:tcPr>
            <w:tcW w:w="4295" w:type="pct"/>
            <w:gridSpan w:val="4"/>
            <w:vAlign w:val="center"/>
            <w:hideMark/>
          </w:tcPr>
          <w:p w14:paraId="70CBA174" w14:textId="77777777" w:rsidR="0055474F" w:rsidRPr="00E551BD" w:rsidRDefault="0055474F" w:rsidP="00C65AFD">
            <w:pPr>
              <w:rPr>
                <w:rFonts w:ascii="Arial Narrow" w:hAnsi="Arial Narrow"/>
                <w:strike/>
                <w:sz w:val="20"/>
                <w:szCs w:val="20"/>
              </w:rPr>
            </w:pPr>
            <w:r w:rsidRPr="00E551BD">
              <w:rPr>
                <w:rFonts w:ascii="Arial Narrow" w:hAnsi="Arial Narrow"/>
                <w:b/>
                <w:bCs/>
                <w:strike/>
                <w:sz w:val="20"/>
                <w:szCs w:val="20"/>
              </w:rPr>
              <w:t>Clinical criteria:</w:t>
            </w:r>
          </w:p>
        </w:tc>
      </w:tr>
      <w:tr w:rsidR="00E551BD" w:rsidRPr="00E551BD" w14:paraId="032CBD4F"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A62DC40" w14:textId="3032B017" w:rsidR="0055474F" w:rsidRPr="00E551BD" w:rsidRDefault="0055474F" w:rsidP="00C65AFD">
            <w:pPr>
              <w:jc w:val="center"/>
              <w:rPr>
                <w:rFonts w:ascii="Arial Narrow" w:hAnsi="Arial Narrow"/>
                <w:strike/>
                <w:sz w:val="20"/>
                <w:szCs w:val="20"/>
              </w:rPr>
            </w:pPr>
          </w:p>
        </w:tc>
        <w:tc>
          <w:tcPr>
            <w:tcW w:w="4295" w:type="pct"/>
            <w:gridSpan w:val="4"/>
            <w:vAlign w:val="center"/>
            <w:hideMark/>
          </w:tcPr>
          <w:p w14:paraId="3DA878BD" w14:textId="77777777" w:rsidR="0055474F" w:rsidRPr="00E551BD" w:rsidRDefault="0055474F" w:rsidP="00C65AFD">
            <w:pPr>
              <w:rPr>
                <w:rFonts w:ascii="Arial Narrow" w:hAnsi="Arial Narrow"/>
                <w:strike/>
                <w:sz w:val="20"/>
                <w:szCs w:val="20"/>
              </w:rPr>
            </w:pPr>
            <w:r w:rsidRPr="00E551BD">
              <w:rPr>
                <w:rFonts w:ascii="Arial Narrow" w:hAnsi="Arial Narrow"/>
                <w:strike/>
                <w:sz w:val="20"/>
                <w:szCs w:val="20"/>
              </w:rPr>
              <w:t>Patient must not have experienced disease progression whilst on adjuvant PD-1 inhibitor treatment or disease recurrence within 6 months of completion of adjuvant PD-1 inhibitor treatment if treated for resected Stage IIIB, IIIC, IIID or IV melanoma</w:t>
            </w:r>
          </w:p>
        </w:tc>
      </w:tr>
      <w:tr w:rsidR="00E551BD" w:rsidRPr="00E551BD" w14:paraId="187315A4"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6674096" w14:textId="77777777" w:rsidR="0055474F" w:rsidRPr="00E551BD" w:rsidRDefault="0055474F" w:rsidP="00C65AFD">
            <w:pPr>
              <w:jc w:val="center"/>
              <w:rPr>
                <w:rFonts w:ascii="Arial Narrow" w:hAnsi="Arial Narrow"/>
                <w:strike/>
                <w:sz w:val="20"/>
                <w:szCs w:val="20"/>
              </w:rPr>
            </w:pPr>
          </w:p>
        </w:tc>
        <w:tc>
          <w:tcPr>
            <w:tcW w:w="4295" w:type="pct"/>
            <w:gridSpan w:val="4"/>
            <w:vAlign w:val="center"/>
          </w:tcPr>
          <w:p w14:paraId="22259FE0" w14:textId="77777777" w:rsidR="0055474F" w:rsidRPr="00E551BD" w:rsidRDefault="0055474F" w:rsidP="00C65AFD">
            <w:pPr>
              <w:rPr>
                <w:rFonts w:ascii="Arial Narrow" w:hAnsi="Arial Narrow"/>
                <w:strike/>
                <w:sz w:val="20"/>
                <w:szCs w:val="20"/>
              </w:rPr>
            </w:pPr>
            <w:r w:rsidRPr="00E551BD">
              <w:rPr>
                <w:rFonts w:ascii="Arial Narrow" w:hAnsi="Arial Narrow"/>
                <w:b/>
                <w:bCs/>
                <w:strike/>
                <w:sz w:val="20"/>
                <w:szCs w:val="20"/>
              </w:rPr>
              <w:t>AND</w:t>
            </w:r>
          </w:p>
        </w:tc>
      </w:tr>
      <w:tr w:rsidR="00E551BD" w:rsidRPr="00E551BD" w14:paraId="3E16582B"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211F013" w14:textId="239A37ED" w:rsidR="0055474F" w:rsidRPr="00E551BD" w:rsidRDefault="0055474F" w:rsidP="00C65AFD">
            <w:pPr>
              <w:jc w:val="center"/>
              <w:rPr>
                <w:rFonts w:ascii="Arial Narrow" w:hAnsi="Arial Narrow"/>
                <w:sz w:val="20"/>
                <w:szCs w:val="20"/>
              </w:rPr>
            </w:pPr>
          </w:p>
        </w:tc>
        <w:tc>
          <w:tcPr>
            <w:tcW w:w="4295" w:type="pct"/>
            <w:gridSpan w:val="4"/>
            <w:vAlign w:val="center"/>
          </w:tcPr>
          <w:p w14:paraId="5533C4EB"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Clinical criteria:</w:t>
            </w:r>
          </w:p>
        </w:tc>
      </w:tr>
      <w:tr w:rsidR="00E551BD" w:rsidRPr="00E551BD" w14:paraId="489C091B"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A413991" w14:textId="6E604334" w:rsidR="0055474F" w:rsidRPr="00E551BD" w:rsidRDefault="0055474F" w:rsidP="00C65AFD">
            <w:pPr>
              <w:jc w:val="center"/>
              <w:rPr>
                <w:rFonts w:ascii="Arial Narrow" w:hAnsi="Arial Narrow"/>
                <w:sz w:val="20"/>
                <w:szCs w:val="20"/>
              </w:rPr>
            </w:pPr>
          </w:p>
        </w:tc>
        <w:tc>
          <w:tcPr>
            <w:tcW w:w="4295" w:type="pct"/>
            <w:gridSpan w:val="4"/>
            <w:vAlign w:val="center"/>
          </w:tcPr>
          <w:p w14:paraId="334A689C" w14:textId="77777777" w:rsidR="0055474F" w:rsidRPr="00E551BD" w:rsidRDefault="0055474F" w:rsidP="00C65AFD">
            <w:pPr>
              <w:rPr>
                <w:rFonts w:ascii="Arial Narrow" w:hAnsi="Arial Narrow"/>
                <w:sz w:val="20"/>
                <w:szCs w:val="20"/>
              </w:rPr>
            </w:pPr>
            <w:r w:rsidRPr="00E551BD">
              <w:rPr>
                <w:rFonts w:ascii="Arial Narrow" w:hAnsi="Arial Narrow"/>
                <w:sz w:val="20"/>
                <w:szCs w:val="20"/>
              </w:rPr>
              <w:t>Patient must have an Eastern Cooperative Oncology Group (ECOG) performance status of 0 or 1</w:t>
            </w:r>
          </w:p>
        </w:tc>
      </w:tr>
      <w:tr w:rsidR="00E551BD" w:rsidRPr="00E551BD" w14:paraId="7B643200"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51621E2" w14:textId="77777777" w:rsidR="0055474F" w:rsidRPr="00E551BD" w:rsidRDefault="0055474F" w:rsidP="00C65AFD">
            <w:pPr>
              <w:jc w:val="center"/>
              <w:rPr>
                <w:rFonts w:ascii="Arial Narrow" w:hAnsi="Arial Narrow"/>
                <w:sz w:val="20"/>
                <w:szCs w:val="20"/>
              </w:rPr>
            </w:pPr>
          </w:p>
        </w:tc>
        <w:tc>
          <w:tcPr>
            <w:tcW w:w="4295" w:type="pct"/>
            <w:gridSpan w:val="4"/>
            <w:vAlign w:val="center"/>
            <w:hideMark/>
          </w:tcPr>
          <w:p w14:paraId="5D1EA31B"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AND</w:t>
            </w:r>
          </w:p>
        </w:tc>
      </w:tr>
      <w:tr w:rsidR="00E551BD" w:rsidRPr="00E551BD" w14:paraId="064DA481"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DDF191E" w14:textId="7DFF265C" w:rsidR="0055474F" w:rsidRPr="00E551BD" w:rsidRDefault="0055474F" w:rsidP="00C65AFD">
            <w:pPr>
              <w:jc w:val="center"/>
              <w:rPr>
                <w:rFonts w:ascii="Arial Narrow" w:hAnsi="Arial Narrow"/>
                <w:sz w:val="20"/>
                <w:szCs w:val="20"/>
              </w:rPr>
            </w:pPr>
          </w:p>
        </w:tc>
        <w:tc>
          <w:tcPr>
            <w:tcW w:w="4295" w:type="pct"/>
            <w:gridSpan w:val="4"/>
            <w:vAlign w:val="center"/>
            <w:hideMark/>
          </w:tcPr>
          <w:p w14:paraId="02D37C21"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 xml:space="preserve">Clinical criteria: </w:t>
            </w:r>
          </w:p>
        </w:tc>
      </w:tr>
      <w:tr w:rsidR="00E551BD" w:rsidRPr="00E551BD" w14:paraId="4A4B9435"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BACAA47" w14:textId="406F9D05" w:rsidR="0055474F" w:rsidRPr="00E551BD" w:rsidRDefault="0055474F" w:rsidP="00C65AFD">
            <w:pPr>
              <w:jc w:val="center"/>
              <w:rPr>
                <w:rFonts w:ascii="Arial Narrow" w:hAnsi="Arial Narrow"/>
                <w:sz w:val="20"/>
                <w:szCs w:val="20"/>
              </w:rPr>
            </w:pPr>
          </w:p>
        </w:tc>
        <w:tc>
          <w:tcPr>
            <w:tcW w:w="4295" w:type="pct"/>
            <w:gridSpan w:val="4"/>
            <w:vAlign w:val="center"/>
            <w:hideMark/>
          </w:tcPr>
          <w:p w14:paraId="5A0D4637" w14:textId="77777777" w:rsidR="0055474F" w:rsidRPr="00E551BD" w:rsidRDefault="0055474F" w:rsidP="00C65AFD">
            <w:pPr>
              <w:rPr>
                <w:rFonts w:ascii="Arial Narrow" w:hAnsi="Arial Narrow"/>
                <w:sz w:val="20"/>
                <w:szCs w:val="20"/>
              </w:rPr>
            </w:pPr>
            <w:r w:rsidRPr="00E551BD">
              <w:rPr>
                <w:rFonts w:ascii="Arial Narrow" w:hAnsi="Arial Narrow"/>
                <w:sz w:val="20"/>
                <w:szCs w:val="20"/>
              </w:rPr>
              <w:t>The condition must not be ocular or uveal melanoma</w:t>
            </w:r>
          </w:p>
        </w:tc>
      </w:tr>
      <w:tr w:rsidR="00E551BD" w:rsidRPr="00E551BD" w14:paraId="67850FA1"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0818221" w14:textId="77777777" w:rsidR="0055474F" w:rsidRPr="00E551BD" w:rsidRDefault="0055474F" w:rsidP="00C65AFD">
            <w:pPr>
              <w:jc w:val="center"/>
              <w:rPr>
                <w:rFonts w:ascii="Arial Narrow" w:hAnsi="Arial Narrow"/>
                <w:sz w:val="20"/>
                <w:szCs w:val="20"/>
              </w:rPr>
            </w:pPr>
          </w:p>
        </w:tc>
        <w:tc>
          <w:tcPr>
            <w:tcW w:w="4295" w:type="pct"/>
            <w:gridSpan w:val="4"/>
            <w:vAlign w:val="center"/>
          </w:tcPr>
          <w:p w14:paraId="136A13C4"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AND</w:t>
            </w:r>
          </w:p>
        </w:tc>
      </w:tr>
      <w:tr w:rsidR="00E551BD" w:rsidRPr="00E551BD" w14:paraId="7797D78E"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6B593FD" w14:textId="14E79D90" w:rsidR="0055474F" w:rsidRPr="00E551BD" w:rsidRDefault="0055474F" w:rsidP="00C65AFD">
            <w:pPr>
              <w:jc w:val="center"/>
              <w:rPr>
                <w:rFonts w:ascii="Arial Narrow" w:hAnsi="Arial Narrow"/>
                <w:sz w:val="20"/>
                <w:szCs w:val="20"/>
              </w:rPr>
            </w:pPr>
          </w:p>
        </w:tc>
        <w:tc>
          <w:tcPr>
            <w:tcW w:w="4295" w:type="pct"/>
            <w:gridSpan w:val="4"/>
            <w:vAlign w:val="center"/>
          </w:tcPr>
          <w:p w14:paraId="2EFB3E75" w14:textId="77777777" w:rsidR="0055474F" w:rsidRPr="00E551BD" w:rsidRDefault="0055474F" w:rsidP="00C65AFD">
            <w:pPr>
              <w:rPr>
                <w:rFonts w:ascii="Arial Narrow" w:hAnsi="Arial Narrow"/>
                <w:sz w:val="20"/>
                <w:szCs w:val="20"/>
              </w:rPr>
            </w:pPr>
            <w:r w:rsidRPr="00E551BD">
              <w:rPr>
                <w:rFonts w:ascii="Arial Narrow" w:hAnsi="Arial Narrow"/>
                <w:b/>
                <w:bCs/>
                <w:sz w:val="20"/>
                <w:szCs w:val="20"/>
              </w:rPr>
              <w:t xml:space="preserve">Clinical criteria: </w:t>
            </w:r>
          </w:p>
        </w:tc>
      </w:tr>
      <w:tr w:rsidR="00E551BD" w:rsidRPr="00E551BD" w14:paraId="177117A5"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735669D" w14:textId="14946180" w:rsidR="0055474F" w:rsidRPr="00E551BD" w:rsidRDefault="0055474F" w:rsidP="00C65AFD">
            <w:pPr>
              <w:jc w:val="center"/>
              <w:rPr>
                <w:rFonts w:ascii="Arial Narrow" w:hAnsi="Arial Narrow"/>
                <w:sz w:val="20"/>
                <w:szCs w:val="20"/>
              </w:rPr>
            </w:pPr>
          </w:p>
        </w:tc>
        <w:tc>
          <w:tcPr>
            <w:tcW w:w="4295" w:type="pct"/>
            <w:gridSpan w:val="4"/>
            <w:vAlign w:val="center"/>
          </w:tcPr>
          <w:p w14:paraId="76AE4A9B" w14:textId="77777777" w:rsidR="0055474F" w:rsidRPr="00E551BD" w:rsidRDefault="0055474F" w:rsidP="00C65AFD">
            <w:pPr>
              <w:rPr>
                <w:rFonts w:ascii="Arial Narrow" w:hAnsi="Arial Narrow"/>
                <w:sz w:val="20"/>
                <w:szCs w:val="20"/>
              </w:rPr>
            </w:pPr>
            <w:r w:rsidRPr="00E551BD">
              <w:rPr>
                <w:rFonts w:ascii="Arial Narrow" w:hAnsi="Arial Narrow"/>
                <w:sz w:val="20"/>
                <w:szCs w:val="20"/>
              </w:rPr>
              <w:t>The treatment must be in combination with PBS-subsidised treatment with nivolumab as induction therapy for this condition</w:t>
            </w:r>
          </w:p>
        </w:tc>
      </w:tr>
      <w:tr w:rsidR="00E551BD" w:rsidRPr="00E551BD" w14:paraId="53CE98C2" w14:textId="77777777" w:rsidTr="001D627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4928395" w14:textId="77777777" w:rsidR="001D6273" w:rsidRPr="00E551BD" w:rsidRDefault="001D6273" w:rsidP="00C65AFD">
            <w:pPr>
              <w:rPr>
                <w:rFonts w:ascii="Arial Narrow" w:hAnsi="Arial Narrow"/>
                <w:sz w:val="20"/>
                <w:szCs w:val="20"/>
              </w:rPr>
            </w:pPr>
          </w:p>
        </w:tc>
      </w:tr>
      <w:tr w:rsidR="00E551BD" w:rsidRPr="00E551BD" w14:paraId="51B2899C" w14:textId="77777777" w:rsidTr="00D726F8">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7C73C12" w14:textId="4F402463" w:rsidR="0055474F" w:rsidRPr="00E551BD" w:rsidRDefault="0055474F" w:rsidP="00C65AFD">
            <w:pPr>
              <w:jc w:val="center"/>
              <w:rPr>
                <w:rFonts w:ascii="Arial Narrow" w:hAnsi="Arial Narrow"/>
                <w:sz w:val="20"/>
                <w:szCs w:val="20"/>
              </w:rPr>
            </w:pPr>
          </w:p>
        </w:tc>
        <w:tc>
          <w:tcPr>
            <w:tcW w:w="4295" w:type="pct"/>
            <w:gridSpan w:val="4"/>
            <w:vAlign w:val="center"/>
            <w:hideMark/>
          </w:tcPr>
          <w:p w14:paraId="71584019" w14:textId="77777777" w:rsidR="0055474F" w:rsidRPr="00E551BD" w:rsidRDefault="0055474F" w:rsidP="00C65AFD">
            <w:pPr>
              <w:rPr>
                <w:rFonts w:ascii="Arial Narrow" w:hAnsi="Arial Narrow"/>
                <w:b/>
                <w:bCs/>
                <w:sz w:val="20"/>
                <w:szCs w:val="20"/>
              </w:rPr>
            </w:pPr>
            <w:r w:rsidRPr="00E551BD">
              <w:rPr>
                <w:rFonts w:ascii="Arial Narrow" w:hAnsi="Arial Narrow"/>
                <w:b/>
                <w:bCs/>
                <w:sz w:val="20"/>
                <w:szCs w:val="20"/>
              </w:rPr>
              <w:t>Prescribing Instructions:</w:t>
            </w:r>
          </w:p>
          <w:p w14:paraId="619FFCCF" w14:textId="77777777" w:rsidR="0055474F" w:rsidRPr="00E551BD" w:rsidRDefault="0055474F" w:rsidP="00C65AFD">
            <w:pPr>
              <w:rPr>
                <w:rFonts w:ascii="Arial Narrow" w:hAnsi="Arial Narrow"/>
                <w:sz w:val="20"/>
                <w:szCs w:val="20"/>
              </w:rPr>
            </w:pPr>
            <w:r w:rsidRPr="00E551BD">
              <w:rPr>
                <w:rFonts w:ascii="Arial Narrow" w:hAnsi="Arial Narrow"/>
                <w:sz w:val="20"/>
                <w:szCs w:val="20"/>
              </w:rPr>
              <w:t>Induction treatment with nivolumab must not exceed a total of 4 doses at a maximum dose of 1 mg per kg every 3 weeks.</w:t>
            </w:r>
          </w:p>
        </w:tc>
      </w:tr>
      <w:tr w:rsidR="00E551BD" w:rsidRPr="00E551BD" w14:paraId="02A5F66B"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955FB8A" w14:textId="6AC0CE24" w:rsidR="0055474F" w:rsidRPr="00E551BD" w:rsidRDefault="0055474F" w:rsidP="00C65AFD">
            <w:pPr>
              <w:jc w:val="center"/>
              <w:rPr>
                <w:rFonts w:ascii="Arial Narrow" w:hAnsi="Arial Narrow"/>
                <w:sz w:val="20"/>
                <w:szCs w:val="20"/>
              </w:rPr>
            </w:pPr>
          </w:p>
        </w:tc>
        <w:tc>
          <w:tcPr>
            <w:tcW w:w="4295" w:type="pct"/>
            <w:gridSpan w:val="4"/>
            <w:vAlign w:val="center"/>
          </w:tcPr>
          <w:p w14:paraId="029FBD1F" w14:textId="77777777" w:rsidR="0055474F" w:rsidRPr="00E551BD" w:rsidRDefault="0055474F" w:rsidP="00C65AFD">
            <w:pPr>
              <w:rPr>
                <w:rFonts w:ascii="Arial Narrow" w:hAnsi="Arial Narrow"/>
                <w:b/>
                <w:bCs/>
                <w:sz w:val="20"/>
                <w:szCs w:val="20"/>
              </w:rPr>
            </w:pPr>
            <w:r w:rsidRPr="00E551BD">
              <w:rPr>
                <w:rFonts w:ascii="Arial Narrow" w:hAnsi="Arial Narrow"/>
                <w:b/>
                <w:bCs/>
                <w:sz w:val="20"/>
                <w:szCs w:val="20"/>
              </w:rPr>
              <w:t>Prescribing Instructions:</w:t>
            </w:r>
          </w:p>
          <w:p w14:paraId="4526F586" w14:textId="77777777" w:rsidR="0055474F" w:rsidRPr="00E551BD" w:rsidRDefault="0055474F" w:rsidP="00C65AFD">
            <w:pPr>
              <w:rPr>
                <w:rFonts w:ascii="Arial Narrow" w:hAnsi="Arial Narrow"/>
                <w:sz w:val="20"/>
                <w:szCs w:val="20"/>
              </w:rPr>
            </w:pPr>
            <w:r w:rsidRPr="00E551BD">
              <w:rPr>
                <w:rFonts w:ascii="Arial Narrow" w:hAnsi="Arial Narrow"/>
                <w:sz w:val="20"/>
                <w:szCs w:val="20"/>
              </w:rPr>
              <w:t>Induction treatment with ipilimumab must not exceed a total of 4 doses at a maximum dose of 3 mg per kg every 3 weeks.</w:t>
            </w:r>
          </w:p>
        </w:tc>
      </w:tr>
      <w:tr w:rsidR="00E551BD" w:rsidRPr="00E551BD" w14:paraId="120F69C7" w14:textId="77777777" w:rsidTr="00C65AF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3EB1E18" w14:textId="01B135AA" w:rsidR="0055474F" w:rsidRPr="00E551BD" w:rsidRDefault="0055474F" w:rsidP="00C65AFD">
            <w:pPr>
              <w:jc w:val="center"/>
              <w:rPr>
                <w:rFonts w:ascii="Arial Narrow" w:hAnsi="Arial Narrow"/>
                <w:sz w:val="20"/>
                <w:szCs w:val="20"/>
              </w:rPr>
            </w:pPr>
          </w:p>
        </w:tc>
        <w:tc>
          <w:tcPr>
            <w:tcW w:w="4295" w:type="pct"/>
            <w:gridSpan w:val="4"/>
            <w:vAlign w:val="center"/>
          </w:tcPr>
          <w:p w14:paraId="5DEE538A" w14:textId="77777777" w:rsidR="0055474F" w:rsidRPr="00E551BD" w:rsidRDefault="0055474F" w:rsidP="00C65AFD">
            <w:pPr>
              <w:rPr>
                <w:rFonts w:ascii="Arial Narrow" w:hAnsi="Arial Narrow"/>
                <w:b/>
                <w:bCs/>
                <w:sz w:val="20"/>
                <w:szCs w:val="20"/>
              </w:rPr>
            </w:pPr>
            <w:r w:rsidRPr="00E551BD">
              <w:rPr>
                <w:rFonts w:ascii="Arial Narrow" w:hAnsi="Arial Narrow"/>
                <w:b/>
                <w:bCs/>
                <w:sz w:val="20"/>
                <w:szCs w:val="20"/>
              </w:rPr>
              <w:t>Prescribing Instructions:</w:t>
            </w:r>
          </w:p>
          <w:p w14:paraId="1B07B74B" w14:textId="77777777" w:rsidR="0055474F" w:rsidRPr="00E551BD" w:rsidRDefault="0055474F" w:rsidP="00C65AFD">
            <w:pPr>
              <w:rPr>
                <w:rFonts w:ascii="Arial Narrow" w:hAnsi="Arial Narrow"/>
                <w:b/>
                <w:bCs/>
                <w:sz w:val="20"/>
                <w:szCs w:val="20"/>
              </w:rPr>
            </w:pPr>
            <w:r w:rsidRPr="00E551BD">
              <w:rPr>
                <w:rFonts w:ascii="Arial Narrow" w:hAnsi="Arial Narrow"/>
                <w:sz w:val="20"/>
                <w:szCs w:val="20"/>
              </w:rPr>
              <w:t>The patient's body weight must be documented in the patient's medical records at the time treatment is initiated.</w:t>
            </w:r>
          </w:p>
        </w:tc>
      </w:tr>
      <w:bookmarkEnd w:id="71"/>
    </w:tbl>
    <w:p w14:paraId="25BB8457" w14:textId="77777777" w:rsidR="00786DE5" w:rsidRDefault="00786DE5" w:rsidP="00786DE5">
      <w:pPr>
        <w:rPr>
          <w:b/>
          <w:i/>
        </w:rPr>
      </w:pPr>
    </w:p>
    <w:p w14:paraId="3C106112" w14:textId="045AAD6B" w:rsidR="00786DE5" w:rsidRDefault="00786DE5" w:rsidP="00786DE5">
      <w:r w:rsidRPr="00CA76F0">
        <w:rPr>
          <w:b/>
          <w:i/>
        </w:rPr>
        <w:t>This restriction may be subject to further review. Should there be any changes made to the restriction the sponsor will be informed</w:t>
      </w:r>
      <w:r w:rsidRPr="007F262A">
        <w:t>.</w:t>
      </w:r>
    </w:p>
    <w:p w14:paraId="4E06D4C1" w14:textId="70B64406" w:rsidR="00D726F8" w:rsidRDefault="00D726F8" w:rsidP="00D726F8">
      <w:pPr>
        <w:pStyle w:val="2-SectionHeading"/>
        <w:keepNext w:val="0"/>
        <w:rPr>
          <w:bCs/>
          <w:lang w:val="en-GB"/>
        </w:rPr>
      </w:pPr>
      <w:r w:rsidRPr="00C07617">
        <w:t>Context for Decision</w:t>
      </w:r>
    </w:p>
    <w:p w14:paraId="771CC7A0" w14:textId="77777777" w:rsidR="00D726F8" w:rsidRPr="007129F2" w:rsidRDefault="00D726F8" w:rsidP="00D726F8">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6234B53" w14:textId="6FCAB9A0" w:rsidR="00D726F8" w:rsidRPr="00C07617" w:rsidRDefault="00D726F8" w:rsidP="00D726F8">
      <w:pPr>
        <w:pStyle w:val="2-SectionHeading"/>
        <w:keepNext w:val="0"/>
        <w:rPr>
          <w:b w:val="0"/>
        </w:rPr>
      </w:pPr>
      <w:r>
        <w:t>Sponsor’s Comment</w:t>
      </w:r>
    </w:p>
    <w:p w14:paraId="5DC59600" w14:textId="77777777" w:rsidR="00E74AAB" w:rsidRPr="00E74AAB" w:rsidRDefault="00E74AAB" w:rsidP="00E74AAB">
      <w:pPr>
        <w:pStyle w:val="2-SectionHeading"/>
        <w:numPr>
          <w:ilvl w:val="0"/>
          <w:numId w:val="0"/>
        </w:numPr>
        <w:ind w:left="720"/>
        <w:rPr>
          <w:b w:val="0"/>
          <w:bCs/>
          <w:snapToGrid/>
          <w:sz w:val="24"/>
          <w:szCs w:val="24"/>
          <w:lang w:val="en-GB"/>
        </w:rPr>
      </w:pPr>
      <w:r w:rsidRPr="00E74AAB">
        <w:rPr>
          <w:b w:val="0"/>
          <w:bCs/>
          <w:snapToGrid/>
          <w:sz w:val="24"/>
          <w:szCs w:val="24"/>
          <w:lang w:val="en-GB"/>
        </w:rPr>
        <w:t xml:space="preserve">The Sponsor is pleased to receive the recommendation for this indication and is committed to making this treatment option available to melanoma patients. </w:t>
      </w:r>
    </w:p>
    <w:p w14:paraId="3472AB14" w14:textId="77777777" w:rsidR="00D726F8" w:rsidRPr="00786DE5" w:rsidRDefault="00D726F8" w:rsidP="00786DE5">
      <w:pPr>
        <w:pStyle w:val="3-BodyText"/>
        <w:numPr>
          <w:ilvl w:val="0"/>
          <w:numId w:val="0"/>
        </w:numPr>
        <w:ind w:left="720" w:hanging="720"/>
      </w:pPr>
    </w:p>
    <w:sectPr w:rsidR="00D726F8" w:rsidRPr="00786DE5">
      <w:headerReference w:type="even" r:id="rId9"/>
      <w:headerReference w:type="default" r:id="rId10"/>
      <w:footerReference w:type="even" r:id="rId11"/>
      <w:footerReference w:type="default" r:id="rId12"/>
      <w:headerReference w:type="first" r:id="rId13"/>
      <w:footerReference w:type="first" r:id="rId14"/>
      <w:pgSz w:w="11907" w:h="16840" w:code="9"/>
      <w:pgMar w:top="1440" w:right="1701"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93609" w14:textId="77777777" w:rsidR="00F45E7D" w:rsidRDefault="0087463C">
      <w:r>
        <w:separator/>
      </w:r>
    </w:p>
    <w:p w14:paraId="354AC3EC" w14:textId="77777777" w:rsidR="00F45E7D" w:rsidRDefault="00F45E7D"/>
  </w:endnote>
  <w:endnote w:type="continuationSeparator" w:id="0">
    <w:p w14:paraId="296F9B1A" w14:textId="77777777" w:rsidR="00F45E7D" w:rsidRDefault="0087463C">
      <w:r>
        <w:continuationSeparator/>
      </w:r>
    </w:p>
    <w:p w14:paraId="399E0D76" w14:textId="77777777" w:rsidR="00F45E7D" w:rsidRDefault="00F45E7D"/>
  </w:endnote>
  <w:endnote w:type="continuationNotice" w:id="1">
    <w:p w14:paraId="1BEA1C65" w14:textId="77777777" w:rsidR="00F45E7D" w:rsidRDefault="00F45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haker 2 Lance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160B" w14:textId="77777777" w:rsidR="00F45E7D" w:rsidRDefault="00F45E7D">
    <w:pPr>
      <w:pStyle w:val="Footer"/>
    </w:pPr>
  </w:p>
  <w:p w14:paraId="4ABE7CF0" w14:textId="77777777" w:rsidR="00F45E7D" w:rsidRDefault="00F45E7D"/>
  <w:p w14:paraId="08CBCDF8" w14:textId="77777777" w:rsidR="00F45E7D" w:rsidRDefault="00F45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1E59" w14:textId="77777777" w:rsidR="00F45E7D" w:rsidRDefault="00F45E7D">
    <w:pPr>
      <w:pStyle w:val="Footer"/>
      <w:jc w:val="center"/>
    </w:pPr>
  </w:p>
  <w:p w14:paraId="61E0304A" w14:textId="56BEBF8F" w:rsidR="00F45E7D" w:rsidRPr="006722CE" w:rsidRDefault="00D8701A" w:rsidP="006722CE">
    <w:pPr>
      <w:pStyle w:val="Footer"/>
      <w:jc w:val="center"/>
      <w:rPr>
        <w:b/>
        <w:bCs/>
      </w:rPr>
    </w:pPr>
    <w:sdt>
      <w:sdtPr>
        <w:id w:val="1851606938"/>
        <w:docPartObj>
          <w:docPartGallery w:val="Page Numbers (Bottom of Page)"/>
          <w:docPartUnique/>
        </w:docPartObj>
      </w:sdtPr>
      <w:sdtEndPr>
        <w:rPr>
          <w:b/>
          <w:bCs/>
          <w:noProof/>
        </w:rPr>
      </w:sdtEndPr>
      <w:sdtContent>
        <w:r w:rsidR="0087463C">
          <w:rPr>
            <w:b/>
            <w:bCs/>
          </w:rPr>
          <w:fldChar w:fldCharType="begin"/>
        </w:r>
        <w:r w:rsidR="0087463C">
          <w:rPr>
            <w:b/>
            <w:bCs/>
          </w:rPr>
          <w:instrText xml:space="preserve"> PAGE   \* MERGEFORMAT </w:instrText>
        </w:r>
        <w:r w:rsidR="0087463C">
          <w:rPr>
            <w:b/>
            <w:bCs/>
          </w:rPr>
          <w:fldChar w:fldCharType="separate"/>
        </w:r>
        <w:r w:rsidR="0087463C">
          <w:rPr>
            <w:b/>
            <w:bCs/>
            <w:noProof/>
          </w:rPr>
          <w:t>2</w:t>
        </w:r>
        <w:r w:rsidR="0087463C">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924F" w14:textId="77777777" w:rsidR="00F45E7D" w:rsidRDefault="00F45E7D">
    <w:pPr>
      <w:ind w:right="360"/>
      <w:jc w:val="center"/>
      <w:rPr>
        <w:b/>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48BA" w14:textId="77777777" w:rsidR="00F45E7D" w:rsidRDefault="0087463C">
      <w:r>
        <w:separator/>
      </w:r>
    </w:p>
    <w:p w14:paraId="159CC52A" w14:textId="77777777" w:rsidR="00F45E7D" w:rsidRDefault="00F45E7D"/>
  </w:footnote>
  <w:footnote w:type="continuationSeparator" w:id="0">
    <w:p w14:paraId="76CA58AE" w14:textId="77777777" w:rsidR="00F45E7D" w:rsidRDefault="0087463C">
      <w:r>
        <w:continuationSeparator/>
      </w:r>
    </w:p>
    <w:p w14:paraId="4BB90C63" w14:textId="77777777" w:rsidR="00F45E7D" w:rsidRDefault="00F45E7D"/>
  </w:footnote>
  <w:footnote w:type="continuationNotice" w:id="1">
    <w:p w14:paraId="173525AF" w14:textId="77777777" w:rsidR="00F45E7D" w:rsidRDefault="00F45E7D"/>
  </w:footnote>
  <w:footnote w:id="2">
    <w:p w14:paraId="77868CFD" w14:textId="77777777" w:rsidR="00F45E7D" w:rsidRDefault="0087463C">
      <w:pPr>
        <w:pStyle w:val="FootnoteText"/>
        <w:jc w:val="left"/>
        <w:rPr>
          <w:sz w:val="18"/>
          <w:szCs w:val="18"/>
        </w:rPr>
      </w:pPr>
      <w:r>
        <w:rPr>
          <w:rStyle w:val="FootnoteReference"/>
          <w:sz w:val="18"/>
          <w:szCs w:val="18"/>
        </w:rPr>
        <w:footnoteRef/>
      </w:r>
      <w:r>
        <w:rPr>
          <w:sz w:val="18"/>
          <w:szCs w:val="18"/>
        </w:rPr>
        <w:t xml:space="preserve"> Cancer Australia, (2021), Melanoma of the skin, </w:t>
      </w:r>
      <w:hyperlink r:id="rId1" w:history="1">
        <w:r>
          <w:rPr>
            <w:rStyle w:val="Hyperlink"/>
            <w:sz w:val="18"/>
            <w:szCs w:val="18"/>
          </w:rPr>
          <w:t>https://www.canceraustralia.gov.au/cancer-types/melanoma/statistics</w:t>
        </w:r>
      </w:hyperlink>
    </w:p>
  </w:footnote>
  <w:footnote w:id="3">
    <w:p w14:paraId="7FDBC43C" w14:textId="77777777" w:rsidR="00F45E7D" w:rsidRDefault="0087463C">
      <w:pPr>
        <w:pStyle w:val="FootnoteText"/>
        <w:jc w:val="left"/>
        <w:rPr>
          <w:sz w:val="18"/>
          <w:szCs w:val="18"/>
        </w:rPr>
      </w:pPr>
      <w:r>
        <w:rPr>
          <w:rStyle w:val="FootnoteReference"/>
          <w:sz w:val="18"/>
          <w:szCs w:val="18"/>
        </w:rPr>
        <w:footnoteRef/>
      </w:r>
      <w:r>
        <w:rPr>
          <w:sz w:val="18"/>
          <w:szCs w:val="18"/>
        </w:rPr>
        <w:t xml:space="preserve"> Australian Institute of Health and Welfare (AIHW), (2021), Cancer data in Australia, </w:t>
      </w:r>
      <w:hyperlink r:id="rId2" w:history="1">
        <w:r>
          <w:rPr>
            <w:rStyle w:val="Hyperlink"/>
            <w:sz w:val="18"/>
            <w:szCs w:val="18"/>
          </w:rPr>
          <w:t>https://www.aihw.gov.au/reports/cancer/cancer-data-in-australia/contents/cancer-summary-data-visualisation</w:t>
        </w:r>
      </w:hyperlink>
    </w:p>
    <w:p w14:paraId="2D043B97" w14:textId="77777777" w:rsidR="00F45E7D" w:rsidRDefault="00F45E7D">
      <w:pPr>
        <w:pStyle w:val="FootnoteText"/>
        <w:jc w:val="left"/>
        <w:rPr>
          <w:sz w:val="18"/>
          <w:szCs w:val="18"/>
        </w:rPr>
      </w:pPr>
    </w:p>
  </w:footnote>
  <w:footnote w:id="4">
    <w:p w14:paraId="166EEB32" w14:textId="77777777" w:rsidR="00F45E7D" w:rsidRDefault="0087463C">
      <w:pPr>
        <w:pStyle w:val="FootnoteText"/>
        <w:jc w:val="left"/>
        <w:rPr>
          <w:sz w:val="18"/>
          <w:szCs w:val="18"/>
        </w:rPr>
      </w:pPr>
      <w:r>
        <w:rPr>
          <w:rStyle w:val="FootnoteReference"/>
          <w:sz w:val="18"/>
          <w:szCs w:val="18"/>
        </w:rPr>
        <w:footnoteRef/>
      </w:r>
      <w:r>
        <w:rPr>
          <w:sz w:val="18"/>
          <w:szCs w:val="18"/>
        </w:rPr>
        <w:t xml:space="preserve"> National Cancer Control Indicators, (2019), Relative survival by stage at diagnosis (melanoma), </w:t>
      </w:r>
      <w:hyperlink r:id="rId3" w:history="1">
        <w:r>
          <w:rPr>
            <w:rStyle w:val="Hyperlink"/>
            <w:sz w:val="18"/>
            <w:szCs w:val="18"/>
          </w:rPr>
          <w:t>https://ncci.canceraustralia.gov.au/outcomes/relative-survival-rate/relative-survival-stage-diagnosis-melanoma</w:t>
        </w:r>
      </w:hyperlink>
    </w:p>
  </w:footnote>
  <w:footnote w:id="5">
    <w:p w14:paraId="3841A0C0" w14:textId="77777777" w:rsidR="00F45E7D" w:rsidRDefault="0087463C">
      <w:pPr>
        <w:pStyle w:val="FootnoteText"/>
        <w:jc w:val="left"/>
        <w:rPr>
          <w:sz w:val="18"/>
          <w:szCs w:val="18"/>
        </w:rPr>
      </w:pPr>
      <w:r>
        <w:rPr>
          <w:rStyle w:val="FootnoteReference"/>
          <w:sz w:val="18"/>
          <w:szCs w:val="18"/>
        </w:rPr>
        <w:footnoteRef/>
      </w:r>
      <w:r>
        <w:rPr>
          <w:sz w:val="18"/>
          <w:szCs w:val="18"/>
        </w:rPr>
        <w:t xml:space="preserve"> </w:t>
      </w:r>
      <w:hyperlink r:id="rId4" w:history="1">
        <w:r>
          <w:rPr>
            <w:rStyle w:val="Hyperlink"/>
            <w:rFonts w:eastAsiaTheme="majorEastAsia"/>
            <w:sz w:val="18"/>
            <w:szCs w:val="18"/>
          </w:rPr>
          <w:t>Summary of recommendations and practice points: Immunotherapy for melanoma - Cancer Guidelines Wiki</w:t>
        </w:r>
      </w:hyperlink>
      <w:r>
        <w:rPr>
          <w:sz w:val="18"/>
          <w:szCs w:val="18"/>
        </w:rPr>
        <w:t>, accessed 25 March 2020</w:t>
      </w:r>
    </w:p>
  </w:footnote>
  <w:footnote w:id="6">
    <w:p w14:paraId="48C0B972" w14:textId="77777777" w:rsidR="00F45E7D" w:rsidRDefault="0087463C">
      <w:pPr>
        <w:pStyle w:val="FootnoteText"/>
        <w:jc w:val="left"/>
        <w:rPr>
          <w:sz w:val="18"/>
          <w:szCs w:val="18"/>
        </w:rPr>
      </w:pPr>
      <w:r>
        <w:rPr>
          <w:rStyle w:val="FootnoteReference"/>
          <w:sz w:val="18"/>
          <w:szCs w:val="18"/>
        </w:rPr>
        <w:footnoteRef/>
      </w:r>
      <w:r>
        <w:rPr>
          <w:sz w:val="18"/>
          <w:szCs w:val="18"/>
        </w:rPr>
        <w:t xml:space="preserve"> </w:t>
      </w:r>
      <w:hyperlink r:id="rId5" w:history="1">
        <w:r>
          <w:rPr>
            <w:rStyle w:val="Hyperlink"/>
            <w:rFonts w:eastAsiaTheme="majorEastAsia"/>
            <w:sz w:val="18"/>
            <w:szCs w:val="18"/>
          </w:rPr>
          <w:t>cutaneous_melanoma.pdf (nccn.org)</w:t>
        </w:r>
      </w:hyperlink>
      <w:r>
        <w:rPr>
          <w:sz w:val="18"/>
          <w:szCs w:val="18"/>
        </w:rPr>
        <w:t>, accessed 25 March 2020</w:t>
      </w:r>
    </w:p>
  </w:footnote>
  <w:footnote w:id="7">
    <w:p w14:paraId="24972022" w14:textId="77777777" w:rsidR="00F45E7D" w:rsidRDefault="0087463C">
      <w:pPr>
        <w:pStyle w:val="FootnoteText"/>
        <w:jc w:val="left"/>
        <w:rPr>
          <w:sz w:val="18"/>
          <w:szCs w:val="18"/>
        </w:rPr>
      </w:pPr>
      <w:r>
        <w:rPr>
          <w:rStyle w:val="FootnoteReference"/>
          <w:sz w:val="18"/>
          <w:szCs w:val="18"/>
        </w:rPr>
        <w:footnoteRef/>
      </w:r>
      <w:r>
        <w:rPr>
          <w:sz w:val="18"/>
          <w:szCs w:val="18"/>
        </w:rPr>
        <w:t xml:space="preserve"> Keilholz et al, 2020, ESMO consensus conference recommendations on the management of metastatic melanoma: under the auspices of the ESMO Guidelines Committee. Ann Oncol. 2020 Nov; 31(11):1435-1448. doi: 10.1016/j.annonc.2020.07.004</w:t>
      </w:r>
    </w:p>
  </w:footnote>
  <w:footnote w:id="8">
    <w:p w14:paraId="00789CB7" w14:textId="7584E2D6" w:rsidR="00CF4409" w:rsidRDefault="00CF4409" w:rsidP="00CF4409">
      <w:pPr>
        <w:pStyle w:val="FootnoteText"/>
      </w:pPr>
      <w:r>
        <w:rPr>
          <w:rStyle w:val="FootnoteReference"/>
        </w:rPr>
        <w:footnoteRef/>
      </w:r>
      <w:r>
        <w:t xml:space="preserve"> Vandewalde AM, Moon J, Kendra K, et al. CT013 – S1616: ipilimumab pus nivolumab versus ipilimumab alone in patients with metastatic or unresectable melanoma that did not respond to anti-PD-1 therapy. AACR annual meeting 2022. Available at: </w:t>
      </w:r>
      <w:r w:rsidRPr="00CF4409">
        <w:t>www.abstractsonline.com/pp8/#!/10517/presentation/2015</w:t>
      </w:r>
      <w:r>
        <w:t>5</w:t>
      </w:r>
    </w:p>
  </w:footnote>
  <w:footnote w:id="9">
    <w:p w14:paraId="54B88A66" w14:textId="77777777" w:rsidR="00F45E7D" w:rsidRDefault="0087463C">
      <w:pPr>
        <w:pStyle w:val="FootnoteText"/>
      </w:pPr>
      <w:r>
        <w:rPr>
          <w:rStyle w:val="FootnoteReference"/>
        </w:rPr>
        <w:footnoteRef/>
      </w:r>
      <w:r>
        <w:t xml:space="preserve"> </w:t>
      </w:r>
      <w:r>
        <w:rPr>
          <w:rFonts w:asciiTheme="minorHAnsi" w:eastAsiaTheme="minorHAnsi" w:hAnsiTheme="minorHAnsi" w:cstheme="minorBidi"/>
          <w:szCs w:val="22"/>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D5FA" w14:textId="77777777" w:rsidR="00F45E7D" w:rsidRDefault="00F45E7D">
    <w:pPr>
      <w:pStyle w:val="Header"/>
    </w:pPr>
  </w:p>
  <w:p w14:paraId="45F2BE8C" w14:textId="77777777" w:rsidR="00F45E7D" w:rsidRDefault="00F45E7D"/>
  <w:p w14:paraId="0C84DBD3" w14:textId="77777777" w:rsidR="00F45E7D" w:rsidRDefault="00F45E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9EC6" w14:textId="74F8B3A8" w:rsidR="00F45E7D" w:rsidRDefault="00D726F8">
    <w:pPr>
      <w:tabs>
        <w:tab w:val="center" w:pos="4513"/>
        <w:tab w:val="right" w:pos="9026"/>
      </w:tabs>
      <w:spacing w:after="120"/>
      <w:contextualSpacing/>
      <w:jc w:val="center"/>
      <w:rPr>
        <w:i/>
        <w:iCs/>
      </w:rPr>
    </w:pPr>
    <w:r>
      <w:rPr>
        <w:i/>
        <w:iCs/>
      </w:rPr>
      <w:t>Public Summary Document</w:t>
    </w:r>
    <w:r w:rsidR="0087463C">
      <w:rPr>
        <w:i/>
        <w:iCs/>
      </w:rPr>
      <w:t xml:space="preserve"> – November 2022 PBAC Meeting</w:t>
    </w:r>
  </w:p>
  <w:p w14:paraId="28157E5F" w14:textId="77777777" w:rsidR="00F45E7D" w:rsidRDefault="00F45E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129C" w14:textId="77777777" w:rsidR="006A317A" w:rsidRDefault="006A3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278EE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3369A"/>
    <w:multiLevelType w:val="hybridMultilevel"/>
    <w:tmpl w:val="C41AA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0A4DC9"/>
    <w:multiLevelType w:val="hybridMultilevel"/>
    <w:tmpl w:val="DFC4F5D6"/>
    <w:lvl w:ilvl="0" w:tplc="6F34762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7206DDB"/>
    <w:multiLevelType w:val="hybridMultilevel"/>
    <w:tmpl w:val="5E7409AE"/>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BC346AD"/>
    <w:multiLevelType w:val="hybridMultilevel"/>
    <w:tmpl w:val="54B03982"/>
    <w:lvl w:ilvl="0" w:tplc="6F34762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069085E"/>
    <w:multiLevelType w:val="hybridMultilevel"/>
    <w:tmpl w:val="AF7A505E"/>
    <w:lvl w:ilvl="0" w:tplc="9D6EEF04">
      <w:start w:val="1"/>
      <w:numFmt w:val="decimal"/>
      <w:lvlText w:val="(%1)"/>
      <w:lvlJc w:val="left"/>
      <w:pPr>
        <w:ind w:left="1860" w:hanging="360"/>
      </w:pPr>
      <w:rPr>
        <w:rFonts w:hint="default"/>
        <w:i w:val="0"/>
        <w:iCs w:val="0"/>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6" w15:restartNumberingAfterBreak="0">
    <w:nsid w:val="22B53CBC"/>
    <w:multiLevelType w:val="hybridMultilevel"/>
    <w:tmpl w:val="63DC6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157289"/>
    <w:multiLevelType w:val="hybridMultilevel"/>
    <w:tmpl w:val="714834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E313E9D"/>
    <w:multiLevelType w:val="hybridMultilevel"/>
    <w:tmpl w:val="7846A6E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30346AD7"/>
    <w:multiLevelType w:val="hybridMultilevel"/>
    <w:tmpl w:val="43BAC598"/>
    <w:lvl w:ilvl="0" w:tplc="F788C31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287207D"/>
    <w:multiLevelType w:val="hybridMultilevel"/>
    <w:tmpl w:val="EF9CC3B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C23995"/>
    <w:multiLevelType w:val="hybridMultilevel"/>
    <w:tmpl w:val="93DCF8D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D99693C"/>
    <w:multiLevelType w:val="hybridMultilevel"/>
    <w:tmpl w:val="C6401ABC"/>
    <w:lvl w:ilvl="0" w:tplc="0C090003">
      <w:start w:val="1"/>
      <w:numFmt w:val="bullet"/>
      <w:lvlText w:val="o"/>
      <w:lvlJc w:val="left"/>
      <w:pPr>
        <w:ind w:left="891" w:hanging="360"/>
      </w:pPr>
      <w:rPr>
        <w:rFonts w:ascii="Courier New" w:hAnsi="Courier New" w:cs="Courier New"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A1207"/>
    <w:multiLevelType w:val="hybridMultilevel"/>
    <w:tmpl w:val="A6824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D438CE"/>
    <w:multiLevelType w:val="hybridMultilevel"/>
    <w:tmpl w:val="FA8ECCC2"/>
    <w:lvl w:ilvl="0" w:tplc="0164C5E2">
      <w:start w:val="67"/>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832997"/>
    <w:multiLevelType w:val="multilevel"/>
    <w:tmpl w:val="605C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7767D"/>
    <w:multiLevelType w:val="hybridMultilevel"/>
    <w:tmpl w:val="C798948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60AA1899"/>
    <w:multiLevelType w:val="hybridMultilevel"/>
    <w:tmpl w:val="E99C8B60"/>
    <w:lvl w:ilvl="0" w:tplc="DB4EC788">
      <w:start w:val="1"/>
      <w:numFmt w:val="bullet"/>
      <w:pStyle w:val="KMC16-BulletLis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E10DF6A">
      <w:numFmt w:val="bullet"/>
      <w:lvlText w:val="•"/>
      <w:lvlJc w:val="left"/>
      <w:pPr>
        <w:ind w:left="2250" w:hanging="45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A7D21"/>
    <w:multiLevelType w:val="hybridMultilevel"/>
    <w:tmpl w:val="26FE4F6A"/>
    <w:lvl w:ilvl="0" w:tplc="75EC4436">
      <w:start w:val="1"/>
      <w:numFmt w:val="decimal"/>
      <w:lvlText w:val="%1."/>
      <w:lvlJc w:val="left"/>
      <w:pPr>
        <w:ind w:left="1440" w:hanging="360"/>
      </w:pPr>
      <w:rPr>
        <w:rFonts w:hint="default"/>
        <w:i/>
        <w:iCs/>
      </w:rPr>
    </w:lvl>
    <w:lvl w:ilvl="1" w:tplc="1C74D714">
      <w:start w:val="1"/>
      <w:numFmt w:val="lowerLetter"/>
      <w:lvlText w:val="(%2)"/>
      <w:lvlJc w:val="left"/>
      <w:pPr>
        <w:ind w:left="2160" w:hanging="360"/>
      </w:pPr>
      <w:rPr>
        <w:rFont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84D033C"/>
    <w:multiLevelType w:val="multilevel"/>
    <w:tmpl w:val="7228C76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B71860"/>
    <w:multiLevelType w:val="multilevel"/>
    <w:tmpl w:val="7D4C6E14"/>
    <w:lvl w:ilvl="0">
      <w:start w:val="1"/>
      <w:numFmt w:val="decimal"/>
      <w:lvlText w:val="%1"/>
      <w:lvlJc w:val="left"/>
      <w:pPr>
        <w:ind w:left="720" w:hanging="720"/>
      </w:pPr>
      <w:rPr>
        <w:rFonts w:hint="default"/>
        <w:b/>
      </w:rPr>
    </w:lvl>
    <w:lvl w:ilvl="1">
      <w:start w:val="1"/>
      <w:numFmt w:val="bullet"/>
      <w:lvlText w:val=""/>
      <w:lvlJc w:val="left"/>
      <w:pPr>
        <w:ind w:left="19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0"/>
  </w:num>
  <w:num w:numId="3">
    <w:abstractNumId w:val="18"/>
  </w:num>
  <w:num w:numId="4">
    <w:abstractNumId w:val="5"/>
  </w:num>
  <w:num w:numId="5">
    <w:abstractNumId w:val="7"/>
  </w:num>
  <w:num w:numId="6">
    <w:abstractNumId w:val="8"/>
  </w:num>
  <w:num w:numId="7">
    <w:abstractNumId w:val="2"/>
  </w:num>
  <w:num w:numId="8">
    <w:abstractNumId w:val="4"/>
  </w:num>
  <w:num w:numId="9">
    <w:abstractNumId w:val="10"/>
  </w:num>
  <w:num w:numId="10">
    <w:abstractNumId w:val="17"/>
  </w:num>
  <w:num w:numId="11">
    <w:abstractNumId w:val="15"/>
  </w:num>
  <w:num w:numId="12">
    <w:abstractNumId w:val="21"/>
  </w:num>
  <w:num w:numId="13">
    <w:abstractNumId w:val="12"/>
  </w:num>
  <w:num w:numId="14">
    <w:abstractNumId w:val="19"/>
  </w:num>
  <w:num w:numId="15">
    <w:abstractNumId w:val="14"/>
  </w:num>
  <w:num w:numId="16">
    <w:abstractNumId w:val="1"/>
  </w:num>
  <w:num w:numId="17">
    <w:abstractNumId w:val="9"/>
  </w:num>
  <w:num w:numId="18">
    <w:abstractNumId w:val="20"/>
  </w:num>
  <w:num w:numId="19">
    <w:abstractNumId w:val="3"/>
  </w:num>
  <w:num w:numId="20">
    <w:abstractNumId w:val="11"/>
  </w:num>
  <w:num w:numId="21">
    <w:abstractNumId w:val="16"/>
  </w:num>
  <w:num w:numId="22">
    <w:abstractNumId w:val="20"/>
  </w:num>
  <w:num w:numId="23">
    <w:abstractNumId w:val="20"/>
  </w:num>
  <w:num w:numId="24">
    <w:abstractNumId w:val="20"/>
  </w:num>
  <w:num w:numId="25">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yMDAzMjM1MDGzMDZT0lEKTi0uzszPAykwMqwFAO1269wtAAAA"/>
  </w:docVars>
  <w:rsids>
    <w:rsidRoot w:val="00F45E7D"/>
    <w:rsid w:val="00002F9E"/>
    <w:rsid w:val="00031C85"/>
    <w:rsid w:val="00066B06"/>
    <w:rsid w:val="00081D68"/>
    <w:rsid w:val="000F4D64"/>
    <w:rsid w:val="00111D39"/>
    <w:rsid w:val="00114364"/>
    <w:rsid w:val="00134368"/>
    <w:rsid w:val="00162E97"/>
    <w:rsid w:val="00184D83"/>
    <w:rsid w:val="001D6273"/>
    <w:rsid w:val="0026538C"/>
    <w:rsid w:val="00342990"/>
    <w:rsid w:val="003A07A1"/>
    <w:rsid w:val="00443804"/>
    <w:rsid w:val="004B62A7"/>
    <w:rsid w:val="004C5788"/>
    <w:rsid w:val="00506558"/>
    <w:rsid w:val="0055474F"/>
    <w:rsid w:val="005C4627"/>
    <w:rsid w:val="005E3F50"/>
    <w:rsid w:val="00627FF2"/>
    <w:rsid w:val="00655126"/>
    <w:rsid w:val="006722CE"/>
    <w:rsid w:val="00674854"/>
    <w:rsid w:val="006A317A"/>
    <w:rsid w:val="006B7EB3"/>
    <w:rsid w:val="00786DE5"/>
    <w:rsid w:val="00797A46"/>
    <w:rsid w:val="007D3135"/>
    <w:rsid w:val="0081723D"/>
    <w:rsid w:val="008468AB"/>
    <w:rsid w:val="00847C59"/>
    <w:rsid w:val="0087463C"/>
    <w:rsid w:val="00890FBE"/>
    <w:rsid w:val="00893534"/>
    <w:rsid w:val="00894C23"/>
    <w:rsid w:val="008D0105"/>
    <w:rsid w:val="008F39EF"/>
    <w:rsid w:val="00953835"/>
    <w:rsid w:val="009A40FC"/>
    <w:rsid w:val="009A50D5"/>
    <w:rsid w:val="009B4A9E"/>
    <w:rsid w:val="009F2092"/>
    <w:rsid w:val="00A126A3"/>
    <w:rsid w:val="00A50BCB"/>
    <w:rsid w:val="00A66D96"/>
    <w:rsid w:val="00A82443"/>
    <w:rsid w:val="00B02FFA"/>
    <w:rsid w:val="00B613B2"/>
    <w:rsid w:val="00B660CF"/>
    <w:rsid w:val="00B93F2D"/>
    <w:rsid w:val="00BE1390"/>
    <w:rsid w:val="00BE5654"/>
    <w:rsid w:val="00C02085"/>
    <w:rsid w:val="00C053E0"/>
    <w:rsid w:val="00C61005"/>
    <w:rsid w:val="00C62D95"/>
    <w:rsid w:val="00C8350B"/>
    <w:rsid w:val="00C96F4E"/>
    <w:rsid w:val="00CC7D24"/>
    <w:rsid w:val="00CF4409"/>
    <w:rsid w:val="00D012BF"/>
    <w:rsid w:val="00D33278"/>
    <w:rsid w:val="00D37BAA"/>
    <w:rsid w:val="00D67C9A"/>
    <w:rsid w:val="00D726F8"/>
    <w:rsid w:val="00D76B9E"/>
    <w:rsid w:val="00D77143"/>
    <w:rsid w:val="00D8701A"/>
    <w:rsid w:val="00DB6C7B"/>
    <w:rsid w:val="00DD356E"/>
    <w:rsid w:val="00DF3386"/>
    <w:rsid w:val="00E05DAE"/>
    <w:rsid w:val="00E101C8"/>
    <w:rsid w:val="00E44376"/>
    <w:rsid w:val="00E46860"/>
    <w:rsid w:val="00E46F2E"/>
    <w:rsid w:val="00E551BD"/>
    <w:rsid w:val="00E74AAB"/>
    <w:rsid w:val="00F36CF8"/>
    <w:rsid w:val="00F45E7D"/>
    <w:rsid w:val="00F967FA"/>
    <w:rsid w:val="00FD3C7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2360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alibri" w:hAnsi="Calibri" w:cs="Arial"/>
      <w:sz w:val="24"/>
      <w:szCs w:val="24"/>
    </w:rPr>
  </w:style>
  <w:style w:type="paragraph" w:styleId="Heading1">
    <w:name w:val="heading 1"/>
    <w:basedOn w:val="Normal"/>
    <w:next w:val="Normal"/>
    <w:pPr>
      <w:ind w:left="720" w:hanging="720"/>
      <w:outlineLvl w:val="0"/>
    </w:pPr>
    <w:rPr>
      <w:b/>
      <w:caps/>
      <w:sz w:val="32"/>
    </w:rPr>
  </w:style>
  <w:style w:type="paragraph" w:styleId="Heading2">
    <w:name w:val="heading 2"/>
    <w:basedOn w:val="Normal"/>
    <w:next w:val="Normal"/>
    <w:link w:val="Heading2Char"/>
    <w:pPr>
      <w:outlineLvl w:val="1"/>
    </w:pPr>
    <w:rPr>
      <w:b/>
      <w:i/>
      <w:sz w:val="28"/>
    </w:rPr>
  </w:style>
  <w:style w:type="paragraph" w:styleId="Heading3">
    <w:name w:val="heading 3"/>
    <w:aliases w:val="3.7.1"/>
    <w:basedOn w:val="Normal"/>
    <w:next w:val="Normal"/>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uiPriority w:val="9"/>
    <w:pPr>
      <w:spacing w:before="240" w:after="60"/>
      <w:outlineLvl w:val="4"/>
    </w:pPr>
    <w:rPr>
      <w:b/>
      <w:bCs/>
      <w:iCs/>
      <w:sz w:val="26"/>
      <w:szCs w:val="26"/>
    </w:rPr>
  </w:style>
  <w:style w:type="paragraph" w:styleId="Heading6">
    <w:name w:val="heading 6"/>
    <w:basedOn w:val="Normal"/>
    <w:next w:val="Normal"/>
    <w:uiPriority w:val="9"/>
    <w:pPr>
      <w:spacing w:before="240" w:after="60"/>
      <w:outlineLvl w:val="5"/>
    </w:pPr>
    <w:rPr>
      <w:b/>
      <w:bCs/>
      <w:i/>
    </w:rPr>
  </w:style>
  <w:style w:type="paragraph" w:styleId="Heading7">
    <w:name w:val="heading 7"/>
    <w:basedOn w:val="Normal"/>
    <w:next w:val="Normal"/>
    <w:link w:val="Heading7Char"/>
    <w:uiPriority w:val="9"/>
    <w:pPr>
      <w:keepNext/>
      <w:jc w:val="center"/>
      <w:outlineLvl w:val="6"/>
    </w:pPr>
    <w:rPr>
      <w:b/>
      <w:sz w:val="20"/>
    </w:rPr>
  </w:style>
  <w:style w:type="paragraph" w:styleId="Heading8">
    <w:name w:val="heading 8"/>
    <w:basedOn w:val="Normal"/>
    <w:next w:val="Normal"/>
    <w:link w:val="Heading8Char"/>
    <w:uiPriority w:val="9"/>
    <w:pPr>
      <w:keepNext/>
      <w:jc w:val="right"/>
      <w:outlineLvl w:val="7"/>
    </w:pPr>
    <w:rPr>
      <w:b/>
    </w:rPr>
  </w:style>
  <w:style w:type="paragraph" w:styleId="Heading9">
    <w:name w:val="heading 9"/>
    <w:basedOn w:val="Normal"/>
    <w:next w:val="Normal"/>
    <w:link w:val="Heading9Char"/>
    <w:uiPriority w:val="9"/>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MACptn"/>
    <w:basedOn w:val="Normal"/>
    <w:next w:val="Normal"/>
    <w:link w:val="CaptionChar"/>
    <w:uiPriority w:val="35"/>
    <w:unhideWhenUsed/>
    <w:pPr>
      <w:spacing w:after="200"/>
    </w:pPr>
    <w:rPr>
      <w:b/>
      <w:bCs/>
      <w:color w:val="4F81BD" w:themeColor="accent1"/>
      <w:sz w:val="18"/>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35"/>
    <w:rPr>
      <w:b/>
      <w:bCs/>
      <w:snapToGrid w:val="0"/>
      <w:color w:val="4F81BD" w:themeColor="accent1"/>
      <w:sz w:val="18"/>
      <w:szCs w:val="18"/>
      <w:lang w:eastAsia="en-US"/>
    </w:rPr>
  </w:style>
  <w:style w:type="paragraph" w:styleId="Title">
    <w:name w:val="Title"/>
    <w:basedOn w:val="Normal"/>
    <w:next w:val="Normal"/>
    <w:link w:val="TitleChar"/>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Pr>
      <w:rFonts w:ascii="Cambria" w:hAnsi="Cambria"/>
      <w:b/>
      <w:bCs/>
      <w:snapToGrid w:val="0"/>
      <w:kern w:val="28"/>
      <w:sz w:val="32"/>
      <w:szCs w:val="32"/>
      <w:lang w:eastAsia="en-US"/>
    </w:rPr>
  </w:style>
  <w:style w:type="paragraph" w:styleId="BodyText">
    <w:name w:val="Body Text"/>
    <w:basedOn w:val="Normal"/>
    <w:link w:val="BodyTextChar"/>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Table Legend,Bullet1,Bullet 1,Section 5"/>
    <w:next w:val="ListBullet"/>
    <w:link w:val="ListParagraphChar"/>
    <w:uiPriority w:val="34"/>
    <w:qFormat/>
    <w:pPr>
      <w:numPr>
        <w:numId w:val="17"/>
      </w:numPr>
      <w:spacing w:after="120"/>
      <w:ind w:left="1134"/>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Pr>
      <w:rFonts w:asciiTheme="minorHAnsi" w:hAnsiTheme="minorHAnsi" w:cs="Arial"/>
      <w:snapToGrid w:val="0"/>
      <w:sz w:val="24"/>
      <w:szCs w:val="24"/>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Pr>
      <w:rFonts w:ascii="Calibri" w:hAnsi="Calibri" w:cs="Arial"/>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CMA Table Template,ASD Table,RTI AMCP Table,new sty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Pr>
      <w:rFonts w:ascii="Arial Narrow" w:hAnsi="Arial Narrow"/>
      <w:b/>
      <w:sz w:val="20"/>
      <w:szCs w:val="16"/>
    </w:rPr>
  </w:style>
  <w:style w:type="paragraph" w:customStyle="1" w:styleId="Tabletext">
    <w:name w:val="Table text"/>
    <w:basedOn w:val="Normal"/>
    <w:link w:val="TabletextChar"/>
    <w:pPr>
      <w:jc w:val="left"/>
    </w:pPr>
    <w:rPr>
      <w:rFonts w:ascii="Arial Narrow" w:hAnsi="Arial Narrow" w:cs="Times New Roman"/>
      <w:snapToGrid w:val="0"/>
      <w:sz w:val="20"/>
    </w:rPr>
  </w:style>
  <w:style w:type="character" w:customStyle="1" w:styleId="TabletextChar">
    <w:name w:val="Table text Char"/>
    <w:link w:val="Tabletext"/>
    <w:rPr>
      <w:rFonts w:ascii="Arial Narrow" w:hAnsi="Arial Narrow"/>
      <w:lang w:eastAsia="en-US"/>
    </w:rPr>
  </w:style>
  <w:style w:type="paragraph" w:customStyle="1" w:styleId="TableHeading">
    <w:name w:val="TableHeading"/>
    <w:basedOn w:val="Normal"/>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pPr>
      <w:jc w:val="both"/>
    </w:pPr>
    <w:rPr>
      <w:rFonts w:ascii="Times" w:hAnsi="Times" w:cs="Times New Roman"/>
      <w:snapToGrid w:val="0"/>
      <w:lang w:val="en-US"/>
    </w:rPr>
  </w:style>
  <w:style w:type="paragraph" w:styleId="NormalWeb">
    <w:name w:val="Normal (Web)"/>
    <w:basedOn w:val="Normal"/>
    <w:uiPriority w:val="99"/>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tabs>
        <w:tab w:val="left" w:pos="440"/>
        <w:tab w:val="right" w:leader="dot" w:pos="9016"/>
      </w:tabs>
      <w:spacing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aliases w:val="- H19,Comment Text Char1 Char,Comment Text Char Char Char"/>
    <w:basedOn w:val="Normal"/>
    <w:link w:val="CommentTextChar"/>
    <w:uiPriority w:val="99"/>
    <w:qFormat/>
    <w:rPr>
      <w:rFonts w:ascii="Times New Roman" w:hAnsi="Times New Roman" w:cs="Times New Roman"/>
      <w:sz w:val="20"/>
    </w:rPr>
  </w:style>
  <w:style w:type="character" w:customStyle="1" w:styleId="CommentTextChar">
    <w:name w:val="Comment Text Char"/>
    <w:aliases w:val="- H19 Char,Comment Text Char1 Char Char,Comment Text Char Char Char Char"/>
    <w:basedOn w:val="DefaultParagraphFont"/>
    <w:link w:val="CommentText"/>
    <w:uiPriority w:val="99"/>
    <w:rPr>
      <w:snapToGrid w:val="0"/>
      <w:lang w:eastAsia="en-US"/>
    </w:rPr>
  </w:style>
  <w:style w:type="paragraph" w:customStyle="1" w:styleId="Bulletpoints">
    <w:name w:val="Bullet points"/>
    <w:basedOn w:val="ListParagraph"/>
    <w:pPr>
      <w:numPr>
        <w:numId w:val="1"/>
      </w:numPr>
      <w:contextualSpacing/>
    </w:pPr>
  </w:style>
  <w:style w:type="paragraph" w:customStyle="1" w:styleId="TableName">
    <w:name w:val="TableName"/>
    <w:basedOn w:val="Normal"/>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Pr>
      <w:lang w:eastAsia="en-US"/>
    </w:rPr>
  </w:style>
  <w:style w:type="paragraph" w:styleId="Subtitle">
    <w:name w:val="Subtitle"/>
    <w:basedOn w:val="Normal"/>
    <w:link w:val="SubtitleChar"/>
    <w:rPr>
      <w:rFonts w:ascii="Times New Roman" w:hAnsi="Times New Roman" w:cs="Times New Roman"/>
      <w:snapToGrid w:val="0"/>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rPr>
      <w:i/>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customStyle="1" w:styleId="TableText0">
    <w:name w:val="Table Text"/>
    <w:link w:val="TableTextChar0"/>
    <w:qFormat/>
    <w:pPr>
      <w:keepNext/>
    </w:pPr>
    <w:rPr>
      <w:rFonts w:ascii="Arial Narrow" w:eastAsiaTheme="majorEastAsia" w:hAnsi="Arial Narrow" w:cstheme="majorBidi"/>
      <w:bCs/>
      <w:szCs w:val="24"/>
    </w:rPr>
  </w:style>
  <w:style w:type="paragraph" w:customStyle="1" w:styleId="V50Tablename">
    <w:name w:val="V5.0 Table name"/>
    <w:basedOn w:val="Normal"/>
    <w:link w:val="V50TablenameChar"/>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Pr>
      <w:rFonts w:asciiTheme="minorHAnsi" w:eastAsiaTheme="minorHAnsi" w:hAnsiTheme="minorHAnsi" w:cstheme="minorBidi"/>
      <w:b/>
      <w:szCs w:val="24"/>
      <w:lang w:val="en-US" w:eastAsia="en-US"/>
    </w:rPr>
  </w:style>
  <w:style w:type="paragraph" w:customStyle="1" w:styleId="GeneralHeading">
    <w:name w:val="General Heading"/>
    <w:qFormat/>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pPr>
      <w:keepNext/>
    </w:pPr>
    <w:rPr>
      <w:rFonts w:ascii="Arial Narrow" w:eastAsiaTheme="majorEastAsia" w:hAnsi="Arial Narrow"/>
      <w:b/>
      <w:szCs w:val="24"/>
      <w:lang w:val="en-US"/>
    </w:rPr>
  </w:style>
  <w:style w:type="paragraph" w:customStyle="1" w:styleId="2-SectionHeading">
    <w:name w:val="2-Section Heading"/>
    <w:qFormat/>
    <w:pPr>
      <w:keepNext/>
      <w:numPr>
        <w:numId w:val="1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Pr>
      <w:rFonts w:ascii="Arial Narrow" w:eastAsiaTheme="majorEastAsia" w:hAnsi="Arial Narrow" w:cstheme="majorBidi"/>
      <w:b/>
      <w:bCs/>
      <w:szCs w:val="24"/>
    </w:rPr>
  </w:style>
  <w:style w:type="paragraph" w:customStyle="1" w:styleId="3-BodyText">
    <w:name w:val="3-Body Text"/>
    <w:link w:val="3-BodyTextChar"/>
    <w:qFormat/>
    <w:pPr>
      <w:numPr>
        <w:ilvl w:val="1"/>
        <w:numId w:val="18"/>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Pr>
      <w:rFonts w:ascii="Calibri" w:hAnsi="Calibri" w:cs="Arial"/>
      <w:b/>
      <w:sz w:val="24"/>
      <w:szCs w:val="24"/>
    </w:rPr>
  </w:style>
  <w:style w:type="paragraph" w:customStyle="1" w:styleId="TableFigureFooter">
    <w:name w:val="Table/Figure Footer"/>
    <w:basedOn w:val="Normal"/>
    <w:link w:val="TableFigureFooterChar"/>
    <w:qFormat/>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pPr>
      <w:numPr>
        <w:numId w:val="2"/>
      </w:numPr>
      <w:contextualSpacing/>
    </w:pPr>
  </w:style>
  <w:style w:type="character" w:customStyle="1" w:styleId="TableTextChar0">
    <w:name w:val="Table Text Char"/>
    <w:basedOn w:val="DefaultParagraphFont"/>
    <w:link w:val="TableText0"/>
    <w:rPr>
      <w:rFonts w:ascii="Arial Narrow" w:eastAsiaTheme="majorEastAsia" w:hAnsi="Arial Narrow" w:cstheme="majorBidi"/>
      <w:bCs/>
      <w:szCs w:val="24"/>
    </w:rPr>
  </w:style>
  <w:style w:type="table" w:customStyle="1" w:styleId="Summarybox5">
    <w:name w:val="Summary box5"/>
    <w:basedOn w:val="TableNormal"/>
    <w:next w:val="TableGrid"/>
    <w:uiPriority w:val="5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
    <w:name w:val="Table Gridbeth5"/>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6">
    <w:name w:val="Table Gridbeth6"/>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7">
    <w:name w:val="Table Gridbeth7"/>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8">
    <w:name w:val="Table Gridbeth8"/>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0">
    <w:name w:val="Table Gridbeth10"/>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3">
    <w:name w:val="Table Gridbeth13"/>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1">
    <w:name w:val="Summary box1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4">
    <w:name w:val="Table Gridbeth14"/>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w:basedOn w:val="Normal"/>
    <w:link w:val="FootnoteTextChar"/>
    <w:unhideWhenUsed/>
    <w:rPr>
      <w:sz w:val="20"/>
      <w:szCs w:val="20"/>
    </w:rPr>
  </w:style>
  <w:style w:type="character" w:customStyle="1" w:styleId="FootnoteTextChar">
    <w:name w:val="Footnote Text Char"/>
    <w:aliases w:val="Char Char"/>
    <w:basedOn w:val="DefaultParagraphFont"/>
    <w:link w:val="FootnoteText"/>
    <w:rPr>
      <w:rFonts w:ascii="Calibri" w:hAnsi="Calibri" w:cs="Arial"/>
    </w:rPr>
  </w:style>
  <w:style w:type="character" w:styleId="FootnoteReference">
    <w:name w:val="footnote reference"/>
    <w:basedOn w:val="DefaultParagraphFont"/>
    <w:unhideWhenUsed/>
    <w:rPr>
      <w:vertAlign w:val="superscript"/>
    </w:rPr>
  </w:style>
  <w:style w:type="paragraph" w:customStyle="1" w:styleId="KMC16-Tablecontent">
    <w:name w:val="KMC16 - Table content"/>
    <w:basedOn w:val="Normal"/>
    <w:link w:val="KMC16-TablecontentChar"/>
    <w:pPr>
      <w:spacing w:before="40" w:after="40"/>
      <w:jc w:val="left"/>
    </w:pPr>
    <w:rPr>
      <w:rFonts w:ascii="Arial Narrow" w:hAnsi="Arial Narrow"/>
      <w:color w:val="000000"/>
      <w:sz w:val="20"/>
      <w:szCs w:val="22"/>
      <w:lang w:val="en-GB" w:eastAsia="en-US"/>
    </w:rPr>
  </w:style>
  <w:style w:type="character" w:customStyle="1" w:styleId="KMC16-TablecontentChar">
    <w:name w:val="KMC16 - Table content Char"/>
    <w:basedOn w:val="DefaultParagraphFont"/>
    <w:link w:val="KMC16-Tablecontent"/>
    <w:rPr>
      <w:rFonts w:ascii="Arial Narrow" w:eastAsia="SimSun" w:hAnsi="Arial Narrow" w:cs="Arial"/>
      <w:color w:val="000000"/>
      <w:szCs w:val="22"/>
      <w:lang w:val="en-GB" w:eastAsia="en-US"/>
    </w:rPr>
  </w:style>
  <w:style w:type="paragraph" w:customStyle="1" w:styleId="KMC16-TableHeading">
    <w:name w:val="KMC16 - Table Heading"/>
    <w:basedOn w:val="Normal"/>
    <w:pPr>
      <w:spacing w:before="40" w:after="40"/>
      <w:jc w:val="center"/>
    </w:pPr>
    <w:rPr>
      <w:rFonts w:ascii="Arial Narrow" w:hAnsi="Arial Narrow"/>
      <w:b/>
      <w:color w:val="000000"/>
      <w:sz w:val="20"/>
      <w:szCs w:val="22"/>
      <w:lang w:eastAsia="en-US"/>
    </w:rPr>
  </w:style>
  <w:style w:type="paragraph" w:customStyle="1" w:styleId="KMC16ES-tabletext">
    <w:name w:val="KMC16 ES - table text"/>
    <w:basedOn w:val="Normal"/>
    <w:pPr>
      <w:keepNext/>
      <w:spacing w:after="40"/>
      <w:jc w:val="left"/>
    </w:pPr>
    <w:rPr>
      <w:rFonts w:ascii="Arial Narrow" w:eastAsia="Batang" w:hAnsi="Arial Narrow" w:cstheme="minorBidi"/>
      <w:color w:val="000000" w:themeColor="text1"/>
      <w:sz w:val="20"/>
      <w:szCs w:val="20"/>
      <w:lang w:eastAsia="en-US"/>
    </w:rPr>
  </w:style>
  <w:style w:type="paragraph" w:customStyle="1" w:styleId="Default">
    <w:name w:val="Default"/>
    <w:link w:val="DefaultChar"/>
    <w:pPr>
      <w:autoSpaceDE w:val="0"/>
      <w:autoSpaceDN w:val="0"/>
      <w:adjustRightInd w:val="0"/>
    </w:pPr>
    <w:rPr>
      <w:rFonts w:ascii="Calibri" w:eastAsia="Batang" w:hAnsi="Calibri" w:cs="Calibri"/>
      <w:color w:val="000000"/>
      <w:sz w:val="24"/>
      <w:szCs w:val="24"/>
      <w:lang w:val="en-GB" w:eastAsia="en-US"/>
    </w:rPr>
  </w:style>
  <w:style w:type="character" w:customStyle="1" w:styleId="DefaultChar">
    <w:name w:val="Default Char"/>
    <w:basedOn w:val="DefaultParagraphFont"/>
    <w:link w:val="Default"/>
    <w:rPr>
      <w:rFonts w:ascii="Calibri" w:eastAsia="Batang" w:hAnsi="Calibri" w:cs="Calibri"/>
      <w:color w:val="000000"/>
      <w:sz w:val="24"/>
      <w:szCs w:val="24"/>
      <w:lang w:val="en-GB" w:eastAsia="en-US"/>
    </w:rPr>
  </w:style>
  <w:style w:type="character" w:customStyle="1" w:styleId="Small">
    <w:name w:val="Small"/>
    <w:uiPriority w:val="4"/>
    <w:rPr>
      <w:bCs/>
      <w:iCs/>
      <w:color w:val="000000" w:themeColor="text1"/>
      <w:sz w:val="24"/>
      <w:lang w:eastAsia="en-US"/>
    </w:rPr>
  </w:style>
  <w:style w:type="paragraph" w:customStyle="1" w:styleId="KMC16-BulletLists">
    <w:name w:val="KMC16 - Bullet Lists"/>
    <w:basedOn w:val="Normal"/>
    <w:link w:val="KMC16-BulletListsChar"/>
    <w:pPr>
      <w:numPr>
        <w:numId w:val="3"/>
      </w:numPr>
      <w:spacing w:before="120" w:after="240" w:line="360" w:lineRule="auto"/>
      <w:contextualSpacing/>
      <w:jc w:val="left"/>
    </w:pPr>
    <w:rPr>
      <w:rFonts w:ascii="Arial" w:eastAsia="Batang" w:hAnsi="Arial" w:cstheme="minorBidi"/>
      <w:sz w:val="22"/>
      <w:szCs w:val="22"/>
      <w:lang w:eastAsia="en-US"/>
    </w:rPr>
  </w:style>
  <w:style w:type="character" w:customStyle="1" w:styleId="KMC16-BulletListsChar">
    <w:name w:val="KMC16 - Bullet Lists Char"/>
    <w:basedOn w:val="DefaultParagraphFont"/>
    <w:link w:val="KMC16-BulletLists"/>
    <w:rPr>
      <w:rFonts w:ascii="Arial" w:eastAsia="Batang" w:hAnsi="Arial" w:cstheme="minorBidi"/>
      <w:sz w:val="22"/>
      <w:szCs w:val="22"/>
      <w:lang w:eastAsia="en-US"/>
    </w:rPr>
  </w:style>
  <w:style w:type="table" w:customStyle="1" w:styleId="ASDTable2">
    <w:name w:val="ASD Table2"/>
    <w:basedOn w:val="TableNormal"/>
    <w:next w:val="TableGrid"/>
    <w:uiPriority w:val="39"/>
    <w:rPr>
      <w:rFonts w:asciiTheme="minorHAnsi" w:eastAsia="Batang"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
    <w:name w:val="ASD Table1"/>
    <w:basedOn w:val="TableNormal"/>
    <w:next w:val="TableGrid"/>
    <w:uiPriority w:val="39"/>
    <w:rPr>
      <w:rFonts w:asciiTheme="minorHAnsi" w:eastAsia="Batang"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C16-TFNotes">
    <w:name w:val="KMC16 - TF Notes"/>
    <w:basedOn w:val="Normal"/>
    <w:pPr>
      <w:spacing w:before="45" w:after="240"/>
      <w:contextualSpacing/>
    </w:pPr>
    <w:rPr>
      <w:rFonts w:eastAsia="Batang" w:cstheme="minorBidi"/>
      <w:color w:val="000000" w:themeColor="text1"/>
      <w:sz w:val="16"/>
      <w:szCs w:val="22"/>
      <w:lang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FooterTableFigure">
    <w:name w:val="Footer Table/Figure"/>
    <w:basedOn w:val="Normal"/>
    <w:link w:val="FooterTableFigureChar"/>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Pr>
      <w:rFonts w:ascii="Arial Narrow" w:eastAsia="Times New Roman" w:hAnsi="Arial Narrow" w:cs="Arial"/>
      <w:snapToGrid w:val="0"/>
      <w:sz w:val="18"/>
      <w:szCs w:val="22"/>
    </w:rPr>
  </w:style>
  <w:style w:type="paragraph" w:customStyle="1" w:styleId="MATblN">
    <w:name w:val="MA TblN"/>
    <w:basedOn w:val="Normal"/>
    <w:link w:val="MATblNChar"/>
    <w:pPr>
      <w:jc w:val="left"/>
    </w:pPr>
    <w:rPr>
      <w:rFonts w:ascii="Trebuchet MS" w:hAnsi="Trebuchet MS" w:cs="Times New Roman"/>
      <w:sz w:val="16"/>
      <w:szCs w:val="20"/>
      <w:lang w:eastAsia="en-US"/>
    </w:rPr>
  </w:style>
  <w:style w:type="character" w:customStyle="1" w:styleId="MATblNChar">
    <w:name w:val="MA TblN Char"/>
    <w:basedOn w:val="DefaultParagraphFont"/>
    <w:link w:val="MATblN"/>
    <w:rPr>
      <w:rFonts w:ascii="Trebuchet MS" w:eastAsia="Times New Roman" w:hAnsi="Trebuchet MS"/>
      <w:sz w:val="16"/>
      <w:lang w:eastAsia="en-US"/>
    </w:rPr>
  </w:style>
  <w:style w:type="paragraph" w:customStyle="1" w:styleId="MATbltxt">
    <w:name w:val="MA Tbl txt"/>
    <w:basedOn w:val="Normal"/>
    <w:link w:val="MATbltxtChar"/>
    <w:pPr>
      <w:jc w:val="left"/>
    </w:pPr>
    <w:rPr>
      <w:rFonts w:ascii="Trebuchet MS" w:hAnsi="Trebuchet MS" w:cs="Times New Roman"/>
      <w:color w:val="000000" w:themeColor="text1"/>
      <w:sz w:val="20"/>
      <w:szCs w:val="20"/>
      <w:lang w:eastAsia="en-US"/>
    </w:rPr>
  </w:style>
  <w:style w:type="character" w:customStyle="1" w:styleId="MATbltxtChar">
    <w:name w:val="MA Tbl txt Char"/>
    <w:basedOn w:val="DefaultParagraphFont"/>
    <w:link w:val="MATbltxt"/>
    <w:rPr>
      <w:rFonts w:ascii="Trebuchet MS" w:eastAsia="Times New Roman" w:hAnsi="Trebuchet MS"/>
      <w:color w:val="000000" w:themeColor="text1"/>
      <w:lang w:eastAsia="en-US"/>
    </w:rPr>
  </w:style>
  <w:style w:type="paragraph" w:customStyle="1" w:styleId="MATblH">
    <w:name w:val="MA TblH"/>
    <w:basedOn w:val="MATbltxt"/>
    <w:link w:val="MATblHChar"/>
    <w:pPr>
      <w:widowControl w:val="0"/>
    </w:pPr>
    <w:rPr>
      <w:rFonts w:eastAsiaTheme="minorHAnsi"/>
      <w:b/>
      <w:szCs w:val="16"/>
    </w:rPr>
  </w:style>
  <w:style w:type="character" w:customStyle="1" w:styleId="MATblHChar">
    <w:name w:val="MA TblH Char"/>
    <w:link w:val="MATblH"/>
    <w:locked/>
    <w:rPr>
      <w:rFonts w:ascii="Trebuchet MS" w:eastAsiaTheme="minorHAnsi" w:hAnsi="Trebuchet MS"/>
      <w:b/>
      <w:color w:val="000000" w:themeColor="text1"/>
      <w:szCs w:val="16"/>
      <w:lang w:eastAsia="en-US"/>
    </w:rPr>
  </w:style>
  <w:style w:type="character" w:customStyle="1" w:styleId="cf01">
    <w:name w:val="cf01"/>
    <w:basedOn w:val="DefaultParagraphFont"/>
    <w:rPr>
      <w:rFonts w:ascii="Segoe UI" w:hAnsi="Segoe UI" w:cs="Segoe UI" w:hint="default"/>
      <w:sz w:val="18"/>
      <w:szCs w:val="18"/>
      <w:u w:val="single"/>
    </w:rPr>
  </w:style>
  <w:style w:type="character" w:customStyle="1" w:styleId="cf11">
    <w:name w:val="cf11"/>
    <w:basedOn w:val="DefaultParagraphFont"/>
    <w:rPr>
      <w:rFonts w:ascii="Segoe UI" w:hAnsi="Segoe UI" w:cs="Segoe UI" w:hint="default"/>
      <w:sz w:val="18"/>
      <w:szCs w:val="18"/>
      <w:u w:val="single"/>
    </w:rPr>
  </w:style>
  <w:style w:type="paragraph" w:customStyle="1" w:styleId="Pa14">
    <w:name w:val="Pa14"/>
    <w:basedOn w:val="Default"/>
    <w:next w:val="Default"/>
    <w:uiPriority w:val="99"/>
    <w:pPr>
      <w:spacing w:line="140" w:lineRule="atLeast"/>
    </w:pPr>
    <w:rPr>
      <w:rFonts w:ascii="Shaker 2 Lancet" w:eastAsia="SimSun" w:hAnsi="Shaker 2 Lancet" w:cs="Times New Roman"/>
      <w:color w:val="auto"/>
      <w:lang w:val="en-AU" w:eastAsia="en-AU"/>
    </w:rPr>
  </w:style>
  <w:style w:type="paragraph" w:customStyle="1" w:styleId="Pa19">
    <w:name w:val="Pa19"/>
    <w:basedOn w:val="Default"/>
    <w:next w:val="Default"/>
    <w:uiPriority w:val="99"/>
    <w:pPr>
      <w:spacing w:line="140" w:lineRule="atLeast"/>
    </w:pPr>
    <w:rPr>
      <w:rFonts w:ascii="Shaker 2 Lancet" w:eastAsia="SimSun" w:hAnsi="Shaker 2 Lancet" w:cs="Times New Roman"/>
      <w:color w:val="auto"/>
      <w:lang w:val="en-AU" w:eastAsia="en-AU"/>
    </w:rPr>
  </w:style>
  <w:style w:type="table" w:customStyle="1" w:styleId="TableGrid1">
    <w:name w:val="Table Grid1"/>
    <w:basedOn w:val="TableNormal"/>
    <w:next w:val="TableGrid"/>
    <w:uiPriority w:val="59"/>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99"/>
    <w:pPr>
      <w:widowControl w:val="0"/>
      <w:shd w:val="clear" w:color="auto" w:fill="D9D9D9" w:themeFill="background1" w:themeFillShade="D9"/>
      <w:spacing w:after="240" w:line="276" w:lineRule="auto"/>
    </w:pPr>
    <w:rPr>
      <w:rFonts w:asciiTheme="minorHAnsi" w:hAnsiTheme="minorHAnsi" w:cs="Times New Roman"/>
      <w:i/>
      <w:color w:val="000000"/>
      <w:sz w:val="20"/>
      <w:lang w:eastAsia="en-US"/>
    </w:rPr>
  </w:style>
  <w:style w:type="character" w:customStyle="1" w:styleId="QuoteChar">
    <w:name w:val="Quote Char"/>
    <w:basedOn w:val="DefaultParagraphFont"/>
    <w:link w:val="Quote"/>
    <w:uiPriority w:val="99"/>
    <w:rPr>
      <w:rFonts w:asciiTheme="minorHAnsi" w:eastAsia="Times New Roman" w:hAnsiTheme="minorHAnsi"/>
      <w:i/>
      <w:color w:val="000000"/>
      <w:szCs w:val="24"/>
      <w:shd w:val="clear" w:color="auto" w:fill="D9D9D9" w:themeFill="background1" w:themeFillShade="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89">
      <w:bodyDiv w:val="1"/>
      <w:marLeft w:val="0"/>
      <w:marRight w:val="0"/>
      <w:marTop w:val="0"/>
      <w:marBottom w:val="0"/>
      <w:divBdr>
        <w:top w:val="none" w:sz="0" w:space="0" w:color="auto"/>
        <w:left w:val="none" w:sz="0" w:space="0" w:color="auto"/>
        <w:bottom w:val="none" w:sz="0" w:space="0" w:color="auto"/>
        <w:right w:val="none" w:sz="0" w:space="0" w:color="auto"/>
      </w:divBdr>
    </w:div>
    <w:div w:id="4811100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82674693">
      <w:bodyDiv w:val="1"/>
      <w:marLeft w:val="0"/>
      <w:marRight w:val="0"/>
      <w:marTop w:val="0"/>
      <w:marBottom w:val="0"/>
      <w:divBdr>
        <w:top w:val="none" w:sz="0" w:space="0" w:color="auto"/>
        <w:left w:val="none" w:sz="0" w:space="0" w:color="auto"/>
        <w:bottom w:val="none" w:sz="0" w:space="0" w:color="auto"/>
        <w:right w:val="none" w:sz="0" w:space="0" w:color="auto"/>
      </w:divBdr>
    </w:div>
    <w:div w:id="205265031">
      <w:bodyDiv w:val="1"/>
      <w:marLeft w:val="0"/>
      <w:marRight w:val="0"/>
      <w:marTop w:val="0"/>
      <w:marBottom w:val="0"/>
      <w:divBdr>
        <w:top w:val="none" w:sz="0" w:space="0" w:color="auto"/>
        <w:left w:val="none" w:sz="0" w:space="0" w:color="auto"/>
        <w:bottom w:val="none" w:sz="0" w:space="0" w:color="auto"/>
        <w:right w:val="none" w:sz="0" w:space="0" w:color="auto"/>
      </w:divBdr>
    </w:div>
    <w:div w:id="226381393">
      <w:bodyDiv w:val="1"/>
      <w:marLeft w:val="0"/>
      <w:marRight w:val="0"/>
      <w:marTop w:val="0"/>
      <w:marBottom w:val="0"/>
      <w:divBdr>
        <w:top w:val="none" w:sz="0" w:space="0" w:color="auto"/>
        <w:left w:val="none" w:sz="0" w:space="0" w:color="auto"/>
        <w:bottom w:val="none" w:sz="0" w:space="0" w:color="auto"/>
        <w:right w:val="none" w:sz="0" w:space="0" w:color="auto"/>
      </w:divBdr>
    </w:div>
    <w:div w:id="255023937">
      <w:bodyDiv w:val="1"/>
      <w:marLeft w:val="0"/>
      <w:marRight w:val="0"/>
      <w:marTop w:val="0"/>
      <w:marBottom w:val="0"/>
      <w:divBdr>
        <w:top w:val="none" w:sz="0" w:space="0" w:color="auto"/>
        <w:left w:val="none" w:sz="0" w:space="0" w:color="auto"/>
        <w:bottom w:val="none" w:sz="0" w:space="0" w:color="auto"/>
        <w:right w:val="none" w:sz="0" w:space="0" w:color="auto"/>
      </w:divBdr>
    </w:div>
    <w:div w:id="27729646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7317073">
      <w:bodyDiv w:val="1"/>
      <w:marLeft w:val="0"/>
      <w:marRight w:val="0"/>
      <w:marTop w:val="0"/>
      <w:marBottom w:val="0"/>
      <w:divBdr>
        <w:top w:val="none" w:sz="0" w:space="0" w:color="auto"/>
        <w:left w:val="none" w:sz="0" w:space="0" w:color="auto"/>
        <w:bottom w:val="none" w:sz="0" w:space="0" w:color="auto"/>
        <w:right w:val="none" w:sz="0" w:space="0" w:color="auto"/>
      </w:divBdr>
    </w:div>
    <w:div w:id="417408769">
      <w:bodyDiv w:val="1"/>
      <w:marLeft w:val="0"/>
      <w:marRight w:val="0"/>
      <w:marTop w:val="0"/>
      <w:marBottom w:val="0"/>
      <w:divBdr>
        <w:top w:val="none" w:sz="0" w:space="0" w:color="auto"/>
        <w:left w:val="none" w:sz="0" w:space="0" w:color="auto"/>
        <w:bottom w:val="none" w:sz="0" w:space="0" w:color="auto"/>
        <w:right w:val="none" w:sz="0" w:space="0" w:color="auto"/>
      </w:divBdr>
    </w:div>
    <w:div w:id="452023753">
      <w:bodyDiv w:val="1"/>
      <w:marLeft w:val="0"/>
      <w:marRight w:val="0"/>
      <w:marTop w:val="0"/>
      <w:marBottom w:val="0"/>
      <w:divBdr>
        <w:top w:val="none" w:sz="0" w:space="0" w:color="auto"/>
        <w:left w:val="none" w:sz="0" w:space="0" w:color="auto"/>
        <w:bottom w:val="none" w:sz="0" w:space="0" w:color="auto"/>
        <w:right w:val="none" w:sz="0" w:space="0" w:color="auto"/>
      </w:divBdr>
    </w:div>
    <w:div w:id="500312072">
      <w:bodyDiv w:val="1"/>
      <w:marLeft w:val="0"/>
      <w:marRight w:val="0"/>
      <w:marTop w:val="0"/>
      <w:marBottom w:val="0"/>
      <w:divBdr>
        <w:top w:val="none" w:sz="0" w:space="0" w:color="auto"/>
        <w:left w:val="none" w:sz="0" w:space="0" w:color="auto"/>
        <w:bottom w:val="none" w:sz="0" w:space="0" w:color="auto"/>
        <w:right w:val="none" w:sz="0" w:space="0" w:color="auto"/>
      </w:divBdr>
      <w:divsChild>
        <w:div w:id="1409156298">
          <w:marLeft w:val="0"/>
          <w:marRight w:val="0"/>
          <w:marTop w:val="0"/>
          <w:marBottom w:val="0"/>
          <w:divBdr>
            <w:top w:val="none" w:sz="0" w:space="0" w:color="auto"/>
            <w:left w:val="none" w:sz="0" w:space="0" w:color="auto"/>
            <w:bottom w:val="none" w:sz="0" w:space="0" w:color="auto"/>
            <w:right w:val="none" w:sz="0" w:space="0" w:color="auto"/>
          </w:divBdr>
        </w:div>
      </w:divsChild>
    </w:div>
    <w:div w:id="583690836">
      <w:bodyDiv w:val="1"/>
      <w:marLeft w:val="0"/>
      <w:marRight w:val="0"/>
      <w:marTop w:val="0"/>
      <w:marBottom w:val="0"/>
      <w:divBdr>
        <w:top w:val="none" w:sz="0" w:space="0" w:color="auto"/>
        <w:left w:val="none" w:sz="0" w:space="0" w:color="auto"/>
        <w:bottom w:val="none" w:sz="0" w:space="0" w:color="auto"/>
        <w:right w:val="none" w:sz="0" w:space="0" w:color="auto"/>
      </w:divBdr>
    </w:div>
    <w:div w:id="606887823">
      <w:bodyDiv w:val="1"/>
      <w:marLeft w:val="0"/>
      <w:marRight w:val="0"/>
      <w:marTop w:val="0"/>
      <w:marBottom w:val="0"/>
      <w:divBdr>
        <w:top w:val="none" w:sz="0" w:space="0" w:color="auto"/>
        <w:left w:val="none" w:sz="0" w:space="0" w:color="auto"/>
        <w:bottom w:val="none" w:sz="0" w:space="0" w:color="auto"/>
        <w:right w:val="none" w:sz="0" w:space="0" w:color="auto"/>
      </w:divBdr>
    </w:div>
    <w:div w:id="612370221">
      <w:bodyDiv w:val="1"/>
      <w:marLeft w:val="0"/>
      <w:marRight w:val="0"/>
      <w:marTop w:val="0"/>
      <w:marBottom w:val="0"/>
      <w:divBdr>
        <w:top w:val="none" w:sz="0" w:space="0" w:color="auto"/>
        <w:left w:val="none" w:sz="0" w:space="0" w:color="auto"/>
        <w:bottom w:val="none" w:sz="0" w:space="0" w:color="auto"/>
        <w:right w:val="none" w:sz="0" w:space="0" w:color="auto"/>
      </w:divBdr>
    </w:div>
    <w:div w:id="805896491">
      <w:bodyDiv w:val="1"/>
      <w:marLeft w:val="0"/>
      <w:marRight w:val="0"/>
      <w:marTop w:val="0"/>
      <w:marBottom w:val="0"/>
      <w:divBdr>
        <w:top w:val="none" w:sz="0" w:space="0" w:color="auto"/>
        <w:left w:val="none" w:sz="0" w:space="0" w:color="auto"/>
        <w:bottom w:val="none" w:sz="0" w:space="0" w:color="auto"/>
        <w:right w:val="none" w:sz="0" w:space="0" w:color="auto"/>
      </w:divBdr>
      <w:divsChild>
        <w:div w:id="328095725">
          <w:marLeft w:val="0"/>
          <w:marRight w:val="0"/>
          <w:marTop w:val="0"/>
          <w:marBottom w:val="0"/>
          <w:divBdr>
            <w:top w:val="none" w:sz="0" w:space="0" w:color="auto"/>
            <w:left w:val="none" w:sz="0" w:space="0" w:color="auto"/>
            <w:bottom w:val="none" w:sz="0" w:space="0" w:color="auto"/>
            <w:right w:val="none" w:sz="0" w:space="0" w:color="auto"/>
          </w:divBdr>
          <w:divsChild>
            <w:div w:id="1943881166">
              <w:marLeft w:val="0"/>
              <w:marRight w:val="0"/>
              <w:marTop w:val="0"/>
              <w:marBottom w:val="0"/>
              <w:divBdr>
                <w:top w:val="none" w:sz="0" w:space="0" w:color="auto"/>
                <w:left w:val="none" w:sz="0" w:space="0" w:color="auto"/>
                <w:bottom w:val="none" w:sz="0" w:space="0" w:color="auto"/>
                <w:right w:val="none" w:sz="0" w:space="0" w:color="auto"/>
              </w:divBdr>
              <w:divsChild>
                <w:div w:id="7215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0241">
      <w:bodyDiv w:val="1"/>
      <w:marLeft w:val="0"/>
      <w:marRight w:val="0"/>
      <w:marTop w:val="0"/>
      <w:marBottom w:val="0"/>
      <w:divBdr>
        <w:top w:val="none" w:sz="0" w:space="0" w:color="auto"/>
        <w:left w:val="none" w:sz="0" w:space="0" w:color="auto"/>
        <w:bottom w:val="none" w:sz="0" w:space="0" w:color="auto"/>
        <w:right w:val="none" w:sz="0" w:space="0" w:color="auto"/>
      </w:divBdr>
    </w:div>
    <w:div w:id="945573305">
      <w:bodyDiv w:val="1"/>
      <w:marLeft w:val="0"/>
      <w:marRight w:val="0"/>
      <w:marTop w:val="0"/>
      <w:marBottom w:val="0"/>
      <w:divBdr>
        <w:top w:val="none" w:sz="0" w:space="0" w:color="auto"/>
        <w:left w:val="none" w:sz="0" w:space="0" w:color="auto"/>
        <w:bottom w:val="none" w:sz="0" w:space="0" w:color="auto"/>
        <w:right w:val="none" w:sz="0" w:space="0" w:color="auto"/>
      </w:divBdr>
    </w:div>
    <w:div w:id="1000620862">
      <w:bodyDiv w:val="1"/>
      <w:marLeft w:val="0"/>
      <w:marRight w:val="0"/>
      <w:marTop w:val="0"/>
      <w:marBottom w:val="0"/>
      <w:divBdr>
        <w:top w:val="none" w:sz="0" w:space="0" w:color="auto"/>
        <w:left w:val="none" w:sz="0" w:space="0" w:color="auto"/>
        <w:bottom w:val="none" w:sz="0" w:space="0" w:color="auto"/>
        <w:right w:val="none" w:sz="0" w:space="0" w:color="auto"/>
      </w:divBdr>
    </w:div>
    <w:div w:id="105828276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50295">
      <w:bodyDiv w:val="1"/>
      <w:marLeft w:val="0"/>
      <w:marRight w:val="0"/>
      <w:marTop w:val="0"/>
      <w:marBottom w:val="0"/>
      <w:divBdr>
        <w:top w:val="none" w:sz="0" w:space="0" w:color="auto"/>
        <w:left w:val="none" w:sz="0" w:space="0" w:color="auto"/>
        <w:bottom w:val="none" w:sz="0" w:space="0" w:color="auto"/>
        <w:right w:val="none" w:sz="0" w:space="0" w:color="auto"/>
      </w:divBdr>
    </w:div>
    <w:div w:id="1203323866">
      <w:bodyDiv w:val="1"/>
      <w:marLeft w:val="0"/>
      <w:marRight w:val="0"/>
      <w:marTop w:val="0"/>
      <w:marBottom w:val="0"/>
      <w:divBdr>
        <w:top w:val="none" w:sz="0" w:space="0" w:color="auto"/>
        <w:left w:val="none" w:sz="0" w:space="0" w:color="auto"/>
        <w:bottom w:val="none" w:sz="0" w:space="0" w:color="auto"/>
        <w:right w:val="none" w:sz="0" w:space="0" w:color="auto"/>
      </w:divBdr>
    </w:div>
    <w:div w:id="1292252191">
      <w:bodyDiv w:val="1"/>
      <w:marLeft w:val="0"/>
      <w:marRight w:val="0"/>
      <w:marTop w:val="0"/>
      <w:marBottom w:val="0"/>
      <w:divBdr>
        <w:top w:val="none" w:sz="0" w:space="0" w:color="auto"/>
        <w:left w:val="none" w:sz="0" w:space="0" w:color="auto"/>
        <w:bottom w:val="none" w:sz="0" w:space="0" w:color="auto"/>
        <w:right w:val="none" w:sz="0" w:space="0" w:color="auto"/>
      </w:divBdr>
    </w:div>
    <w:div w:id="1338851919">
      <w:bodyDiv w:val="1"/>
      <w:marLeft w:val="0"/>
      <w:marRight w:val="0"/>
      <w:marTop w:val="0"/>
      <w:marBottom w:val="0"/>
      <w:divBdr>
        <w:top w:val="none" w:sz="0" w:space="0" w:color="auto"/>
        <w:left w:val="none" w:sz="0" w:space="0" w:color="auto"/>
        <w:bottom w:val="none" w:sz="0" w:space="0" w:color="auto"/>
        <w:right w:val="none" w:sz="0" w:space="0" w:color="auto"/>
      </w:divBdr>
    </w:div>
    <w:div w:id="1447240114">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513180840">
      <w:bodyDiv w:val="1"/>
      <w:marLeft w:val="0"/>
      <w:marRight w:val="0"/>
      <w:marTop w:val="0"/>
      <w:marBottom w:val="0"/>
      <w:divBdr>
        <w:top w:val="none" w:sz="0" w:space="0" w:color="auto"/>
        <w:left w:val="none" w:sz="0" w:space="0" w:color="auto"/>
        <w:bottom w:val="none" w:sz="0" w:space="0" w:color="auto"/>
        <w:right w:val="none" w:sz="0" w:space="0" w:color="auto"/>
      </w:divBdr>
    </w:div>
    <w:div w:id="1521897639">
      <w:bodyDiv w:val="1"/>
      <w:marLeft w:val="0"/>
      <w:marRight w:val="0"/>
      <w:marTop w:val="0"/>
      <w:marBottom w:val="0"/>
      <w:divBdr>
        <w:top w:val="none" w:sz="0" w:space="0" w:color="auto"/>
        <w:left w:val="none" w:sz="0" w:space="0" w:color="auto"/>
        <w:bottom w:val="none" w:sz="0" w:space="0" w:color="auto"/>
        <w:right w:val="none" w:sz="0" w:space="0" w:color="auto"/>
      </w:divBdr>
    </w:div>
    <w:div w:id="1526138397">
      <w:bodyDiv w:val="1"/>
      <w:marLeft w:val="0"/>
      <w:marRight w:val="0"/>
      <w:marTop w:val="0"/>
      <w:marBottom w:val="0"/>
      <w:divBdr>
        <w:top w:val="none" w:sz="0" w:space="0" w:color="auto"/>
        <w:left w:val="none" w:sz="0" w:space="0" w:color="auto"/>
        <w:bottom w:val="none" w:sz="0" w:space="0" w:color="auto"/>
        <w:right w:val="none" w:sz="0" w:space="0" w:color="auto"/>
      </w:divBdr>
      <w:divsChild>
        <w:div w:id="1030257421">
          <w:marLeft w:val="240"/>
          <w:marRight w:val="0"/>
          <w:marTop w:val="0"/>
          <w:marBottom w:val="0"/>
          <w:divBdr>
            <w:top w:val="none" w:sz="0" w:space="0" w:color="auto"/>
            <w:left w:val="none" w:sz="0" w:space="0" w:color="auto"/>
            <w:bottom w:val="none" w:sz="0" w:space="0" w:color="auto"/>
            <w:right w:val="none" w:sz="0" w:space="0" w:color="auto"/>
          </w:divBdr>
          <w:divsChild>
            <w:div w:id="3912773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611741928">
      <w:bodyDiv w:val="1"/>
      <w:marLeft w:val="0"/>
      <w:marRight w:val="0"/>
      <w:marTop w:val="0"/>
      <w:marBottom w:val="0"/>
      <w:divBdr>
        <w:top w:val="none" w:sz="0" w:space="0" w:color="auto"/>
        <w:left w:val="none" w:sz="0" w:space="0" w:color="auto"/>
        <w:bottom w:val="none" w:sz="0" w:space="0" w:color="auto"/>
        <w:right w:val="none" w:sz="0" w:space="0" w:color="auto"/>
      </w:divBdr>
    </w:div>
    <w:div w:id="1642030759">
      <w:bodyDiv w:val="1"/>
      <w:marLeft w:val="0"/>
      <w:marRight w:val="0"/>
      <w:marTop w:val="0"/>
      <w:marBottom w:val="0"/>
      <w:divBdr>
        <w:top w:val="none" w:sz="0" w:space="0" w:color="auto"/>
        <w:left w:val="none" w:sz="0" w:space="0" w:color="auto"/>
        <w:bottom w:val="none" w:sz="0" w:space="0" w:color="auto"/>
        <w:right w:val="none" w:sz="0" w:space="0" w:color="auto"/>
      </w:divBdr>
    </w:div>
    <w:div w:id="1658651188">
      <w:bodyDiv w:val="1"/>
      <w:marLeft w:val="0"/>
      <w:marRight w:val="0"/>
      <w:marTop w:val="0"/>
      <w:marBottom w:val="0"/>
      <w:divBdr>
        <w:top w:val="none" w:sz="0" w:space="0" w:color="auto"/>
        <w:left w:val="none" w:sz="0" w:space="0" w:color="auto"/>
        <w:bottom w:val="none" w:sz="0" w:space="0" w:color="auto"/>
        <w:right w:val="none" w:sz="0" w:space="0" w:color="auto"/>
      </w:divBdr>
    </w:div>
    <w:div w:id="1799103649">
      <w:bodyDiv w:val="1"/>
      <w:marLeft w:val="0"/>
      <w:marRight w:val="0"/>
      <w:marTop w:val="0"/>
      <w:marBottom w:val="0"/>
      <w:divBdr>
        <w:top w:val="none" w:sz="0" w:space="0" w:color="auto"/>
        <w:left w:val="none" w:sz="0" w:space="0" w:color="auto"/>
        <w:bottom w:val="none" w:sz="0" w:space="0" w:color="auto"/>
        <w:right w:val="none" w:sz="0" w:space="0" w:color="auto"/>
      </w:divBdr>
    </w:div>
    <w:div w:id="1800685027">
      <w:bodyDiv w:val="1"/>
      <w:marLeft w:val="0"/>
      <w:marRight w:val="0"/>
      <w:marTop w:val="0"/>
      <w:marBottom w:val="0"/>
      <w:divBdr>
        <w:top w:val="none" w:sz="0" w:space="0" w:color="auto"/>
        <w:left w:val="none" w:sz="0" w:space="0" w:color="auto"/>
        <w:bottom w:val="none" w:sz="0" w:space="0" w:color="auto"/>
        <w:right w:val="none" w:sz="0" w:space="0" w:color="auto"/>
      </w:divBdr>
    </w:div>
    <w:div w:id="193712831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20082824">
      <w:bodyDiv w:val="1"/>
      <w:marLeft w:val="0"/>
      <w:marRight w:val="0"/>
      <w:marTop w:val="0"/>
      <w:marBottom w:val="0"/>
      <w:divBdr>
        <w:top w:val="none" w:sz="0" w:space="0" w:color="auto"/>
        <w:left w:val="none" w:sz="0" w:space="0" w:color="auto"/>
        <w:bottom w:val="none" w:sz="0" w:space="0" w:color="auto"/>
        <w:right w:val="none" w:sz="0" w:space="0" w:color="auto"/>
      </w:divBdr>
    </w:div>
    <w:div w:id="2054768718">
      <w:bodyDiv w:val="1"/>
      <w:marLeft w:val="0"/>
      <w:marRight w:val="0"/>
      <w:marTop w:val="0"/>
      <w:marBottom w:val="0"/>
      <w:divBdr>
        <w:top w:val="none" w:sz="0" w:space="0" w:color="auto"/>
        <w:left w:val="none" w:sz="0" w:space="0" w:color="auto"/>
        <w:bottom w:val="none" w:sz="0" w:space="0" w:color="auto"/>
        <w:right w:val="none" w:sz="0" w:space="0" w:color="auto"/>
      </w:divBdr>
    </w:div>
    <w:div w:id="210426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ncci.canceraustralia.gov.au/outcomes/relative-survival-rate/relative-survival-stage-diagnosis-melanoma" TargetMode="External"/><Relationship Id="rId2" Type="http://schemas.openxmlformats.org/officeDocument/2006/relationships/hyperlink" Target="https://www.aihw.gov.au/reports/cancer/cancer-data-in-australia/contents/cancer-summary-data-visualisation" TargetMode="External"/><Relationship Id="rId1" Type="http://schemas.openxmlformats.org/officeDocument/2006/relationships/hyperlink" Target="https://www.canceraustralia.gov.au/cancer-types/melanoma/statistics" TargetMode="External"/><Relationship Id="rId5" Type="http://schemas.openxmlformats.org/officeDocument/2006/relationships/hyperlink" Target="https://www.nccn.org/professionals/physician_gls/pdf/cutaneous_melanoma.pdf" TargetMode="External"/><Relationship Id="rId4" Type="http://schemas.openxmlformats.org/officeDocument/2006/relationships/hyperlink" Target="https://wiki.cancer.org.au/australia/Guidelines:Immunotherapy_for_melanoma_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94BC8-D5F8-4B49-B295-9A77D5882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10287</Words>
  <Characters>55466</Characters>
  <Application>Microsoft Office Word</Application>
  <DocSecurity>0</DocSecurity>
  <Lines>462</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65622</CharactersWithSpaces>
  <SharedDoc>false</SharedDoc>
  <HLinks>
    <vt:vector size="210" baseType="variant">
      <vt:variant>
        <vt:i4>1966135</vt:i4>
      </vt:variant>
      <vt:variant>
        <vt:i4>176</vt:i4>
      </vt:variant>
      <vt:variant>
        <vt:i4>0</vt:i4>
      </vt:variant>
      <vt:variant>
        <vt:i4>5</vt:i4>
      </vt:variant>
      <vt:variant>
        <vt:lpwstr/>
      </vt:variant>
      <vt:variant>
        <vt:lpwstr>_Toc113667396</vt:lpwstr>
      </vt:variant>
      <vt:variant>
        <vt:i4>1966135</vt:i4>
      </vt:variant>
      <vt:variant>
        <vt:i4>170</vt:i4>
      </vt:variant>
      <vt:variant>
        <vt:i4>0</vt:i4>
      </vt:variant>
      <vt:variant>
        <vt:i4>5</vt:i4>
      </vt:variant>
      <vt:variant>
        <vt:lpwstr/>
      </vt:variant>
      <vt:variant>
        <vt:lpwstr>_Toc113667395</vt:lpwstr>
      </vt:variant>
      <vt:variant>
        <vt:i4>1966135</vt:i4>
      </vt:variant>
      <vt:variant>
        <vt:i4>164</vt:i4>
      </vt:variant>
      <vt:variant>
        <vt:i4>0</vt:i4>
      </vt:variant>
      <vt:variant>
        <vt:i4>5</vt:i4>
      </vt:variant>
      <vt:variant>
        <vt:lpwstr/>
      </vt:variant>
      <vt:variant>
        <vt:lpwstr>_Toc113667394</vt:lpwstr>
      </vt:variant>
      <vt:variant>
        <vt:i4>1966135</vt:i4>
      </vt:variant>
      <vt:variant>
        <vt:i4>158</vt:i4>
      </vt:variant>
      <vt:variant>
        <vt:i4>0</vt:i4>
      </vt:variant>
      <vt:variant>
        <vt:i4>5</vt:i4>
      </vt:variant>
      <vt:variant>
        <vt:lpwstr/>
      </vt:variant>
      <vt:variant>
        <vt:lpwstr>_Toc113667393</vt:lpwstr>
      </vt:variant>
      <vt:variant>
        <vt:i4>1966135</vt:i4>
      </vt:variant>
      <vt:variant>
        <vt:i4>152</vt:i4>
      </vt:variant>
      <vt:variant>
        <vt:i4>0</vt:i4>
      </vt:variant>
      <vt:variant>
        <vt:i4>5</vt:i4>
      </vt:variant>
      <vt:variant>
        <vt:lpwstr/>
      </vt:variant>
      <vt:variant>
        <vt:lpwstr>_Toc113667392</vt:lpwstr>
      </vt:variant>
      <vt:variant>
        <vt:i4>1966135</vt:i4>
      </vt:variant>
      <vt:variant>
        <vt:i4>146</vt:i4>
      </vt:variant>
      <vt:variant>
        <vt:i4>0</vt:i4>
      </vt:variant>
      <vt:variant>
        <vt:i4>5</vt:i4>
      </vt:variant>
      <vt:variant>
        <vt:lpwstr/>
      </vt:variant>
      <vt:variant>
        <vt:lpwstr>_Toc113667391</vt:lpwstr>
      </vt:variant>
      <vt:variant>
        <vt:i4>1966135</vt:i4>
      </vt:variant>
      <vt:variant>
        <vt:i4>140</vt:i4>
      </vt:variant>
      <vt:variant>
        <vt:i4>0</vt:i4>
      </vt:variant>
      <vt:variant>
        <vt:i4>5</vt:i4>
      </vt:variant>
      <vt:variant>
        <vt:lpwstr/>
      </vt:variant>
      <vt:variant>
        <vt:lpwstr>_Toc113667390</vt:lpwstr>
      </vt:variant>
      <vt:variant>
        <vt:i4>2031671</vt:i4>
      </vt:variant>
      <vt:variant>
        <vt:i4>134</vt:i4>
      </vt:variant>
      <vt:variant>
        <vt:i4>0</vt:i4>
      </vt:variant>
      <vt:variant>
        <vt:i4>5</vt:i4>
      </vt:variant>
      <vt:variant>
        <vt:lpwstr/>
      </vt:variant>
      <vt:variant>
        <vt:lpwstr>_Toc113667389</vt:lpwstr>
      </vt:variant>
      <vt:variant>
        <vt:i4>2031671</vt:i4>
      </vt:variant>
      <vt:variant>
        <vt:i4>128</vt:i4>
      </vt:variant>
      <vt:variant>
        <vt:i4>0</vt:i4>
      </vt:variant>
      <vt:variant>
        <vt:i4>5</vt:i4>
      </vt:variant>
      <vt:variant>
        <vt:lpwstr/>
      </vt:variant>
      <vt:variant>
        <vt:lpwstr>_Toc113667388</vt:lpwstr>
      </vt:variant>
      <vt:variant>
        <vt:i4>2031671</vt:i4>
      </vt:variant>
      <vt:variant>
        <vt:i4>122</vt:i4>
      </vt:variant>
      <vt:variant>
        <vt:i4>0</vt:i4>
      </vt:variant>
      <vt:variant>
        <vt:i4>5</vt:i4>
      </vt:variant>
      <vt:variant>
        <vt:lpwstr/>
      </vt:variant>
      <vt:variant>
        <vt:lpwstr>_Toc113667387</vt:lpwstr>
      </vt:variant>
      <vt:variant>
        <vt:i4>2031671</vt:i4>
      </vt:variant>
      <vt:variant>
        <vt:i4>116</vt:i4>
      </vt:variant>
      <vt:variant>
        <vt:i4>0</vt:i4>
      </vt:variant>
      <vt:variant>
        <vt:i4>5</vt:i4>
      </vt:variant>
      <vt:variant>
        <vt:lpwstr/>
      </vt:variant>
      <vt:variant>
        <vt:lpwstr>_Toc113667386</vt:lpwstr>
      </vt:variant>
      <vt:variant>
        <vt:i4>2031671</vt:i4>
      </vt:variant>
      <vt:variant>
        <vt:i4>110</vt:i4>
      </vt:variant>
      <vt:variant>
        <vt:i4>0</vt:i4>
      </vt:variant>
      <vt:variant>
        <vt:i4>5</vt:i4>
      </vt:variant>
      <vt:variant>
        <vt:lpwstr/>
      </vt:variant>
      <vt:variant>
        <vt:lpwstr>_Toc113667385</vt:lpwstr>
      </vt:variant>
      <vt:variant>
        <vt:i4>2031671</vt:i4>
      </vt:variant>
      <vt:variant>
        <vt:i4>104</vt:i4>
      </vt:variant>
      <vt:variant>
        <vt:i4>0</vt:i4>
      </vt:variant>
      <vt:variant>
        <vt:i4>5</vt:i4>
      </vt:variant>
      <vt:variant>
        <vt:lpwstr/>
      </vt:variant>
      <vt:variant>
        <vt:lpwstr>_Toc113667384</vt:lpwstr>
      </vt:variant>
      <vt:variant>
        <vt:i4>2031671</vt:i4>
      </vt:variant>
      <vt:variant>
        <vt:i4>98</vt:i4>
      </vt:variant>
      <vt:variant>
        <vt:i4>0</vt:i4>
      </vt:variant>
      <vt:variant>
        <vt:i4>5</vt:i4>
      </vt:variant>
      <vt:variant>
        <vt:lpwstr/>
      </vt:variant>
      <vt:variant>
        <vt:lpwstr>_Toc113667383</vt:lpwstr>
      </vt:variant>
      <vt:variant>
        <vt:i4>2031671</vt:i4>
      </vt:variant>
      <vt:variant>
        <vt:i4>92</vt:i4>
      </vt:variant>
      <vt:variant>
        <vt:i4>0</vt:i4>
      </vt:variant>
      <vt:variant>
        <vt:i4>5</vt:i4>
      </vt:variant>
      <vt:variant>
        <vt:lpwstr/>
      </vt:variant>
      <vt:variant>
        <vt:lpwstr>_Toc113667382</vt:lpwstr>
      </vt:variant>
      <vt:variant>
        <vt:i4>2031671</vt:i4>
      </vt:variant>
      <vt:variant>
        <vt:i4>86</vt:i4>
      </vt:variant>
      <vt:variant>
        <vt:i4>0</vt:i4>
      </vt:variant>
      <vt:variant>
        <vt:i4>5</vt:i4>
      </vt:variant>
      <vt:variant>
        <vt:lpwstr/>
      </vt:variant>
      <vt:variant>
        <vt:lpwstr>_Toc113667381</vt:lpwstr>
      </vt:variant>
      <vt:variant>
        <vt:i4>2031671</vt:i4>
      </vt:variant>
      <vt:variant>
        <vt:i4>80</vt:i4>
      </vt:variant>
      <vt:variant>
        <vt:i4>0</vt:i4>
      </vt:variant>
      <vt:variant>
        <vt:i4>5</vt:i4>
      </vt:variant>
      <vt:variant>
        <vt:lpwstr/>
      </vt:variant>
      <vt:variant>
        <vt:lpwstr>_Toc113667380</vt:lpwstr>
      </vt:variant>
      <vt:variant>
        <vt:i4>1048631</vt:i4>
      </vt:variant>
      <vt:variant>
        <vt:i4>74</vt:i4>
      </vt:variant>
      <vt:variant>
        <vt:i4>0</vt:i4>
      </vt:variant>
      <vt:variant>
        <vt:i4>5</vt:i4>
      </vt:variant>
      <vt:variant>
        <vt:lpwstr/>
      </vt:variant>
      <vt:variant>
        <vt:lpwstr>_Toc113667379</vt:lpwstr>
      </vt:variant>
      <vt:variant>
        <vt:i4>1048631</vt:i4>
      </vt:variant>
      <vt:variant>
        <vt:i4>68</vt:i4>
      </vt:variant>
      <vt:variant>
        <vt:i4>0</vt:i4>
      </vt:variant>
      <vt:variant>
        <vt:i4>5</vt:i4>
      </vt:variant>
      <vt:variant>
        <vt:lpwstr/>
      </vt:variant>
      <vt:variant>
        <vt:lpwstr>_Toc113667378</vt:lpwstr>
      </vt:variant>
      <vt:variant>
        <vt:i4>1048631</vt:i4>
      </vt:variant>
      <vt:variant>
        <vt:i4>62</vt:i4>
      </vt:variant>
      <vt:variant>
        <vt:i4>0</vt:i4>
      </vt:variant>
      <vt:variant>
        <vt:i4>5</vt:i4>
      </vt:variant>
      <vt:variant>
        <vt:lpwstr/>
      </vt:variant>
      <vt:variant>
        <vt:lpwstr>_Toc113667377</vt:lpwstr>
      </vt:variant>
      <vt:variant>
        <vt:i4>1048631</vt:i4>
      </vt:variant>
      <vt:variant>
        <vt:i4>56</vt:i4>
      </vt:variant>
      <vt:variant>
        <vt:i4>0</vt:i4>
      </vt:variant>
      <vt:variant>
        <vt:i4>5</vt:i4>
      </vt:variant>
      <vt:variant>
        <vt:lpwstr/>
      </vt:variant>
      <vt:variant>
        <vt:lpwstr>_Toc113667376</vt:lpwstr>
      </vt:variant>
      <vt:variant>
        <vt:i4>1048631</vt:i4>
      </vt:variant>
      <vt:variant>
        <vt:i4>50</vt:i4>
      </vt:variant>
      <vt:variant>
        <vt:i4>0</vt:i4>
      </vt:variant>
      <vt:variant>
        <vt:i4>5</vt:i4>
      </vt:variant>
      <vt:variant>
        <vt:lpwstr/>
      </vt:variant>
      <vt:variant>
        <vt:lpwstr>_Toc113667375</vt:lpwstr>
      </vt:variant>
      <vt:variant>
        <vt:i4>1048631</vt:i4>
      </vt:variant>
      <vt:variant>
        <vt:i4>44</vt:i4>
      </vt:variant>
      <vt:variant>
        <vt:i4>0</vt:i4>
      </vt:variant>
      <vt:variant>
        <vt:i4>5</vt:i4>
      </vt:variant>
      <vt:variant>
        <vt:lpwstr/>
      </vt:variant>
      <vt:variant>
        <vt:lpwstr>_Toc113667374</vt:lpwstr>
      </vt:variant>
      <vt:variant>
        <vt:i4>1048631</vt:i4>
      </vt:variant>
      <vt:variant>
        <vt:i4>38</vt:i4>
      </vt:variant>
      <vt:variant>
        <vt:i4>0</vt:i4>
      </vt:variant>
      <vt:variant>
        <vt:i4>5</vt:i4>
      </vt:variant>
      <vt:variant>
        <vt:lpwstr/>
      </vt:variant>
      <vt:variant>
        <vt:lpwstr>_Toc113667373</vt:lpwstr>
      </vt:variant>
      <vt:variant>
        <vt:i4>1048631</vt:i4>
      </vt:variant>
      <vt:variant>
        <vt:i4>32</vt:i4>
      </vt:variant>
      <vt:variant>
        <vt:i4>0</vt:i4>
      </vt:variant>
      <vt:variant>
        <vt:i4>5</vt:i4>
      </vt:variant>
      <vt:variant>
        <vt:lpwstr/>
      </vt:variant>
      <vt:variant>
        <vt:lpwstr>_Toc113667372</vt:lpwstr>
      </vt:variant>
      <vt:variant>
        <vt:i4>1048631</vt:i4>
      </vt:variant>
      <vt:variant>
        <vt:i4>26</vt:i4>
      </vt:variant>
      <vt:variant>
        <vt:i4>0</vt:i4>
      </vt:variant>
      <vt:variant>
        <vt:i4>5</vt:i4>
      </vt:variant>
      <vt:variant>
        <vt:lpwstr/>
      </vt:variant>
      <vt:variant>
        <vt:lpwstr>_Toc113667371</vt:lpwstr>
      </vt:variant>
      <vt:variant>
        <vt:i4>1048631</vt:i4>
      </vt:variant>
      <vt:variant>
        <vt:i4>20</vt:i4>
      </vt:variant>
      <vt:variant>
        <vt:i4>0</vt:i4>
      </vt:variant>
      <vt:variant>
        <vt:i4>5</vt:i4>
      </vt:variant>
      <vt:variant>
        <vt:lpwstr/>
      </vt:variant>
      <vt:variant>
        <vt:lpwstr>_Toc113667370</vt:lpwstr>
      </vt:variant>
      <vt:variant>
        <vt:i4>1114167</vt:i4>
      </vt:variant>
      <vt:variant>
        <vt:i4>14</vt:i4>
      </vt:variant>
      <vt:variant>
        <vt:i4>0</vt:i4>
      </vt:variant>
      <vt:variant>
        <vt:i4>5</vt:i4>
      </vt:variant>
      <vt:variant>
        <vt:lpwstr/>
      </vt:variant>
      <vt:variant>
        <vt:lpwstr>_Toc113667369</vt:lpwstr>
      </vt:variant>
      <vt:variant>
        <vt:i4>1114167</vt:i4>
      </vt:variant>
      <vt:variant>
        <vt:i4>8</vt:i4>
      </vt:variant>
      <vt:variant>
        <vt:i4>0</vt:i4>
      </vt:variant>
      <vt:variant>
        <vt:i4>5</vt:i4>
      </vt:variant>
      <vt:variant>
        <vt:lpwstr/>
      </vt:variant>
      <vt:variant>
        <vt:lpwstr>_Toc113667368</vt:lpwstr>
      </vt:variant>
      <vt:variant>
        <vt:i4>1114167</vt:i4>
      </vt:variant>
      <vt:variant>
        <vt:i4>2</vt:i4>
      </vt:variant>
      <vt:variant>
        <vt:i4>0</vt:i4>
      </vt:variant>
      <vt:variant>
        <vt:i4>5</vt:i4>
      </vt:variant>
      <vt:variant>
        <vt:lpwstr/>
      </vt:variant>
      <vt:variant>
        <vt:lpwstr>_Toc113667367</vt:lpwstr>
      </vt:variant>
      <vt:variant>
        <vt:i4>7405682</vt:i4>
      </vt:variant>
      <vt:variant>
        <vt:i4>12</vt:i4>
      </vt:variant>
      <vt:variant>
        <vt:i4>0</vt:i4>
      </vt:variant>
      <vt:variant>
        <vt:i4>5</vt:i4>
      </vt:variant>
      <vt:variant>
        <vt:lpwstr>https://www.nccn.org/professionals/physician_gls/pdf/cutaneous_melanoma.pdf</vt:lpwstr>
      </vt:variant>
      <vt:variant>
        <vt:lpwstr/>
      </vt:variant>
      <vt:variant>
        <vt:i4>2293831</vt:i4>
      </vt:variant>
      <vt:variant>
        <vt:i4>9</vt:i4>
      </vt:variant>
      <vt:variant>
        <vt:i4>0</vt:i4>
      </vt:variant>
      <vt:variant>
        <vt:i4>5</vt:i4>
      </vt:variant>
      <vt:variant>
        <vt:lpwstr>https://wiki.cancer.org.au/australia/Guidelines:Immunotherapy_for_melanoma_recommendations</vt:lpwstr>
      </vt:variant>
      <vt:variant>
        <vt:lpwstr/>
      </vt:variant>
      <vt:variant>
        <vt:i4>7667744</vt:i4>
      </vt:variant>
      <vt:variant>
        <vt:i4>6</vt:i4>
      </vt:variant>
      <vt:variant>
        <vt:i4>0</vt:i4>
      </vt:variant>
      <vt:variant>
        <vt:i4>5</vt:i4>
      </vt:variant>
      <vt:variant>
        <vt:lpwstr>https://ncci.canceraustralia.gov.au/outcomes/relative-survival-rate/relative-survival-stage-diagnosis-melanoma</vt:lpwstr>
      </vt:variant>
      <vt:variant>
        <vt:lpwstr/>
      </vt:variant>
      <vt:variant>
        <vt:i4>6291513</vt:i4>
      </vt:variant>
      <vt:variant>
        <vt:i4>3</vt:i4>
      </vt:variant>
      <vt:variant>
        <vt:i4>0</vt:i4>
      </vt:variant>
      <vt:variant>
        <vt:i4>5</vt:i4>
      </vt:variant>
      <vt:variant>
        <vt:lpwstr>https://www.aihw.gov.au/reports/cancer/cancer-data-in-australia/contents/cancer-summary-data-visualisation</vt:lpwstr>
      </vt:variant>
      <vt:variant>
        <vt:lpwstr/>
      </vt:variant>
      <vt:variant>
        <vt:i4>3866666</vt:i4>
      </vt:variant>
      <vt:variant>
        <vt:i4>0</vt:i4>
      </vt:variant>
      <vt:variant>
        <vt:i4>0</vt:i4>
      </vt:variant>
      <vt:variant>
        <vt:i4>5</vt:i4>
      </vt:variant>
      <vt:variant>
        <vt:lpwstr>https://www.canceraustralia.gov.au/cancer-types/melanoma/statistics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2023-02-27T03:35:00Z</dcterms:created>
  <dcterms:modified xsi:type="dcterms:W3CDTF">2023-02-27T03:44:00Z</dcterms:modified>
</cp:coreProperties>
</file>