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7D001F4" w:rsidR="00B60939" w:rsidRPr="000A03FD" w:rsidRDefault="00DC4770" w:rsidP="00E72977">
      <w:pPr>
        <w:pStyle w:val="1-MainHeading"/>
        <w:ind w:left="709" w:hanging="709"/>
      </w:pPr>
      <w:bookmarkStart w:id="0" w:name="_Toc113982833"/>
      <w:r w:rsidRPr="000A03FD">
        <w:t>7</w:t>
      </w:r>
      <w:r w:rsidR="00433044" w:rsidRPr="000A03FD">
        <w:t>.</w:t>
      </w:r>
      <w:r w:rsidRPr="000A03FD">
        <w:t>04</w:t>
      </w:r>
      <w:r w:rsidR="00E72977">
        <w:tab/>
      </w:r>
      <w:r w:rsidR="00B44FCA" w:rsidRPr="000A03FD">
        <w:t>MEPOLIZUMAB</w:t>
      </w:r>
      <w:r w:rsidR="00163F66" w:rsidRPr="000A03FD">
        <w:t>,</w:t>
      </w:r>
      <w:r w:rsidR="00163F66" w:rsidRPr="000A03FD">
        <w:br/>
      </w:r>
      <w:r w:rsidR="00B44FCA" w:rsidRPr="000A03FD">
        <w:t>Injection 100 mg in 1 mL single dose pre-filled pen</w:t>
      </w:r>
      <w:r w:rsidR="00163F66" w:rsidRPr="000A03FD">
        <w:t>,</w:t>
      </w:r>
      <w:r w:rsidR="00163F66" w:rsidRPr="000A03FD">
        <w:br/>
      </w:r>
      <w:r w:rsidR="00CE2893" w:rsidRPr="000A03FD">
        <w:t>Nucala</w:t>
      </w:r>
      <w:r w:rsidR="00B60939" w:rsidRPr="000A03FD">
        <w:rPr>
          <w:vertAlign w:val="superscript"/>
        </w:rPr>
        <w:t>®</w:t>
      </w:r>
      <w:r w:rsidR="004A6040" w:rsidRPr="000A03FD">
        <w:t>,</w:t>
      </w:r>
      <w:r w:rsidR="004A6040" w:rsidRPr="000A03FD">
        <w:br/>
      </w:r>
      <w:r w:rsidR="00CE2893" w:rsidRPr="000A03FD">
        <w:t>G</w:t>
      </w:r>
      <w:r w:rsidR="0006735E">
        <w:t>laxoSmithKline</w:t>
      </w:r>
      <w:r w:rsidR="00CE2893" w:rsidRPr="000A03FD">
        <w:t xml:space="preserve"> A</w:t>
      </w:r>
      <w:r w:rsidR="0006735E">
        <w:t>ustralia Pty Ltd</w:t>
      </w:r>
      <w:bookmarkEnd w:id="0"/>
    </w:p>
    <w:p w14:paraId="11C00795" w14:textId="3DFB6D23" w:rsidR="00B50DB8" w:rsidRPr="000A03FD" w:rsidRDefault="00B50DB8" w:rsidP="004A6040">
      <w:pPr>
        <w:pStyle w:val="2-SectionHeading"/>
      </w:pPr>
      <w:bookmarkStart w:id="1" w:name="_Toc113982835"/>
      <w:r w:rsidRPr="000A03FD">
        <w:t xml:space="preserve">Purpose of </w:t>
      </w:r>
      <w:r w:rsidR="00CD7193" w:rsidRPr="000A03FD">
        <w:t>s</w:t>
      </w:r>
      <w:r w:rsidR="00BB3A45" w:rsidRPr="000A03FD">
        <w:t>ubmission</w:t>
      </w:r>
      <w:bookmarkEnd w:id="1"/>
    </w:p>
    <w:p w14:paraId="19414AA1" w14:textId="6AABAFC4" w:rsidR="002C2775" w:rsidRPr="000A03FD" w:rsidRDefault="007170DA" w:rsidP="004E18E9">
      <w:pPr>
        <w:pStyle w:val="3-BodyText"/>
      </w:pPr>
      <w:r w:rsidRPr="000A03FD">
        <w:t xml:space="preserve">The </w:t>
      </w:r>
      <w:r w:rsidR="000508C2" w:rsidRPr="000A03FD">
        <w:t>Standard Re-entry</w:t>
      </w:r>
      <w:r w:rsidR="003C7C15" w:rsidRPr="000A03FD">
        <w:t xml:space="preserve"> </w:t>
      </w:r>
      <w:r w:rsidR="004F10B7" w:rsidRPr="000A03FD">
        <w:t>re</w:t>
      </w:r>
      <w:r w:rsidRPr="000A03FD">
        <w:t>submission requested</w:t>
      </w:r>
      <w:r w:rsidR="009F6B8C" w:rsidRPr="000A03FD">
        <w:t xml:space="preserve"> a Section 100 (Highly </w:t>
      </w:r>
      <w:r w:rsidR="00E10A66" w:rsidRPr="000A03FD">
        <w:t>Specialised</w:t>
      </w:r>
      <w:r w:rsidR="009F6B8C" w:rsidRPr="000A03FD">
        <w:t xml:space="preserve"> Drugs Program</w:t>
      </w:r>
      <w:r w:rsidR="00E10A66" w:rsidRPr="000A03FD">
        <w:t>) Authority Required (Written)</w:t>
      </w:r>
      <w:r w:rsidR="008B1757" w:rsidRPr="000A03FD">
        <w:t xml:space="preserve"> listing for </w:t>
      </w:r>
      <w:r w:rsidR="00E10A66" w:rsidRPr="000A03FD">
        <w:t>mepolizumab</w:t>
      </w:r>
      <w:r w:rsidR="008B1757" w:rsidRPr="000A03FD">
        <w:t xml:space="preserve"> for </w:t>
      </w:r>
      <w:r w:rsidR="0050174E" w:rsidRPr="000A03FD">
        <w:t xml:space="preserve">the </w:t>
      </w:r>
      <w:r w:rsidR="008B1757" w:rsidRPr="000A03FD">
        <w:t xml:space="preserve">treatment of </w:t>
      </w:r>
      <w:r w:rsidR="00702946" w:rsidRPr="000A03FD">
        <w:t>chronic rhinosinusitis with nasal polyps</w:t>
      </w:r>
      <w:r w:rsidR="0019698F" w:rsidRPr="000A03FD">
        <w:t xml:space="preserve"> (NP)</w:t>
      </w:r>
      <w:r w:rsidR="008B1757" w:rsidRPr="000A03FD">
        <w:t>.</w:t>
      </w:r>
    </w:p>
    <w:p w14:paraId="4E9FBCB5" w14:textId="1FEEF1BA" w:rsidR="00C2778B" w:rsidRPr="000A03FD" w:rsidRDefault="005750C5" w:rsidP="004E18E9">
      <w:pPr>
        <w:pStyle w:val="3-BodyText"/>
      </w:pPr>
      <w:r w:rsidRPr="000A03FD">
        <w:t>Listing was requested on the basis of a</w:t>
      </w:r>
      <w:r w:rsidR="00FE49DE" w:rsidRPr="000A03FD">
        <w:t xml:space="preserve"> cost-effectiveness analysis versus standard of care (SoC)</w:t>
      </w:r>
      <w:r w:rsidRPr="000A03FD">
        <w:t>.</w:t>
      </w:r>
      <w:r w:rsidR="00BC591F" w:rsidRPr="000A03FD">
        <w:t xml:space="preserve"> </w:t>
      </w:r>
    </w:p>
    <w:p w14:paraId="3718DE61" w14:textId="607F887C" w:rsidR="008B1757" w:rsidRPr="000A03FD" w:rsidRDefault="00696EF9" w:rsidP="004A6040">
      <w:pPr>
        <w:pStyle w:val="TableFigureHeading"/>
        <w:rPr>
          <w:rStyle w:val="CommentReference"/>
          <w:b/>
          <w:szCs w:val="24"/>
        </w:rPr>
      </w:pPr>
      <w:r w:rsidRPr="000A03FD">
        <w:t xml:space="preserve">Table </w:t>
      </w:r>
      <w:fldSimple w:instr=" SEQ Table \* ARABIC " w:fldLock="1">
        <w:r w:rsidR="00A0401C" w:rsidRPr="000A03FD">
          <w:t>1</w:t>
        </w:r>
      </w:fldSimple>
      <w:r w:rsidRPr="000A03FD">
        <w:t>:</w:t>
      </w:r>
      <w:r w:rsidR="00BC591F" w:rsidRPr="000A03FD">
        <w:rPr>
          <w:rStyle w:val="CommentReference"/>
          <w:b/>
          <w:szCs w:val="24"/>
        </w:rPr>
        <w:t xml:space="preserve"> </w:t>
      </w:r>
      <w:r w:rsidR="008B1757" w:rsidRPr="000A03FD">
        <w:rPr>
          <w:rStyle w:val="CommentReference"/>
          <w:b/>
          <w:szCs w:val="24"/>
        </w:rPr>
        <w:t xml:space="preserve">Key components of the clinical issue addressed by the </w:t>
      </w:r>
      <w:r w:rsidR="00FF6C3F" w:rsidRPr="000A03FD">
        <w:rPr>
          <w:rStyle w:val="CommentReference"/>
          <w:b/>
          <w:szCs w:val="24"/>
        </w:rPr>
        <w:t>re</w:t>
      </w:r>
      <w:r w:rsidR="008B1757" w:rsidRPr="000A03FD">
        <w:rPr>
          <w:rStyle w:val="CommentReference"/>
          <w:b/>
          <w:szCs w:val="24"/>
        </w:rPr>
        <w:t>submission</w:t>
      </w:r>
      <w:r w:rsidR="007170DA" w:rsidRPr="000A03FD">
        <w:rPr>
          <w:rStyle w:val="CommentReference"/>
          <w:b/>
          <w:szCs w:val="24"/>
        </w:rPr>
        <w:t xml:space="preserve"> (as stated in the </w:t>
      </w:r>
      <w:r w:rsidR="00FF6C3F" w:rsidRPr="000A03FD">
        <w:rPr>
          <w:rStyle w:val="CommentReference"/>
          <w:b/>
          <w:szCs w:val="24"/>
        </w:rPr>
        <w:t>re</w:t>
      </w:r>
      <w:r w:rsidR="007170DA" w:rsidRPr="000A03FD">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133912" w:rsidRPr="000A03FD" w14:paraId="569F5103" w14:textId="77777777" w:rsidTr="002A2ADE">
        <w:trPr>
          <w:cantSplit/>
          <w:tblHeader/>
        </w:trPr>
        <w:tc>
          <w:tcPr>
            <w:tcW w:w="924" w:type="pct"/>
            <w:shd w:val="clear" w:color="auto" w:fill="auto"/>
          </w:tcPr>
          <w:p w14:paraId="501803FB" w14:textId="77777777" w:rsidR="008B1757" w:rsidRPr="000A03FD" w:rsidRDefault="008B1757" w:rsidP="004A6040">
            <w:pPr>
              <w:pStyle w:val="In-tableHeading"/>
              <w:rPr>
                <w:szCs w:val="20"/>
                <w:lang w:val="en-AU"/>
              </w:rPr>
            </w:pPr>
            <w:r w:rsidRPr="000A03FD">
              <w:rPr>
                <w:lang w:val="en-AU"/>
              </w:rPr>
              <w:t>Component</w:t>
            </w:r>
          </w:p>
        </w:tc>
        <w:tc>
          <w:tcPr>
            <w:tcW w:w="4076" w:type="pct"/>
            <w:shd w:val="clear" w:color="auto" w:fill="auto"/>
          </w:tcPr>
          <w:p w14:paraId="445D9EBB" w14:textId="77777777" w:rsidR="008B1757" w:rsidRPr="000A03FD" w:rsidRDefault="008B1757" w:rsidP="004A6040">
            <w:pPr>
              <w:pStyle w:val="In-tableHeading"/>
              <w:rPr>
                <w:lang w:val="en-AU"/>
              </w:rPr>
            </w:pPr>
            <w:r w:rsidRPr="000A03FD">
              <w:rPr>
                <w:lang w:val="en-AU"/>
              </w:rPr>
              <w:t>Description</w:t>
            </w:r>
          </w:p>
        </w:tc>
      </w:tr>
      <w:tr w:rsidR="00EA26FA" w:rsidRPr="000A03FD" w14:paraId="2EB546E2" w14:textId="77777777" w:rsidTr="002A2ADE">
        <w:trPr>
          <w:cantSplit/>
        </w:trPr>
        <w:tc>
          <w:tcPr>
            <w:tcW w:w="924" w:type="pct"/>
            <w:shd w:val="clear" w:color="auto" w:fill="auto"/>
          </w:tcPr>
          <w:p w14:paraId="38F3BB34" w14:textId="77777777" w:rsidR="00EA26FA" w:rsidRPr="000A03FD" w:rsidRDefault="00EA26FA" w:rsidP="00EA26FA">
            <w:pPr>
              <w:pStyle w:val="TableText0"/>
            </w:pPr>
            <w:r w:rsidRPr="000A03FD">
              <w:t>Population</w:t>
            </w:r>
          </w:p>
        </w:tc>
        <w:tc>
          <w:tcPr>
            <w:tcW w:w="4076" w:type="pct"/>
            <w:shd w:val="clear" w:color="auto" w:fill="auto"/>
          </w:tcPr>
          <w:p w14:paraId="79618EEE" w14:textId="099BD4AB" w:rsidR="00EA26FA" w:rsidRPr="000A03FD" w:rsidRDefault="00EA26FA" w:rsidP="00EA26FA">
            <w:pPr>
              <w:pStyle w:val="TableText0"/>
              <w:rPr>
                <w:szCs w:val="20"/>
              </w:rPr>
            </w:pPr>
            <w:r w:rsidRPr="000A03FD">
              <w:rPr>
                <w:szCs w:val="20"/>
              </w:rPr>
              <w:t xml:space="preserve">CRSwNP in adult (≥18 years-old) patients with a blood eosinophil count </w:t>
            </w:r>
            <w:r w:rsidRPr="000A03FD">
              <w:rPr>
                <w:szCs w:val="20"/>
                <w:u w:val="single"/>
              </w:rPr>
              <w:t xml:space="preserve">≥300cells/µL (OR </w:t>
            </w:r>
            <w:r w:rsidR="000B0069" w:rsidRPr="000A03FD">
              <w:rPr>
                <w:szCs w:val="20"/>
                <w:u w:val="single"/>
              </w:rPr>
              <w:t xml:space="preserve">blood </w:t>
            </w:r>
            <w:r w:rsidRPr="000A03FD">
              <w:rPr>
                <w:szCs w:val="20"/>
                <w:u w:val="single"/>
              </w:rPr>
              <w:t>eosinophil count ≥150cells/µL if treated with OCS within previous 12 months)</w:t>
            </w:r>
            <w:r w:rsidRPr="000A03FD">
              <w:rPr>
                <w:szCs w:val="20"/>
              </w:rPr>
              <w:t xml:space="preserve"> who have received prior NP surgery (or are unsuitable for surgery) and remain </w:t>
            </w:r>
            <w:r w:rsidRPr="000A03FD">
              <w:rPr>
                <w:szCs w:val="20"/>
                <w:u w:val="single"/>
              </w:rPr>
              <w:t>inadequately controlled</w:t>
            </w:r>
            <w:r w:rsidRPr="000A03FD">
              <w:rPr>
                <w:szCs w:val="20"/>
              </w:rPr>
              <w:t xml:space="preserve"> </w:t>
            </w:r>
            <w:r w:rsidRPr="000A03FD">
              <w:rPr>
                <w:szCs w:val="20"/>
                <w:vertAlign w:val="superscript"/>
              </w:rPr>
              <w:t>a</w:t>
            </w:r>
            <w:r w:rsidRPr="000A03FD">
              <w:rPr>
                <w:szCs w:val="20"/>
              </w:rPr>
              <w:t xml:space="preserve"> with intra-nasal corticosteroids (unless contra-indicated or not tolerated)</w:t>
            </w:r>
          </w:p>
        </w:tc>
      </w:tr>
      <w:tr w:rsidR="00EA26FA" w:rsidRPr="000A03FD" w14:paraId="0CA523AF" w14:textId="77777777" w:rsidTr="002A2ADE">
        <w:trPr>
          <w:cantSplit/>
        </w:trPr>
        <w:tc>
          <w:tcPr>
            <w:tcW w:w="924" w:type="pct"/>
            <w:shd w:val="clear" w:color="auto" w:fill="auto"/>
          </w:tcPr>
          <w:p w14:paraId="7B6D20D8" w14:textId="77777777" w:rsidR="00EA26FA" w:rsidRPr="000A03FD" w:rsidRDefault="00EA26FA" w:rsidP="00EA26FA">
            <w:pPr>
              <w:pStyle w:val="TableText0"/>
            </w:pPr>
            <w:r w:rsidRPr="000A03FD">
              <w:t>Intervention</w:t>
            </w:r>
          </w:p>
        </w:tc>
        <w:tc>
          <w:tcPr>
            <w:tcW w:w="4076" w:type="pct"/>
            <w:shd w:val="clear" w:color="auto" w:fill="auto"/>
          </w:tcPr>
          <w:p w14:paraId="2491E905" w14:textId="5B04B207" w:rsidR="00EA26FA" w:rsidRPr="000A03FD" w:rsidRDefault="00EA26FA" w:rsidP="00EA26FA">
            <w:pPr>
              <w:pStyle w:val="TableText0"/>
            </w:pPr>
            <w:r w:rsidRPr="000A03FD">
              <w:t>Mepolizumab 100 mg SC injection by self-administration every 28 days</w:t>
            </w:r>
          </w:p>
        </w:tc>
      </w:tr>
      <w:tr w:rsidR="00EA26FA" w:rsidRPr="000A03FD" w14:paraId="0F81EBE4" w14:textId="77777777" w:rsidTr="002A2ADE">
        <w:trPr>
          <w:cantSplit/>
        </w:trPr>
        <w:tc>
          <w:tcPr>
            <w:tcW w:w="924" w:type="pct"/>
            <w:shd w:val="clear" w:color="auto" w:fill="auto"/>
          </w:tcPr>
          <w:p w14:paraId="3656B343" w14:textId="77777777" w:rsidR="00EA26FA" w:rsidRPr="000A03FD" w:rsidRDefault="00EA26FA" w:rsidP="00EA26FA">
            <w:pPr>
              <w:pStyle w:val="TableText0"/>
            </w:pPr>
            <w:r w:rsidRPr="000A03FD">
              <w:t>Comparator</w:t>
            </w:r>
          </w:p>
        </w:tc>
        <w:tc>
          <w:tcPr>
            <w:tcW w:w="4076" w:type="pct"/>
            <w:shd w:val="clear" w:color="auto" w:fill="auto"/>
          </w:tcPr>
          <w:p w14:paraId="3727DE24" w14:textId="3AF2D672" w:rsidR="00EA26FA" w:rsidRPr="000A03FD" w:rsidRDefault="00EA26FA" w:rsidP="00EA26FA">
            <w:pPr>
              <w:pStyle w:val="TableText0"/>
            </w:pPr>
            <w:r w:rsidRPr="000A03FD">
              <w:t>Standard of care (including INCS (drops/sprays/rinses), saline rinses, short courses of OCS)</w:t>
            </w:r>
          </w:p>
        </w:tc>
      </w:tr>
      <w:tr w:rsidR="00EA26FA" w:rsidRPr="000A03FD" w14:paraId="02F86F0D" w14:textId="77777777" w:rsidTr="002A2ADE">
        <w:trPr>
          <w:cantSplit/>
        </w:trPr>
        <w:tc>
          <w:tcPr>
            <w:tcW w:w="924" w:type="pct"/>
            <w:shd w:val="clear" w:color="auto" w:fill="auto"/>
          </w:tcPr>
          <w:p w14:paraId="06433105" w14:textId="77777777" w:rsidR="00EA26FA" w:rsidRPr="000A03FD" w:rsidRDefault="00EA26FA" w:rsidP="00EA26FA">
            <w:pPr>
              <w:pStyle w:val="TableText0"/>
            </w:pPr>
            <w:r w:rsidRPr="000A03FD">
              <w:t>Outcomes</w:t>
            </w:r>
          </w:p>
        </w:tc>
        <w:tc>
          <w:tcPr>
            <w:tcW w:w="4076" w:type="pct"/>
            <w:shd w:val="clear" w:color="auto" w:fill="auto"/>
          </w:tcPr>
          <w:p w14:paraId="22BC1568" w14:textId="77777777" w:rsidR="00EA26FA" w:rsidRPr="000A03FD" w:rsidRDefault="00EA26FA" w:rsidP="00EA26FA">
            <w:pPr>
              <w:rPr>
                <w:rFonts w:ascii="Arial Narrow" w:eastAsiaTheme="majorEastAsia" w:hAnsi="Arial Narrow" w:cstheme="majorBidi"/>
                <w:bCs/>
                <w:sz w:val="20"/>
              </w:rPr>
            </w:pPr>
            <w:r w:rsidRPr="000A03FD">
              <w:rPr>
                <w:rFonts w:ascii="Arial Narrow" w:eastAsiaTheme="majorEastAsia" w:hAnsi="Arial Narrow" w:cstheme="majorBidi"/>
                <w:bCs/>
                <w:sz w:val="20"/>
              </w:rPr>
              <w:t>Primary endpoints: Total endoscopic nasal polyp score, nasal obstruction visual analogue scale (VAS) score.</w:t>
            </w:r>
          </w:p>
          <w:p w14:paraId="248DF5F3" w14:textId="77777777" w:rsidR="00EA26FA" w:rsidRPr="000A03FD" w:rsidRDefault="00EA26FA" w:rsidP="00EA26FA">
            <w:pPr>
              <w:rPr>
                <w:rFonts w:ascii="Arial Narrow" w:eastAsiaTheme="majorEastAsia" w:hAnsi="Arial Narrow" w:cstheme="majorBidi"/>
                <w:bCs/>
                <w:sz w:val="20"/>
              </w:rPr>
            </w:pPr>
            <w:r w:rsidRPr="000A03FD">
              <w:rPr>
                <w:rFonts w:ascii="Arial Narrow" w:eastAsiaTheme="majorEastAsia" w:hAnsi="Arial Narrow" w:cstheme="majorBidi"/>
                <w:bCs/>
                <w:sz w:val="20"/>
              </w:rPr>
              <w:t xml:space="preserve">Secondary endpoints: Time to first actual nasal polyp surgery, overall VAS score, change from baseline in SNOT-22 total score, proportion of patients requiring systemic steroids for nasal polyps, composite VAS, individual VAS symptom score for loss of smell, clinically significant asthma exacerbations, change in ACQ-5 score. </w:t>
            </w:r>
          </w:p>
          <w:p w14:paraId="5ABC4037" w14:textId="75212378" w:rsidR="00EA26FA" w:rsidRPr="000A03FD" w:rsidRDefault="00EA26FA" w:rsidP="00EA26FA">
            <w:pPr>
              <w:pStyle w:val="TableText0"/>
              <w:rPr>
                <w:rFonts w:eastAsia="Times New Roman" w:cs="Arial"/>
                <w:bCs w:val="0"/>
                <w:snapToGrid w:val="0"/>
                <w:szCs w:val="20"/>
              </w:rPr>
            </w:pPr>
            <w:r w:rsidRPr="000A03FD">
              <w:t>Safety: Rates of adverse events (AEs) and serious AEs (fatal and non-fatal)</w:t>
            </w:r>
          </w:p>
        </w:tc>
      </w:tr>
      <w:tr w:rsidR="00EA26FA" w:rsidRPr="000A03FD" w14:paraId="22223890" w14:textId="77777777" w:rsidTr="002A2ADE">
        <w:trPr>
          <w:cantSplit/>
        </w:trPr>
        <w:tc>
          <w:tcPr>
            <w:tcW w:w="924" w:type="pct"/>
            <w:shd w:val="clear" w:color="auto" w:fill="auto"/>
          </w:tcPr>
          <w:p w14:paraId="0FC8FCE0" w14:textId="77777777" w:rsidR="00EA26FA" w:rsidRPr="000A03FD" w:rsidRDefault="00EA26FA" w:rsidP="00EA26FA">
            <w:pPr>
              <w:pStyle w:val="TableText0"/>
            </w:pPr>
            <w:r w:rsidRPr="000A03FD">
              <w:t>Clinical claim</w:t>
            </w:r>
          </w:p>
        </w:tc>
        <w:tc>
          <w:tcPr>
            <w:tcW w:w="4076" w:type="pct"/>
            <w:shd w:val="clear" w:color="auto" w:fill="auto"/>
          </w:tcPr>
          <w:p w14:paraId="2C99C4DE" w14:textId="1ADD3E99" w:rsidR="00EA26FA" w:rsidRPr="000A03FD" w:rsidRDefault="00EA26FA" w:rsidP="00EA26FA">
            <w:pPr>
              <w:pStyle w:val="TableText0"/>
              <w:rPr>
                <w:rFonts w:eastAsia="Times New Roman" w:cs="Arial"/>
                <w:bCs w:val="0"/>
                <w:snapToGrid w:val="0"/>
                <w:szCs w:val="20"/>
              </w:rPr>
            </w:pPr>
            <w:r w:rsidRPr="000A03FD">
              <w:t>Mepolizumab has superior efficacy (reduced need for surgery, reduced polyp size, improved symptoms, improved QoL and reduced need for OCS) and comparable safety to standard of care for patients with recurrent severe bilateral nasal polyps who have received prior nasal polyp surgery</w:t>
            </w:r>
          </w:p>
        </w:tc>
      </w:tr>
    </w:tbl>
    <w:p w14:paraId="527CA7F0" w14:textId="27D8DD3E" w:rsidR="004E43B2" w:rsidRPr="000A03FD" w:rsidRDefault="008B1757" w:rsidP="004A6040">
      <w:pPr>
        <w:pStyle w:val="FooterTableFigure"/>
      </w:pPr>
      <w:r w:rsidRPr="000A03FD">
        <w:t>Source:</w:t>
      </w:r>
      <w:r w:rsidR="00835BF3" w:rsidRPr="000A03FD">
        <w:t xml:space="preserve"> Table 1-2, pp18-9 of the resubmission</w:t>
      </w:r>
    </w:p>
    <w:p w14:paraId="45AC5802" w14:textId="22271F07" w:rsidR="00835BF3" w:rsidRPr="000A03FD" w:rsidRDefault="00835BF3" w:rsidP="004A6040">
      <w:pPr>
        <w:pStyle w:val="FooterTableFigure"/>
      </w:pPr>
      <w:r w:rsidRPr="000A03FD">
        <w:t>Note</w:t>
      </w:r>
      <w:r w:rsidR="00C406BA" w:rsidRPr="000A03FD">
        <w:t xml:space="preserve"> -</w:t>
      </w:r>
      <w:r w:rsidRPr="000A03FD">
        <w:t xml:space="preserve"> </w:t>
      </w:r>
      <w:r w:rsidRPr="000A03FD">
        <w:rPr>
          <w:u w:val="single"/>
        </w:rPr>
        <w:t>underline</w:t>
      </w:r>
      <w:r w:rsidR="00E144F5" w:rsidRPr="000A03FD">
        <w:rPr>
          <w:u w:val="single"/>
        </w:rPr>
        <w:t>d</w:t>
      </w:r>
      <w:r w:rsidRPr="000A03FD">
        <w:rPr>
          <w:u w:val="single"/>
        </w:rPr>
        <w:t xml:space="preserve"> text</w:t>
      </w:r>
      <w:r w:rsidRPr="000A03FD">
        <w:t xml:space="preserve"> refers to </w:t>
      </w:r>
      <w:r w:rsidR="00E144F5" w:rsidRPr="000A03FD">
        <w:t>changes from the previous submission</w:t>
      </w:r>
    </w:p>
    <w:p w14:paraId="705FC034" w14:textId="4B043409" w:rsidR="00631F8B" w:rsidRPr="000A03FD" w:rsidRDefault="00631F8B" w:rsidP="004A6040">
      <w:pPr>
        <w:pStyle w:val="FooterTableFigure"/>
      </w:pPr>
      <w:r w:rsidRPr="000A03FD">
        <w:rPr>
          <w:vertAlign w:val="superscript"/>
        </w:rPr>
        <w:t>a</w:t>
      </w:r>
      <w:r w:rsidRPr="000A03FD">
        <w:t xml:space="preserve"> </w:t>
      </w:r>
      <w:r w:rsidR="005149AC" w:rsidRPr="000A03FD">
        <w:t>The previous submission targeted patients inadequately controlled with intra-nasal corticosteroids (INCS) and oral corticosteroids (OCS) whereas the resubmission targeted patients inadequately controlled on INCS only.</w:t>
      </w:r>
    </w:p>
    <w:p w14:paraId="759DD035" w14:textId="77777777" w:rsidR="00CB48F3" w:rsidRPr="000A03FD" w:rsidRDefault="00CB48F3" w:rsidP="00CB48F3">
      <w:pPr>
        <w:pStyle w:val="FooterTableFigure"/>
      </w:pPr>
      <w:r w:rsidRPr="000A03FD">
        <w:t>ACQ-5= asthma control questionnaire; AE= adverse event; CRSwNP = chronic rhinosinusitis with nasal polyps; INCS= intranasal corticosteroids; NP= nasal polyps; OCS= oral corticosteroids; QoL= quality of life; SC= subcutaneous; SNOT-22= sino-nasal outcomes test (22 items); VAS= visual analogue scale.</w:t>
      </w:r>
    </w:p>
    <w:p w14:paraId="6B4AB6C2" w14:textId="7F01D731" w:rsidR="005C25FF" w:rsidRPr="000A03FD" w:rsidRDefault="005C25FF" w:rsidP="004A6040">
      <w:pPr>
        <w:pStyle w:val="2-SectionHeading"/>
      </w:pPr>
      <w:bookmarkStart w:id="2" w:name="_Toc113982836"/>
      <w:r w:rsidRPr="000A03FD">
        <w:t>Background</w:t>
      </w:r>
      <w:bookmarkEnd w:id="2"/>
    </w:p>
    <w:p w14:paraId="2C521D6D" w14:textId="78CF03EE" w:rsidR="005C25FF" w:rsidRPr="000A03FD" w:rsidRDefault="005C25FF" w:rsidP="004A6040">
      <w:pPr>
        <w:pStyle w:val="4-SubsectionHeading"/>
      </w:pPr>
      <w:bookmarkStart w:id="3" w:name="_Toc22897638"/>
      <w:bookmarkStart w:id="4" w:name="_Toc113982837"/>
      <w:r w:rsidRPr="000A03FD">
        <w:t>Registration status</w:t>
      </w:r>
      <w:bookmarkEnd w:id="3"/>
      <w:bookmarkEnd w:id="4"/>
    </w:p>
    <w:p w14:paraId="5687ECCD" w14:textId="6293E5A9" w:rsidR="002D3D38" w:rsidRPr="000A03FD" w:rsidRDefault="00521D59" w:rsidP="002D3D38">
      <w:pPr>
        <w:pStyle w:val="3-BodyText"/>
      </w:pPr>
      <w:bookmarkStart w:id="5" w:name="_Ref111518834"/>
      <w:r w:rsidRPr="000A03FD">
        <w:t>Mepolizumab</w:t>
      </w:r>
      <w:r w:rsidR="005C25FF" w:rsidRPr="000A03FD">
        <w:t xml:space="preserve"> was TGA registered </w:t>
      </w:r>
      <w:r w:rsidR="003B71B7" w:rsidRPr="000A03FD">
        <w:t>in January 2022</w:t>
      </w:r>
      <w:r w:rsidR="005C25FF" w:rsidRPr="000A03FD">
        <w:t xml:space="preserve"> for</w:t>
      </w:r>
      <w:r w:rsidR="00A97CE1" w:rsidRPr="000A03FD">
        <w:t xml:space="preserve"> add-on treatment in adult patients (18 years and above) with severe chronic rhinosinusitis with nasal polyps (CRSwNP) with an inadequate response to intranasal corticosteroids</w:t>
      </w:r>
      <w:r w:rsidR="00CF3A1B" w:rsidRPr="000A03FD">
        <w:t>.</w:t>
      </w:r>
      <w:bookmarkEnd w:id="5"/>
    </w:p>
    <w:p w14:paraId="5374AD55" w14:textId="38886DE3" w:rsidR="005C25FF" w:rsidRPr="000A03FD" w:rsidRDefault="00AD2EAE" w:rsidP="002C0580">
      <w:pPr>
        <w:pStyle w:val="3-BodyText"/>
      </w:pPr>
      <w:r w:rsidRPr="000A03FD">
        <w:lastRenderedPageBreak/>
        <w:t xml:space="preserve">Mepolizumab </w:t>
      </w:r>
      <w:r w:rsidR="00F312E4" w:rsidRPr="000A03FD">
        <w:t xml:space="preserve">is also currently TGA registered for severe eosinophilic asthma and relapsed or refractory eosinophilic granulomatosis </w:t>
      </w:r>
      <w:r w:rsidR="00850CBE" w:rsidRPr="000A03FD">
        <w:t>polyangiitis.</w:t>
      </w:r>
    </w:p>
    <w:p w14:paraId="3E2A6EAB" w14:textId="64EC6B63" w:rsidR="005C25FF" w:rsidRPr="000A03FD" w:rsidRDefault="005C25FF" w:rsidP="00852B96">
      <w:pPr>
        <w:pStyle w:val="4-SubsectionHeading"/>
        <w:keepNext w:val="0"/>
      </w:pPr>
      <w:bookmarkStart w:id="6" w:name="_Toc22897639"/>
      <w:bookmarkStart w:id="7" w:name="_Toc113982838"/>
      <w:r w:rsidRPr="000A03FD">
        <w:t>Previous PBAC consideration</w:t>
      </w:r>
      <w:bookmarkEnd w:id="6"/>
      <w:bookmarkEnd w:id="7"/>
    </w:p>
    <w:p w14:paraId="5CE0B192" w14:textId="446DCF07" w:rsidR="002C0580" w:rsidRPr="000A03FD" w:rsidRDefault="002C0580" w:rsidP="002C0580">
      <w:pPr>
        <w:pStyle w:val="3-BodyText"/>
      </w:pPr>
      <w:r w:rsidRPr="000A03FD">
        <w:t>Mepolizumab</w:t>
      </w:r>
      <w:r w:rsidR="00006500" w:rsidRPr="000A03FD">
        <w:t xml:space="preserve"> for the treatment of CRSwNP in patients </w:t>
      </w:r>
      <w:r w:rsidR="00046D2F" w:rsidRPr="000A03FD">
        <w:t>who have received at least one previous surgery for the removal of NP (unless not suitable for surgery) and failed to achieve adequate control with optimised NP therapy (intranasal corticosteroids (INCS) unless contraindicated or not tolerated, and oral corticosteroids (OCS) unless contraindicated or not tolerated), with a blood eosinophil count (BEC) greater than or equal to 150 cells/</w:t>
      </w:r>
      <w:r w:rsidR="00B30CCD" w:rsidRPr="000A03FD">
        <w:rPr>
          <w:rFonts w:cstheme="minorHAnsi"/>
        </w:rPr>
        <w:t>µ</w:t>
      </w:r>
      <w:r w:rsidR="00046D2F" w:rsidRPr="000A03FD">
        <w:t>L was previously considered at the November 2021 PBAC meeting.</w:t>
      </w:r>
    </w:p>
    <w:p w14:paraId="06D5EE77" w14:textId="543FBD10" w:rsidR="00370E22" w:rsidRPr="000A03FD" w:rsidRDefault="00EE640D" w:rsidP="00370E22">
      <w:pPr>
        <w:pStyle w:val="3-BodyText"/>
      </w:pPr>
      <w:r w:rsidRPr="000A03FD">
        <w:fldChar w:fldCharType="begin" w:fldLock="1"/>
      </w:r>
      <w:r w:rsidRPr="000A03FD">
        <w:instrText xml:space="preserve"> REF _Ref111518329 \h </w:instrText>
      </w:r>
      <w:r w:rsidRPr="000A03FD">
        <w:fldChar w:fldCharType="separate"/>
      </w:r>
      <w:r w:rsidR="00625A18" w:rsidRPr="000A03FD">
        <w:t>Table 2</w:t>
      </w:r>
      <w:r w:rsidRPr="000A03FD">
        <w:fldChar w:fldCharType="end"/>
      </w:r>
      <w:r w:rsidRPr="000A03FD">
        <w:t xml:space="preserve"> summarises </w:t>
      </w:r>
      <w:r w:rsidR="00370E22" w:rsidRPr="000A03FD">
        <w:t>the key matters from the previous PBAC consideration and how the resubmission addressed those concerns.</w:t>
      </w:r>
      <w:r w:rsidR="00F67A6C">
        <w:t xml:space="preserve"> </w:t>
      </w:r>
    </w:p>
    <w:p w14:paraId="2A23A49F" w14:textId="718C9BEE" w:rsidR="005C25FF" w:rsidRPr="000A03FD" w:rsidRDefault="00696EF9" w:rsidP="000B1FB6">
      <w:pPr>
        <w:pStyle w:val="TableFigureHeading"/>
        <w:widowControl w:val="0"/>
        <w:rPr>
          <w:rStyle w:val="CommentReference"/>
          <w:b/>
          <w:szCs w:val="24"/>
        </w:rPr>
      </w:pPr>
      <w:bookmarkStart w:id="8" w:name="_Ref111518329"/>
      <w:r w:rsidRPr="000A03FD">
        <w:lastRenderedPageBreak/>
        <w:t xml:space="preserve">Table </w:t>
      </w:r>
      <w:fldSimple w:instr=" SEQ Table \* ARABIC " w:fldLock="1">
        <w:r w:rsidR="00A0401C" w:rsidRPr="000A03FD">
          <w:t>2</w:t>
        </w:r>
      </w:fldSimple>
      <w:bookmarkEnd w:id="8"/>
      <w:r w:rsidRPr="000A03FD">
        <w:t>:</w:t>
      </w:r>
      <w:r w:rsidR="005C25FF" w:rsidRPr="000A03FD">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11"/>
        <w:gridCol w:w="3633"/>
      </w:tblGrid>
      <w:tr w:rsidR="00133912" w:rsidRPr="000A03FD" w14:paraId="6747F8E1" w14:textId="77777777" w:rsidTr="00F81578">
        <w:trPr>
          <w:cantSplit/>
          <w:tblHeader/>
        </w:trPr>
        <w:tc>
          <w:tcPr>
            <w:tcW w:w="705" w:type="pct"/>
            <w:vAlign w:val="center"/>
          </w:tcPr>
          <w:p w14:paraId="346F438D" w14:textId="77777777" w:rsidR="005C25FF" w:rsidRPr="000A03FD" w:rsidRDefault="005C25FF" w:rsidP="000B1FB6">
            <w:pPr>
              <w:pStyle w:val="In-tableHeading"/>
              <w:widowControl w:val="0"/>
              <w:rPr>
                <w:lang w:val="en-AU"/>
              </w:rPr>
            </w:pPr>
            <w:r w:rsidRPr="000A03FD">
              <w:rPr>
                <w:lang w:val="en-AU"/>
              </w:rPr>
              <w:t>Component</w:t>
            </w:r>
          </w:p>
        </w:tc>
        <w:tc>
          <w:tcPr>
            <w:tcW w:w="2280" w:type="pct"/>
            <w:vAlign w:val="center"/>
          </w:tcPr>
          <w:p w14:paraId="2B7F3F42" w14:textId="77777777" w:rsidR="005C25FF" w:rsidRPr="000A03FD" w:rsidRDefault="005C25FF" w:rsidP="000B1FB6">
            <w:pPr>
              <w:pStyle w:val="In-tableHeading"/>
              <w:widowControl w:val="0"/>
              <w:rPr>
                <w:lang w:val="en-AU"/>
              </w:rPr>
            </w:pPr>
            <w:r w:rsidRPr="000A03FD">
              <w:rPr>
                <w:lang w:val="en-AU"/>
              </w:rPr>
              <w:t>Matter of concern</w:t>
            </w:r>
          </w:p>
        </w:tc>
        <w:tc>
          <w:tcPr>
            <w:tcW w:w="2015" w:type="pct"/>
            <w:vAlign w:val="center"/>
          </w:tcPr>
          <w:p w14:paraId="4BAA81F2" w14:textId="77777777" w:rsidR="005C25FF" w:rsidRPr="000A03FD" w:rsidRDefault="005C25FF" w:rsidP="000B1FB6">
            <w:pPr>
              <w:pStyle w:val="In-tableHeading"/>
              <w:widowControl w:val="0"/>
              <w:rPr>
                <w:lang w:val="en-AU"/>
              </w:rPr>
            </w:pPr>
            <w:r w:rsidRPr="000A03FD">
              <w:rPr>
                <w:lang w:val="en-AU"/>
              </w:rPr>
              <w:t>How the resubmission addresses it</w:t>
            </w:r>
          </w:p>
        </w:tc>
      </w:tr>
      <w:tr w:rsidR="00D43F44" w:rsidRPr="000A03FD" w14:paraId="0C4811DA" w14:textId="77777777" w:rsidTr="00F81578">
        <w:trPr>
          <w:cantSplit/>
        </w:trPr>
        <w:tc>
          <w:tcPr>
            <w:tcW w:w="705" w:type="pct"/>
            <w:vMerge w:val="restart"/>
            <w:vAlign w:val="center"/>
          </w:tcPr>
          <w:p w14:paraId="5D3339DB" w14:textId="63E0CB50" w:rsidR="00D43F44" w:rsidRPr="000A03FD" w:rsidRDefault="00D43F44" w:rsidP="000B1FB6">
            <w:pPr>
              <w:pStyle w:val="TableText0"/>
              <w:widowControl w:val="0"/>
            </w:pPr>
            <w:r w:rsidRPr="000A03FD">
              <w:t>Clinical place in therapy</w:t>
            </w:r>
          </w:p>
        </w:tc>
        <w:tc>
          <w:tcPr>
            <w:tcW w:w="2280" w:type="pct"/>
            <w:vAlign w:val="center"/>
          </w:tcPr>
          <w:p w14:paraId="113F7C93" w14:textId="518CE064"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BEC threshold for access to mepolizumab should be increased from ≥150 cells/µL to ≥300 cells/µL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7.1, Nov 2021, PSD).</w:t>
            </w:r>
          </w:p>
        </w:tc>
        <w:tc>
          <w:tcPr>
            <w:tcW w:w="2015" w:type="pct"/>
            <w:vAlign w:val="center"/>
          </w:tcPr>
          <w:p w14:paraId="4B9ACA1A" w14:textId="1B8A2A2C"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Addressed but the resubmission additionally include</w:t>
            </w:r>
            <w:r w:rsidR="002C6054">
              <w:rPr>
                <w:rFonts w:eastAsia="Times New Roman" w:cs="Arial"/>
                <w:bCs w:val="0"/>
                <w:snapToGrid w:val="0"/>
                <w:szCs w:val="20"/>
              </w:rPr>
              <w:t>d</w:t>
            </w:r>
            <w:r w:rsidRPr="000A03FD">
              <w:rPr>
                <w:rFonts w:eastAsia="Times New Roman" w:cs="Arial"/>
                <w:bCs w:val="0"/>
                <w:snapToGrid w:val="0"/>
                <w:szCs w:val="20"/>
              </w:rPr>
              <w:t xml:space="preserve"> patients with BEC ≥150 cells whilst on OCS treatment, which may not be reasonable</w:t>
            </w:r>
            <w:r w:rsidR="00B92064" w:rsidRPr="000A03FD">
              <w:rPr>
                <w:rFonts w:eastAsia="Times New Roman" w:cs="Arial"/>
                <w:bCs w:val="0"/>
                <w:snapToGrid w:val="0"/>
                <w:szCs w:val="20"/>
              </w:rPr>
              <w:t>.</w:t>
            </w:r>
          </w:p>
        </w:tc>
      </w:tr>
      <w:tr w:rsidR="00D43F44" w:rsidRPr="000A03FD" w14:paraId="2266004C" w14:textId="77777777" w:rsidTr="00F81578">
        <w:trPr>
          <w:cantSplit/>
        </w:trPr>
        <w:tc>
          <w:tcPr>
            <w:tcW w:w="705" w:type="pct"/>
            <w:vMerge/>
            <w:vAlign w:val="center"/>
          </w:tcPr>
          <w:p w14:paraId="26EA3EBD" w14:textId="65ED713F" w:rsidR="00D43F44" w:rsidRPr="000A03FD" w:rsidRDefault="00D43F44" w:rsidP="000B1FB6">
            <w:pPr>
              <w:pStyle w:val="TableText0"/>
              <w:widowControl w:val="0"/>
            </w:pPr>
          </w:p>
        </w:tc>
        <w:tc>
          <w:tcPr>
            <w:tcW w:w="2280" w:type="pct"/>
            <w:vAlign w:val="center"/>
          </w:tcPr>
          <w:p w14:paraId="03758E3D" w14:textId="1F1854BF"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The requirement for optimised therapy to include treatment with OCS…could lead to inappropriate use to meet the restriction criteria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3.8, Nov 2021, PSD)</w:t>
            </w:r>
          </w:p>
        </w:tc>
        <w:tc>
          <w:tcPr>
            <w:tcW w:w="2015" w:type="pct"/>
            <w:vAlign w:val="center"/>
          </w:tcPr>
          <w:p w14:paraId="4FDE68C4" w14:textId="44BA99D9" w:rsidR="00D43F44" w:rsidRPr="000A03FD" w:rsidRDefault="002F4182" w:rsidP="000B1FB6">
            <w:pPr>
              <w:pStyle w:val="TableText0"/>
              <w:widowControl w:val="0"/>
              <w:rPr>
                <w:rFonts w:eastAsia="Times New Roman" w:cs="Arial"/>
                <w:bCs w:val="0"/>
                <w:snapToGrid w:val="0"/>
                <w:szCs w:val="20"/>
              </w:rPr>
            </w:pPr>
            <w:r w:rsidRPr="000A03FD">
              <w:rPr>
                <w:rFonts w:eastAsia="Times New Roman" w:cs="Arial"/>
                <w:bCs w:val="0"/>
                <w:snapToGrid w:val="0"/>
                <w:szCs w:val="20"/>
              </w:rPr>
              <w:t>Partially a</w:t>
            </w:r>
            <w:r w:rsidR="00D43F44" w:rsidRPr="000A03FD">
              <w:rPr>
                <w:rFonts w:eastAsia="Times New Roman" w:cs="Arial"/>
                <w:bCs w:val="0"/>
                <w:snapToGrid w:val="0"/>
                <w:szCs w:val="20"/>
              </w:rPr>
              <w:t xml:space="preserve">ddressed – </w:t>
            </w:r>
            <w:r w:rsidRPr="000A03FD">
              <w:rPr>
                <w:rFonts w:eastAsia="Times New Roman" w:cs="Arial"/>
                <w:bCs w:val="0"/>
                <w:snapToGrid w:val="0"/>
                <w:szCs w:val="20"/>
              </w:rPr>
              <w:t xml:space="preserve">see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w:t>
            </w:r>
            <w:r w:rsidRPr="000A03FD">
              <w:rPr>
                <w:rFonts w:eastAsia="Times New Roman" w:cs="Arial"/>
                <w:bCs w:val="0"/>
                <w:snapToGrid w:val="0"/>
                <w:szCs w:val="20"/>
              </w:rPr>
              <w:fldChar w:fldCharType="begin" w:fldLock="1"/>
            </w:r>
            <w:r w:rsidRPr="000A03FD">
              <w:rPr>
                <w:rFonts w:eastAsia="Times New Roman" w:cs="Arial"/>
                <w:bCs w:val="0"/>
                <w:snapToGrid w:val="0"/>
                <w:szCs w:val="20"/>
              </w:rPr>
              <w:instrText xml:space="preserve"> REF _Ref111517667 \r \h </w:instrText>
            </w:r>
            <w:r w:rsidR="00053F23" w:rsidRPr="000A03FD">
              <w:rPr>
                <w:rFonts w:eastAsia="Times New Roman" w:cs="Arial"/>
                <w:bCs w:val="0"/>
                <w:snapToGrid w:val="0"/>
                <w:szCs w:val="20"/>
              </w:rPr>
              <w:instrText xml:space="preserve"> \* MERGEFORMAT </w:instrText>
            </w:r>
            <w:r w:rsidRPr="000A03FD">
              <w:rPr>
                <w:rFonts w:eastAsia="Times New Roman" w:cs="Arial"/>
                <w:bCs w:val="0"/>
                <w:snapToGrid w:val="0"/>
                <w:szCs w:val="20"/>
              </w:rPr>
            </w:r>
            <w:r w:rsidRPr="000A03FD">
              <w:rPr>
                <w:rFonts w:eastAsia="Times New Roman" w:cs="Arial"/>
                <w:bCs w:val="0"/>
                <w:snapToGrid w:val="0"/>
                <w:szCs w:val="20"/>
              </w:rPr>
              <w:fldChar w:fldCharType="separate"/>
            </w:r>
            <w:r w:rsidR="009849D7">
              <w:rPr>
                <w:rFonts w:eastAsia="Times New Roman" w:cs="Arial"/>
                <w:bCs w:val="0"/>
                <w:snapToGrid w:val="0"/>
                <w:szCs w:val="20"/>
              </w:rPr>
              <w:t>3.5</w:t>
            </w:r>
            <w:r w:rsidRPr="000A03FD">
              <w:rPr>
                <w:rFonts w:eastAsia="Times New Roman" w:cs="Arial"/>
                <w:bCs w:val="0"/>
                <w:snapToGrid w:val="0"/>
                <w:szCs w:val="20"/>
              </w:rPr>
              <w:fldChar w:fldCharType="end"/>
            </w:r>
            <w:r w:rsidRPr="000A03FD">
              <w:rPr>
                <w:rFonts w:eastAsia="Times New Roman" w:cs="Arial"/>
                <w:bCs w:val="0"/>
                <w:snapToGrid w:val="0"/>
                <w:szCs w:val="20"/>
              </w:rPr>
              <w:t>.</w:t>
            </w:r>
          </w:p>
        </w:tc>
      </w:tr>
      <w:tr w:rsidR="00D43F44" w:rsidRPr="000A03FD" w14:paraId="76877F73" w14:textId="77777777" w:rsidTr="00F81578">
        <w:trPr>
          <w:cantSplit/>
        </w:trPr>
        <w:tc>
          <w:tcPr>
            <w:tcW w:w="705" w:type="pct"/>
            <w:vMerge/>
            <w:vAlign w:val="center"/>
          </w:tcPr>
          <w:p w14:paraId="7C06D244" w14:textId="611E643D" w:rsidR="00D43F44" w:rsidRPr="000A03FD" w:rsidRDefault="00D43F44" w:rsidP="000B1FB6">
            <w:pPr>
              <w:pStyle w:val="TableText0"/>
              <w:widowControl w:val="0"/>
            </w:pPr>
          </w:p>
        </w:tc>
        <w:tc>
          <w:tcPr>
            <w:tcW w:w="2280" w:type="pct"/>
            <w:vAlign w:val="center"/>
          </w:tcPr>
          <w:p w14:paraId="2CBD633B" w14:textId="0DBB15FE"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The PBAC considered the inclusion of overall VAS score in the restriction may be appropriate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3.5, Nov 2021, PSD).</w:t>
            </w:r>
          </w:p>
        </w:tc>
        <w:tc>
          <w:tcPr>
            <w:tcW w:w="2015" w:type="pct"/>
            <w:vAlign w:val="center"/>
          </w:tcPr>
          <w:p w14:paraId="789490E4" w14:textId="4D14C117"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Addressed, however it is unclear whether the overall-VAS should also have been included to define response in the continuing treatment restriction</w:t>
            </w:r>
            <w:r w:rsidR="00B92064" w:rsidRPr="000A03FD">
              <w:rPr>
                <w:rFonts w:eastAsia="Times New Roman" w:cs="Arial"/>
                <w:bCs w:val="0"/>
                <w:snapToGrid w:val="0"/>
                <w:szCs w:val="20"/>
              </w:rPr>
              <w:t>.</w:t>
            </w:r>
          </w:p>
        </w:tc>
      </w:tr>
      <w:tr w:rsidR="00D43F44" w:rsidRPr="000A03FD" w14:paraId="3484BFB4" w14:textId="77777777" w:rsidTr="00F81578">
        <w:trPr>
          <w:cantSplit/>
        </w:trPr>
        <w:tc>
          <w:tcPr>
            <w:tcW w:w="705" w:type="pct"/>
            <w:vMerge/>
            <w:vAlign w:val="center"/>
          </w:tcPr>
          <w:p w14:paraId="0704F85E" w14:textId="65F856A5" w:rsidR="00D43F44" w:rsidRPr="000A03FD" w:rsidRDefault="00D43F44" w:rsidP="000B1FB6">
            <w:pPr>
              <w:pStyle w:val="TableText0"/>
              <w:widowControl w:val="0"/>
            </w:pPr>
          </w:p>
        </w:tc>
        <w:tc>
          <w:tcPr>
            <w:tcW w:w="2280" w:type="pct"/>
            <w:vAlign w:val="center"/>
          </w:tcPr>
          <w:p w14:paraId="64B8E598" w14:textId="18EC743D"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There were no restrictions around how many times a patient may retrial mepolizumab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3.3, Nov 2021, PSD).</w:t>
            </w:r>
          </w:p>
        </w:tc>
        <w:tc>
          <w:tcPr>
            <w:tcW w:w="2015" w:type="pct"/>
            <w:vAlign w:val="center"/>
          </w:tcPr>
          <w:p w14:paraId="244CE1F2" w14:textId="1535745E" w:rsidR="00D43F44" w:rsidRPr="000A03FD" w:rsidRDefault="00D43F44" w:rsidP="000B1FB6">
            <w:pPr>
              <w:pStyle w:val="TableText0"/>
              <w:widowControl w:val="0"/>
              <w:rPr>
                <w:rFonts w:eastAsia="Times New Roman" w:cs="Arial"/>
                <w:bCs w:val="0"/>
                <w:snapToGrid w:val="0"/>
                <w:szCs w:val="20"/>
              </w:rPr>
            </w:pPr>
            <w:r w:rsidRPr="000A03FD">
              <w:rPr>
                <w:rFonts w:eastAsia="Times New Roman" w:cs="Arial"/>
                <w:bCs w:val="0"/>
                <w:snapToGrid w:val="0"/>
                <w:szCs w:val="20"/>
              </w:rPr>
              <w:t xml:space="preserve">Addressed, however the inclusion of 12-month treatment break in the initial restrictions </w:t>
            </w:r>
            <w:r w:rsidR="00B92064" w:rsidRPr="000A03FD">
              <w:rPr>
                <w:rFonts w:eastAsia="Times New Roman" w:cs="Arial"/>
                <w:bCs w:val="0"/>
                <w:snapToGrid w:val="0"/>
                <w:szCs w:val="20"/>
              </w:rPr>
              <w:t xml:space="preserve">may </w:t>
            </w:r>
            <w:r w:rsidRPr="000A03FD">
              <w:rPr>
                <w:rFonts w:eastAsia="Times New Roman" w:cs="Arial"/>
                <w:bCs w:val="0"/>
                <w:snapToGrid w:val="0"/>
                <w:szCs w:val="20"/>
              </w:rPr>
              <w:t>cause applicability issues</w:t>
            </w:r>
            <w:r w:rsidR="002F4182" w:rsidRPr="000A03FD">
              <w:rPr>
                <w:rFonts w:eastAsia="Times New Roman" w:cs="Arial"/>
                <w:bCs w:val="0"/>
                <w:snapToGrid w:val="0"/>
                <w:szCs w:val="20"/>
              </w:rPr>
              <w:t xml:space="preserve"> - </w:t>
            </w:r>
            <w:r w:rsidRPr="000A03FD">
              <w:rPr>
                <w:rFonts w:eastAsia="Times New Roman" w:cs="Arial"/>
                <w:bCs w:val="0"/>
                <w:snapToGrid w:val="0"/>
                <w:szCs w:val="20"/>
              </w:rPr>
              <w:t xml:space="preserve">see </w:t>
            </w:r>
            <w:r w:rsidR="00890F52" w:rsidRPr="000A03FD">
              <w:rPr>
                <w:rFonts w:eastAsia="Times New Roman" w:cs="Arial"/>
                <w:bCs w:val="0"/>
                <w:snapToGrid w:val="0"/>
                <w:szCs w:val="20"/>
              </w:rPr>
              <w:t>Paragraph</w:t>
            </w:r>
            <w:r w:rsidR="002F4182" w:rsidRPr="000A03FD">
              <w:rPr>
                <w:rFonts w:eastAsia="Times New Roman" w:cs="Arial"/>
                <w:bCs w:val="0"/>
                <w:snapToGrid w:val="0"/>
                <w:szCs w:val="20"/>
              </w:rPr>
              <w:t xml:space="preserve"> </w:t>
            </w:r>
            <w:r w:rsidR="002F4182" w:rsidRPr="000A03FD">
              <w:rPr>
                <w:rFonts w:eastAsia="Times New Roman" w:cs="Arial"/>
                <w:bCs w:val="0"/>
                <w:snapToGrid w:val="0"/>
                <w:szCs w:val="20"/>
              </w:rPr>
              <w:fldChar w:fldCharType="begin" w:fldLock="1"/>
            </w:r>
            <w:r w:rsidR="002F4182" w:rsidRPr="000A03FD">
              <w:rPr>
                <w:rFonts w:eastAsia="Times New Roman" w:cs="Arial"/>
                <w:bCs w:val="0"/>
                <w:snapToGrid w:val="0"/>
                <w:szCs w:val="20"/>
              </w:rPr>
              <w:instrText xml:space="preserve"> REF _Ref111517744 \r \h </w:instrText>
            </w:r>
            <w:r w:rsidR="00053F23" w:rsidRPr="000A03FD">
              <w:rPr>
                <w:rFonts w:eastAsia="Times New Roman" w:cs="Arial"/>
                <w:bCs w:val="0"/>
                <w:snapToGrid w:val="0"/>
                <w:szCs w:val="20"/>
              </w:rPr>
              <w:instrText xml:space="preserve"> \* MERGEFORMAT </w:instrText>
            </w:r>
            <w:r w:rsidR="002F4182" w:rsidRPr="000A03FD">
              <w:rPr>
                <w:rFonts w:eastAsia="Times New Roman" w:cs="Arial"/>
                <w:bCs w:val="0"/>
                <w:snapToGrid w:val="0"/>
                <w:szCs w:val="20"/>
              </w:rPr>
            </w:r>
            <w:r w:rsidR="002F4182" w:rsidRPr="000A03FD">
              <w:rPr>
                <w:rFonts w:eastAsia="Times New Roman" w:cs="Arial"/>
                <w:bCs w:val="0"/>
                <w:snapToGrid w:val="0"/>
                <w:szCs w:val="20"/>
              </w:rPr>
              <w:fldChar w:fldCharType="separate"/>
            </w:r>
            <w:r w:rsidR="009849D7">
              <w:rPr>
                <w:rFonts w:eastAsia="Times New Roman" w:cs="Arial"/>
                <w:bCs w:val="0"/>
                <w:snapToGrid w:val="0"/>
                <w:szCs w:val="20"/>
              </w:rPr>
              <w:t>3.7</w:t>
            </w:r>
            <w:r w:rsidR="002F4182" w:rsidRPr="000A03FD">
              <w:rPr>
                <w:rFonts w:eastAsia="Times New Roman" w:cs="Arial"/>
                <w:bCs w:val="0"/>
                <w:snapToGrid w:val="0"/>
                <w:szCs w:val="20"/>
              </w:rPr>
              <w:fldChar w:fldCharType="end"/>
            </w:r>
            <w:r w:rsidRPr="000A03FD">
              <w:rPr>
                <w:rFonts w:eastAsia="Times New Roman" w:cs="Arial"/>
                <w:bCs w:val="0"/>
                <w:snapToGrid w:val="0"/>
                <w:szCs w:val="20"/>
              </w:rPr>
              <w:t>.</w:t>
            </w:r>
          </w:p>
        </w:tc>
      </w:tr>
      <w:tr w:rsidR="00257F52" w:rsidRPr="000A03FD" w14:paraId="34722FDC" w14:textId="77777777" w:rsidTr="00F81578">
        <w:trPr>
          <w:cantSplit/>
        </w:trPr>
        <w:tc>
          <w:tcPr>
            <w:tcW w:w="705" w:type="pct"/>
            <w:vMerge w:val="restart"/>
            <w:vAlign w:val="center"/>
          </w:tcPr>
          <w:p w14:paraId="76F87860" w14:textId="02934293" w:rsidR="00257F52" w:rsidRPr="000A03FD" w:rsidRDefault="00257F52" w:rsidP="000B1FB6">
            <w:pPr>
              <w:pStyle w:val="TableText0"/>
              <w:widowControl w:val="0"/>
            </w:pPr>
            <w:r w:rsidRPr="000A03FD">
              <w:t>Continuing treatment requested restriction</w:t>
            </w:r>
          </w:p>
        </w:tc>
        <w:tc>
          <w:tcPr>
            <w:tcW w:w="2280" w:type="pct"/>
            <w:vAlign w:val="center"/>
          </w:tcPr>
          <w:p w14:paraId="352EF11D" w14:textId="7C7AD88C" w:rsidR="00257F52" w:rsidRPr="000A03FD" w:rsidRDefault="00257F52" w:rsidP="000B1FB6">
            <w:pPr>
              <w:pStyle w:val="TableText0"/>
              <w:widowControl w:val="0"/>
              <w:rPr>
                <w:rFonts w:eastAsia="Times New Roman" w:cs="Arial"/>
                <w:bCs w:val="0"/>
                <w:snapToGrid w:val="0"/>
                <w:szCs w:val="20"/>
              </w:rPr>
            </w:pPr>
            <w:r w:rsidRPr="000A03FD">
              <w:rPr>
                <w:rFonts w:eastAsia="Times New Roman" w:cs="Arial"/>
                <w:bCs w:val="0"/>
                <w:snapToGrid w:val="0"/>
                <w:szCs w:val="20"/>
              </w:rPr>
              <w:t>There was no requirement in the continuing criteria to maintain response to treatment even though adequate response was defined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3.3, Nov 2021, PSD).</w:t>
            </w:r>
          </w:p>
        </w:tc>
        <w:tc>
          <w:tcPr>
            <w:tcW w:w="2015" w:type="pct"/>
            <w:vAlign w:val="center"/>
          </w:tcPr>
          <w:p w14:paraId="64E4B149" w14:textId="40CF8C9B" w:rsidR="00257F52" w:rsidRPr="000A03FD" w:rsidRDefault="00257F52" w:rsidP="000B1FB6">
            <w:pPr>
              <w:pStyle w:val="TableText0"/>
              <w:widowControl w:val="0"/>
              <w:rPr>
                <w:rFonts w:eastAsia="Times New Roman" w:cs="Arial"/>
                <w:bCs w:val="0"/>
                <w:snapToGrid w:val="0"/>
                <w:szCs w:val="20"/>
              </w:rPr>
            </w:pPr>
            <w:r w:rsidRPr="000A03FD">
              <w:rPr>
                <w:rFonts w:eastAsia="Times New Roman" w:cs="Arial"/>
                <w:bCs w:val="0"/>
                <w:snapToGrid w:val="0"/>
                <w:szCs w:val="20"/>
              </w:rPr>
              <w:t>Addressed – see requested listing.</w:t>
            </w:r>
          </w:p>
        </w:tc>
      </w:tr>
      <w:tr w:rsidR="00257F52" w:rsidRPr="000A03FD" w14:paraId="475829E9" w14:textId="77777777" w:rsidTr="00F81578">
        <w:trPr>
          <w:cantSplit/>
        </w:trPr>
        <w:tc>
          <w:tcPr>
            <w:tcW w:w="705" w:type="pct"/>
            <w:vMerge/>
            <w:vAlign w:val="center"/>
          </w:tcPr>
          <w:p w14:paraId="67B40652" w14:textId="642F2F5A" w:rsidR="00257F52" w:rsidRPr="000A03FD" w:rsidRDefault="00257F52" w:rsidP="000B1FB6">
            <w:pPr>
              <w:pStyle w:val="TableText0"/>
              <w:widowControl w:val="0"/>
            </w:pPr>
          </w:p>
        </w:tc>
        <w:tc>
          <w:tcPr>
            <w:tcW w:w="2280" w:type="pct"/>
            <w:vAlign w:val="center"/>
          </w:tcPr>
          <w:p w14:paraId="006370BA" w14:textId="14CC1EA3" w:rsidR="00257F52" w:rsidRPr="000A03FD" w:rsidRDefault="00257F52" w:rsidP="000B1FB6">
            <w:pPr>
              <w:pStyle w:val="TableText0"/>
              <w:widowControl w:val="0"/>
              <w:rPr>
                <w:rFonts w:eastAsia="Times New Roman" w:cs="Arial"/>
                <w:bCs w:val="0"/>
                <w:snapToGrid w:val="0"/>
                <w:szCs w:val="20"/>
              </w:rPr>
            </w:pPr>
            <w:r w:rsidRPr="000A03FD">
              <w:rPr>
                <w:rFonts w:eastAsia="Times New Roman" w:cs="Arial"/>
                <w:bCs w:val="0"/>
                <w:snapToGrid w:val="0"/>
                <w:szCs w:val="20"/>
              </w:rPr>
              <w:t>It was unclear whether a patient who received NP surgery while on treatment with mepolizumab and fulfills the criteria for an ‘adequate response’ …should be eligible to continue treatment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3.3, Nov 2021, PSD).</w:t>
            </w:r>
          </w:p>
        </w:tc>
        <w:tc>
          <w:tcPr>
            <w:tcW w:w="2015" w:type="pct"/>
            <w:vAlign w:val="center"/>
          </w:tcPr>
          <w:p w14:paraId="01E8497E" w14:textId="1ACCFCB5" w:rsidR="00257F52" w:rsidRPr="000A03FD" w:rsidRDefault="00257F52" w:rsidP="000B1FB6">
            <w:pPr>
              <w:pStyle w:val="TableText0"/>
              <w:widowControl w:val="0"/>
              <w:rPr>
                <w:rFonts w:eastAsia="Times New Roman" w:cs="Arial"/>
                <w:bCs w:val="0"/>
                <w:snapToGrid w:val="0"/>
                <w:szCs w:val="20"/>
              </w:rPr>
            </w:pPr>
            <w:r w:rsidRPr="000A03FD">
              <w:rPr>
                <w:rFonts w:eastAsia="Times New Roman" w:cs="Arial"/>
                <w:bCs w:val="0"/>
                <w:snapToGrid w:val="0"/>
                <w:szCs w:val="20"/>
              </w:rPr>
              <w:t xml:space="preserve">Addressed, however the requirement for patients having undergone NP surgery to discontinue mepolizumab may cause equity issues – see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w:t>
            </w:r>
            <w:r w:rsidR="007517AD" w:rsidRPr="000A03FD">
              <w:rPr>
                <w:rFonts w:eastAsia="Times New Roman" w:cs="Arial"/>
                <w:bCs w:val="0"/>
                <w:snapToGrid w:val="0"/>
                <w:szCs w:val="20"/>
              </w:rPr>
              <w:fldChar w:fldCharType="begin" w:fldLock="1"/>
            </w:r>
            <w:r w:rsidR="007517AD" w:rsidRPr="000A03FD">
              <w:rPr>
                <w:rFonts w:eastAsia="Times New Roman" w:cs="Arial"/>
                <w:bCs w:val="0"/>
                <w:snapToGrid w:val="0"/>
                <w:szCs w:val="20"/>
              </w:rPr>
              <w:instrText xml:space="preserve"> REF _Ref117072253 \r \h </w:instrText>
            </w:r>
            <w:r w:rsidR="007517AD" w:rsidRPr="000A03FD">
              <w:rPr>
                <w:rFonts w:eastAsia="Times New Roman" w:cs="Arial"/>
                <w:bCs w:val="0"/>
                <w:snapToGrid w:val="0"/>
                <w:szCs w:val="20"/>
              </w:rPr>
            </w:r>
            <w:r w:rsidR="007517AD" w:rsidRPr="000A03FD">
              <w:rPr>
                <w:rFonts w:eastAsia="Times New Roman" w:cs="Arial"/>
                <w:bCs w:val="0"/>
                <w:snapToGrid w:val="0"/>
                <w:szCs w:val="20"/>
              </w:rPr>
              <w:fldChar w:fldCharType="separate"/>
            </w:r>
            <w:r w:rsidR="009849D7">
              <w:rPr>
                <w:rFonts w:eastAsia="Times New Roman" w:cs="Arial"/>
                <w:bCs w:val="0"/>
                <w:snapToGrid w:val="0"/>
                <w:szCs w:val="20"/>
              </w:rPr>
              <w:t>3.6</w:t>
            </w:r>
            <w:r w:rsidR="007517AD" w:rsidRPr="000A03FD">
              <w:rPr>
                <w:rFonts w:eastAsia="Times New Roman" w:cs="Arial"/>
                <w:bCs w:val="0"/>
                <w:snapToGrid w:val="0"/>
                <w:szCs w:val="20"/>
              </w:rPr>
              <w:fldChar w:fldCharType="end"/>
            </w:r>
            <w:r w:rsidR="007517AD" w:rsidRPr="000A03FD">
              <w:rPr>
                <w:rFonts w:eastAsia="Times New Roman" w:cs="Arial"/>
                <w:bCs w:val="0"/>
                <w:snapToGrid w:val="0"/>
                <w:szCs w:val="20"/>
              </w:rPr>
              <w:t>.</w:t>
            </w:r>
          </w:p>
        </w:tc>
      </w:tr>
      <w:tr w:rsidR="003E52FA" w:rsidRPr="000A03FD" w14:paraId="1F5BEACE" w14:textId="77777777" w:rsidTr="00F81578">
        <w:trPr>
          <w:cantSplit/>
        </w:trPr>
        <w:tc>
          <w:tcPr>
            <w:tcW w:w="705" w:type="pct"/>
            <w:vMerge w:val="restart"/>
            <w:vAlign w:val="center"/>
          </w:tcPr>
          <w:p w14:paraId="050E25D0" w14:textId="49000A55" w:rsidR="003E52FA" w:rsidRPr="000A03FD" w:rsidRDefault="003E52FA" w:rsidP="000B1FB6">
            <w:pPr>
              <w:pStyle w:val="TableText0"/>
              <w:widowControl w:val="0"/>
            </w:pPr>
            <w:r w:rsidRPr="000A03FD">
              <w:t>Economic evaluation</w:t>
            </w:r>
          </w:p>
        </w:tc>
        <w:tc>
          <w:tcPr>
            <w:tcW w:w="2280" w:type="pct"/>
          </w:tcPr>
          <w:p w14:paraId="0ACD4E9E" w14:textId="38232143" w:rsidR="003E52FA" w:rsidRPr="000A03FD" w:rsidRDefault="003E52FA" w:rsidP="000B1FB6">
            <w:pPr>
              <w:pStyle w:val="TableText0"/>
              <w:widowControl w:val="0"/>
              <w:rPr>
                <w:rFonts w:eastAsia="Times New Roman" w:cs="Arial"/>
                <w:bCs w:val="0"/>
                <w:snapToGrid w:val="0"/>
                <w:szCs w:val="20"/>
              </w:rPr>
            </w:pPr>
            <w:r w:rsidRPr="000A03FD">
              <w:rPr>
                <w:rFonts w:eastAsia="Times New Roman" w:cs="Arial"/>
                <w:bCs w:val="0"/>
                <w:snapToGrid w:val="0"/>
                <w:szCs w:val="20"/>
              </w:rPr>
              <w:t>The PBAC considered a 5-year time horizon would be more appropriate given the SYNAPSE trial data was limited to 52 weeks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7.7, Nov 21, PSD).</w:t>
            </w:r>
          </w:p>
        </w:tc>
        <w:tc>
          <w:tcPr>
            <w:tcW w:w="2015" w:type="pct"/>
            <w:vAlign w:val="center"/>
          </w:tcPr>
          <w:p w14:paraId="014DC3C4" w14:textId="34B8E8C8" w:rsidR="003E52FA" w:rsidRPr="000A03FD" w:rsidRDefault="003E52FA" w:rsidP="000B1FB6">
            <w:pPr>
              <w:pStyle w:val="TableText0"/>
              <w:widowControl w:val="0"/>
              <w:rPr>
                <w:rFonts w:eastAsia="Times New Roman" w:cs="Arial"/>
                <w:bCs w:val="0"/>
                <w:snapToGrid w:val="0"/>
                <w:szCs w:val="20"/>
              </w:rPr>
            </w:pPr>
            <w:r w:rsidRPr="000A03FD">
              <w:rPr>
                <w:rFonts w:eastAsia="Times New Roman" w:cs="Arial"/>
                <w:bCs w:val="0"/>
                <w:snapToGrid w:val="0"/>
                <w:szCs w:val="20"/>
              </w:rPr>
              <w:t>Addressed</w:t>
            </w:r>
          </w:p>
        </w:tc>
      </w:tr>
      <w:tr w:rsidR="003E52FA" w:rsidRPr="000A03FD" w14:paraId="1FCAAA30" w14:textId="77777777" w:rsidTr="00F81578">
        <w:trPr>
          <w:cantSplit/>
        </w:trPr>
        <w:tc>
          <w:tcPr>
            <w:tcW w:w="705" w:type="pct"/>
            <w:vMerge/>
            <w:vAlign w:val="center"/>
          </w:tcPr>
          <w:p w14:paraId="60B9C6AD" w14:textId="54A7F5D2" w:rsidR="003E52FA" w:rsidRPr="000A03FD" w:rsidRDefault="003E52FA" w:rsidP="000B1FB6">
            <w:pPr>
              <w:pStyle w:val="TableText0"/>
              <w:widowControl w:val="0"/>
            </w:pPr>
          </w:p>
        </w:tc>
        <w:tc>
          <w:tcPr>
            <w:tcW w:w="2280" w:type="pct"/>
          </w:tcPr>
          <w:p w14:paraId="5207B549" w14:textId="76E71925" w:rsidR="003E52FA" w:rsidRPr="000A03FD" w:rsidRDefault="003E52FA" w:rsidP="000B1FB6">
            <w:pPr>
              <w:pStyle w:val="TableText0"/>
              <w:widowControl w:val="0"/>
              <w:rPr>
                <w:rFonts w:eastAsia="Times New Roman" w:cs="Arial"/>
                <w:bCs w:val="0"/>
                <w:snapToGrid w:val="0"/>
                <w:szCs w:val="20"/>
              </w:rPr>
            </w:pPr>
            <w:r w:rsidRPr="000A03FD">
              <w:rPr>
                <w:iCs/>
              </w:rPr>
              <w:t>An assumption of no loss of response was inappropriate given the reduction observed in SYNAPSE (</w:t>
            </w:r>
            <w:r w:rsidR="00890F52" w:rsidRPr="000A03FD">
              <w:rPr>
                <w:iCs/>
              </w:rPr>
              <w:t>Paragraph</w:t>
            </w:r>
            <w:r w:rsidRPr="000A03FD">
              <w:rPr>
                <w:iCs/>
              </w:rPr>
              <w:t xml:space="preserve"> 7.7, Nov 21, PSD).</w:t>
            </w:r>
          </w:p>
        </w:tc>
        <w:tc>
          <w:tcPr>
            <w:tcW w:w="2015" w:type="pct"/>
            <w:vAlign w:val="center"/>
          </w:tcPr>
          <w:p w14:paraId="0CC29494" w14:textId="4AD0FE95" w:rsidR="003E52FA" w:rsidRPr="000A03FD" w:rsidRDefault="003E52FA" w:rsidP="000B1FB6">
            <w:pPr>
              <w:pStyle w:val="TableText0"/>
              <w:widowControl w:val="0"/>
              <w:rPr>
                <w:rFonts w:eastAsia="Times New Roman" w:cs="Arial"/>
                <w:bCs w:val="0"/>
                <w:snapToGrid w:val="0"/>
                <w:szCs w:val="20"/>
              </w:rPr>
            </w:pPr>
            <w:r w:rsidRPr="000A03FD">
              <w:rPr>
                <w:rFonts w:eastAsia="Times New Roman" w:cs="Arial"/>
                <w:bCs w:val="0"/>
                <w:snapToGrid w:val="0"/>
                <w:szCs w:val="20"/>
              </w:rPr>
              <w:t xml:space="preserve">Addressed, however there are issues with the loss of response rates applied – see </w:t>
            </w:r>
            <w:r w:rsidR="00890F52" w:rsidRPr="000A03FD">
              <w:rPr>
                <w:rFonts w:eastAsia="Times New Roman" w:cs="Arial"/>
                <w:bCs w:val="0"/>
                <w:snapToGrid w:val="0"/>
                <w:szCs w:val="20"/>
              </w:rPr>
              <w:t xml:space="preserve">paragraph </w:t>
            </w:r>
            <w:r w:rsidR="008632E4" w:rsidRPr="000A03FD">
              <w:rPr>
                <w:rFonts w:eastAsia="Times New Roman" w:cs="Arial"/>
                <w:bCs w:val="0"/>
                <w:snapToGrid w:val="0"/>
                <w:szCs w:val="20"/>
              </w:rPr>
              <w:fldChar w:fldCharType="begin" w:fldLock="1"/>
            </w:r>
            <w:r w:rsidR="008632E4" w:rsidRPr="000A03FD">
              <w:rPr>
                <w:rFonts w:eastAsia="Times New Roman" w:cs="Arial"/>
                <w:bCs w:val="0"/>
                <w:snapToGrid w:val="0"/>
                <w:szCs w:val="20"/>
              </w:rPr>
              <w:instrText xml:space="preserve"> REF _Ref111522906 \r \h </w:instrText>
            </w:r>
            <w:r w:rsidR="00053F23" w:rsidRPr="000A03FD">
              <w:rPr>
                <w:rFonts w:eastAsia="Times New Roman" w:cs="Arial"/>
                <w:bCs w:val="0"/>
                <w:snapToGrid w:val="0"/>
                <w:szCs w:val="20"/>
              </w:rPr>
              <w:instrText xml:space="preserve"> \* MERGEFORMAT </w:instrText>
            </w:r>
            <w:r w:rsidR="008632E4" w:rsidRPr="000A03FD">
              <w:rPr>
                <w:rFonts w:eastAsia="Times New Roman" w:cs="Arial"/>
                <w:bCs w:val="0"/>
                <w:snapToGrid w:val="0"/>
                <w:szCs w:val="20"/>
              </w:rPr>
            </w:r>
            <w:r w:rsidR="008632E4" w:rsidRPr="000A03FD">
              <w:rPr>
                <w:rFonts w:eastAsia="Times New Roman" w:cs="Arial"/>
                <w:bCs w:val="0"/>
                <w:snapToGrid w:val="0"/>
                <w:szCs w:val="20"/>
              </w:rPr>
              <w:fldChar w:fldCharType="separate"/>
            </w:r>
            <w:r w:rsidR="009849D7">
              <w:rPr>
                <w:rFonts w:eastAsia="Times New Roman" w:cs="Arial"/>
                <w:bCs w:val="0"/>
                <w:snapToGrid w:val="0"/>
                <w:szCs w:val="20"/>
              </w:rPr>
              <w:t>6.39</w:t>
            </w:r>
            <w:r w:rsidR="008632E4" w:rsidRPr="000A03FD">
              <w:rPr>
                <w:rFonts w:eastAsia="Times New Roman" w:cs="Arial"/>
                <w:bCs w:val="0"/>
                <w:snapToGrid w:val="0"/>
                <w:szCs w:val="20"/>
              </w:rPr>
              <w:fldChar w:fldCharType="end"/>
            </w:r>
            <w:r w:rsidRPr="000A03FD">
              <w:rPr>
                <w:rFonts w:eastAsia="Times New Roman" w:cs="Arial"/>
                <w:bCs w:val="0"/>
                <w:snapToGrid w:val="0"/>
                <w:szCs w:val="20"/>
              </w:rPr>
              <w:t>.</w:t>
            </w:r>
          </w:p>
        </w:tc>
      </w:tr>
      <w:tr w:rsidR="003E52FA" w:rsidRPr="000A03FD" w14:paraId="7BB15A8F" w14:textId="77777777" w:rsidTr="00F81578">
        <w:trPr>
          <w:cantSplit/>
        </w:trPr>
        <w:tc>
          <w:tcPr>
            <w:tcW w:w="705" w:type="pct"/>
            <w:vMerge/>
            <w:vAlign w:val="center"/>
          </w:tcPr>
          <w:p w14:paraId="74971ABC" w14:textId="4A8E658F" w:rsidR="003E52FA" w:rsidRPr="000A03FD" w:rsidRDefault="003E52FA" w:rsidP="000B1FB6">
            <w:pPr>
              <w:pStyle w:val="TableText0"/>
              <w:widowControl w:val="0"/>
            </w:pPr>
          </w:p>
        </w:tc>
        <w:tc>
          <w:tcPr>
            <w:tcW w:w="2280" w:type="pct"/>
          </w:tcPr>
          <w:p w14:paraId="63E9A730" w14:textId="4DB7165D" w:rsidR="003E52FA" w:rsidRPr="000A03FD" w:rsidRDefault="003E52FA" w:rsidP="000B1FB6">
            <w:pPr>
              <w:pStyle w:val="TableText0"/>
              <w:widowControl w:val="0"/>
              <w:rPr>
                <w:rFonts w:eastAsia="Times New Roman" w:cs="Arial"/>
                <w:bCs w:val="0"/>
                <w:snapToGrid w:val="0"/>
                <w:szCs w:val="20"/>
              </w:rPr>
            </w:pPr>
            <w:r w:rsidRPr="000A03FD">
              <w:t>The use of the SF-36 trial data to inform utilities would be preferable to the SNOT-22 (</w:t>
            </w:r>
            <w:r w:rsidR="00890F52" w:rsidRPr="000A03FD">
              <w:t>Paragraph</w:t>
            </w:r>
            <w:r w:rsidRPr="000A03FD">
              <w:t xml:space="preserve"> 6.44, Nov 21, PSD) </w:t>
            </w:r>
          </w:p>
        </w:tc>
        <w:tc>
          <w:tcPr>
            <w:tcW w:w="2015" w:type="pct"/>
            <w:vAlign w:val="center"/>
          </w:tcPr>
          <w:p w14:paraId="15BFD73F" w14:textId="79DE5591" w:rsidR="003E52FA" w:rsidRPr="000A03FD" w:rsidRDefault="003E52FA" w:rsidP="000B1FB6">
            <w:pPr>
              <w:pStyle w:val="TableText0"/>
              <w:widowControl w:val="0"/>
              <w:rPr>
                <w:rFonts w:eastAsia="Times New Roman" w:cs="Arial"/>
                <w:bCs w:val="0"/>
                <w:snapToGrid w:val="0"/>
                <w:szCs w:val="20"/>
              </w:rPr>
            </w:pPr>
            <w:r w:rsidRPr="000A03FD">
              <w:rPr>
                <w:rFonts w:eastAsia="Times New Roman" w:cs="Arial"/>
                <w:bCs w:val="0"/>
                <w:snapToGrid w:val="0"/>
                <w:szCs w:val="20"/>
              </w:rPr>
              <w:t>Addressed</w:t>
            </w:r>
          </w:p>
        </w:tc>
      </w:tr>
      <w:tr w:rsidR="003E52FA" w:rsidRPr="000A03FD" w14:paraId="448EAB25" w14:textId="77777777" w:rsidTr="00F81578">
        <w:trPr>
          <w:cantSplit/>
        </w:trPr>
        <w:tc>
          <w:tcPr>
            <w:tcW w:w="705" w:type="pct"/>
            <w:vMerge/>
            <w:vAlign w:val="center"/>
          </w:tcPr>
          <w:p w14:paraId="5D4FEE23" w14:textId="53DB0AD8" w:rsidR="003E52FA" w:rsidRPr="000A03FD" w:rsidRDefault="003E52FA" w:rsidP="00852B96">
            <w:pPr>
              <w:pStyle w:val="TableText0"/>
              <w:keepNext w:val="0"/>
              <w:widowControl w:val="0"/>
            </w:pPr>
          </w:p>
        </w:tc>
        <w:tc>
          <w:tcPr>
            <w:tcW w:w="2280" w:type="pct"/>
          </w:tcPr>
          <w:p w14:paraId="5E6F89E8" w14:textId="0B434DCE" w:rsidR="003E52FA" w:rsidRPr="000A03FD" w:rsidRDefault="003E52FA" w:rsidP="00852B96">
            <w:pPr>
              <w:pStyle w:val="TableText0"/>
              <w:keepNext w:val="0"/>
              <w:widowControl w:val="0"/>
              <w:rPr>
                <w:rFonts w:eastAsia="Times New Roman" w:cs="Arial"/>
                <w:bCs w:val="0"/>
                <w:snapToGrid w:val="0"/>
                <w:szCs w:val="20"/>
              </w:rPr>
            </w:pPr>
            <w:r w:rsidRPr="000A03FD">
              <w:t>The use of different utilities for different time points in the first 52 weeks of treatment was considered to be potentially unjustified and unnecessarily complicated (</w:t>
            </w:r>
            <w:r w:rsidR="00890F52" w:rsidRPr="000A03FD">
              <w:t>Paragraph</w:t>
            </w:r>
            <w:r w:rsidRPr="000A03FD">
              <w:t xml:space="preserve"> 6.40, Nov 21, PSD)</w:t>
            </w:r>
          </w:p>
        </w:tc>
        <w:tc>
          <w:tcPr>
            <w:tcW w:w="2015" w:type="pct"/>
            <w:vAlign w:val="center"/>
          </w:tcPr>
          <w:p w14:paraId="780A7746" w14:textId="7D932626" w:rsidR="003E52FA" w:rsidRPr="000A03FD" w:rsidRDefault="003E52FA"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Not addressed</w:t>
            </w:r>
          </w:p>
        </w:tc>
      </w:tr>
      <w:tr w:rsidR="003E52FA" w:rsidRPr="000A03FD" w14:paraId="39AA4071" w14:textId="77777777" w:rsidTr="00F81578">
        <w:trPr>
          <w:cantSplit/>
        </w:trPr>
        <w:tc>
          <w:tcPr>
            <w:tcW w:w="705" w:type="pct"/>
            <w:vMerge/>
            <w:vAlign w:val="center"/>
          </w:tcPr>
          <w:p w14:paraId="7B068C06" w14:textId="153BEFE4" w:rsidR="003E52FA" w:rsidRPr="000A03FD" w:rsidRDefault="003E52FA" w:rsidP="00852B96">
            <w:pPr>
              <w:pStyle w:val="TableText0"/>
              <w:keepNext w:val="0"/>
              <w:widowControl w:val="0"/>
            </w:pPr>
          </w:p>
        </w:tc>
        <w:tc>
          <w:tcPr>
            <w:tcW w:w="2280" w:type="pct"/>
          </w:tcPr>
          <w:p w14:paraId="4536C5FB" w14:textId="6BEA7200" w:rsidR="003E52FA" w:rsidRPr="000A03FD" w:rsidRDefault="003E52FA" w:rsidP="00852B96">
            <w:pPr>
              <w:pStyle w:val="TableText0"/>
              <w:keepNext w:val="0"/>
              <w:widowControl w:val="0"/>
              <w:rPr>
                <w:rFonts w:eastAsia="Times New Roman" w:cs="Arial"/>
                <w:bCs w:val="0"/>
                <w:snapToGrid w:val="0"/>
                <w:szCs w:val="20"/>
              </w:rPr>
            </w:pPr>
            <w:r w:rsidRPr="000A03FD">
              <w:t>The SoC responder utility should be applied to [responders in] both arms from week 52, and applied to those who had effective surgery (</w:t>
            </w:r>
            <w:r w:rsidR="00890F52" w:rsidRPr="000A03FD">
              <w:t>Paragraph</w:t>
            </w:r>
            <w:r w:rsidRPr="000A03FD">
              <w:t xml:space="preserve"> 6.54, Nov 21, PSD)</w:t>
            </w:r>
          </w:p>
        </w:tc>
        <w:tc>
          <w:tcPr>
            <w:tcW w:w="2015" w:type="pct"/>
            <w:vAlign w:val="center"/>
          </w:tcPr>
          <w:p w14:paraId="6155F524" w14:textId="646CF68B" w:rsidR="003E52FA" w:rsidRPr="000A03FD" w:rsidRDefault="003E52FA"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Addressed, however the mean utility across all responders was applied as opposed to the use of the SoC responder mean utility</w:t>
            </w:r>
            <w:r w:rsidR="00B92064" w:rsidRPr="000A03FD">
              <w:rPr>
                <w:rFonts w:eastAsia="Times New Roman" w:cs="Arial"/>
                <w:bCs w:val="0"/>
                <w:snapToGrid w:val="0"/>
                <w:szCs w:val="20"/>
              </w:rPr>
              <w:t>.</w:t>
            </w:r>
          </w:p>
        </w:tc>
      </w:tr>
      <w:tr w:rsidR="003E52FA" w:rsidRPr="000A03FD" w14:paraId="0E775387" w14:textId="77777777" w:rsidTr="00F81578">
        <w:trPr>
          <w:cantSplit/>
        </w:trPr>
        <w:tc>
          <w:tcPr>
            <w:tcW w:w="705" w:type="pct"/>
            <w:vMerge/>
            <w:vAlign w:val="center"/>
          </w:tcPr>
          <w:p w14:paraId="3E80878F" w14:textId="376EB520" w:rsidR="003E52FA" w:rsidRPr="000A03FD" w:rsidRDefault="003E52FA" w:rsidP="00852B96">
            <w:pPr>
              <w:pStyle w:val="TableText0"/>
              <w:keepNext w:val="0"/>
              <w:widowControl w:val="0"/>
            </w:pPr>
          </w:p>
        </w:tc>
        <w:tc>
          <w:tcPr>
            <w:tcW w:w="2280" w:type="pct"/>
          </w:tcPr>
          <w:p w14:paraId="63DD599B" w14:textId="395C1D79" w:rsidR="003E52FA" w:rsidRPr="000A03FD" w:rsidRDefault="003E52FA"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Mepolizumab costs were based on patients remaining ‘on treatment’…at each cycle. However, in clinical practice, patients …would remain on treatment until the next response assessment (every 24 weeks)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6.40, Nov 21, PSD).</w:t>
            </w:r>
          </w:p>
        </w:tc>
        <w:tc>
          <w:tcPr>
            <w:tcW w:w="2015" w:type="pct"/>
            <w:vAlign w:val="center"/>
          </w:tcPr>
          <w:p w14:paraId="3DC37549" w14:textId="3F45C3A5" w:rsidR="003E52FA" w:rsidRPr="000A03FD" w:rsidRDefault="003E52FA"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Not addressed</w:t>
            </w:r>
          </w:p>
        </w:tc>
      </w:tr>
      <w:tr w:rsidR="003E52FA" w:rsidRPr="000A03FD" w14:paraId="459447E0" w14:textId="77777777" w:rsidTr="00F81578">
        <w:trPr>
          <w:cantSplit/>
        </w:trPr>
        <w:tc>
          <w:tcPr>
            <w:tcW w:w="705" w:type="pct"/>
            <w:vMerge/>
            <w:vAlign w:val="center"/>
          </w:tcPr>
          <w:p w14:paraId="065FCD69" w14:textId="2D27686A" w:rsidR="003E52FA" w:rsidRPr="000A03FD" w:rsidRDefault="003E52FA" w:rsidP="00852B96">
            <w:pPr>
              <w:pStyle w:val="TableText0"/>
              <w:keepNext w:val="0"/>
              <w:widowControl w:val="0"/>
            </w:pPr>
          </w:p>
        </w:tc>
        <w:tc>
          <w:tcPr>
            <w:tcW w:w="2280" w:type="pct"/>
          </w:tcPr>
          <w:p w14:paraId="2457F429" w14:textId="7B7492ED" w:rsidR="003E52FA" w:rsidRPr="000A03FD" w:rsidRDefault="003E52FA"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The cost of NP surgery may have been overestimated by the submission</w:t>
            </w:r>
          </w:p>
        </w:tc>
        <w:tc>
          <w:tcPr>
            <w:tcW w:w="2015" w:type="pct"/>
            <w:vAlign w:val="center"/>
          </w:tcPr>
          <w:p w14:paraId="5D3E9984" w14:textId="3C477720" w:rsidR="003E52FA" w:rsidRPr="000A03FD" w:rsidRDefault="003E52FA"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Addressed, however there may still be issues with the unit cost applied</w:t>
            </w:r>
            <w:r w:rsidR="00B21557" w:rsidRPr="000A03FD">
              <w:rPr>
                <w:rFonts w:eastAsia="Times New Roman" w:cs="Arial"/>
                <w:bCs w:val="0"/>
                <w:snapToGrid w:val="0"/>
                <w:szCs w:val="20"/>
              </w:rPr>
              <w:t xml:space="preserve"> </w:t>
            </w:r>
            <w:r w:rsidRPr="000A03FD">
              <w:rPr>
                <w:rFonts w:eastAsia="Times New Roman" w:cs="Arial"/>
                <w:bCs w:val="0"/>
                <w:snapToGrid w:val="0"/>
                <w:szCs w:val="20"/>
              </w:rPr>
              <w:t xml:space="preserve">– see </w:t>
            </w:r>
            <w:r w:rsidR="00890F52" w:rsidRPr="000A03FD">
              <w:rPr>
                <w:rFonts w:eastAsia="Times New Roman" w:cs="Arial"/>
                <w:bCs w:val="0"/>
                <w:snapToGrid w:val="0"/>
                <w:szCs w:val="20"/>
              </w:rPr>
              <w:t xml:space="preserve">paragraph </w:t>
            </w:r>
            <w:r w:rsidR="00890F52" w:rsidRPr="000A03FD">
              <w:rPr>
                <w:rFonts w:eastAsia="Times New Roman" w:cs="Arial"/>
                <w:bCs w:val="0"/>
                <w:snapToGrid w:val="0"/>
                <w:szCs w:val="20"/>
              </w:rPr>
              <w:fldChar w:fldCharType="begin" w:fldLock="1"/>
            </w:r>
            <w:r w:rsidR="00890F52" w:rsidRPr="000A03FD">
              <w:rPr>
                <w:rFonts w:eastAsia="Times New Roman" w:cs="Arial"/>
                <w:bCs w:val="0"/>
                <w:snapToGrid w:val="0"/>
                <w:szCs w:val="20"/>
              </w:rPr>
              <w:instrText xml:space="preserve"> REF _Ref111525025 \r \h </w:instrText>
            </w:r>
            <w:r w:rsidR="00053F23" w:rsidRPr="000A03FD">
              <w:rPr>
                <w:rFonts w:eastAsia="Times New Roman" w:cs="Arial"/>
                <w:bCs w:val="0"/>
                <w:snapToGrid w:val="0"/>
                <w:szCs w:val="20"/>
              </w:rPr>
              <w:instrText xml:space="preserve"> \* MERGEFORMAT </w:instrText>
            </w:r>
            <w:r w:rsidR="00890F52" w:rsidRPr="000A03FD">
              <w:rPr>
                <w:rFonts w:eastAsia="Times New Roman" w:cs="Arial"/>
                <w:bCs w:val="0"/>
                <w:snapToGrid w:val="0"/>
                <w:szCs w:val="20"/>
              </w:rPr>
            </w:r>
            <w:r w:rsidR="00890F52" w:rsidRPr="000A03FD">
              <w:rPr>
                <w:rFonts w:eastAsia="Times New Roman" w:cs="Arial"/>
                <w:bCs w:val="0"/>
                <w:snapToGrid w:val="0"/>
                <w:szCs w:val="20"/>
              </w:rPr>
              <w:fldChar w:fldCharType="separate"/>
            </w:r>
            <w:r w:rsidR="009849D7">
              <w:rPr>
                <w:rFonts w:eastAsia="Times New Roman" w:cs="Arial"/>
                <w:bCs w:val="0"/>
                <w:snapToGrid w:val="0"/>
                <w:szCs w:val="20"/>
              </w:rPr>
              <w:t>6.45</w:t>
            </w:r>
            <w:r w:rsidR="00890F52" w:rsidRPr="000A03FD">
              <w:rPr>
                <w:rFonts w:eastAsia="Times New Roman" w:cs="Arial"/>
                <w:bCs w:val="0"/>
                <w:snapToGrid w:val="0"/>
                <w:szCs w:val="20"/>
              </w:rPr>
              <w:fldChar w:fldCharType="end"/>
            </w:r>
          </w:p>
        </w:tc>
      </w:tr>
      <w:tr w:rsidR="00B21557" w:rsidRPr="000A03FD" w14:paraId="6AEE7634" w14:textId="77777777" w:rsidTr="00F81578">
        <w:trPr>
          <w:cantSplit/>
        </w:trPr>
        <w:tc>
          <w:tcPr>
            <w:tcW w:w="705" w:type="pct"/>
            <w:vMerge w:val="restart"/>
            <w:vAlign w:val="center"/>
          </w:tcPr>
          <w:p w14:paraId="4F70CC0B" w14:textId="09750ECF" w:rsidR="00B21557" w:rsidRPr="000A03FD" w:rsidRDefault="00B21557" w:rsidP="00852B96">
            <w:pPr>
              <w:pStyle w:val="TableText0"/>
              <w:keepNext w:val="0"/>
              <w:widowControl w:val="0"/>
            </w:pPr>
            <w:r w:rsidRPr="000A03FD">
              <w:t>Financial estimates</w:t>
            </w:r>
          </w:p>
        </w:tc>
        <w:tc>
          <w:tcPr>
            <w:tcW w:w="2280" w:type="pct"/>
          </w:tcPr>
          <w:p w14:paraId="35509624" w14:textId="1E809691" w:rsidR="00B21557" w:rsidRPr="000A03FD" w:rsidRDefault="00B21557" w:rsidP="00852B96">
            <w:pPr>
              <w:pStyle w:val="TableText0"/>
              <w:keepNext w:val="0"/>
              <w:widowControl w:val="0"/>
              <w:rPr>
                <w:rFonts w:eastAsia="Times New Roman" w:cs="Arial"/>
                <w:bCs w:val="0"/>
                <w:iCs/>
                <w:snapToGrid w:val="0"/>
                <w:szCs w:val="20"/>
              </w:rPr>
            </w:pPr>
            <w:r w:rsidRPr="000A03FD">
              <w:rPr>
                <w:rFonts w:cs="Times New Roman"/>
                <w:iCs/>
                <w:szCs w:val="22"/>
                <w:lang w:eastAsia="en-US"/>
              </w:rPr>
              <w:t>The prevalence of CRS (10%) used in the previous submission was substantially overestimated, and the proportion of CRS patients with CRSwNP (30%) was likely overestimated (</w:t>
            </w:r>
            <w:r w:rsidR="00890F52" w:rsidRPr="000A03FD">
              <w:rPr>
                <w:rFonts w:cs="Times New Roman"/>
                <w:iCs/>
                <w:szCs w:val="22"/>
                <w:lang w:eastAsia="en-US"/>
              </w:rPr>
              <w:t>Paragraph</w:t>
            </w:r>
            <w:r w:rsidRPr="000A03FD">
              <w:rPr>
                <w:rFonts w:cs="Times New Roman"/>
                <w:iCs/>
                <w:szCs w:val="22"/>
                <w:lang w:eastAsia="en-US"/>
              </w:rPr>
              <w:t xml:space="preserve"> 6.57, Nov 21, PSD)</w:t>
            </w:r>
            <w:r w:rsidR="000A03FD">
              <w:rPr>
                <w:rFonts w:cs="Times New Roman"/>
                <w:iCs/>
                <w:szCs w:val="22"/>
                <w:lang w:eastAsia="en-US"/>
              </w:rPr>
              <w:t xml:space="preserve">. </w:t>
            </w:r>
          </w:p>
        </w:tc>
        <w:tc>
          <w:tcPr>
            <w:tcW w:w="2015" w:type="pct"/>
            <w:vAlign w:val="center"/>
          </w:tcPr>
          <w:p w14:paraId="6F9CBC3D" w14:textId="44545627" w:rsidR="00B21557" w:rsidRPr="000A03FD" w:rsidRDefault="00B21557"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 xml:space="preserve">Addressed – see </w:t>
            </w:r>
            <w:r w:rsidRPr="000A03FD">
              <w:rPr>
                <w:rFonts w:eastAsia="Times New Roman" w:cs="Arial"/>
                <w:bCs w:val="0"/>
                <w:snapToGrid w:val="0"/>
                <w:szCs w:val="20"/>
              </w:rPr>
              <w:fldChar w:fldCharType="begin" w:fldLock="1"/>
            </w:r>
            <w:r w:rsidRPr="000A03FD">
              <w:rPr>
                <w:rFonts w:eastAsia="Times New Roman" w:cs="Arial"/>
                <w:bCs w:val="0"/>
                <w:snapToGrid w:val="0"/>
                <w:szCs w:val="20"/>
              </w:rPr>
              <w:instrText xml:space="preserve"> REF _Ref104805262 \h  \* MERGEFORMAT </w:instrText>
            </w:r>
            <w:r w:rsidRPr="000A03FD">
              <w:rPr>
                <w:rFonts w:eastAsia="Times New Roman" w:cs="Arial"/>
                <w:bCs w:val="0"/>
                <w:snapToGrid w:val="0"/>
                <w:szCs w:val="20"/>
              </w:rPr>
            </w:r>
            <w:r w:rsidRPr="000A03FD">
              <w:rPr>
                <w:rFonts w:eastAsia="Times New Roman" w:cs="Arial"/>
                <w:bCs w:val="0"/>
                <w:snapToGrid w:val="0"/>
                <w:szCs w:val="20"/>
              </w:rPr>
              <w:fldChar w:fldCharType="separate"/>
            </w:r>
            <w:r w:rsidR="00625A18" w:rsidRPr="000A03FD">
              <w:t>Table 17</w:t>
            </w:r>
            <w:r w:rsidRPr="000A03FD">
              <w:rPr>
                <w:rFonts w:eastAsia="Times New Roman" w:cs="Arial"/>
                <w:bCs w:val="0"/>
                <w:snapToGrid w:val="0"/>
                <w:szCs w:val="20"/>
              </w:rPr>
              <w:fldChar w:fldCharType="end"/>
            </w:r>
          </w:p>
        </w:tc>
      </w:tr>
      <w:tr w:rsidR="00B21557" w:rsidRPr="000A03FD" w14:paraId="0ADC0AA2" w14:textId="77777777" w:rsidTr="00F81578">
        <w:trPr>
          <w:cantSplit/>
        </w:trPr>
        <w:tc>
          <w:tcPr>
            <w:tcW w:w="705" w:type="pct"/>
            <w:vMerge/>
            <w:vAlign w:val="center"/>
          </w:tcPr>
          <w:p w14:paraId="4031CB84" w14:textId="30BE5683" w:rsidR="00B21557" w:rsidRPr="000A03FD" w:rsidRDefault="00B21557" w:rsidP="00852B96">
            <w:pPr>
              <w:pStyle w:val="TableText0"/>
              <w:keepNext w:val="0"/>
              <w:widowControl w:val="0"/>
            </w:pPr>
          </w:p>
        </w:tc>
        <w:tc>
          <w:tcPr>
            <w:tcW w:w="2280" w:type="pct"/>
          </w:tcPr>
          <w:p w14:paraId="5159704D" w14:textId="74F00081" w:rsidR="00B21557" w:rsidRPr="000A03FD" w:rsidRDefault="00B21557"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The financial estimates did not consider the proportion of CRSwNP patients who were already prescribed another PBS-listed biologic for severe asthma thereby assuming there would be no overlap of these patients (</w:t>
            </w:r>
            <w:r w:rsidR="00890F52" w:rsidRPr="000A03FD">
              <w:rPr>
                <w:rFonts w:eastAsia="Times New Roman" w:cs="Arial"/>
                <w:bCs w:val="0"/>
                <w:snapToGrid w:val="0"/>
                <w:szCs w:val="20"/>
              </w:rPr>
              <w:t>Paragraph</w:t>
            </w:r>
            <w:r w:rsidRPr="000A03FD">
              <w:rPr>
                <w:rFonts w:eastAsia="Times New Roman" w:cs="Arial"/>
                <w:bCs w:val="0"/>
                <w:snapToGrid w:val="0"/>
                <w:szCs w:val="20"/>
              </w:rPr>
              <w:t xml:space="preserve"> 6.64, Nov 21, PSD).</w:t>
            </w:r>
          </w:p>
        </w:tc>
        <w:tc>
          <w:tcPr>
            <w:tcW w:w="2015" w:type="pct"/>
            <w:vAlign w:val="center"/>
          </w:tcPr>
          <w:p w14:paraId="6F3622A5" w14:textId="719C3F07" w:rsidR="00B21557" w:rsidRPr="000A03FD" w:rsidRDefault="00B21557"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 xml:space="preserve">Addressed, but the value applied in the financial estimates is considered uncertain – see </w:t>
            </w:r>
            <w:r w:rsidRPr="000A03FD">
              <w:rPr>
                <w:rFonts w:eastAsia="Times New Roman" w:cs="Arial"/>
                <w:bCs w:val="0"/>
                <w:snapToGrid w:val="0"/>
                <w:szCs w:val="20"/>
              </w:rPr>
              <w:fldChar w:fldCharType="begin" w:fldLock="1"/>
            </w:r>
            <w:r w:rsidRPr="000A03FD">
              <w:rPr>
                <w:rFonts w:eastAsia="Times New Roman" w:cs="Arial"/>
                <w:bCs w:val="0"/>
                <w:snapToGrid w:val="0"/>
                <w:szCs w:val="20"/>
              </w:rPr>
              <w:instrText xml:space="preserve"> REF _Ref104805262 \h  \* MERGEFORMAT </w:instrText>
            </w:r>
            <w:r w:rsidRPr="000A03FD">
              <w:rPr>
                <w:rFonts w:eastAsia="Times New Roman" w:cs="Arial"/>
                <w:bCs w:val="0"/>
                <w:snapToGrid w:val="0"/>
                <w:szCs w:val="20"/>
              </w:rPr>
            </w:r>
            <w:r w:rsidRPr="000A03FD">
              <w:rPr>
                <w:rFonts w:eastAsia="Times New Roman" w:cs="Arial"/>
                <w:bCs w:val="0"/>
                <w:snapToGrid w:val="0"/>
                <w:szCs w:val="20"/>
              </w:rPr>
              <w:fldChar w:fldCharType="separate"/>
            </w:r>
            <w:r w:rsidR="00625A18" w:rsidRPr="000A03FD">
              <w:t>Table 17</w:t>
            </w:r>
            <w:r w:rsidRPr="000A03FD">
              <w:rPr>
                <w:rFonts w:eastAsia="Times New Roman" w:cs="Arial"/>
                <w:bCs w:val="0"/>
                <w:snapToGrid w:val="0"/>
                <w:szCs w:val="20"/>
              </w:rPr>
              <w:fldChar w:fldCharType="end"/>
            </w:r>
          </w:p>
        </w:tc>
      </w:tr>
      <w:tr w:rsidR="00B21557" w:rsidRPr="000A03FD" w14:paraId="3B8D5FD4" w14:textId="77777777" w:rsidTr="00F81578">
        <w:trPr>
          <w:cantSplit/>
        </w:trPr>
        <w:tc>
          <w:tcPr>
            <w:tcW w:w="705" w:type="pct"/>
            <w:vMerge/>
            <w:vAlign w:val="center"/>
          </w:tcPr>
          <w:p w14:paraId="4AC22134" w14:textId="1109BE3A" w:rsidR="00B21557" w:rsidRPr="000A03FD" w:rsidRDefault="00B21557" w:rsidP="00852B96">
            <w:pPr>
              <w:pStyle w:val="TableText0"/>
              <w:keepNext w:val="0"/>
              <w:widowControl w:val="0"/>
            </w:pPr>
          </w:p>
        </w:tc>
        <w:tc>
          <w:tcPr>
            <w:tcW w:w="2280" w:type="pct"/>
          </w:tcPr>
          <w:p w14:paraId="1480A721" w14:textId="3985DE27" w:rsidR="00B21557" w:rsidRPr="000A03FD" w:rsidRDefault="00B21557" w:rsidP="00852B96">
            <w:pPr>
              <w:pStyle w:val="TableText0"/>
              <w:keepNext w:val="0"/>
              <w:widowControl w:val="0"/>
              <w:rPr>
                <w:rFonts w:eastAsia="Times New Roman" w:cs="Arial"/>
                <w:bCs w:val="0"/>
                <w:iCs/>
                <w:snapToGrid w:val="0"/>
                <w:szCs w:val="20"/>
              </w:rPr>
            </w:pPr>
            <w:r w:rsidRPr="000A03FD">
              <w:rPr>
                <w:rFonts w:cs="Times New Roman"/>
                <w:iCs/>
                <w:szCs w:val="22"/>
                <w:lang w:eastAsia="en-US"/>
              </w:rPr>
              <w:t>The initial uptake rates were considered potentially underestimated (</w:t>
            </w:r>
            <w:r w:rsidR="00890F52" w:rsidRPr="000A03FD">
              <w:rPr>
                <w:rFonts w:cs="Times New Roman"/>
                <w:iCs/>
                <w:szCs w:val="22"/>
                <w:lang w:eastAsia="en-US"/>
              </w:rPr>
              <w:t>Paragraph</w:t>
            </w:r>
            <w:r w:rsidRPr="000A03FD">
              <w:rPr>
                <w:rFonts w:cs="Times New Roman"/>
                <w:iCs/>
                <w:szCs w:val="22"/>
                <w:lang w:eastAsia="en-US"/>
              </w:rPr>
              <w:t xml:space="preserve"> 6.57, Nov 21, PSD).</w:t>
            </w:r>
          </w:p>
        </w:tc>
        <w:tc>
          <w:tcPr>
            <w:tcW w:w="2015" w:type="pct"/>
            <w:vAlign w:val="center"/>
          </w:tcPr>
          <w:p w14:paraId="26984B4C" w14:textId="60D0EDE1" w:rsidR="00B21557" w:rsidRPr="000A03FD" w:rsidRDefault="00B21557"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 xml:space="preserve">Addressed, however the uptake in patients unsuitable for surgery remains an important source of uncertainty – see </w:t>
            </w:r>
            <w:r w:rsidRPr="000A03FD">
              <w:rPr>
                <w:rFonts w:eastAsia="Times New Roman" w:cs="Arial"/>
                <w:bCs w:val="0"/>
                <w:snapToGrid w:val="0"/>
                <w:szCs w:val="20"/>
              </w:rPr>
              <w:fldChar w:fldCharType="begin" w:fldLock="1"/>
            </w:r>
            <w:r w:rsidRPr="000A03FD">
              <w:rPr>
                <w:rFonts w:eastAsia="Times New Roman" w:cs="Arial"/>
                <w:bCs w:val="0"/>
                <w:snapToGrid w:val="0"/>
                <w:szCs w:val="20"/>
              </w:rPr>
              <w:instrText xml:space="preserve"> REF _Ref104805262 \h  \* MERGEFORMAT </w:instrText>
            </w:r>
            <w:r w:rsidRPr="000A03FD">
              <w:rPr>
                <w:rFonts w:eastAsia="Times New Roman" w:cs="Arial"/>
                <w:bCs w:val="0"/>
                <w:snapToGrid w:val="0"/>
                <w:szCs w:val="20"/>
              </w:rPr>
            </w:r>
            <w:r w:rsidRPr="000A03FD">
              <w:rPr>
                <w:rFonts w:eastAsia="Times New Roman" w:cs="Arial"/>
                <w:bCs w:val="0"/>
                <w:snapToGrid w:val="0"/>
                <w:szCs w:val="20"/>
              </w:rPr>
              <w:fldChar w:fldCharType="separate"/>
            </w:r>
            <w:r w:rsidR="00625A18" w:rsidRPr="000A03FD">
              <w:t>Table 17</w:t>
            </w:r>
            <w:r w:rsidRPr="000A03FD">
              <w:rPr>
                <w:rFonts w:eastAsia="Times New Roman" w:cs="Arial"/>
                <w:bCs w:val="0"/>
                <w:snapToGrid w:val="0"/>
                <w:szCs w:val="20"/>
              </w:rPr>
              <w:fldChar w:fldCharType="end"/>
            </w:r>
          </w:p>
        </w:tc>
      </w:tr>
      <w:tr w:rsidR="00B21557" w:rsidRPr="000A03FD" w14:paraId="06184F94" w14:textId="77777777" w:rsidTr="00F81578">
        <w:trPr>
          <w:cantSplit/>
        </w:trPr>
        <w:tc>
          <w:tcPr>
            <w:tcW w:w="705" w:type="pct"/>
            <w:vMerge/>
            <w:vAlign w:val="center"/>
          </w:tcPr>
          <w:p w14:paraId="45AC7988" w14:textId="3DD37A5B" w:rsidR="00B21557" w:rsidRPr="000A03FD" w:rsidRDefault="00B21557" w:rsidP="00852B96">
            <w:pPr>
              <w:pStyle w:val="TableText0"/>
              <w:keepNext w:val="0"/>
              <w:widowControl w:val="0"/>
            </w:pPr>
          </w:p>
        </w:tc>
        <w:tc>
          <w:tcPr>
            <w:tcW w:w="2280" w:type="pct"/>
          </w:tcPr>
          <w:p w14:paraId="04BF3592" w14:textId="3889FE3A" w:rsidR="00B21557" w:rsidRPr="000A03FD" w:rsidRDefault="00B21557" w:rsidP="00852B96">
            <w:pPr>
              <w:pStyle w:val="TableText0"/>
              <w:keepNext w:val="0"/>
              <w:widowControl w:val="0"/>
              <w:rPr>
                <w:rFonts w:cs="Times New Roman"/>
                <w:szCs w:val="22"/>
                <w:lang w:eastAsia="en-US"/>
              </w:rPr>
            </w:pPr>
            <w:r w:rsidRPr="000A03FD">
              <w:t>The PBAC considered that if patients unsuitable for surgery were to be included in the proposed PBS population then a risk sharing agreement would be required to manage uncertainty associated with the uptake in this population (</w:t>
            </w:r>
            <w:r w:rsidR="00890F52" w:rsidRPr="000A03FD">
              <w:t>Paragraph</w:t>
            </w:r>
            <w:r w:rsidRPr="000A03FD">
              <w:t xml:space="preserve"> 7.8, Nov 21, PSD).</w:t>
            </w:r>
          </w:p>
        </w:tc>
        <w:tc>
          <w:tcPr>
            <w:tcW w:w="2015" w:type="pct"/>
            <w:vAlign w:val="center"/>
          </w:tcPr>
          <w:p w14:paraId="3676C961" w14:textId="68EFE211" w:rsidR="00B21557" w:rsidRPr="000A03FD" w:rsidRDefault="00B21557" w:rsidP="00852B96">
            <w:pPr>
              <w:pStyle w:val="TableText0"/>
              <w:keepNext w:val="0"/>
              <w:widowControl w:val="0"/>
              <w:rPr>
                <w:rFonts w:eastAsia="Times New Roman" w:cs="Arial"/>
                <w:bCs w:val="0"/>
                <w:snapToGrid w:val="0"/>
                <w:szCs w:val="20"/>
              </w:rPr>
            </w:pPr>
            <w:r w:rsidRPr="000A03FD">
              <w:rPr>
                <w:rFonts w:eastAsia="Times New Roman" w:cs="Arial"/>
                <w:bCs w:val="0"/>
                <w:snapToGrid w:val="0"/>
                <w:szCs w:val="20"/>
              </w:rPr>
              <w:t>Not addressed</w:t>
            </w:r>
          </w:p>
        </w:tc>
      </w:tr>
    </w:tbl>
    <w:p w14:paraId="451D7156" w14:textId="01007AAA" w:rsidR="005C25FF" w:rsidRPr="000A03FD" w:rsidRDefault="005C25FF" w:rsidP="00852B96">
      <w:pPr>
        <w:pStyle w:val="FooterTableFigure"/>
        <w:widowControl w:val="0"/>
      </w:pPr>
      <w:r w:rsidRPr="000A03FD">
        <w:t xml:space="preserve">Source: </w:t>
      </w:r>
      <w:r w:rsidR="001C2228" w:rsidRPr="000A03FD">
        <w:t>Sections 1-4 of the resubmission</w:t>
      </w:r>
    </w:p>
    <w:p w14:paraId="061973DA" w14:textId="1659CBA1" w:rsidR="00DE162C" w:rsidRPr="000A03FD" w:rsidRDefault="00DE162C" w:rsidP="00852B96">
      <w:pPr>
        <w:pStyle w:val="FooterTableFigure"/>
        <w:widowControl w:val="0"/>
      </w:pPr>
      <w:r w:rsidRPr="000A03FD">
        <w:t>BEC = blood eosinophil count</w:t>
      </w:r>
      <w:r w:rsidR="00215410" w:rsidRPr="000A03FD">
        <w:t xml:space="preserve">; OCS = oral </w:t>
      </w:r>
      <w:r w:rsidR="00747A64" w:rsidRPr="000A03FD">
        <w:t>corticosteroids</w:t>
      </w:r>
      <w:r w:rsidR="00215410" w:rsidRPr="000A03FD">
        <w:t>; PSD = Public Summary Document; VAS = visual analogue scale</w:t>
      </w:r>
    </w:p>
    <w:p w14:paraId="0DE59118" w14:textId="3AFC02A3" w:rsidR="003747D2" w:rsidRPr="000A03FD" w:rsidRDefault="003747D2" w:rsidP="00852B96">
      <w:pPr>
        <w:pStyle w:val="FooterTableFigure"/>
        <w:widowControl w:val="0"/>
      </w:pPr>
    </w:p>
    <w:p w14:paraId="70FDF48A" w14:textId="5BBABEE2" w:rsidR="003747D2" w:rsidRPr="000A03FD" w:rsidRDefault="003747D2" w:rsidP="003747D2">
      <w:pPr>
        <w:pStyle w:val="3-BodyText"/>
        <w:numPr>
          <w:ilvl w:val="0"/>
          <w:numId w:val="0"/>
        </w:numPr>
        <w:ind w:left="720"/>
        <w:rPr>
          <w:i/>
          <w:iCs/>
        </w:rPr>
      </w:pPr>
      <w:r w:rsidRPr="000A03FD">
        <w:rPr>
          <w:i/>
          <w:iCs/>
        </w:rPr>
        <w:t>For more detail on PBAC’s view, see section 7 PBAC outcome</w:t>
      </w:r>
    </w:p>
    <w:p w14:paraId="1B423B86" w14:textId="1B31484F" w:rsidR="003A4C14" w:rsidRPr="000A03FD" w:rsidRDefault="00B50DB8" w:rsidP="00986A2C">
      <w:pPr>
        <w:pStyle w:val="2-SectionHeading"/>
      </w:pPr>
      <w:bookmarkStart w:id="9" w:name="_Toc107902078"/>
      <w:bookmarkStart w:id="10" w:name="_Toc113982839"/>
      <w:bookmarkEnd w:id="9"/>
      <w:r w:rsidRPr="000A03FD">
        <w:t>Requested listing</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9"/>
        <w:gridCol w:w="812"/>
        <w:gridCol w:w="811"/>
        <w:gridCol w:w="812"/>
        <w:gridCol w:w="1831"/>
      </w:tblGrid>
      <w:tr w:rsidR="00133912" w:rsidRPr="000A03FD" w14:paraId="73E16E29" w14:textId="77777777" w:rsidTr="00565C79">
        <w:trPr>
          <w:cantSplit/>
          <w:trHeight w:val="20"/>
        </w:trPr>
        <w:tc>
          <w:tcPr>
            <w:tcW w:w="2972" w:type="dxa"/>
            <w:vAlign w:val="center"/>
          </w:tcPr>
          <w:p w14:paraId="4660296B" w14:textId="77777777" w:rsidR="00046D64" w:rsidRPr="000A03FD" w:rsidRDefault="00046D64" w:rsidP="00A2021E">
            <w:pPr>
              <w:keepLines/>
              <w:rPr>
                <w:rFonts w:ascii="Arial Narrow" w:hAnsi="Arial Narrow"/>
                <w:b/>
                <w:bCs/>
                <w:sz w:val="20"/>
                <w:szCs w:val="20"/>
              </w:rPr>
            </w:pPr>
            <w:bookmarkStart w:id="11" w:name="_Hlk104809055"/>
            <w:r w:rsidRPr="000A03FD">
              <w:rPr>
                <w:rFonts w:ascii="Arial Narrow" w:hAnsi="Arial Narrow"/>
                <w:b/>
                <w:bCs/>
                <w:sz w:val="20"/>
                <w:szCs w:val="20"/>
              </w:rPr>
              <w:t>MEDICINAL PRODUCT</w:t>
            </w:r>
          </w:p>
          <w:p w14:paraId="7221C2FD" w14:textId="77777777" w:rsidR="00046D64" w:rsidRPr="000A03FD" w:rsidRDefault="00046D64" w:rsidP="00A2021E">
            <w:pPr>
              <w:keepLines/>
              <w:rPr>
                <w:rFonts w:ascii="Arial Narrow" w:hAnsi="Arial Narrow"/>
                <w:b/>
                <w:sz w:val="20"/>
                <w:szCs w:val="20"/>
              </w:rPr>
            </w:pPr>
            <w:r w:rsidRPr="000A03FD">
              <w:rPr>
                <w:rFonts w:ascii="Arial Narrow" w:hAnsi="Arial Narrow"/>
                <w:b/>
                <w:bCs/>
                <w:sz w:val="20"/>
                <w:szCs w:val="20"/>
              </w:rPr>
              <w:t>medicinal product pack</w:t>
            </w:r>
          </w:p>
        </w:tc>
        <w:tc>
          <w:tcPr>
            <w:tcW w:w="1779" w:type="dxa"/>
            <w:vAlign w:val="center"/>
          </w:tcPr>
          <w:p w14:paraId="14424AF1" w14:textId="54369E4C" w:rsidR="00046D64" w:rsidRPr="000A03FD" w:rsidRDefault="00C61A59" w:rsidP="00C61A59">
            <w:pPr>
              <w:pStyle w:val="TableText0"/>
              <w:rPr>
                <w:b/>
                <w:bCs w:val="0"/>
                <w:szCs w:val="20"/>
              </w:rPr>
            </w:pPr>
            <w:r w:rsidRPr="000A03FD">
              <w:rPr>
                <w:b/>
                <w:bCs w:val="0"/>
                <w:snapToGrid w:val="0"/>
              </w:rPr>
              <w:t xml:space="preserve">Dispensed Price for Max. Qty </w:t>
            </w:r>
          </w:p>
        </w:tc>
        <w:tc>
          <w:tcPr>
            <w:tcW w:w="812" w:type="dxa"/>
            <w:vAlign w:val="center"/>
          </w:tcPr>
          <w:p w14:paraId="4E41A9BC" w14:textId="0E3A90D0" w:rsidR="00046D64" w:rsidRPr="000A03FD" w:rsidRDefault="00046D64" w:rsidP="00A2021E">
            <w:pPr>
              <w:keepLines/>
              <w:jc w:val="center"/>
              <w:rPr>
                <w:rFonts w:ascii="Arial Narrow" w:hAnsi="Arial Narrow"/>
                <w:b/>
                <w:sz w:val="20"/>
                <w:szCs w:val="20"/>
              </w:rPr>
            </w:pPr>
            <w:r w:rsidRPr="000A03FD">
              <w:rPr>
                <w:rFonts w:ascii="Arial Narrow" w:hAnsi="Arial Narrow"/>
                <w:b/>
                <w:sz w:val="20"/>
                <w:szCs w:val="20"/>
              </w:rPr>
              <w:t>Max. qty packs</w:t>
            </w:r>
          </w:p>
        </w:tc>
        <w:tc>
          <w:tcPr>
            <w:tcW w:w="811" w:type="dxa"/>
            <w:vAlign w:val="center"/>
          </w:tcPr>
          <w:p w14:paraId="48197540" w14:textId="77777777" w:rsidR="00046D64" w:rsidRPr="000A03FD" w:rsidRDefault="00046D64" w:rsidP="00A2021E">
            <w:pPr>
              <w:keepLines/>
              <w:jc w:val="center"/>
              <w:rPr>
                <w:rFonts w:ascii="Arial Narrow" w:hAnsi="Arial Narrow"/>
                <w:b/>
                <w:sz w:val="20"/>
                <w:szCs w:val="20"/>
              </w:rPr>
            </w:pPr>
            <w:r w:rsidRPr="000A03FD">
              <w:rPr>
                <w:rFonts w:ascii="Arial Narrow" w:hAnsi="Arial Narrow"/>
                <w:b/>
                <w:sz w:val="20"/>
                <w:szCs w:val="20"/>
              </w:rPr>
              <w:t>Max. qty units</w:t>
            </w:r>
          </w:p>
        </w:tc>
        <w:tc>
          <w:tcPr>
            <w:tcW w:w="812" w:type="dxa"/>
            <w:vAlign w:val="center"/>
          </w:tcPr>
          <w:p w14:paraId="13B3FDEE" w14:textId="77777777" w:rsidR="00046D64" w:rsidRPr="000A03FD" w:rsidRDefault="00046D64" w:rsidP="00A2021E">
            <w:pPr>
              <w:keepLines/>
              <w:jc w:val="center"/>
              <w:rPr>
                <w:rFonts w:ascii="Arial Narrow" w:hAnsi="Arial Narrow"/>
                <w:b/>
                <w:sz w:val="20"/>
                <w:szCs w:val="20"/>
              </w:rPr>
            </w:pPr>
            <w:r w:rsidRPr="000A03FD">
              <w:rPr>
                <w:rFonts w:ascii="Arial Narrow" w:hAnsi="Arial Narrow"/>
                <w:b/>
                <w:sz w:val="20"/>
                <w:szCs w:val="20"/>
              </w:rPr>
              <w:t>№.of</w:t>
            </w:r>
          </w:p>
          <w:p w14:paraId="7B215997" w14:textId="77777777" w:rsidR="00046D64" w:rsidRPr="000A03FD" w:rsidRDefault="00046D64" w:rsidP="00A2021E">
            <w:pPr>
              <w:keepLines/>
              <w:jc w:val="center"/>
              <w:rPr>
                <w:rFonts w:ascii="Arial Narrow" w:hAnsi="Arial Narrow"/>
                <w:b/>
                <w:sz w:val="20"/>
                <w:szCs w:val="20"/>
              </w:rPr>
            </w:pPr>
            <w:r w:rsidRPr="000A03FD">
              <w:rPr>
                <w:rFonts w:ascii="Arial Narrow" w:hAnsi="Arial Narrow"/>
                <w:b/>
                <w:sz w:val="20"/>
                <w:szCs w:val="20"/>
              </w:rPr>
              <w:t>Rpts</w:t>
            </w:r>
          </w:p>
        </w:tc>
        <w:tc>
          <w:tcPr>
            <w:tcW w:w="1831" w:type="dxa"/>
            <w:vAlign w:val="center"/>
          </w:tcPr>
          <w:p w14:paraId="4976F6A8" w14:textId="77777777" w:rsidR="00046D64" w:rsidRPr="000A03FD" w:rsidRDefault="00046D64" w:rsidP="00A2021E">
            <w:pPr>
              <w:keepLines/>
              <w:rPr>
                <w:rFonts w:ascii="Arial Narrow" w:hAnsi="Arial Narrow"/>
                <w:b/>
                <w:sz w:val="20"/>
                <w:szCs w:val="20"/>
              </w:rPr>
            </w:pPr>
            <w:r w:rsidRPr="000A03FD">
              <w:rPr>
                <w:rFonts w:ascii="Arial Narrow" w:hAnsi="Arial Narrow"/>
                <w:b/>
                <w:sz w:val="20"/>
                <w:szCs w:val="20"/>
              </w:rPr>
              <w:t>Available brands</w:t>
            </w:r>
          </w:p>
        </w:tc>
      </w:tr>
      <w:tr w:rsidR="00133912" w:rsidRPr="000A03FD" w14:paraId="40C1AD8E" w14:textId="77777777" w:rsidTr="00A2021E">
        <w:trPr>
          <w:cantSplit/>
          <w:trHeight w:val="20"/>
        </w:trPr>
        <w:tc>
          <w:tcPr>
            <w:tcW w:w="9017" w:type="dxa"/>
            <w:gridSpan w:val="6"/>
            <w:vAlign w:val="center"/>
          </w:tcPr>
          <w:p w14:paraId="2A4C00A6" w14:textId="47B11ED1" w:rsidR="00046D64" w:rsidRPr="000A03FD" w:rsidRDefault="00C45DF3" w:rsidP="00A2021E">
            <w:pPr>
              <w:pStyle w:val="TableText0"/>
              <w:rPr>
                <w:rFonts w:cs="Arial"/>
                <w:szCs w:val="20"/>
              </w:rPr>
            </w:pPr>
            <w:r w:rsidRPr="000A03FD">
              <w:rPr>
                <w:smallCaps/>
              </w:rPr>
              <w:t>MEPOLIZUMAB</w:t>
            </w:r>
            <w:r w:rsidR="00A2021E" w:rsidRPr="000A03FD">
              <w:rPr>
                <w:rFonts w:cs="Arial"/>
                <w:szCs w:val="20"/>
              </w:rPr>
              <w:t xml:space="preserve"> </w:t>
            </w:r>
          </w:p>
        </w:tc>
      </w:tr>
      <w:tr w:rsidR="00133912" w:rsidRPr="000A03FD" w14:paraId="1DC2CC67" w14:textId="77777777" w:rsidTr="006472FE">
        <w:trPr>
          <w:cantSplit/>
          <w:trHeight w:val="20"/>
        </w:trPr>
        <w:tc>
          <w:tcPr>
            <w:tcW w:w="2972" w:type="dxa"/>
            <w:vAlign w:val="center"/>
          </w:tcPr>
          <w:p w14:paraId="612C04D7" w14:textId="25AEB3B9" w:rsidR="002C36E3" w:rsidRPr="000A03FD" w:rsidRDefault="00F65B9E" w:rsidP="00F65B9E">
            <w:pPr>
              <w:pStyle w:val="TableText0"/>
              <w:keepLines/>
            </w:pPr>
            <w:r w:rsidRPr="000A03FD">
              <w:t>Mepolizumab 100mg/1mL injection,</w:t>
            </w:r>
            <w:r w:rsidR="00980840" w:rsidRPr="000A03FD">
              <w:t xml:space="preserve"> </w:t>
            </w:r>
            <w:r w:rsidR="00F67A6C" w:rsidRPr="000A03FD">
              <w:t>1</w:t>
            </w:r>
            <w:r w:rsidR="00F67A6C">
              <w:t> </w:t>
            </w:r>
            <w:r w:rsidR="00980840" w:rsidRPr="000A03FD">
              <w:t>mL pen device</w:t>
            </w:r>
            <w:r w:rsidRPr="000A03FD">
              <w:t xml:space="preserve"> </w:t>
            </w:r>
          </w:p>
        </w:tc>
        <w:tc>
          <w:tcPr>
            <w:tcW w:w="1779" w:type="dxa"/>
          </w:tcPr>
          <w:p w14:paraId="449DF9C0" w14:textId="77777777" w:rsidR="00A0268F" w:rsidRPr="000A03FD" w:rsidRDefault="00A0268F" w:rsidP="00A0268F">
            <w:pPr>
              <w:pStyle w:val="Tabletext"/>
              <w:keepNext/>
              <w:keepLines/>
            </w:pPr>
            <w:r w:rsidRPr="000A03FD">
              <w:t>Published price: $1,556.10 (public)</w:t>
            </w:r>
          </w:p>
          <w:p w14:paraId="7B830DC4" w14:textId="77777777" w:rsidR="00A0268F" w:rsidRPr="000A03FD" w:rsidRDefault="00A0268F" w:rsidP="00A0268F">
            <w:pPr>
              <w:pStyle w:val="Tabletext"/>
              <w:keepNext/>
              <w:keepLines/>
            </w:pPr>
            <w:r w:rsidRPr="000A03FD">
              <w:t>$1,603.88 (private) Effective price:</w:t>
            </w:r>
          </w:p>
          <w:p w14:paraId="6DB4224B" w14:textId="1599073D" w:rsidR="00A0268F" w:rsidRPr="000A03FD" w:rsidRDefault="00A0268F" w:rsidP="00A0268F">
            <w:pPr>
              <w:pStyle w:val="Tabletext"/>
              <w:keepNext/>
              <w:keepLines/>
            </w:pPr>
            <w:r w:rsidRPr="000A03FD">
              <w:t>$</w:t>
            </w:r>
            <w:r w:rsidR="0020233B" w:rsidRPr="00EC6CA3">
              <w:rPr>
                <w:color w:val="000000"/>
                <w:spacing w:val="52"/>
                <w:shd w:val="solid" w:color="000000" w:fill="000000"/>
                <w:fitText w:val="328" w:id="-1303140608"/>
                <w14:textFill>
                  <w14:solidFill>
                    <w14:srgbClr w14:val="000000">
                      <w14:alpha w14:val="100000"/>
                    </w14:srgbClr>
                  </w14:solidFill>
                </w14:textFill>
              </w:rPr>
              <w:t>|||</w:t>
            </w:r>
            <w:r w:rsidR="0020233B" w:rsidRPr="00EC6CA3">
              <w:rPr>
                <w:color w:val="000000"/>
                <w:shd w:val="solid" w:color="000000" w:fill="000000"/>
                <w:fitText w:val="328" w:id="-1303140608"/>
                <w14:textFill>
                  <w14:solidFill>
                    <w14:srgbClr w14:val="000000">
                      <w14:alpha w14:val="100000"/>
                    </w14:srgbClr>
                  </w14:solidFill>
                </w14:textFill>
              </w:rPr>
              <w:t>|</w:t>
            </w:r>
            <w:r w:rsidRPr="000A03FD">
              <w:t xml:space="preserve"> (public)</w:t>
            </w:r>
          </w:p>
          <w:p w14:paraId="70C2874A" w14:textId="02A5D711" w:rsidR="002C36E3" w:rsidRPr="000A03FD" w:rsidRDefault="00A0268F" w:rsidP="00A0268F">
            <w:pPr>
              <w:pStyle w:val="TableText0"/>
              <w:rPr>
                <w:szCs w:val="20"/>
              </w:rPr>
            </w:pPr>
            <w:r w:rsidRPr="000A03FD">
              <w:t>$</w:t>
            </w:r>
            <w:r w:rsidR="0020233B" w:rsidRPr="00EC6CA3">
              <w:rPr>
                <w:color w:val="000000"/>
                <w:spacing w:val="52"/>
                <w:shd w:val="solid" w:color="000000" w:fill="000000"/>
                <w:fitText w:val="328" w:id="-1303140607"/>
                <w14:textFill>
                  <w14:solidFill>
                    <w14:srgbClr w14:val="000000">
                      <w14:alpha w14:val="100000"/>
                    </w14:srgbClr>
                  </w14:solidFill>
                </w14:textFill>
              </w:rPr>
              <w:t>|||</w:t>
            </w:r>
            <w:r w:rsidR="0020233B" w:rsidRPr="00EC6CA3">
              <w:rPr>
                <w:color w:val="000000"/>
                <w:shd w:val="solid" w:color="000000" w:fill="000000"/>
                <w:fitText w:val="328" w:id="-1303140607"/>
                <w14:textFill>
                  <w14:solidFill>
                    <w14:srgbClr w14:val="000000">
                      <w14:alpha w14:val="100000"/>
                    </w14:srgbClr>
                  </w14:solidFill>
                </w14:textFill>
              </w:rPr>
              <w:t>|</w:t>
            </w:r>
            <w:r w:rsidRPr="000A03FD">
              <w:t xml:space="preserve"> (private)</w:t>
            </w:r>
          </w:p>
        </w:tc>
        <w:tc>
          <w:tcPr>
            <w:tcW w:w="812" w:type="dxa"/>
            <w:vAlign w:val="center"/>
          </w:tcPr>
          <w:p w14:paraId="71CD2441" w14:textId="58483D36" w:rsidR="002C36E3" w:rsidRPr="000A03FD" w:rsidRDefault="00A0268F" w:rsidP="002C36E3">
            <w:pPr>
              <w:keepLines/>
              <w:jc w:val="center"/>
              <w:rPr>
                <w:rFonts w:ascii="Arial Narrow" w:hAnsi="Arial Narrow"/>
                <w:sz w:val="20"/>
                <w:szCs w:val="20"/>
              </w:rPr>
            </w:pPr>
            <w:r w:rsidRPr="000A03FD">
              <w:rPr>
                <w:rFonts w:ascii="Arial Narrow" w:hAnsi="Arial Narrow"/>
                <w:sz w:val="20"/>
              </w:rPr>
              <w:t>1</w:t>
            </w:r>
          </w:p>
        </w:tc>
        <w:tc>
          <w:tcPr>
            <w:tcW w:w="811" w:type="dxa"/>
            <w:vAlign w:val="center"/>
          </w:tcPr>
          <w:p w14:paraId="65F4D3E9" w14:textId="384ED483" w:rsidR="002C36E3" w:rsidRPr="000A03FD" w:rsidRDefault="00A0268F" w:rsidP="002C36E3">
            <w:pPr>
              <w:keepLines/>
              <w:jc w:val="center"/>
              <w:rPr>
                <w:rFonts w:ascii="Arial Narrow" w:hAnsi="Arial Narrow"/>
                <w:sz w:val="20"/>
                <w:szCs w:val="20"/>
              </w:rPr>
            </w:pPr>
            <w:r w:rsidRPr="000A03FD">
              <w:rPr>
                <w:rFonts w:ascii="Arial Narrow" w:hAnsi="Arial Narrow"/>
                <w:sz w:val="20"/>
              </w:rPr>
              <w:t>1</w:t>
            </w:r>
          </w:p>
        </w:tc>
        <w:tc>
          <w:tcPr>
            <w:tcW w:w="812" w:type="dxa"/>
            <w:vAlign w:val="center"/>
          </w:tcPr>
          <w:p w14:paraId="7C728D0C" w14:textId="58BA7CFE" w:rsidR="002C36E3" w:rsidRPr="000A03FD" w:rsidRDefault="00A0268F" w:rsidP="002C36E3">
            <w:pPr>
              <w:keepLines/>
              <w:jc w:val="center"/>
              <w:rPr>
                <w:rFonts w:ascii="Arial Narrow" w:hAnsi="Arial Narrow"/>
                <w:sz w:val="20"/>
                <w:szCs w:val="20"/>
              </w:rPr>
            </w:pPr>
            <w:r w:rsidRPr="000A03FD">
              <w:rPr>
                <w:rFonts w:ascii="Arial Narrow" w:hAnsi="Arial Narrow"/>
                <w:sz w:val="20"/>
              </w:rPr>
              <w:t>5</w:t>
            </w:r>
          </w:p>
        </w:tc>
        <w:tc>
          <w:tcPr>
            <w:tcW w:w="1831" w:type="dxa"/>
            <w:vAlign w:val="center"/>
          </w:tcPr>
          <w:p w14:paraId="519A0BC8" w14:textId="64C0D3F2" w:rsidR="002C36E3" w:rsidRPr="000A03FD" w:rsidRDefault="00A0268F" w:rsidP="002C36E3">
            <w:pPr>
              <w:keepLines/>
              <w:rPr>
                <w:rFonts w:ascii="Arial Narrow" w:hAnsi="Arial Narrow"/>
                <w:sz w:val="20"/>
                <w:szCs w:val="20"/>
              </w:rPr>
            </w:pPr>
            <w:r w:rsidRPr="000A03FD">
              <w:rPr>
                <w:rFonts w:ascii="Arial Narrow" w:hAnsi="Arial Narrow"/>
                <w:sz w:val="20"/>
                <w:szCs w:val="20"/>
              </w:rPr>
              <w:t>Nucala</w:t>
            </w:r>
          </w:p>
        </w:tc>
      </w:tr>
    </w:tbl>
    <w:p w14:paraId="7F700E55" w14:textId="77777777" w:rsidR="003A4C14" w:rsidRPr="000A03FD" w:rsidRDefault="003A4C14">
      <w:bookmarkStart w:id="12" w:name="_Hlk104809082"/>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133912" w:rsidRPr="000A03FD" w14:paraId="3EE8ABAE" w14:textId="77777777" w:rsidTr="003A4C14">
        <w:trPr>
          <w:cantSplit/>
          <w:trHeight w:val="20"/>
        </w:trPr>
        <w:tc>
          <w:tcPr>
            <w:tcW w:w="5000" w:type="pct"/>
          </w:tcPr>
          <w:p w14:paraId="3B622315" w14:textId="437A21A2" w:rsidR="003A4C14" w:rsidRPr="000A03FD" w:rsidRDefault="003A4C14" w:rsidP="002C36E3">
            <w:pPr>
              <w:pStyle w:val="TableText0"/>
              <w:keepLines/>
            </w:pPr>
            <w:bookmarkStart w:id="13" w:name="_Hlk104809470"/>
            <w:bookmarkEnd w:id="12"/>
            <w:r w:rsidRPr="000A03FD">
              <w:rPr>
                <w:b/>
              </w:rPr>
              <w:lastRenderedPageBreak/>
              <w:t xml:space="preserve">Category / Program: </w:t>
            </w:r>
            <w:r w:rsidR="00E84AD5" w:rsidRPr="000A03FD">
              <w:rPr>
                <w:rFonts w:cstheme="minorHAnsi"/>
                <w:szCs w:val="16"/>
                <w:lang w:eastAsia="en-GB"/>
              </w:rPr>
              <w:t>Section 100 - Highly Specialised Drugs Program (Private/Public)</w:t>
            </w:r>
          </w:p>
        </w:tc>
      </w:tr>
      <w:tr w:rsidR="00133912" w:rsidRPr="000A03FD" w14:paraId="09416ED3" w14:textId="77777777" w:rsidTr="003A4C14">
        <w:trPr>
          <w:cantSplit/>
          <w:trHeight w:val="20"/>
        </w:trPr>
        <w:tc>
          <w:tcPr>
            <w:tcW w:w="5000" w:type="pct"/>
          </w:tcPr>
          <w:p w14:paraId="7D2ED8D5" w14:textId="3AF264C7" w:rsidR="003A4C14" w:rsidRPr="000A03FD" w:rsidRDefault="003A4C14" w:rsidP="002C36E3">
            <w:pPr>
              <w:pStyle w:val="TableText0"/>
              <w:keepLines/>
              <w:rPr>
                <w:b/>
              </w:rPr>
            </w:pPr>
            <w:r w:rsidRPr="000A03FD">
              <w:rPr>
                <w:b/>
              </w:rPr>
              <w:t xml:space="preserve">Prescriber type: </w:t>
            </w:r>
            <w:r w:rsidRPr="000A03FD">
              <w:fldChar w:fldCharType="begin" w:fldLock="1">
                <w:ffData>
                  <w:name w:val="Check1"/>
                  <w:enabled/>
                  <w:calcOnExit w:val="0"/>
                  <w:checkBox>
                    <w:sizeAuto/>
                    <w:default w:val="0"/>
                  </w:checkBox>
                </w:ffData>
              </w:fldChar>
            </w:r>
            <w:r w:rsidRPr="000A03FD">
              <w:instrText xml:space="preserve"> FORMCHECKBOX </w:instrText>
            </w:r>
            <w:r w:rsidR="00685AB3">
              <w:fldChar w:fldCharType="separate"/>
            </w:r>
            <w:r w:rsidRPr="000A03FD">
              <w:fldChar w:fldCharType="end"/>
            </w:r>
            <w:r w:rsidRPr="000A03FD">
              <w:t xml:space="preserve">Dental </w:t>
            </w:r>
            <w:r w:rsidR="00E84AD5" w:rsidRPr="000A03FD">
              <w:fldChar w:fldCharType="begin" w:fldLock="1">
                <w:ffData>
                  <w:name w:val=""/>
                  <w:enabled/>
                  <w:calcOnExit w:val="0"/>
                  <w:checkBox>
                    <w:sizeAuto/>
                    <w:default w:val="1"/>
                  </w:checkBox>
                </w:ffData>
              </w:fldChar>
            </w:r>
            <w:r w:rsidR="00E84AD5" w:rsidRPr="000A03FD">
              <w:instrText xml:space="preserve"> FORMCHECKBOX </w:instrText>
            </w:r>
            <w:r w:rsidR="00685AB3">
              <w:fldChar w:fldCharType="separate"/>
            </w:r>
            <w:r w:rsidR="00E84AD5" w:rsidRPr="000A03FD">
              <w:fldChar w:fldCharType="end"/>
            </w:r>
            <w:r w:rsidRPr="000A03FD">
              <w:t xml:space="preserve">Medical Practitioners </w:t>
            </w:r>
            <w:r w:rsidRPr="000A03FD">
              <w:fldChar w:fldCharType="begin" w:fldLock="1">
                <w:ffData>
                  <w:name w:val="Check3"/>
                  <w:enabled/>
                  <w:calcOnExit w:val="0"/>
                  <w:checkBox>
                    <w:sizeAuto/>
                    <w:default w:val="0"/>
                  </w:checkBox>
                </w:ffData>
              </w:fldChar>
            </w:r>
            <w:r w:rsidRPr="000A03FD">
              <w:instrText xml:space="preserve"> FORMCHECKBOX </w:instrText>
            </w:r>
            <w:r w:rsidR="00685AB3">
              <w:fldChar w:fldCharType="separate"/>
            </w:r>
            <w:r w:rsidRPr="000A03FD">
              <w:fldChar w:fldCharType="end"/>
            </w:r>
            <w:r w:rsidRPr="000A03FD">
              <w:t xml:space="preserve">Nurse practitioners </w:t>
            </w:r>
            <w:r w:rsidRPr="000A03FD">
              <w:fldChar w:fldCharType="begin" w:fldLock="1">
                <w:ffData>
                  <w:name w:val=""/>
                  <w:enabled/>
                  <w:calcOnExit w:val="0"/>
                  <w:checkBox>
                    <w:sizeAuto/>
                    <w:default w:val="0"/>
                  </w:checkBox>
                </w:ffData>
              </w:fldChar>
            </w:r>
            <w:r w:rsidRPr="000A03FD">
              <w:instrText xml:space="preserve"> FORMCHECKBOX </w:instrText>
            </w:r>
            <w:r w:rsidR="00685AB3">
              <w:fldChar w:fldCharType="separate"/>
            </w:r>
            <w:r w:rsidRPr="000A03FD">
              <w:fldChar w:fldCharType="end"/>
            </w:r>
            <w:r w:rsidRPr="000A03FD">
              <w:t xml:space="preserve">Optometrists </w:t>
            </w:r>
            <w:r w:rsidRPr="000A03FD">
              <w:fldChar w:fldCharType="begin" w:fldLock="1">
                <w:ffData>
                  <w:name w:val="Check5"/>
                  <w:enabled/>
                  <w:calcOnExit w:val="0"/>
                  <w:checkBox>
                    <w:sizeAuto/>
                    <w:default w:val="0"/>
                  </w:checkBox>
                </w:ffData>
              </w:fldChar>
            </w:r>
            <w:r w:rsidRPr="000A03FD">
              <w:instrText xml:space="preserve"> FORMCHECKBOX </w:instrText>
            </w:r>
            <w:r w:rsidR="00685AB3">
              <w:fldChar w:fldCharType="separate"/>
            </w:r>
            <w:r w:rsidRPr="000A03FD">
              <w:fldChar w:fldCharType="end"/>
            </w:r>
          </w:p>
        </w:tc>
      </w:tr>
      <w:tr w:rsidR="00133912" w:rsidRPr="000A03FD" w14:paraId="070CFDD2" w14:textId="77777777" w:rsidTr="003A4C14">
        <w:trPr>
          <w:cantSplit/>
          <w:trHeight w:val="20"/>
        </w:trPr>
        <w:tc>
          <w:tcPr>
            <w:tcW w:w="5000" w:type="pct"/>
          </w:tcPr>
          <w:p w14:paraId="3320A955" w14:textId="32F197E9" w:rsidR="003A4C14" w:rsidRPr="000A03FD" w:rsidRDefault="003A4C14" w:rsidP="002C36E3">
            <w:pPr>
              <w:pStyle w:val="TableText0"/>
              <w:keepLines/>
              <w:rPr>
                <w:rFonts w:eastAsia="Times New Roman"/>
              </w:rPr>
            </w:pPr>
            <w:r w:rsidRPr="000A03FD">
              <w:rPr>
                <w:b/>
              </w:rPr>
              <w:t>Restriction type</w:t>
            </w:r>
            <w:r w:rsidR="005D6059" w:rsidRPr="000A03FD">
              <w:rPr>
                <w:b/>
              </w:rPr>
              <w:t xml:space="preserve">: </w:t>
            </w:r>
            <w:r w:rsidR="005D6059" w:rsidRPr="000A03FD">
              <w:rPr>
                <w:rFonts w:eastAsia="Times New Roman"/>
              </w:rPr>
              <w:fldChar w:fldCharType="begin" w:fldLock="1">
                <w:ffData>
                  <w:name w:val=""/>
                  <w:enabled/>
                  <w:calcOnExit w:val="0"/>
                  <w:checkBox>
                    <w:sizeAuto/>
                    <w:default w:val="1"/>
                  </w:checkBox>
                </w:ffData>
              </w:fldChar>
            </w:r>
            <w:r w:rsidR="005D6059" w:rsidRPr="000A03FD">
              <w:rPr>
                <w:rFonts w:eastAsia="Times New Roman"/>
              </w:rPr>
              <w:instrText xml:space="preserve"> FORMCHECKBOX </w:instrText>
            </w:r>
            <w:r w:rsidR="00685AB3">
              <w:rPr>
                <w:rFonts w:eastAsia="Times New Roman"/>
              </w:rPr>
            </w:r>
            <w:r w:rsidR="00685AB3">
              <w:rPr>
                <w:rFonts w:eastAsia="Times New Roman"/>
              </w:rPr>
              <w:fldChar w:fldCharType="separate"/>
            </w:r>
            <w:r w:rsidR="005D6059" w:rsidRPr="000A03FD">
              <w:rPr>
                <w:rFonts w:eastAsia="Times New Roman"/>
              </w:rPr>
              <w:fldChar w:fldCharType="end"/>
            </w:r>
            <w:r w:rsidRPr="000A03FD">
              <w:rPr>
                <w:rFonts w:eastAsia="Times New Roman"/>
              </w:rPr>
              <w:t xml:space="preserve">Authority Required </w:t>
            </w:r>
            <w:r w:rsidR="005D6059" w:rsidRPr="000A03FD">
              <w:rPr>
                <w:rFonts w:eastAsia="Times New Roman"/>
              </w:rPr>
              <w:t>– In Writing</w:t>
            </w:r>
            <w:r w:rsidRPr="000A03FD">
              <w:rPr>
                <w:rFonts w:eastAsia="Times New Roman"/>
              </w:rPr>
              <w:t xml:space="preserve">  </w:t>
            </w:r>
          </w:p>
        </w:tc>
      </w:tr>
      <w:tr w:rsidR="00133912" w:rsidRPr="000A03FD" w14:paraId="4473716B" w14:textId="77777777" w:rsidTr="003A4C14">
        <w:trPr>
          <w:cantSplit/>
          <w:trHeight w:val="20"/>
        </w:trPr>
        <w:tc>
          <w:tcPr>
            <w:tcW w:w="5000" w:type="pct"/>
            <w:vAlign w:val="center"/>
          </w:tcPr>
          <w:p w14:paraId="0C58C468" w14:textId="64F0800F" w:rsidR="003A4C14" w:rsidRPr="000A03FD" w:rsidRDefault="003A4C14" w:rsidP="002C36E3">
            <w:pPr>
              <w:pStyle w:val="TableText0"/>
              <w:keepLines/>
              <w:rPr>
                <w:b/>
              </w:rPr>
            </w:pPr>
            <w:r w:rsidRPr="000A03FD">
              <w:rPr>
                <w:b/>
              </w:rPr>
              <w:t xml:space="preserve">Condition: </w:t>
            </w:r>
            <w:r w:rsidR="00023EDF" w:rsidRPr="000A03FD">
              <w:t>Chronic rhinosinusitis with nasal polyps (CRSwNP)</w:t>
            </w:r>
          </w:p>
        </w:tc>
      </w:tr>
      <w:tr w:rsidR="00133912" w:rsidRPr="000A03FD" w14:paraId="5BFE3347" w14:textId="77777777" w:rsidTr="003A4C14">
        <w:trPr>
          <w:cantSplit/>
          <w:trHeight w:val="20"/>
        </w:trPr>
        <w:tc>
          <w:tcPr>
            <w:tcW w:w="5000" w:type="pct"/>
            <w:vAlign w:val="center"/>
            <w:hideMark/>
          </w:tcPr>
          <w:p w14:paraId="3296BDDA" w14:textId="6BAF1609" w:rsidR="003A4C14" w:rsidRPr="000A03FD" w:rsidRDefault="003A4C14" w:rsidP="002C36E3">
            <w:pPr>
              <w:pStyle w:val="TableText0"/>
              <w:keepLines/>
            </w:pPr>
            <w:r w:rsidRPr="000A03FD">
              <w:rPr>
                <w:b/>
              </w:rPr>
              <w:t>Indication:</w:t>
            </w:r>
            <w:r w:rsidRPr="000A03FD">
              <w:t xml:space="preserve"> </w:t>
            </w:r>
            <w:r w:rsidR="00DD5D86" w:rsidRPr="000A03FD">
              <w:t>Chronic rhinosinusitis with nasal polyps</w:t>
            </w:r>
          </w:p>
        </w:tc>
      </w:tr>
      <w:tr w:rsidR="00133912" w:rsidRPr="000A03FD" w14:paraId="7A6417F7" w14:textId="77777777" w:rsidTr="003A4C14">
        <w:trPr>
          <w:cantSplit/>
          <w:trHeight w:val="20"/>
        </w:trPr>
        <w:tc>
          <w:tcPr>
            <w:tcW w:w="5000" w:type="pct"/>
            <w:vAlign w:val="center"/>
            <w:hideMark/>
          </w:tcPr>
          <w:p w14:paraId="655B4B49" w14:textId="51D67701" w:rsidR="003A4C14" w:rsidRPr="000A03FD" w:rsidRDefault="003A4C14" w:rsidP="002C36E3">
            <w:pPr>
              <w:pStyle w:val="TableText0"/>
              <w:keepLines/>
            </w:pPr>
            <w:r w:rsidRPr="000A03FD">
              <w:rPr>
                <w:b/>
              </w:rPr>
              <w:t>Treatment Phase:</w:t>
            </w:r>
            <w:r w:rsidRPr="000A03FD">
              <w:t xml:space="preserve"> </w:t>
            </w:r>
            <w:r w:rsidR="003434D4" w:rsidRPr="000A03FD">
              <w:t>Initial treatment criteria</w:t>
            </w:r>
          </w:p>
        </w:tc>
      </w:tr>
      <w:tr w:rsidR="00133912" w:rsidRPr="000A03FD" w14:paraId="3ABBD2EC" w14:textId="77777777" w:rsidTr="003A4C14">
        <w:trPr>
          <w:cantSplit/>
          <w:trHeight w:val="20"/>
        </w:trPr>
        <w:tc>
          <w:tcPr>
            <w:tcW w:w="5000" w:type="pct"/>
            <w:vAlign w:val="center"/>
            <w:hideMark/>
          </w:tcPr>
          <w:p w14:paraId="5D485398" w14:textId="77777777" w:rsidR="003A4C14" w:rsidRPr="000A03FD" w:rsidRDefault="003A4C14" w:rsidP="002C36E3">
            <w:pPr>
              <w:pStyle w:val="TableText0"/>
              <w:keepLines/>
            </w:pPr>
            <w:r w:rsidRPr="000A03FD">
              <w:rPr>
                <w:b/>
              </w:rPr>
              <w:t>Clinical criteria:</w:t>
            </w:r>
          </w:p>
        </w:tc>
      </w:tr>
      <w:tr w:rsidR="00133912" w:rsidRPr="000A03FD" w14:paraId="26BA494C" w14:textId="77777777" w:rsidTr="00FA596F">
        <w:trPr>
          <w:cantSplit/>
          <w:trHeight w:val="20"/>
        </w:trPr>
        <w:tc>
          <w:tcPr>
            <w:tcW w:w="5000" w:type="pct"/>
            <w:vAlign w:val="center"/>
          </w:tcPr>
          <w:p w14:paraId="6FFABE16" w14:textId="77777777" w:rsidR="00FA596F" w:rsidRPr="000A03FD" w:rsidRDefault="00FA596F" w:rsidP="00FA596F">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 xml:space="preserve">Patient must have a diagnosis of CRSwNP confirmed and documented by nasal endoscopy or computed tomography (CT) scan, </w:t>
            </w:r>
          </w:p>
          <w:p w14:paraId="015B51D3" w14:textId="77777777" w:rsidR="00FA596F" w:rsidRPr="000A03FD" w:rsidRDefault="00FA596F" w:rsidP="00FA596F">
            <w:pPr>
              <w:autoSpaceDE w:val="0"/>
              <w:autoSpaceDN w:val="0"/>
              <w:adjustRightInd w:val="0"/>
              <w:ind w:left="306"/>
              <w:rPr>
                <w:rFonts w:ascii="Arial Narrow" w:hAnsi="Arial Narrow" w:cstheme="minorHAnsi"/>
                <w:sz w:val="20"/>
                <w:szCs w:val="20"/>
                <w:lang w:eastAsia="en-GB"/>
              </w:rPr>
            </w:pPr>
            <w:r w:rsidRPr="000A03FD">
              <w:rPr>
                <w:rFonts w:ascii="Arial Narrow" w:hAnsi="Arial Narrow" w:cstheme="minorHAnsi"/>
                <w:sz w:val="20"/>
                <w:szCs w:val="20"/>
                <w:lang w:eastAsia="en-GB"/>
              </w:rPr>
              <w:t xml:space="preserve">OR </w:t>
            </w:r>
          </w:p>
          <w:p w14:paraId="1A0AADCD" w14:textId="275EBAA2" w:rsidR="003A4C14" w:rsidRPr="000A03FD" w:rsidRDefault="00FA596F" w:rsidP="00FA596F">
            <w:pPr>
              <w:pStyle w:val="TableText0"/>
              <w:keepLines/>
            </w:pPr>
            <w:r w:rsidRPr="000A03FD">
              <w:rPr>
                <w:rFonts w:cstheme="minorHAnsi"/>
                <w:szCs w:val="20"/>
                <w:lang w:eastAsia="en-GB"/>
              </w:rPr>
              <w:t>Patient must have had a diagnosis of CRSwNP from at least two physicians and/or ENT surgeons experienced in the management of patients with CRSwNP</w:t>
            </w:r>
          </w:p>
        </w:tc>
      </w:tr>
      <w:tr w:rsidR="00133912" w:rsidRPr="000A03FD" w14:paraId="1541981C" w14:textId="77777777" w:rsidTr="003A4C14">
        <w:trPr>
          <w:cantSplit/>
          <w:trHeight w:val="20"/>
        </w:trPr>
        <w:tc>
          <w:tcPr>
            <w:tcW w:w="5000" w:type="pct"/>
            <w:vAlign w:val="center"/>
            <w:hideMark/>
          </w:tcPr>
          <w:p w14:paraId="6F3D1453" w14:textId="77777777" w:rsidR="003A4C14" w:rsidRPr="000A03FD" w:rsidRDefault="003A4C14" w:rsidP="002C36E3">
            <w:pPr>
              <w:pStyle w:val="TableText0"/>
              <w:keepLines/>
            </w:pPr>
            <w:r w:rsidRPr="000A03FD">
              <w:rPr>
                <w:b/>
              </w:rPr>
              <w:t>AND</w:t>
            </w:r>
          </w:p>
        </w:tc>
      </w:tr>
      <w:tr w:rsidR="00133912" w:rsidRPr="000A03FD" w14:paraId="018890B8" w14:textId="77777777" w:rsidTr="003A4C14">
        <w:trPr>
          <w:cantSplit/>
          <w:trHeight w:val="20"/>
        </w:trPr>
        <w:tc>
          <w:tcPr>
            <w:tcW w:w="5000" w:type="pct"/>
            <w:vAlign w:val="center"/>
            <w:hideMark/>
          </w:tcPr>
          <w:p w14:paraId="79CB2648" w14:textId="77777777" w:rsidR="003A4C14" w:rsidRPr="000A03FD" w:rsidRDefault="003A4C14" w:rsidP="002C36E3">
            <w:pPr>
              <w:pStyle w:val="TableText0"/>
              <w:keepLines/>
            </w:pPr>
            <w:r w:rsidRPr="000A03FD">
              <w:rPr>
                <w:b/>
              </w:rPr>
              <w:t>Clinical criteria:</w:t>
            </w:r>
          </w:p>
        </w:tc>
      </w:tr>
      <w:tr w:rsidR="00133912" w:rsidRPr="000A03FD" w14:paraId="1096E289" w14:textId="77777777" w:rsidTr="003A4C14">
        <w:trPr>
          <w:cantSplit/>
          <w:trHeight w:val="20"/>
        </w:trPr>
        <w:tc>
          <w:tcPr>
            <w:tcW w:w="5000" w:type="pct"/>
            <w:vAlign w:val="center"/>
            <w:hideMark/>
          </w:tcPr>
          <w:p w14:paraId="16929626" w14:textId="6C4BBEC2" w:rsidR="003A4C14" w:rsidRPr="000A03FD" w:rsidRDefault="004869B7" w:rsidP="002C36E3">
            <w:pPr>
              <w:pStyle w:val="TableText0"/>
              <w:keepLines/>
            </w:pPr>
            <w:r w:rsidRPr="000A03FD">
              <w:rPr>
                <w:rFonts w:cstheme="minorHAnsi"/>
                <w:szCs w:val="20"/>
                <w:lang w:eastAsia="en-GB"/>
              </w:rPr>
              <w:t>Patient must be under the care of the same physician for at least 6 months; OR must have been diagnosed with CRSwNP by a multidisciplinary team (MDT)</w:t>
            </w:r>
          </w:p>
        </w:tc>
      </w:tr>
      <w:tr w:rsidR="004869B7" w:rsidRPr="000A03FD" w14:paraId="0106217C" w14:textId="77777777" w:rsidTr="003A4C14">
        <w:trPr>
          <w:cantSplit/>
          <w:trHeight w:val="20"/>
        </w:trPr>
        <w:tc>
          <w:tcPr>
            <w:tcW w:w="5000" w:type="pct"/>
            <w:vAlign w:val="center"/>
          </w:tcPr>
          <w:p w14:paraId="622A04C7" w14:textId="062CBB11" w:rsidR="004869B7" w:rsidRPr="000A03FD" w:rsidRDefault="004869B7" w:rsidP="004869B7">
            <w:pPr>
              <w:pStyle w:val="TableText0"/>
              <w:keepLines/>
              <w:rPr>
                <w:rFonts w:cstheme="minorHAnsi"/>
                <w:szCs w:val="20"/>
                <w:lang w:eastAsia="en-GB"/>
              </w:rPr>
            </w:pPr>
            <w:r w:rsidRPr="000A03FD">
              <w:rPr>
                <w:b/>
              </w:rPr>
              <w:t>AND</w:t>
            </w:r>
          </w:p>
        </w:tc>
      </w:tr>
      <w:tr w:rsidR="004869B7" w:rsidRPr="000A03FD" w14:paraId="58AB3915" w14:textId="77777777" w:rsidTr="003A4C14">
        <w:trPr>
          <w:cantSplit/>
          <w:trHeight w:val="20"/>
        </w:trPr>
        <w:tc>
          <w:tcPr>
            <w:tcW w:w="5000" w:type="pct"/>
            <w:vAlign w:val="center"/>
          </w:tcPr>
          <w:p w14:paraId="732B2159" w14:textId="7D1140B5" w:rsidR="004869B7" w:rsidRPr="000A03FD" w:rsidRDefault="004869B7" w:rsidP="004869B7">
            <w:pPr>
              <w:pStyle w:val="TableText0"/>
              <w:keepLines/>
              <w:rPr>
                <w:rFonts w:cstheme="minorHAnsi"/>
                <w:szCs w:val="20"/>
                <w:lang w:eastAsia="en-GB"/>
              </w:rPr>
            </w:pPr>
            <w:r w:rsidRPr="000A03FD">
              <w:rPr>
                <w:b/>
              </w:rPr>
              <w:t>Clinical criteria:</w:t>
            </w:r>
          </w:p>
        </w:tc>
      </w:tr>
      <w:tr w:rsidR="00133912" w:rsidRPr="000A03FD" w14:paraId="73CA1B60" w14:textId="77777777" w:rsidTr="003A4C14">
        <w:trPr>
          <w:cantSplit/>
          <w:trHeight w:val="20"/>
        </w:trPr>
        <w:tc>
          <w:tcPr>
            <w:tcW w:w="5000" w:type="pct"/>
            <w:vAlign w:val="center"/>
          </w:tcPr>
          <w:p w14:paraId="75761D74" w14:textId="77777777" w:rsidR="000D3472" w:rsidRPr="000A03FD" w:rsidRDefault="000D3472" w:rsidP="000D3472">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Patient must have received at least one previous surgery</w:t>
            </w:r>
            <w:r w:rsidRPr="000A03FD">
              <w:rPr>
                <w:rFonts w:ascii="Arial Narrow" w:hAnsi="Arial Narrow" w:cstheme="minorHAnsi"/>
                <w:i/>
                <w:iCs/>
                <w:sz w:val="20"/>
                <w:szCs w:val="20"/>
                <w:lang w:eastAsia="en-GB"/>
              </w:rPr>
              <w:t xml:space="preserve"> </w:t>
            </w:r>
            <w:r w:rsidRPr="000A03FD">
              <w:rPr>
                <w:rFonts w:ascii="Arial Narrow" w:hAnsi="Arial Narrow" w:cstheme="minorHAnsi"/>
                <w:sz w:val="20"/>
                <w:szCs w:val="20"/>
                <w:lang w:eastAsia="en-GB"/>
              </w:rPr>
              <w:t xml:space="preserve">for the removal of nasal polyps; </w:t>
            </w:r>
          </w:p>
          <w:p w14:paraId="4F54E845" w14:textId="77777777" w:rsidR="000D3472" w:rsidRPr="000A03FD" w:rsidRDefault="000D3472" w:rsidP="000D3472">
            <w:pPr>
              <w:autoSpaceDE w:val="0"/>
              <w:autoSpaceDN w:val="0"/>
              <w:adjustRightInd w:val="0"/>
              <w:ind w:left="306" w:hanging="142"/>
              <w:rPr>
                <w:rFonts w:ascii="Arial Narrow" w:hAnsi="Arial Narrow" w:cstheme="minorHAnsi"/>
                <w:sz w:val="20"/>
                <w:szCs w:val="20"/>
                <w:lang w:eastAsia="en-GB"/>
              </w:rPr>
            </w:pPr>
            <w:r w:rsidRPr="000A03FD">
              <w:rPr>
                <w:rFonts w:ascii="Arial Narrow" w:hAnsi="Arial Narrow" w:cstheme="minorHAnsi"/>
                <w:sz w:val="20"/>
                <w:szCs w:val="20"/>
                <w:lang w:eastAsia="en-GB"/>
              </w:rPr>
              <w:t xml:space="preserve">OR </w:t>
            </w:r>
          </w:p>
          <w:p w14:paraId="0DAE539B" w14:textId="075F8619" w:rsidR="004869B7" w:rsidRPr="000A03FD" w:rsidRDefault="000D3472" w:rsidP="000D3472">
            <w:pPr>
              <w:pStyle w:val="TableText0"/>
              <w:keepLines/>
              <w:rPr>
                <w:rFonts w:cstheme="minorHAnsi"/>
                <w:szCs w:val="20"/>
                <w:lang w:eastAsia="en-GB"/>
              </w:rPr>
            </w:pPr>
            <w:r w:rsidRPr="000A03FD">
              <w:rPr>
                <w:rFonts w:cstheme="minorHAnsi"/>
                <w:szCs w:val="20"/>
                <w:lang w:eastAsia="en-GB"/>
              </w:rPr>
              <w:t xml:space="preserve">Patient must not be suitable for surgery as per written advice from </w:t>
            </w:r>
            <w:r w:rsidRPr="000A03FD">
              <w:rPr>
                <w:rFonts w:cstheme="minorHAnsi"/>
                <w:iCs/>
                <w:szCs w:val="20"/>
                <w:lang w:eastAsia="en-GB"/>
              </w:rPr>
              <w:t>at least two of the specialist prescribers listed above</w:t>
            </w:r>
          </w:p>
        </w:tc>
      </w:tr>
      <w:tr w:rsidR="00133912" w:rsidRPr="000A03FD" w14:paraId="2FD047DF" w14:textId="77777777" w:rsidTr="003A4C14">
        <w:trPr>
          <w:cantSplit/>
          <w:trHeight w:val="20"/>
        </w:trPr>
        <w:tc>
          <w:tcPr>
            <w:tcW w:w="5000" w:type="pct"/>
            <w:vAlign w:val="center"/>
          </w:tcPr>
          <w:p w14:paraId="3B18570C" w14:textId="2C062A7F" w:rsidR="000D3472" w:rsidRPr="000A03FD" w:rsidRDefault="000D3472" w:rsidP="000D3472">
            <w:pPr>
              <w:autoSpaceDE w:val="0"/>
              <w:autoSpaceDN w:val="0"/>
              <w:adjustRightInd w:val="0"/>
              <w:rPr>
                <w:rFonts w:ascii="Arial Narrow" w:hAnsi="Arial Narrow" w:cstheme="minorHAnsi"/>
                <w:b/>
                <w:bCs/>
                <w:sz w:val="20"/>
                <w:szCs w:val="20"/>
                <w:lang w:eastAsia="en-GB"/>
              </w:rPr>
            </w:pPr>
            <w:r w:rsidRPr="000A03FD">
              <w:rPr>
                <w:rFonts w:ascii="Arial Narrow" w:hAnsi="Arial Narrow" w:cstheme="minorHAnsi"/>
                <w:b/>
                <w:bCs/>
                <w:sz w:val="20"/>
                <w:szCs w:val="20"/>
                <w:lang w:eastAsia="en-GB"/>
              </w:rPr>
              <w:t>AND</w:t>
            </w:r>
          </w:p>
        </w:tc>
      </w:tr>
      <w:tr w:rsidR="00133912" w:rsidRPr="000A03FD" w14:paraId="56C5F37D" w14:textId="77777777" w:rsidTr="003A4C14">
        <w:trPr>
          <w:cantSplit/>
          <w:trHeight w:val="20"/>
        </w:trPr>
        <w:tc>
          <w:tcPr>
            <w:tcW w:w="5000" w:type="pct"/>
            <w:vAlign w:val="center"/>
          </w:tcPr>
          <w:p w14:paraId="03E3D744" w14:textId="493DBFF7" w:rsidR="000D3472" w:rsidRPr="000A03FD" w:rsidRDefault="000D3472" w:rsidP="000D3472">
            <w:pPr>
              <w:autoSpaceDE w:val="0"/>
              <w:autoSpaceDN w:val="0"/>
              <w:adjustRightInd w:val="0"/>
              <w:rPr>
                <w:rFonts w:ascii="Arial Narrow" w:hAnsi="Arial Narrow" w:cstheme="minorHAnsi"/>
                <w:b/>
                <w:bCs/>
                <w:sz w:val="20"/>
                <w:szCs w:val="20"/>
                <w:lang w:eastAsia="en-GB"/>
              </w:rPr>
            </w:pPr>
            <w:r w:rsidRPr="000A03FD">
              <w:rPr>
                <w:rFonts w:ascii="Arial Narrow" w:hAnsi="Arial Narrow" w:cstheme="minorHAnsi"/>
                <w:b/>
                <w:bCs/>
                <w:sz w:val="20"/>
                <w:szCs w:val="20"/>
                <w:lang w:eastAsia="en-GB"/>
              </w:rPr>
              <w:t>Clinical criteria:</w:t>
            </w:r>
          </w:p>
        </w:tc>
      </w:tr>
      <w:tr w:rsidR="00133912" w:rsidRPr="000A03FD" w14:paraId="17B0C469" w14:textId="77777777" w:rsidTr="003A4C14">
        <w:trPr>
          <w:cantSplit/>
          <w:trHeight w:val="20"/>
        </w:trPr>
        <w:tc>
          <w:tcPr>
            <w:tcW w:w="5000" w:type="pct"/>
            <w:vAlign w:val="center"/>
          </w:tcPr>
          <w:p w14:paraId="0E1BD692" w14:textId="77777777" w:rsidR="00A85ED5" w:rsidRPr="000A03FD" w:rsidRDefault="00A85ED5" w:rsidP="00A85ED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Patient must have two of the following criteria:</w:t>
            </w:r>
          </w:p>
          <w:p w14:paraId="5D03592F" w14:textId="77777777" w:rsidR="00A85ED5" w:rsidRPr="000A03FD" w:rsidRDefault="00A85ED5" w:rsidP="00A85ED5">
            <w:pPr>
              <w:autoSpaceDE w:val="0"/>
              <w:autoSpaceDN w:val="0"/>
              <w:adjustRightInd w:val="0"/>
              <w:rPr>
                <w:rFonts w:ascii="Arial Narrow" w:hAnsi="Arial Narrow" w:cstheme="minorBidi"/>
                <w:sz w:val="20"/>
                <w:szCs w:val="20"/>
                <w:lang w:eastAsia="en-GB"/>
              </w:rPr>
            </w:pPr>
            <w:r w:rsidRPr="000A03FD">
              <w:rPr>
                <w:rFonts w:ascii="Arial Narrow" w:hAnsi="Arial Narrow" w:cstheme="minorHAnsi"/>
                <w:sz w:val="20"/>
                <w:szCs w:val="20"/>
                <w:lang w:eastAsia="en-GB"/>
              </w:rPr>
              <w:t>Patient must have a bilateral endoscopic nasal polyp score of ≥5 (out of a maximum score of 8, with a minimum score of 2 in each nasal cavity) despite optimised nasal polyps therapy;</w:t>
            </w:r>
          </w:p>
          <w:p w14:paraId="6481381D" w14:textId="77777777" w:rsidR="00A85ED5" w:rsidRPr="000A03FD" w:rsidRDefault="00A85ED5" w:rsidP="00A85ED5">
            <w:pPr>
              <w:autoSpaceDE w:val="0"/>
              <w:autoSpaceDN w:val="0"/>
              <w:adjustRightInd w:val="0"/>
              <w:ind w:left="360"/>
              <w:rPr>
                <w:rFonts w:ascii="Arial Narrow" w:hAnsi="Arial Narrow" w:cstheme="minorBidi"/>
                <w:sz w:val="20"/>
                <w:szCs w:val="20"/>
                <w:lang w:eastAsia="en-GB"/>
              </w:rPr>
            </w:pPr>
            <w:r w:rsidRPr="000A03FD">
              <w:rPr>
                <w:rFonts w:ascii="Arial Narrow" w:hAnsi="Arial Narrow" w:cstheme="minorHAnsi"/>
                <w:sz w:val="20"/>
                <w:szCs w:val="20"/>
                <w:lang w:eastAsia="en-GB"/>
              </w:rPr>
              <w:t xml:space="preserve"> OR</w:t>
            </w:r>
          </w:p>
          <w:p w14:paraId="4C529AC8" w14:textId="77777777" w:rsidR="00A85ED5" w:rsidRPr="000A03FD" w:rsidRDefault="00A85ED5" w:rsidP="00A85ED5">
            <w:pPr>
              <w:autoSpaceDE w:val="0"/>
              <w:autoSpaceDN w:val="0"/>
              <w:adjustRightInd w:val="0"/>
              <w:rPr>
                <w:rFonts w:ascii="Arial Narrow" w:hAnsi="Arial Narrow" w:cstheme="minorHAnsi"/>
                <w:strike/>
                <w:sz w:val="20"/>
                <w:szCs w:val="20"/>
                <w:lang w:eastAsia="en-GB"/>
              </w:rPr>
            </w:pPr>
            <w:r w:rsidRPr="000A03FD">
              <w:rPr>
                <w:rFonts w:ascii="Arial Narrow" w:hAnsi="Arial Narrow" w:cstheme="minorHAnsi"/>
                <w:sz w:val="20"/>
                <w:szCs w:val="20"/>
                <w:lang w:eastAsia="en-GB"/>
              </w:rPr>
              <w:t xml:space="preserve">Patient must have a nasal obstruction visual analogue scale of &gt;5 (out of a maximum score of 10) despite optimised nasal polyps therapy </w:t>
            </w:r>
          </w:p>
          <w:p w14:paraId="1808DA3A" w14:textId="77777777" w:rsidR="00A85ED5" w:rsidRPr="000A03FD" w:rsidRDefault="00A85ED5" w:rsidP="00A85ED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 xml:space="preserve">         OR</w:t>
            </w:r>
          </w:p>
          <w:p w14:paraId="6A27E609" w14:textId="26A8A84E" w:rsidR="000D3472" w:rsidRPr="000A03FD" w:rsidRDefault="00A85ED5" w:rsidP="00A85ED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Patient must have an overall symptom visual analogue scale of &gt;7 (out of a maximum score of 10) despite optimised nasal polyps therapy</w:t>
            </w:r>
          </w:p>
        </w:tc>
      </w:tr>
      <w:tr w:rsidR="00A85ED5" w:rsidRPr="000A03FD" w14:paraId="10A4E2E2" w14:textId="77777777" w:rsidTr="003A4C14">
        <w:trPr>
          <w:cantSplit/>
          <w:trHeight w:val="20"/>
        </w:trPr>
        <w:tc>
          <w:tcPr>
            <w:tcW w:w="5000" w:type="pct"/>
            <w:vAlign w:val="center"/>
          </w:tcPr>
          <w:p w14:paraId="2181EE6F" w14:textId="7664DD0E" w:rsidR="00A85ED5" w:rsidRPr="000A03FD" w:rsidRDefault="00A85ED5" w:rsidP="00A85ED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b/>
                <w:bCs/>
                <w:sz w:val="20"/>
                <w:szCs w:val="20"/>
                <w:lang w:eastAsia="en-GB"/>
              </w:rPr>
              <w:t>AND</w:t>
            </w:r>
          </w:p>
        </w:tc>
      </w:tr>
      <w:tr w:rsidR="00A85ED5" w:rsidRPr="000A03FD" w14:paraId="68F74F7E" w14:textId="77777777" w:rsidTr="003A4C14">
        <w:trPr>
          <w:cantSplit/>
          <w:trHeight w:val="20"/>
        </w:trPr>
        <w:tc>
          <w:tcPr>
            <w:tcW w:w="5000" w:type="pct"/>
            <w:vAlign w:val="center"/>
          </w:tcPr>
          <w:p w14:paraId="43031988" w14:textId="03FC8EB6" w:rsidR="00A85ED5" w:rsidRPr="000A03FD" w:rsidRDefault="00A85ED5" w:rsidP="00A85ED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b/>
                <w:bCs/>
                <w:sz w:val="20"/>
                <w:szCs w:val="20"/>
                <w:lang w:eastAsia="en-GB"/>
              </w:rPr>
              <w:t>Clinical criteria:</w:t>
            </w:r>
          </w:p>
        </w:tc>
      </w:tr>
      <w:tr w:rsidR="00133912" w:rsidRPr="000A03FD" w14:paraId="361E7B60" w14:textId="77777777" w:rsidTr="003A4C14">
        <w:trPr>
          <w:cantSplit/>
          <w:trHeight w:val="20"/>
        </w:trPr>
        <w:tc>
          <w:tcPr>
            <w:tcW w:w="5000" w:type="pct"/>
            <w:vAlign w:val="center"/>
          </w:tcPr>
          <w:p w14:paraId="0205C084" w14:textId="77777777" w:rsidR="003D5530" w:rsidRPr="000A03FD" w:rsidRDefault="003D5530" w:rsidP="003D5530">
            <w:pPr>
              <w:autoSpaceDE w:val="0"/>
              <w:autoSpaceDN w:val="0"/>
              <w:adjustRightInd w:val="0"/>
              <w:rPr>
                <w:rFonts w:ascii="Arial Narrow" w:hAnsi="Arial Narrow"/>
                <w:sz w:val="20"/>
                <w:szCs w:val="20"/>
                <w:lang w:eastAsia="en-GB"/>
              </w:rPr>
            </w:pPr>
            <w:r w:rsidRPr="000A03FD">
              <w:rPr>
                <w:rFonts w:ascii="Arial Narrow" w:hAnsi="Arial Narrow"/>
                <w:sz w:val="20"/>
                <w:szCs w:val="20"/>
                <w:lang w:eastAsia="en-GB"/>
              </w:rPr>
              <w:t>Patient must not have received PBS-subsidised treatment with a biological medicine for CRSwNP;</w:t>
            </w:r>
          </w:p>
          <w:p w14:paraId="31B73C1B" w14:textId="77777777" w:rsidR="003D5530" w:rsidRPr="000A03FD" w:rsidRDefault="003D5530" w:rsidP="003D5530">
            <w:pPr>
              <w:autoSpaceDE w:val="0"/>
              <w:autoSpaceDN w:val="0"/>
              <w:adjustRightInd w:val="0"/>
              <w:rPr>
                <w:rFonts w:ascii="Arial Narrow" w:hAnsi="Arial Narrow"/>
                <w:sz w:val="20"/>
                <w:szCs w:val="20"/>
                <w:lang w:eastAsia="en-GB"/>
              </w:rPr>
            </w:pPr>
            <w:r w:rsidRPr="000A03FD">
              <w:rPr>
                <w:rFonts w:ascii="Arial Narrow" w:hAnsi="Arial Narrow"/>
                <w:sz w:val="20"/>
                <w:szCs w:val="20"/>
                <w:lang w:eastAsia="en-GB"/>
              </w:rPr>
              <w:t>OR</w:t>
            </w:r>
          </w:p>
          <w:p w14:paraId="5D899B78" w14:textId="77777777" w:rsidR="003D5530" w:rsidRPr="000A03FD" w:rsidRDefault="003D5530" w:rsidP="003D5530">
            <w:pPr>
              <w:autoSpaceDE w:val="0"/>
              <w:autoSpaceDN w:val="0"/>
              <w:adjustRightInd w:val="0"/>
              <w:rPr>
                <w:rFonts w:ascii="Arial Narrow" w:hAnsi="Arial Narrow"/>
                <w:sz w:val="20"/>
                <w:szCs w:val="20"/>
                <w:lang w:eastAsia="en-GB"/>
              </w:rPr>
            </w:pPr>
            <w:r w:rsidRPr="000A03FD">
              <w:rPr>
                <w:rFonts w:ascii="Arial Narrow" w:hAnsi="Arial Narrow"/>
                <w:sz w:val="20"/>
                <w:szCs w:val="20"/>
                <w:lang w:eastAsia="en-GB"/>
              </w:rPr>
              <w:t xml:space="preserve">Patient must have had a 12-month break in treatment from the most recently approved PBS-subsidised mepolizumab treatment for CRSwNP </w:t>
            </w:r>
          </w:p>
          <w:p w14:paraId="031E3C44" w14:textId="77777777" w:rsidR="003D5530" w:rsidRPr="000A03FD" w:rsidRDefault="003D5530" w:rsidP="003D5530">
            <w:pPr>
              <w:autoSpaceDE w:val="0"/>
              <w:autoSpaceDN w:val="0"/>
              <w:adjustRightInd w:val="0"/>
              <w:rPr>
                <w:rFonts w:ascii="Arial Narrow" w:hAnsi="Arial Narrow"/>
                <w:sz w:val="20"/>
                <w:szCs w:val="20"/>
                <w:lang w:eastAsia="en-GB"/>
              </w:rPr>
            </w:pPr>
          </w:p>
          <w:p w14:paraId="562DCD01" w14:textId="39FA9EDF" w:rsidR="00A85ED5" w:rsidRPr="000A03FD" w:rsidRDefault="003D5530" w:rsidP="003D5530">
            <w:pPr>
              <w:autoSpaceDE w:val="0"/>
              <w:autoSpaceDN w:val="0"/>
              <w:adjustRightInd w:val="0"/>
              <w:rPr>
                <w:rFonts w:ascii="Arial Narrow" w:hAnsi="Arial Narrow"/>
                <w:sz w:val="20"/>
                <w:szCs w:val="20"/>
                <w:lang w:eastAsia="en-GB"/>
              </w:rPr>
            </w:pPr>
            <w:r w:rsidRPr="000A03FD">
              <w:rPr>
                <w:rFonts w:ascii="Arial Narrow" w:hAnsi="Arial Narrow"/>
                <w:sz w:val="20"/>
                <w:szCs w:val="20"/>
                <w:lang w:eastAsia="en-GB"/>
              </w:rPr>
              <w:t>The treatment must not be used in combination with and within 4 weeks of another PBS-subsidised biological medicine prescribed for nasal polyps or severe eosinophilic asthma.</w:t>
            </w:r>
          </w:p>
        </w:tc>
      </w:tr>
      <w:tr w:rsidR="00F92E5E" w:rsidRPr="000A03FD" w14:paraId="237B541B" w14:textId="77777777" w:rsidTr="003A4C14">
        <w:trPr>
          <w:cantSplit/>
          <w:trHeight w:val="20"/>
        </w:trPr>
        <w:tc>
          <w:tcPr>
            <w:tcW w:w="5000" w:type="pct"/>
            <w:vAlign w:val="center"/>
          </w:tcPr>
          <w:p w14:paraId="0010E705" w14:textId="669237F3" w:rsidR="00F92E5E" w:rsidRPr="000A03FD" w:rsidRDefault="00F92E5E" w:rsidP="003D5530">
            <w:pPr>
              <w:autoSpaceDE w:val="0"/>
              <w:autoSpaceDN w:val="0"/>
              <w:adjustRightInd w:val="0"/>
              <w:rPr>
                <w:rFonts w:ascii="Arial Narrow" w:hAnsi="Arial Narrow"/>
                <w:sz w:val="20"/>
                <w:szCs w:val="20"/>
                <w:lang w:eastAsia="en-GB"/>
              </w:rPr>
            </w:pPr>
            <w:r w:rsidRPr="000A03FD">
              <w:rPr>
                <w:rFonts w:ascii="Arial Narrow" w:hAnsi="Arial Narrow" w:cstheme="minorHAnsi"/>
                <w:b/>
                <w:bCs/>
                <w:sz w:val="20"/>
                <w:szCs w:val="20"/>
                <w:lang w:eastAsia="en-GB"/>
              </w:rPr>
              <w:t>AND</w:t>
            </w:r>
          </w:p>
        </w:tc>
      </w:tr>
      <w:tr w:rsidR="00F92E5E" w:rsidRPr="000A03FD" w14:paraId="0CAB4ACB" w14:textId="77777777" w:rsidTr="003A4C14">
        <w:trPr>
          <w:cantSplit/>
          <w:trHeight w:val="20"/>
        </w:trPr>
        <w:tc>
          <w:tcPr>
            <w:tcW w:w="5000" w:type="pct"/>
            <w:vAlign w:val="center"/>
          </w:tcPr>
          <w:p w14:paraId="0CD619DF" w14:textId="7738AE04" w:rsidR="00F92E5E" w:rsidRPr="000A03FD" w:rsidRDefault="00F92E5E" w:rsidP="003D5530">
            <w:pPr>
              <w:autoSpaceDE w:val="0"/>
              <w:autoSpaceDN w:val="0"/>
              <w:adjustRightInd w:val="0"/>
              <w:rPr>
                <w:rFonts w:ascii="Arial Narrow" w:hAnsi="Arial Narrow"/>
                <w:sz w:val="20"/>
                <w:szCs w:val="20"/>
                <w:lang w:eastAsia="en-GB"/>
              </w:rPr>
            </w:pPr>
            <w:r w:rsidRPr="000A03FD">
              <w:rPr>
                <w:rFonts w:ascii="Arial Narrow" w:hAnsi="Arial Narrow" w:cstheme="minorHAnsi"/>
                <w:b/>
                <w:bCs/>
                <w:sz w:val="20"/>
                <w:szCs w:val="20"/>
                <w:lang w:eastAsia="en-GB"/>
              </w:rPr>
              <w:t>Clinical criteria:</w:t>
            </w:r>
          </w:p>
        </w:tc>
      </w:tr>
      <w:tr w:rsidR="00F92E5E" w:rsidRPr="000A03FD" w14:paraId="16B94D49" w14:textId="77777777" w:rsidTr="003A4C14">
        <w:trPr>
          <w:cantSplit/>
          <w:trHeight w:val="20"/>
        </w:trPr>
        <w:tc>
          <w:tcPr>
            <w:tcW w:w="5000" w:type="pct"/>
            <w:vAlign w:val="center"/>
          </w:tcPr>
          <w:p w14:paraId="65D425C1" w14:textId="5A3CA837" w:rsidR="00F92E5E" w:rsidRPr="000A03FD" w:rsidRDefault="00500ED0" w:rsidP="003D5530">
            <w:pPr>
              <w:autoSpaceDE w:val="0"/>
              <w:autoSpaceDN w:val="0"/>
              <w:adjustRightInd w:val="0"/>
              <w:rPr>
                <w:rFonts w:ascii="Arial Narrow" w:hAnsi="Arial Narrow"/>
                <w:sz w:val="20"/>
                <w:szCs w:val="20"/>
                <w:lang w:eastAsia="en-GB"/>
              </w:rPr>
            </w:pPr>
            <w:r w:rsidRPr="000A03FD">
              <w:rPr>
                <w:rFonts w:ascii="Arial Narrow" w:hAnsi="Arial Narrow"/>
                <w:sz w:val="20"/>
                <w:szCs w:val="20"/>
                <w:lang w:eastAsia="en-GB"/>
              </w:rPr>
              <w:t>Patient must have failed to achieve adequate control with optimised nasal polyps therapy which has been documented</w:t>
            </w:r>
          </w:p>
        </w:tc>
      </w:tr>
      <w:tr w:rsidR="00756184" w:rsidRPr="000A03FD" w14:paraId="14829669" w14:textId="77777777" w:rsidTr="003A4C14">
        <w:trPr>
          <w:cantSplit/>
          <w:trHeight w:val="20"/>
        </w:trPr>
        <w:tc>
          <w:tcPr>
            <w:tcW w:w="5000" w:type="pct"/>
            <w:vAlign w:val="center"/>
          </w:tcPr>
          <w:p w14:paraId="5C49C11E" w14:textId="2D74C8C6" w:rsidR="00756184" w:rsidRPr="000A03FD" w:rsidRDefault="00756184" w:rsidP="003D5530">
            <w:pPr>
              <w:autoSpaceDE w:val="0"/>
              <w:autoSpaceDN w:val="0"/>
              <w:adjustRightInd w:val="0"/>
              <w:rPr>
                <w:rFonts w:ascii="Arial Narrow" w:hAnsi="Arial Narrow"/>
                <w:sz w:val="20"/>
                <w:szCs w:val="20"/>
                <w:lang w:eastAsia="en-GB"/>
              </w:rPr>
            </w:pPr>
            <w:r w:rsidRPr="000A03FD">
              <w:rPr>
                <w:rFonts w:ascii="Arial Narrow" w:hAnsi="Arial Narrow" w:cstheme="minorHAnsi"/>
                <w:b/>
                <w:bCs/>
                <w:sz w:val="20"/>
                <w:szCs w:val="20"/>
                <w:lang w:eastAsia="en-GB"/>
              </w:rPr>
              <w:t>AND</w:t>
            </w:r>
          </w:p>
        </w:tc>
      </w:tr>
      <w:tr w:rsidR="00756184" w:rsidRPr="000A03FD" w14:paraId="67AE6D43" w14:textId="77777777" w:rsidTr="003A4C14">
        <w:trPr>
          <w:cantSplit/>
          <w:trHeight w:val="20"/>
        </w:trPr>
        <w:tc>
          <w:tcPr>
            <w:tcW w:w="5000" w:type="pct"/>
            <w:vAlign w:val="center"/>
          </w:tcPr>
          <w:p w14:paraId="0604228F" w14:textId="160EAB54" w:rsidR="00756184" w:rsidRPr="000A03FD" w:rsidRDefault="00756184" w:rsidP="003D5530">
            <w:pPr>
              <w:autoSpaceDE w:val="0"/>
              <w:autoSpaceDN w:val="0"/>
              <w:adjustRightInd w:val="0"/>
              <w:rPr>
                <w:rFonts w:ascii="Arial Narrow" w:hAnsi="Arial Narrow"/>
                <w:sz w:val="20"/>
                <w:szCs w:val="20"/>
                <w:lang w:eastAsia="en-GB"/>
              </w:rPr>
            </w:pPr>
            <w:r w:rsidRPr="000A03FD">
              <w:rPr>
                <w:rFonts w:ascii="Arial Narrow" w:hAnsi="Arial Narrow" w:cstheme="minorHAnsi"/>
                <w:b/>
                <w:bCs/>
                <w:sz w:val="20"/>
                <w:szCs w:val="20"/>
                <w:lang w:eastAsia="en-GB"/>
              </w:rPr>
              <w:t>Clinical criteria:</w:t>
            </w:r>
          </w:p>
        </w:tc>
      </w:tr>
      <w:tr w:rsidR="00133912" w:rsidRPr="000A03FD" w14:paraId="5CED5D89" w14:textId="77777777" w:rsidTr="003A4C14">
        <w:trPr>
          <w:cantSplit/>
          <w:trHeight w:val="20"/>
        </w:trPr>
        <w:tc>
          <w:tcPr>
            <w:tcW w:w="5000" w:type="pct"/>
            <w:vAlign w:val="center"/>
          </w:tcPr>
          <w:p w14:paraId="671ED9F4" w14:textId="77777777" w:rsidR="00D41DE5" w:rsidRPr="000A03FD" w:rsidRDefault="00D41DE5" w:rsidP="00D41DE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Patient must have blood eosinophil count greater than or equal to 300 cells per microlitre in the last 12 months;</w:t>
            </w:r>
          </w:p>
          <w:p w14:paraId="259C5AE8" w14:textId="77777777" w:rsidR="00D41DE5" w:rsidRPr="000A03FD" w:rsidRDefault="00D41DE5" w:rsidP="00D41DE5">
            <w:pPr>
              <w:autoSpaceDE w:val="0"/>
              <w:autoSpaceDN w:val="0"/>
              <w:adjustRightInd w:val="0"/>
              <w:ind w:left="306"/>
              <w:rPr>
                <w:rFonts w:ascii="Arial Narrow" w:hAnsi="Arial Narrow" w:cstheme="minorHAnsi"/>
                <w:sz w:val="20"/>
                <w:szCs w:val="20"/>
                <w:lang w:eastAsia="en-GB"/>
              </w:rPr>
            </w:pPr>
            <w:r w:rsidRPr="000A03FD">
              <w:rPr>
                <w:rFonts w:ascii="Arial Narrow" w:hAnsi="Arial Narrow" w:cstheme="minorHAnsi"/>
                <w:sz w:val="20"/>
                <w:szCs w:val="20"/>
                <w:lang w:eastAsia="en-GB"/>
              </w:rPr>
              <w:t xml:space="preserve">OR </w:t>
            </w:r>
          </w:p>
          <w:p w14:paraId="2DEFA082" w14:textId="7A583405" w:rsidR="00756184" w:rsidRPr="000A03FD" w:rsidRDefault="00D41DE5" w:rsidP="00D41DE5">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Patient must have blood eosinophil count greater than or equal to 150 cells per microlitre while receiving treatment with oral corticosteroids in the last 12 months</w:t>
            </w:r>
          </w:p>
        </w:tc>
      </w:tr>
      <w:tr w:rsidR="00133912" w:rsidRPr="000A03FD" w14:paraId="1E0CC9FB" w14:textId="77777777" w:rsidTr="003A4C14">
        <w:trPr>
          <w:cantSplit/>
          <w:trHeight w:val="20"/>
        </w:trPr>
        <w:tc>
          <w:tcPr>
            <w:tcW w:w="5000" w:type="pct"/>
            <w:vAlign w:val="center"/>
            <w:hideMark/>
          </w:tcPr>
          <w:p w14:paraId="6E11057F" w14:textId="77777777" w:rsidR="004869B7" w:rsidRPr="000A03FD" w:rsidRDefault="004869B7" w:rsidP="004869B7">
            <w:pPr>
              <w:pStyle w:val="TableText0"/>
              <w:keepLines/>
            </w:pPr>
            <w:r w:rsidRPr="000A03FD">
              <w:rPr>
                <w:b/>
              </w:rPr>
              <w:lastRenderedPageBreak/>
              <w:t>Treatment criteria:</w:t>
            </w:r>
          </w:p>
        </w:tc>
      </w:tr>
      <w:tr w:rsidR="00133912" w:rsidRPr="000A03FD" w14:paraId="3FEBA230" w14:textId="77777777" w:rsidTr="003A4C14">
        <w:trPr>
          <w:cantSplit/>
          <w:trHeight w:val="20"/>
        </w:trPr>
        <w:tc>
          <w:tcPr>
            <w:tcW w:w="5000" w:type="pct"/>
            <w:vAlign w:val="center"/>
            <w:hideMark/>
          </w:tcPr>
          <w:p w14:paraId="5EECDD1E" w14:textId="0122D349" w:rsidR="004869B7" w:rsidRPr="000A03FD" w:rsidRDefault="00E0445A" w:rsidP="004869B7">
            <w:pPr>
              <w:pStyle w:val="TableText0"/>
              <w:keepLines/>
              <w:rPr>
                <w:i/>
                <w:iCs/>
              </w:rPr>
            </w:pPr>
            <w:r w:rsidRPr="000A03FD">
              <w:rPr>
                <w:rFonts w:cstheme="minorHAnsi"/>
                <w:szCs w:val="20"/>
                <w:lang w:eastAsia="en-GB"/>
              </w:rPr>
              <w:t>Patient must be treated by a respiratory physician, clinical immunologist, allergist, ear nose and throat specialist (ENT) or general physician experienced in the management of patients with CRSwNP</w:t>
            </w:r>
          </w:p>
        </w:tc>
      </w:tr>
      <w:tr w:rsidR="00133912" w:rsidRPr="000A03FD" w14:paraId="7499D438" w14:textId="77777777" w:rsidTr="003A4C14">
        <w:trPr>
          <w:cantSplit/>
          <w:trHeight w:val="20"/>
        </w:trPr>
        <w:tc>
          <w:tcPr>
            <w:tcW w:w="5000" w:type="pct"/>
            <w:vAlign w:val="center"/>
            <w:hideMark/>
          </w:tcPr>
          <w:p w14:paraId="06292C6C" w14:textId="77777777" w:rsidR="004869B7" w:rsidRPr="000A03FD" w:rsidRDefault="004869B7" w:rsidP="004869B7">
            <w:pPr>
              <w:pStyle w:val="TableText0"/>
              <w:keepLines/>
            </w:pPr>
            <w:r w:rsidRPr="000A03FD">
              <w:rPr>
                <w:b/>
              </w:rPr>
              <w:t>Population criteria:</w:t>
            </w:r>
          </w:p>
        </w:tc>
      </w:tr>
      <w:tr w:rsidR="00133912" w:rsidRPr="000A03FD" w14:paraId="53BCD500" w14:textId="77777777" w:rsidTr="003A4C14">
        <w:trPr>
          <w:cantSplit/>
          <w:trHeight w:val="20"/>
        </w:trPr>
        <w:tc>
          <w:tcPr>
            <w:tcW w:w="5000" w:type="pct"/>
            <w:vAlign w:val="center"/>
          </w:tcPr>
          <w:p w14:paraId="38E56768" w14:textId="7CF2B757" w:rsidR="004869B7" w:rsidRPr="000A03FD" w:rsidRDefault="00F33C30" w:rsidP="004869B7">
            <w:pPr>
              <w:pStyle w:val="TableText0"/>
              <w:keepLines/>
            </w:pPr>
            <w:r w:rsidRPr="000A03FD">
              <w:rPr>
                <w:rFonts w:cstheme="minorHAnsi"/>
                <w:szCs w:val="20"/>
                <w:lang w:eastAsia="en-GB"/>
              </w:rPr>
              <w:t>Patient must be aged 18 years or older.</w:t>
            </w:r>
          </w:p>
        </w:tc>
      </w:tr>
      <w:tr w:rsidR="00133912" w:rsidRPr="000A03FD" w14:paraId="36CE7905" w14:textId="77777777" w:rsidTr="003A4C14">
        <w:trPr>
          <w:cantSplit/>
          <w:trHeight w:val="20"/>
        </w:trPr>
        <w:tc>
          <w:tcPr>
            <w:tcW w:w="5000" w:type="pct"/>
            <w:vAlign w:val="center"/>
            <w:hideMark/>
          </w:tcPr>
          <w:p w14:paraId="0DD81C9D" w14:textId="6E9D4C18" w:rsidR="004869B7" w:rsidRPr="000A03FD" w:rsidRDefault="004869B7" w:rsidP="004869B7">
            <w:pPr>
              <w:pStyle w:val="TableText0"/>
              <w:keepLines/>
            </w:pPr>
            <w:r w:rsidRPr="000A03FD">
              <w:rPr>
                <w:b/>
              </w:rPr>
              <w:t>Prescribing Instructions:</w:t>
            </w:r>
          </w:p>
        </w:tc>
      </w:tr>
      <w:tr w:rsidR="00133912" w:rsidRPr="000A03FD" w14:paraId="774927E4" w14:textId="77777777" w:rsidTr="003A4C14">
        <w:trPr>
          <w:cantSplit/>
          <w:trHeight w:val="20"/>
        </w:trPr>
        <w:tc>
          <w:tcPr>
            <w:tcW w:w="5000" w:type="pct"/>
            <w:vAlign w:val="center"/>
          </w:tcPr>
          <w:p w14:paraId="4BC4EAB2" w14:textId="77777777" w:rsidR="00640FC3" w:rsidRPr="000A03FD" w:rsidRDefault="00640FC3" w:rsidP="00640FC3">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b/>
                <w:bCs/>
                <w:sz w:val="20"/>
                <w:szCs w:val="20"/>
                <w:lang w:eastAsia="en-GB"/>
              </w:rPr>
              <w:t>Optimised nasal polyps therapy includes:</w:t>
            </w:r>
          </w:p>
          <w:p w14:paraId="65E0AC91" w14:textId="5C6C9B4F" w:rsidR="00FD0F87" w:rsidRPr="000A03FD" w:rsidRDefault="00640FC3" w:rsidP="00640FC3">
            <w:pPr>
              <w:pStyle w:val="TableText0"/>
              <w:keepLines/>
              <w:rPr>
                <w:b/>
              </w:rPr>
            </w:pPr>
            <w:r w:rsidRPr="000A03FD">
              <w:rPr>
                <w:szCs w:val="20"/>
                <w:lang w:eastAsia="en-GB"/>
              </w:rPr>
              <w:t>(i) Adherence to intranasal corticosteroid therapy for at least 2 months, unless contraindicated or not tolerated</w:t>
            </w:r>
          </w:p>
        </w:tc>
      </w:tr>
      <w:tr w:rsidR="00133912" w:rsidRPr="000A03FD" w14:paraId="5A258A5D" w14:textId="77777777" w:rsidTr="003A4C14">
        <w:trPr>
          <w:cantSplit/>
          <w:trHeight w:val="20"/>
        </w:trPr>
        <w:tc>
          <w:tcPr>
            <w:tcW w:w="5000" w:type="pct"/>
            <w:vAlign w:val="center"/>
          </w:tcPr>
          <w:p w14:paraId="09B404B7" w14:textId="16ACD467" w:rsidR="00640FC3" w:rsidRPr="000A03FD" w:rsidRDefault="00640FC3" w:rsidP="00640FC3">
            <w:pPr>
              <w:pStyle w:val="TableText0"/>
              <w:keepLines/>
              <w:rPr>
                <w:b/>
              </w:rPr>
            </w:pPr>
            <w:r w:rsidRPr="000A03FD">
              <w:rPr>
                <w:b/>
              </w:rPr>
              <w:t>Prescribing Instructions:</w:t>
            </w:r>
          </w:p>
        </w:tc>
      </w:tr>
      <w:tr w:rsidR="00640FC3" w:rsidRPr="000A03FD" w14:paraId="1F54D79F" w14:textId="77777777" w:rsidTr="003A4C14">
        <w:trPr>
          <w:cantSplit/>
          <w:trHeight w:val="20"/>
        </w:trPr>
        <w:tc>
          <w:tcPr>
            <w:tcW w:w="5000" w:type="pct"/>
            <w:vAlign w:val="center"/>
          </w:tcPr>
          <w:p w14:paraId="18D4307D" w14:textId="58BD67C9" w:rsidR="00640FC3" w:rsidRPr="000A03FD" w:rsidRDefault="00A32D69" w:rsidP="00640FC3">
            <w:pPr>
              <w:autoSpaceDE w:val="0"/>
              <w:autoSpaceDN w:val="0"/>
              <w:adjustRightInd w:val="0"/>
              <w:rPr>
                <w:rFonts w:ascii="Arial Narrow" w:hAnsi="Arial Narrow" w:cstheme="minorHAnsi"/>
                <w:b/>
                <w:bCs/>
                <w:sz w:val="20"/>
                <w:szCs w:val="20"/>
                <w:lang w:eastAsia="en-GB"/>
              </w:rPr>
            </w:pPr>
            <w:r w:rsidRPr="000A03FD">
              <w:rPr>
                <w:rFonts w:ascii="Arial Narrow" w:eastAsiaTheme="majorEastAsia" w:hAnsi="Arial Narrow" w:cstheme="majorBidi"/>
                <w:b/>
                <w:sz w:val="20"/>
                <w:szCs w:val="20"/>
                <w:lang w:eastAsia="en-GB"/>
              </w:rPr>
              <w:t>Surgical exception</w:t>
            </w:r>
            <w:r w:rsidRPr="000A03FD">
              <w:rPr>
                <w:rFonts w:ascii="Arial Narrow" w:eastAsiaTheme="majorEastAsia" w:hAnsi="Arial Narrow" w:cstheme="majorBidi"/>
                <w:bCs/>
                <w:sz w:val="20"/>
                <w:szCs w:val="20"/>
                <w:lang w:eastAsia="en-GB"/>
              </w:rPr>
              <w:t>: details to be provided in a written application to seek an exemption include serious comorbid disease (e.g. cardiovascular, stroke) making the risk of surgery unacceptable</w:t>
            </w:r>
          </w:p>
        </w:tc>
      </w:tr>
      <w:tr w:rsidR="00133912" w:rsidRPr="000A03FD" w14:paraId="4B689E1E" w14:textId="77777777" w:rsidTr="003A4C14">
        <w:trPr>
          <w:cantSplit/>
          <w:trHeight w:val="20"/>
        </w:trPr>
        <w:tc>
          <w:tcPr>
            <w:tcW w:w="5000" w:type="pct"/>
            <w:vAlign w:val="center"/>
          </w:tcPr>
          <w:p w14:paraId="209D3E38" w14:textId="03CBA184" w:rsidR="00A32D69" w:rsidRPr="000A03FD" w:rsidRDefault="00A32D69" w:rsidP="00640FC3">
            <w:pPr>
              <w:autoSpaceDE w:val="0"/>
              <w:autoSpaceDN w:val="0"/>
              <w:adjustRightInd w:val="0"/>
              <w:rPr>
                <w:rFonts w:ascii="Arial Narrow" w:eastAsiaTheme="majorEastAsia" w:hAnsi="Arial Narrow" w:cstheme="majorBidi"/>
                <w:b/>
                <w:bCs/>
                <w:sz w:val="20"/>
              </w:rPr>
            </w:pPr>
            <w:r w:rsidRPr="000A03FD">
              <w:rPr>
                <w:rFonts w:ascii="Arial Narrow" w:eastAsiaTheme="majorEastAsia" w:hAnsi="Arial Narrow" w:cstheme="majorBidi"/>
                <w:b/>
                <w:bCs/>
                <w:sz w:val="20"/>
              </w:rPr>
              <w:t>Prescribing Instructions:</w:t>
            </w:r>
          </w:p>
        </w:tc>
      </w:tr>
      <w:tr w:rsidR="00133912" w:rsidRPr="000A03FD" w14:paraId="2602E28F" w14:textId="77777777" w:rsidTr="004254AC">
        <w:trPr>
          <w:cantSplit/>
          <w:trHeight w:val="20"/>
        </w:trPr>
        <w:tc>
          <w:tcPr>
            <w:tcW w:w="5000" w:type="pct"/>
            <w:tcBorders>
              <w:bottom w:val="single" w:sz="4" w:space="0" w:color="auto"/>
            </w:tcBorders>
            <w:vAlign w:val="center"/>
          </w:tcPr>
          <w:p w14:paraId="1445B890" w14:textId="77777777" w:rsidR="00A01D9D" w:rsidRPr="000A03FD" w:rsidRDefault="00A01D9D" w:rsidP="00A01D9D">
            <w:pPr>
              <w:autoSpaceDE w:val="0"/>
              <w:autoSpaceDN w:val="0"/>
              <w:adjustRightInd w:val="0"/>
              <w:rPr>
                <w:rFonts w:ascii="Arial Narrow" w:hAnsi="Arial Narrow" w:cstheme="minorHAnsi"/>
                <w:b/>
                <w:bCs/>
                <w:sz w:val="20"/>
                <w:szCs w:val="20"/>
                <w:lang w:eastAsia="en-GB"/>
              </w:rPr>
            </w:pPr>
            <w:r w:rsidRPr="000A03FD">
              <w:rPr>
                <w:rFonts w:ascii="Arial Narrow" w:hAnsi="Arial Narrow" w:cstheme="minorHAnsi"/>
                <w:b/>
                <w:bCs/>
                <w:sz w:val="20"/>
                <w:szCs w:val="20"/>
                <w:lang w:eastAsia="en-GB"/>
              </w:rPr>
              <w:t>Evidence to provide in or with the application</w:t>
            </w:r>
          </w:p>
          <w:p w14:paraId="51C62E06" w14:textId="77777777" w:rsidR="00A01D9D" w:rsidRPr="000A03FD" w:rsidRDefault="00A01D9D" w:rsidP="0046635A">
            <w:pPr>
              <w:pStyle w:val="ListParagraph"/>
              <w:numPr>
                <w:ilvl w:val="0"/>
                <w:numId w:val="9"/>
              </w:numPr>
              <w:autoSpaceDE w:val="0"/>
              <w:autoSpaceDN w:val="0"/>
              <w:adjustRightInd w:val="0"/>
              <w:spacing w:before="120" w:after="0"/>
              <w:ind w:left="306"/>
              <w:contextualSpacing/>
              <w:jc w:val="left"/>
              <w:rPr>
                <w:rFonts w:ascii="Arial Narrow" w:hAnsi="Arial Narrow" w:cstheme="minorHAnsi"/>
                <w:sz w:val="20"/>
                <w:szCs w:val="20"/>
                <w:lang w:eastAsia="en-GB"/>
              </w:rPr>
            </w:pPr>
            <w:bookmarkStart w:id="14" w:name="_Ref119426070"/>
            <w:r w:rsidRPr="000A03FD">
              <w:rPr>
                <w:rFonts w:ascii="Arial Narrow" w:hAnsi="Arial Narrow" w:cstheme="minorHAnsi"/>
                <w:sz w:val="20"/>
                <w:szCs w:val="20"/>
                <w:lang w:eastAsia="en-GB"/>
              </w:rPr>
              <w:t>details of prior drug therapy (date of commencement and duration of therapy); AND</w:t>
            </w:r>
            <w:bookmarkEnd w:id="14"/>
          </w:p>
          <w:p w14:paraId="3AE0817C" w14:textId="77777777" w:rsidR="00A01D9D" w:rsidRPr="000A03FD" w:rsidRDefault="00A01D9D" w:rsidP="0046635A">
            <w:pPr>
              <w:pStyle w:val="ListParagraph"/>
              <w:numPr>
                <w:ilvl w:val="0"/>
                <w:numId w:val="9"/>
              </w:numPr>
              <w:autoSpaceDE w:val="0"/>
              <w:autoSpaceDN w:val="0"/>
              <w:adjustRightInd w:val="0"/>
              <w:spacing w:before="120" w:after="0"/>
              <w:ind w:left="306"/>
              <w:contextualSpacing/>
              <w:jc w:val="left"/>
              <w:rPr>
                <w:rFonts w:ascii="Arial Narrow" w:hAnsi="Arial Narrow" w:cstheme="minorHAnsi"/>
                <w:sz w:val="20"/>
                <w:szCs w:val="20"/>
                <w:lang w:eastAsia="en-GB"/>
              </w:rPr>
            </w:pPr>
            <w:r w:rsidRPr="000A03FD">
              <w:rPr>
                <w:rFonts w:ascii="Arial Narrow" w:hAnsi="Arial Narrow" w:cstheme="minorHAnsi"/>
                <w:sz w:val="20"/>
                <w:szCs w:val="20"/>
                <w:lang w:eastAsia="en-GB"/>
              </w:rPr>
              <w:t>details of surgery (date and treatment); OR details of surgical exception AND</w:t>
            </w:r>
          </w:p>
          <w:p w14:paraId="51D43BB3" w14:textId="77777777" w:rsidR="00A01D9D" w:rsidRPr="000A03FD" w:rsidRDefault="00A01D9D" w:rsidP="0046635A">
            <w:pPr>
              <w:pStyle w:val="ListParagraph"/>
              <w:numPr>
                <w:ilvl w:val="0"/>
                <w:numId w:val="9"/>
              </w:numPr>
              <w:autoSpaceDE w:val="0"/>
              <w:autoSpaceDN w:val="0"/>
              <w:adjustRightInd w:val="0"/>
              <w:spacing w:before="120" w:after="0"/>
              <w:ind w:left="306"/>
              <w:contextualSpacing/>
              <w:jc w:val="left"/>
              <w:rPr>
                <w:rFonts w:ascii="Arial Narrow" w:hAnsi="Arial Narrow" w:cstheme="minorBidi"/>
                <w:sz w:val="20"/>
                <w:szCs w:val="20"/>
                <w:lang w:eastAsia="en-GB"/>
              </w:rPr>
            </w:pPr>
            <w:r w:rsidRPr="000A03FD">
              <w:rPr>
                <w:rFonts w:ascii="Arial Narrow" w:hAnsi="Arial Narrow" w:cstheme="minorBidi"/>
                <w:sz w:val="20"/>
                <w:szCs w:val="20"/>
                <w:lang w:eastAsia="en-GB"/>
              </w:rPr>
              <w:t>the eosinophil count and date; AND</w:t>
            </w:r>
          </w:p>
          <w:p w14:paraId="6627F585" w14:textId="48CAD66F" w:rsidR="008E3413" w:rsidRPr="000A03FD" w:rsidRDefault="00A01D9D" w:rsidP="00A01D9D">
            <w:pPr>
              <w:autoSpaceDE w:val="0"/>
              <w:autoSpaceDN w:val="0"/>
              <w:adjustRightInd w:val="0"/>
              <w:rPr>
                <w:rFonts w:ascii="Arial Narrow" w:eastAsiaTheme="majorEastAsia" w:hAnsi="Arial Narrow" w:cstheme="majorBidi"/>
                <w:bCs/>
                <w:sz w:val="20"/>
                <w:szCs w:val="20"/>
                <w:lang w:eastAsia="en-GB"/>
              </w:rPr>
            </w:pPr>
            <w:r w:rsidRPr="000A03FD">
              <w:rPr>
                <w:rFonts w:ascii="Arial Narrow" w:eastAsiaTheme="majorEastAsia" w:hAnsi="Arial Narrow" w:cstheme="majorBidi"/>
                <w:bCs/>
                <w:sz w:val="20"/>
                <w:szCs w:val="20"/>
                <w:lang w:eastAsia="en-GB"/>
              </w:rPr>
              <w:t>Two of either baseline NP score obtained in the past 12 months; OR baseline nasal obstruction VAS score OR baseline overall VAS score</w:t>
            </w:r>
          </w:p>
        </w:tc>
      </w:tr>
      <w:tr w:rsidR="00133912" w:rsidRPr="000A03FD" w14:paraId="480BADE3" w14:textId="77777777" w:rsidTr="004254AC">
        <w:trPr>
          <w:cantSplit/>
          <w:trHeight w:val="20"/>
        </w:trPr>
        <w:tc>
          <w:tcPr>
            <w:tcW w:w="5000" w:type="pct"/>
            <w:tcBorders>
              <w:left w:val="nil"/>
              <w:bottom w:val="nil"/>
              <w:right w:val="nil"/>
            </w:tcBorders>
            <w:vAlign w:val="center"/>
          </w:tcPr>
          <w:p w14:paraId="0A82693B" w14:textId="53D988EC" w:rsidR="00087330" w:rsidRPr="000A03FD" w:rsidRDefault="00087330" w:rsidP="00A01D9D">
            <w:pPr>
              <w:autoSpaceDE w:val="0"/>
              <w:autoSpaceDN w:val="0"/>
              <w:adjustRightInd w:val="0"/>
              <w:rPr>
                <w:rFonts w:ascii="Arial Narrow" w:hAnsi="Arial Narrow" w:cstheme="minorHAnsi"/>
                <w:b/>
                <w:bCs/>
                <w:sz w:val="20"/>
                <w:szCs w:val="20"/>
                <w:lang w:eastAsia="en-GB"/>
              </w:rPr>
            </w:pPr>
          </w:p>
        </w:tc>
      </w:tr>
      <w:tr w:rsidR="00133912" w:rsidRPr="000A03FD" w14:paraId="4ED37E3E" w14:textId="77777777" w:rsidTr="003A4C14">
        <w:trPr>
          <w:cantSplit/>
          <w:trHeight w:val="20"/>
        </w:trPr>
        <w:tc>
          <w:tcPr>
            <w:tcW w:w="5000" w:type="pct"/>
            <w:vAlign w:val="center"/>
            <w:hideMark/>
          </w:tcPr>
          <w:p w14:paraId="44DF8A90" w14:textId="28913C90" w:rsidR="004869B7" w:rsidRPr="000A03FD" w:rsidRDefault="007E169C" w:rsidP="004869B7">
            <w:pPr>
              <w:pStyle w:val="TableText0"/>
              <w:keepLines/>
            </w:pPr>
            <w:r w:rsidRPr="000A03FD">
              <w:rPr>
                <w:b/>
              </w:rPr>
              <w:t xml:space="preserve">Category / Program: </w:t>
            </w:r>
            <w:r w:rsidRPr="000A03FD">
              <w:rPr>
                <w:rFonts w:cstheme="minorHAnsi"/>
                <w:szCs w:val="16"/>
                <w:lang w:eastAsia="en-GB"/>
              </w:rPr>
              <w:t>Section 100 - Highly Specialised Drugs Program (Private/Public)</w:t>
            </w:r>
          </w:p>
        </w:tc>
      </w:tr>
      <w:tr w:rsidR="00A01D9D" w:rsidRPr="000A03FD" w14:paraId="260F6B8A" w14:textId="77777777" w:rsidTr="003A4C14">
        <w:trPr>
          <w:cantSplit/>
          <w:trHeight w:val="20"/>
        </w:trPr>
        <w:tc>
          <w:tcPr>
            <w:tcW w:w="5000" w:type="pct"/>
            <w:vAlign w:val="center"/>
          </w:tcPr>
          <w:p w14:paraId="516B8D0F" w14:textId="0B648611" w:rsidR="00A01D9D" w:rsidRPr="000A03FD" w:rsidRDefault="00C557B3" w:rsidP="004869B7">
            <w:pPr>
              <w:pStyle w:val="TableText0"/>
              <w:keepLines/>
              <w:rPr>
                <w:b/>
              </w:rPr>
            </w:pPr>
            <w:r w:rsidRPr="000A03FD">
              <w:rPr>
                <w:b/>
              </w:rPr>
              <w:t xml:space="preserve">Prescriber type: </w:t>
            </w:r>
            <w:r w:rsidRPr="000A03FD">
              <w:fldChar w:fldCharType="begin" w:fldLock="1">
                <w:ffData>
                  <w:name w:val="Check1"/>
                  <w:enabled/>
                  <w:calcOnExit w:val="0"/>
                  <w:checkBox>
                    <w:sizeAuto/>
                    <w:default w:val="0"/>
                  </w:checkBox>
                </w:ffData>
              </w:fldChar>
            </w:r>
            <w:r w:rsidRPr="000A03FD">
              <w:instrText xml:space="preserve"> FORMCHECKBOX </w:instrText>
            </w:r>
            <w:r w:rsidR="00685AB3">
              <w:fldChar w:fldCharType="separate"/>
            </w:r>
            <w:r w:rsidRPr="000A03FD">
              <w:fldChar w:fldCharType="end"/>
            </w:r>
            <w:r w:rsidRPr="000A03FD">
              <w:t xml:space="preserve">Dental </w:t>
            </w:r>
            <w:r w:rsidRPr="000A03FD">
              <w:fldChar w:fldCharType="begin" w:fldLock="1">
                <w:ffData>
                  <w:name w:val=""/>
                  <w:enabled/>
                  <w:calcOnExit w:val="0"/>
                  <w:checkBox>
                    <w:sizeAuto/>
                    <w:default w:val="1"/>
                  </w:checkBox>
                </w:ffData>
              </w:fldChar>
            </w:r>
            <w:r w:rsidRPr="000A03FD">
              <w:instrText xml:space="preserve"> FORMCHECKBOX </w:instrText>
            </w:r>
            <w:r w:rsidR="00685AB3">
              <w:fldChar w:fldCharType="separate"/>
            </w:r>
            <w:r w:rsidRPr="000A03FD">
              <w:fldChar w:fldCharType="end"/>
            </w:r>
            <w:r w:rsidRPr="000A03FD">
              <w:t xml:space="preserve">Medical Practitioners </w:t>
            </w:r>
            <w:r w:rsidRPr="000A03FD">
              <w:fldChar w:fldCharType="begin" w:fldLock="1">
                <w:ffData>
                  <w:name w:val="Check3"/>
                  <w:enabled/>
                  <w:calcOnExit w:val="0"/>
                  <w:checkBox>
                    <w:sizeAuto/>
                    <w:default w:val="0"/>
                  </w:checkBox>
                </w:ffData>
              </w:fldChar>
            </w:r>
            <w:r w:rsidRPr="000A03FD">
              <w:instrText xml:space="preserve"> FORMCHECKBOX </w:instrText>
            </w:r>
            <w:r w:rsidR="00685AB3">
              <w:fldChar w:fldCharType="separate"/>
            </w:r>
            <w:r w:rsidRPr="000A03FD">
              <w:fldChar w:fldCharType="end"/>
            </w:r>
            <w:r w:rsidRPr="000A03FD">
              <w:t xml:space="preserve">Nurse practitioners </w:t>
            </w:r>
            <w:r w:rsidRPr="000A03FD">
              <w:fldChar w:fldCharType="begin" w:fldLock="1">
                <w:ffData>
                  <w:name w:val=""/>
                  <w:enabled/>
                  <w:calcOnExit w:val="0"/>
                  <w:checkBox>
                    <w:sizeAuto/>
                    <w:default w:val="0"/>
                  </w:checkBox>
                </w:ffData>
              </w:fldChar>
            </w:r>
            <w:r w:rsidRPr="000A03FD">
              <w:instrText xml:space="preserve"> FORMCHECKBOX </w:instrText>
            </w:r>
            <w:r w:rsidR="00685AB3">
              <w:fldChar w:fldCharType="separate"/>
            </w:r>
            <w:r w:rsidRPr="000A03FD">
              <w:fldChar w:fldCharType="end"/>
            </w:r>
            <w:r w:rsidRPr="000A03FD">
              <w:t xml:space="preserve">Optometrists </w:t>
            </w:r>
            <w:r w:rsidRPr="000A03FD">
              <w:fldChar w:fldCharType="begin" w:fldLock="1">
                <w:ffData>
                  <w:name w:val="Check5"/>
                  <w:enabled/>
                  <w:calcOnExit w:val="0"/>
                  <w:checkBox>
                    <w:sizeAuto/>
                    <w:default w:val="0"/>
                  </w:checkBox>
                </w:ffData>
              </w:fldChar>
            </w:r>
            <w:r w:rsidRPr="000A03FD">
              <w:instrText xml:space="preserve"> FORMCHECKBOX </w:instrText>
            </w:r>
            <w:r w:rsidR="00685AB3">
              <w:fldChar w:fldCharType="separate"/>
            </w:r>
            <w:r w:rsidRPr="000A03FD">
              <w:fldChar w:fldCharType="end"/>
            </w:r>
          </w:p>
        </w:tc>
      </w:tr>
      <w:tr w:rsidR="00A01D9D" w:rsidRPr="000A03FD" w14:paraId="26E9FDF9" w14:textId="77777777" w:rsidTr="003A4C14">
        <w:trPr>
          <w:cantSplit/>
          <w:trHeight w:val="20"/>
        </w:trPr>
        <w:tc>
          <w:tcPr>
            <w:tcW w:w="5000" w:type="pct"/>
            <w:vAlign w:val="center"/>
          </w:tcPr>
          <w:p w14:paraId="2FB0A656" w14:textId="09013EA8" w:rsidR="00A01D9D" w:rsidRPr="000A03FD" w:rsidRDefault="008E3413" w:rsidP="004869B7">
            <w:pPr>
              <w:pStyle w:val="TableText0"/>
              <w:keepLines/>
              <w:rPr>
                <w:b/>
              </w:rPr>
            </w:pPr>
            <w:r w:rsidRPr="000A03FD">
              <w:rPr>
                <w:b/>
              </w:rPr>
              <w:t>Restriction type:</w:t>
            </w:r>
            <w:r w:rsidRPr="000A03FD">
              <w:rPr>
                <w:rFonts w:eastAsia="Times New Roman"/>
              </w:rPr>
              <w:br/>
            </w:r>
            <w:r w:rsidRPr="000A03FD">
              <w:rPr>
                <w:rFonts w:eastAsia="Times New Roman"/>
              </w:rPr>
              <w:fldChar w:fldCharType="begin" w:fldLock="1">
                <w:ffData>
                  <w:name w:val="Check3"/>
                  <w:enabled/>
                  <w:calcOnExit w:val="0"/>
                  <w:checkBox>
                    <w:sizeAuto/>
                    <w:default w:val="1"/>
                  </w:checkBox>
                </w:ffData>
              </w:fldChar>
            </w:r>
            <w:r w:rsidRPr="000A03FD">
              <w:rPr>
                <w:rFonts w:eastAsia="Times New Roman"/>
              </w:rPr>
              <w:instrText xml:space="preserve"> FORMCHECKBOX </w:instrText>
            </w:r>
            <w:r w:rsidR="00685AB3">
              <w:rPr>
                <w:rFonts w:eastAsia="Times New Roman"/>
              </w:rPr>
            </w:r>
            <w:r w:rsidR="00685AB3">
              <w:rPr>
                <w:rFonts w:eastAsia="Times New Roman"/>
              </w:rPr>
              <w:fldChar w:fldCharType="separate"/>
            </w:r>
            <w:r w:rsidRPr="000A03FD">
              <w:rPr>
                <w:rFonts w:eastAsia="Times New Roman"/>
              </w:rPr>
              <w:fldChar w:fldCharType="end"/>
            </w:r>
            <w:r w:rsidRPr="000A03FD">
              <w:rPr>
                <w:rFonts w:eastAsia="Times New Roman"/>
              </w:rPr>
              <w:t>Authority Required - Telephone</w:t>
            </w:r>
          </w:p>
        </w:tc>
      </w:tr>
      <w:tr w:rsidR="009464B0" w:rsidRPr="000A03FD" w14:paraId="7A3FE403" w14:textId="77777777" w:rsidTr="003A4C14">
        <w:trPr>
          <w:cantSplit/>
          <w:trHeight w:val="20"/>
        </w:trPr>
        <w:tc>
          <w:tcPr>
            <w:tcW w:w="5000" w:type="pct"/>
            <w:vAlign w:val="center"/>
          </w:tcPr>
          <w:p w14:paraId="0301E1CB" w14:textId="06117692" w:rsidR="009464B0" w:rsidRPr="000A03FD" w:rsidRDefault="009464B0" w:rsidP="009464B0">
            <w:pPr>
              <w:pStyle w:val="TableText0"/>
              <w:keepLines/>
              <w:rPr>
                <w:b/>
              </w:rPr>
            </w:pPr>
            <w:r w:rsidRPr="000A03FD">
              <w:rPr>
                <w:b/>
              </w:rPr>
              <w:t xml:space="preserve">Condition: </w:t>
            </w:r>
            <w:r w:rsidRPr="000A03FD">
              <w:t>Chronic rhinosinusitis with nasal polyps</w:t>
            </w:r>
          </w:p>
        </w:tc>
      </w:tr>
      <w:tr w:rsidR="009464B0" w:rsidRPr="000A03FD" w14:paraId="5730F939" w14:textId="77777777" w:rsidTr="003A4C14">
        <w:trPr>
          <w:cantSplit/>
          <w:trHeight w:val="20"/>
        </w:trPr>
        <w:tc>
          <w:tcPr>
            <w:tcW w:w="5000" w:type="pct"/>
            <w:vAlign w:val="center"/>
          </w:tcPr>
          <w:p w14:paraId="4B5356AD" w14:textId="5B8AFDB0" w:rsidR="009464B0" w:rsidRPr="000A03FD" w:rsidRDefault="009464B0" w:rsidP="009464B0">
            <w:pPr>
              <w:pStyle w:val="TableText0"/>
              <w:keepLines/>
              <w:rPr>
                <w:b/>
              </w:rPr>
            </w:pPr>
            <w:r w:rsidRPr="000A03FD">
              <w:rPr>
                <w:b/>
              </w:rPr>
              <w:t>Indication:</w:t>
            </w:r>
            <w:r w:rsidRPr="000A03FD">
              <w:t xml:space="preserve"> Chronic rhinosinusitis with nasal polyps</w:t>
            </w:r>
          </w:p>
        </w:tc>
      </w:tr>
      <w:tr w:rsidR="009464B0" w:rsidRPr="000A03FD" w14:paraId="758F78D1" w14:textId="77777777" w:rsidTr="003A4C14">
        <w:trPr>
          <w:cantSplit/>
          <w:trHeight w:val="20"/>
        </w:trPr>
        <w:tc>
          <w:tcPr>
            <w:tcW w:w="5000" w:type="pct"/>
            <w:vAlign w:val="center"/>
          </w:tcPr>
          <w:p w14:paraId="679FB92A" w14:textId="50E18ECB" w:rsidR="009464B0" w:rsidRPr="000A03FD" w:rsidRDefault="001D3119" w:rsidP="009464B0">
            <w:pPr>
              <w:pStyle w:val="TableText0"/>
              <w:keepLines/>
              <w:rPr>
                <w:b/>
              </w:rPr>
            </w:pPr>
            <w:r w:rsidRPr="000A03FD">
              <w:rPr>
                <w:b/>
              </w:rPr>
              <w:t>Treatment Phase:</w:t>
            </w:r>
            <w:r w:rsidRPr="000A03FD">
              <w:t xml:space="preserve"> Continuing treatment criteria</w:t>
            </w:r>
          </w:p>
        </w:tc>
      </w:tr>
      <w:tr w:rsidR="00133912" w:rsidRPr="000A03FD" w14:paraId="0F175CEE" w14:textId="77777777" w:rsidTr="003A4C14">
        <w:trPr>
          <w:cantSplit/>
          <w:trHeight w:val="20"/>
        </w:trPr>
        <w:tc>
          <w:tcPr>
            <w:tcW w:w="5000" w:type="pct"/>
            <w:vAlign w:val="center"/>
          </w:tcPr>
          <w:p w14:paraId="6CA19D2B" w14:textId="556E9C8B" w:rsidR="009464B0" w:rsidRPr="000A03FD" w:rsidRDefault="001D3119" w:rsidP="009464B0">
            <w:pPr>
              <w:pStyle w:val="TableText0"/>
              <w:keepLines/>
              <w:rPr>
                <w:b/>
              </w:rPr>
            </w:pPr>
            <w:r w:rsidRPr="000A03FD">
              <w:rPr>
                <w:b/>
              </w:rPr>
              <w:t>Clinical criteria:</w:t>
            </w:r>
          </w:p>
        </w:tc>
      </w:tr>
      <w:tr w:rsidR="00133912" w:rsidRPr="000A03FD" w14:paraId="4EC7EF3A" w14:textId="77777777" w:rsidTr="003A4C14">
        <w:trPr>
          <w:cantSplit/>
          <w:trHeight w:val="20"/>
        </w:trPr>
        <w:tc>
          <w:tcPr>
            <w:tcW w:w="5000" w:type="pct"/>
            <w:vAlign w:val="center"/>
          </w:tcPr>
          <w:p w14:paraId="5D66E0B9" w14:textId="29AA4921" w:rsidR="009464B0" w:rsidRPr="000A03FD" w:rsidRDefault="00F26C81" w:rsidP="004A58F9">
            <w:pPr>
              <w:autoSpaceDE w:val="0"/>
              <w:autoSpaceDN w:val="0"/>
              <w:adjustRightInd w:val="0"/>
              <w:rPr>
                <w:rFonts w:ascii="Arial Narrow" w:hAnsi="Arial Narrow" w:cstheme="minorHAnsi"/>
                <w:strike/>
                <w:sz w:val="20"/>
                <w:szCs w:val="20"/>
                <w:lang w:eastAsia="en-GB"/>
              </w:rPr>
            </w:pPr>
            <w:r w:rsidRPr="000A03FD">
              <w:rPr>
                <w:rFonts w:ascii="Arial Narrow" w:hAnsi="Arial Narrow" w:cstheme="minorHAnsi"/>
                <w:sz w:val="20"/>
                <w:szCs w:val="20"/>
                <w:lang w:eastAsia="en-GB"/>
              </w:rPr>
              <w:t>Patient must have previously received PBS-subsidised treatment with this drug for this condition</w:t>
            </w:r>
          </w:p>
        </w:tc>
      </w:tr>
      <w:tr w:rsidR="00133912" w:rsidRPr="000A03FD" w14:paraId="628D6479" w14:textId="77777777" w:rsidTr="003A4C14">
        <w:trPr>
          <w:cantSplit/>
          <w:trHeight w:val="20"/>
        </w:trPr>
        <w:tc>
          <w:tcPr>
            <w:tcW w:w="5000" w:type="pct"/>
            <w:vAlign w:val="center"/>
          </w:tcPr>
          <w:p w14:paraId="77C8846E" w14:textId="6554612D" w:rsidR="004A58F9" w:rsidRPr="000A03FD" w:rsidRDefault="004A58F9" w:rsidP="004A58F9">
            <w:pPr>
              <w:autoSpaceDE w:val="0"/>
              <w:autoSpaceDN w:val="0"/>
              <w:adjustRightInd w:val="0"/>
              <w:rPr>
                <w:rFonts w:ascii="Arial Narrow" w:hAnsi="Arial Narrow" w:cstheme="minorHAnsi"/>
                <w:b/>
                <w:bCs/>
                <w:sz w:val="20"/>
                <w:szCs w:val="20"/>
                <w:lang w:eastAsia="en-GB"/>
              </w:rPr>
            </w:pPr>
            <w:r w:rsidRPr="000A03FD">
              <w:rPr>
                <w:rFonts w:ascii="Arial Narrow" w:hAnsi="Arial Narrow" w:cstheme="minorHAnsi"/>
                <w:b/>
                <w:bCs/>
                <w:sz w:val="20"/>
                <w:szCs w:val="20"/>
                <w:lang w:eastAsia="en-GB"/>
              </w:rPr>
              <w:t>AND</w:t>
            </w:r>
          </w:p>
        </w:tc>
      </w:tr>
      <w:tr w:rsidR="00133912" w:rsidRPr="000A03FD" w14:paraId="14F1259A" w14:textId="77777777" w:rsidTr="003A4C14">
        <w:trPr>
          <w:cantSplit/>
          <w:trHeight w:val="20"/>
        </w:trPr>
        <w:tc>
          <w:tcPr>
            <w:tcW w:w="5000" w:type="pct"/>
            <w:vAlign w:val="center"/>
          </w:tcPr>
          <w:p w14:paraId="60E38EFB" w14:textId="55B963D4" w:rsidR="009464B0" w:rsidRPr="000A03FD" w:rsidRDefault="00F26C81" w:rsidP="009464B0">
            <w:pPr>
              <w:pStyle w:val="TableText0"/>
              <w:keepLines/>
              <w:rPr>
                <w:b/>
              </w:rPr>
            </w:pPr>
            <w:r w:rsidRPr="000A03FD">
              <w:rPr>
                <w:b/>
              </w:rPr>
              <w:t>Clinical criteria:</w:t>
            </w:r>
          </w:p>
        </w:tc>
      </w:tr>
      <w:tr w:rsidR="00133912" w:rsidRPr="000A03FD" w14:paraId="2F373B61" w14:textId="77777777" w:rsidTr="003A4C14">
        <w:trPr>
          <w:cantSplit/>
          <w:trHeight w:val="20"/>
        </w:trPr>
        <w:tc>
          <w:tcPr>
            <w:tcW w:w="5000" w:type="pct"/>
            <w:vAlign w:val="center"/>
          </w:tcPr>
          <w:p w14:paraId="09843022" w14:textId="7DABF9FB" w:rsidR="009464B0" w:rsidRPr="000A03FD" w:rsidRDefault="00E71752" w:rsidP="00E71752">
            <w:pPr>
              <w:autoSpaceDE w:val="0"/>
              <w:autoSpaceDN w:val="0"/>
              <w:adjustRightInd w:val="0"/>
              <w:rPr>
                <w:rFonts w:ascii="Arial Narrow" w:hAnsi="Arial Narrow" w:cstheme="minorHAnsi"/>
                <w:sz w:val="20"/>
                <w:szCs w:val="20"/>
                <w:lang w:eastAsia="en-GB"/>
              </w:rPr>
            </w:pPr>
            <w:r w:rsidRPr="000A03FD">
              <w:rPr>
                <w:rFonts w:ascii="Arial Narrow" w:hAnsi="Arial Narrow" w:cstheme="minorHAnsi"/>
                <w:sz w:val="20"/>
                <w:szCs w:val="20"/>
                <w:lang w:eastAsia="en-GB"/>
              </w:rPr>
              <w:t>Patient must have achieved</w:t>
            </w:r>
            <w:r w:rsidRPr="000A03FD">
              <w:rPr>
                <w:rFonts w:ascii="Arial Narrow" w:hAnsi="Arial Narrow" w:cstheme="minorHAnsi"/>
                <w:bCs/>
                <w:iCs/>
                <w:sz w:val="20"/>
                <w:szCs w:val="20"/>
                <w:lang w:eastAsia="en-GB"/>
              </w:rPr>
              <w:t xml:space="preserve"> and sustained</w:t>
            </w:r>
            <w:r w:rsidRPr="000A03FD">
              <w:rPr>
                <w:rFonts w:ascii="Arial Narrow" w:hAnsi="Arial Narrow" w:cstheme="minorHAnsi"/>
                <w:sz w:val="20"/>
                <w:szCs w:val="20"/>
                <w:lang w:eastAsia="en-GB"/>
              </w:rPr>
              <w:t xml:space="preserve"> an adequate response to this drug, defined as having at least one of: (i) an improvement in bilateral endoscopic NP score of ≥1.0 compared to the baseline level provided with the initial authority application, (ii) an improvement in nasal obstruction VAS score of ≥3.0 compared to the baseline level provided with the initial authority application. </w:t>
            </w:r>
          </w:p>
        </w:tc>
      </w:tr>
      <w:tr w:rsidR="009464B0" w:rsidRPr="000A03FD" w14:paraId="0BA44974" w14:textId="77777777" w:rsidTr="003A4C14">
        <w:trPr>
          <w:cantSplit/>
          <w:trHeight w:val="20"/>
        </w:trPr>
        <w:tc>
          <w:tcPr>
            <w:tcW w:w="5000" w:type="pct"/>
            <w:vAlign w:val="center"/>
          </w:tcPr>
          <w:p w14:paraId="63533EFD" w14:textId="00CEC20B" w:rsidR="009464B0" w:rsidRPr="000A03FD" w:rsidRDefault="00E71752" w:rsidP="009464B0">
            <w:pPr>
              <w:pStyle w:val="TableText0"/>
              <w:keepLines/>
              <w:rPr>
                <w:b/>
              </w:rPr>
            </w:pPr>
            <w:r w:rsidRPr="000A03FD">
              <w:rPr>
                <w:rFonts w:cstheme="minorHAnsi"/>
                <w:b/>
                <w:bCs w:val="0"/>
                <w:szCs w:val="20"/>
                <w:lang w:eastAsia="en-GB"/>
              </w:rPr>
              <w:t>AND</w:t>
            </w:r>
          </w:p>
        </w:tc>
      </w:tr>
      <w:tr w:rsidR="00E71752" w:rsidRPr="000A03FD" w14:paraId="29DF44FF" w14:textId="77777777" w:rsidTr="003A4C14">
        <w:trPr>
          <w:cantSplit/>
          <w:trHeight w:val="20"/>
        </w:trPr>
        <w:tc>
          <w:tcPr>
            <w:tcW w:w="5000" w:type="pct"/>
            <w:vAlign w:val="center"/>
          </w:tcPr>
          <w:p w14:paraId="2A80CA57" w14:textId="796BDB7E" w:rsidR="00E71752" w:rsidRPr="000A03FD" w:rsidRDefault="00E71752" w:rsidP="009464B0">
            <w:pPr>
              <w:pStyle w:val="TableText0"/>
              <w:keepLines/>
              <w:rPr>
                <w:b/>
              </w:rPr>
            </w:pPr>
            <w:r w:rsidRPr="000A03FD">
              <w:rPr>
                <w:b/>
              </w:rPr>
              <w:t>Clinical criteria:</w:t>
            </w:r>
          </w:p>
        </w:tc>
      </w:tr>
      <w:tr w:rsidR="00E71752" w:rsidRPr="000A03FD" w14:paraId="3F1A1710" w14:textId="77777777" w:rsidTr="003A4C14">
        <w:trPr>
          <w:cantSplit/>
          <w:trHeight w:val="20"/>
        </w:trPr>
        <w:tc>
          <w:tcPr>
            <w:tcW w:w="5000" w:type="pct"/>
            <w:vAlign w:val="center"/>
          </w:tcPr>
          <w:p w14:paraId="6B26806F" w14:textId="4F463405" w:rsidR="00E71752" w:rsidRPr="000A03FD" w:rsidRDefault="002B368C" w:rsidP="009464B0">
            <w:pPr>
              <w:pStyle w:val="TableText0"/>
              <w:keepLines/>
              <w:rPr>
                <w:b/>
              </w:rPr>
            </w:pPr>
            <w:r w:rsidRPr="000A03FD">
              <w:rPr>
                <w:rFonts w:cs="Times New Roman"/>
              </w:rPr>
              <w:t xml:space="preserve">Patient must not have undergone surgery for the removal of nasal polyps since </w:t>
            </w:r>
            <w:r w:rsidRPr="000A03FD">
              <w:rPr>
                <w:rFonts w:cs="Times New Roman"/>
                <w:iCs/>
              </w:rPr>
              <w:t xml:space="preserve">the most recent </w:t>
            </w:r>
            <w:r w:rsidRPr="000A03FD">
              <w:rPr>
                <w:rFonts w:cs="Times New Roman"/>
              </w:rPr>
              <w:t>initiation of this drug for this condition</w:t>
            </w:r>
          </w:p>
        </w:tc>
      </w:tr>
      <w:tr w:rsidR="00133912" w:rsidRPr="000A03FD" w14:paraId="69885E70" w14:textId="77777777" w:rsidTr="003A4C14">
        <w:trPr>
          <w:cantSplit/>
          <w:trHeight w:val="20"/>
        </w:trPr>
        <w:tc>
          <w:tcPr>
            <w:tcW w:w="5000" w:type="pct"/>
            <w:vAlign w:val="center"/>
          </w:tcPr>
          <w:p w14:paraId="079490EC" w14:textId="1F43BA28" w:rsidR="002B368C" w:rsidRPr="000A03FD" w:rsidRDefault="002B368C" w:rsidP="009464B0">
            <w:pPr>
              <w:pStyle w:val="TableText0"/>
              <w:keepLines/>
              <w:rPr>
                <w:rFonts w:cs="Times New Roman"/>
              </w:rPr>
            </w:pPr>
            <w:r w:rsidRPr="000A03FD">
              <w:rPr>
                <w:b/>
              </w:rPr>
              <w:t>Treatment criteria:</w:t>
            </w:r>
          </w:p>
        </w:tc>
      </w:tr>
      <w:tr w:rsidR="002B368C" w:rsidRPr="000A03FD" w14:paraId="3B7D41B3" w14:textId="77777777" w:rsidTr="003A4C14">
        <w:trPr>
          <w:cantSplit/>
          <w:trHeight w:val="20"/>
        </w:trPr>
        <w:tc>
          <w:tcPr>
            <w:tcW w:w="5000" w:type="pct"/>
            <w:vAlign w:val="center"/>
          </w:tcPr>
          <w:p w14:paraId="3A17BB67" w14:textId="1A365875" w:rsidR="002B368C" w:rsidRPr="000A03FD" w:rsidRDefault="00D62A6D" w:rsidP="009464B0">
            <w:pPr>
              <w:pStyle w:val="TableText0"/>
              <w:keepLines/>
              <w:rPr>
                <w:rFonts w:cs="Times New Roman"/>
              </w:rPr>
            </w:pPr>
            <w:r w:rsidRPr="000A03FD">
              <w:rPr>
                <w:rFonts w:cstheme="minorHAnsi"/>
                <w:szCs w:val="20"/>
                <w:lang w:eastAsia="en-GB"/>
              </w:rPr>
              <w:t>Patient must be treated by a respiratory physician, clinical immunologist, allergist, ear nose and throat specialist (ENT) or general physician experienced in the management of patients with CRSwNP.</w:t>
            </w:r>
          </w:p>
        </w:tc>
      </w:tr>
      <w:tr w:rsidR="00E65614" w:rsidRPr="000A03FD" w14:paraId="42A1B897" w14:textId="77777777" w:rsidTr="003A4C14">
        <w:trPr>
          <w:cantSplit/>
          <w:trHeight w:val="20"/>
        </w:trPr>
        <w:tc>
          <w:tcPr>
            <w:tcW w:w="5000" w:type="pct"/>
            <w:vAlign w:val="center"/>
          </w:tcPr>
          <w:p w14:paraId="7E98AFEB" w14:textId="5454638E" w:rsidR="00E65614" w:rsidRPr="000A03FD" w:rsidRDefault="00E65614" w:rsidP="00E65614">
            <w:pPr>
              <w:pStyle w:val="TableText0"/>
              <w:keepLines/>
              <w:rPr>
                <w:rFonts w:cs="Times New Roman"/>
              </w:rPr>
            </w:pPr>
            <w:r w:rsidRPr="000A03FD">
              <w:rPr>
                <w:b/>
              </w:rPr>
              <w:t>Population criteria:</w:t>
            </w:r>
          </w:p>
        </w:tc>
      </w:tr>
      <w:tr w:rsidR="00E65614" w:rsidRPr="000A03FD" w14:paraId="5F2DA869" w14:textId="77777777" w:rsidTr="003A4C14">
        <w:trPr>
          <w:cantSplit/>
          <w:trHeight w:val="20"/>
        </w:trPr>
        <w:tc>
          <w:tcPr>
            <w:tcW w:w="5000" w:type="pct"/>
            <w:vAlign w:val="center"/>
          </w:tcPr>
          <w:p w14:paraId="0F8E3FAE" w14:textId="447C1461" w:rsidR="00E65614" w:rsidRPr="000A03FD" w:rsidRDefault="00E65614" w:rsidP="00E65614">
            <w:pPr>
              <w:pStyle w:val="TableText0"/>
              <w:keepLines/>
              <w:rPr>
                <w:rFonts w:cs="Times New Roman"/>
              </w:rPr>
            </w:pPr>
            <w:r w:rsidRPr="000A03FD">
              <w:rPr>
                <w:rFonts w:cstheme="minorHAnsi"/>
                <w:szCs w:val="20"/>
                <w:lang w:eastAsia="en-GB"/>
              </w:rPr>
              <w:t>Patient must be aged 18 years or older.</w:t>
            </w:r>
          </w:p>
        </w:tc>
      </w:tr>
      <w:bookmarkEnd w:id="13"/>
    </w:tbl>
    <w:p w14:paraId="22BAEBD6" w14:textId="77777777" w:rsidR="00046D64" w:rsidRPr="000A03FD" w:rsidRDefault="00046D64" w:rsidP="004B1CB4"/>
    <w:p w14:paraId="78FD4C41" w14:textId="3EFCE559" w:rsidR="0064434C" w:rsidRPr="000A03FD" w:rsidRDefault="00AE2E03" w:rsidP="00F9393E">
      <w:pPr>
        <w:pStyle w:val="3-BodyText"/>
      </w:pPr>
      <w:bookmarkStart w:id="15" w:name="_Ref119426086"/>
      <w:r w:rsidRPr="000A03FD">
        <w:t xml:space="preserve">A special pricing arrangement (SPA) </w:t>
      </w:r>
      <w:r w:rsidR="00C1411F" w:rsidRPr="000A03FD">
        <w:t xml:space="preserve">was proposed by the Sponsor. The Sponsor proposed </w:t>
      </w:r>
      <w:r w:rsidR="00973B6C" w:rsidRPr="000A03FD">
        <w:t xml:space="preserve">an </w:t>
      </w:r>
      <w:r w:rsidR="00C1411F" w:rsidRPr="000A03FD">
        <w:t xml:space="preserve">effective </w:t>
      </w:r>
      <w:r w:rsidR="00973B6C" w:rsidRPr="000A03FD">
        <w:t xml:space="preserve">ex-manufacturer </w:t>
      </w:r>
      <w:r w:rsidR="00C1411F" w:rsidRPr="000A03FD">
        <w:t xml:space="preserve">price </w:t>
      </w:r>
      <w:r w:rsidR="00973B6C" w:rsidRPr="000A03FD">
        <w:t xml:space="preserve">(EMP) </w:t>
      </w:r>
      <w:r w:rsidR="00C1411F" w:rsidRPr="000A03FD">
        <w:t>of $</w:t>
      </w:r>
      <w:r w:rsidR="0020233B" w:rsidRPr="00685AB3">
        <w:rPr>
          <w:color w:val="000000"/>
          <w:w w:val="15"/>
          <w:shd w:val="solid" w:color="000000" w:fill="000000"/>
          <w:fitText w:val="-20" w:id="-1303140606"/>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606"/>
          <w14:textFill>
            <w14:solidFill>
              <w14:srgbClr w14:val="000000">
                <w14:alpha w14:val="100000"/>
              </w14:srgbClr>
            </w14:solidFill>
          </w14:textFill>
        </w:rPr>
        <w:t>|</w:t>
      </w:r>
      <w:r w:rsidR="007862DD" w:rsidRPr="000A03FD">
        <w:t xml:space="preserve"> per </w:t>
      </w:r>
      <w:r w:rsidR="00F67A6C">
        <w:t>pen</w:t>
      </w:r>
      <w:r w:rsidR="00705BB7" w:rsidRPr="000A03FD">
        <w:t>.</w:t>
      </w:r>
      <w:r w:rsidR="007C2752" w:rsidRPr="000A03FD">
        <w:t xml:space="preserve"> This represent</w:t>
      </w:r>
      <w:r w:rsidR="00973B6C" w:rsidRPr="000A03FD">
        <w:t>ed</w:t>
      </w:r>
      <w:r w:rsidR="007C2752" w:rsidRPr="000A03FD">
        <w:t xml:space="preserve"> </w:t>
      </w:r>
      <w:r w:rsidR="00C56497" w:rsidRPr="000A03FD">
        <w:t xml:space="preserve">a </w:t>
      </w:r>
      <w:r w:rsidR="0020233B" w:rsidRPr="00685AB3">
        <w:rPr>
          <w:color w:val="000000"/>
          <w:w w:val="15"/>
          <w:shd w:val="solid" w:color="000000" w:fill="000000"/>
          <w:fitText w:val="-20" w:id="-1303140605"/>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605"/>
          <w14:textFill>
            <w14:solidFill>
              <w14:srgbClr w14:val="000000">
                <w14:alpha w14:val="100000"/>
              </w14:srgbClr>
            </w14:solidFill>
          </w14:textFill>
        </w:rPr>
        <w:t>|</w:t>
      </w:r>
      <w:r w:rsidR="009C7DF0" w:rsidRPr="000A03FD">
        <w:t xml:space="preserve">% reduction </w:t>
      </w:r>
      <w:r w:rsidR="004E4A7C" w:rsidRPr="000A03FD">
        <w:t>from the</w:t>
      </w:r>
      <w:r w:rsidR="009C7DF0" w:rsidRPr="000A03FD">
        <w:t xml:space="preserve"> EMP </w:t>
      </w:r>
      <w:r w:rsidR="004E4A7C" w:rsidRPr="000A03FD">
        <w:t>of $</w:t>
      </w:r>
      <w:r w:rsidR="0020233B" w:rsidRPr="00685AB3">
        <w:rPr>
          <w:color w:val="000000"/>
          <w:w w:val="15"/>
          <w:shd w:val="solid" w:color="000000" w:fill="000000"/>
          <w:fitText w:val="-20" w:id="-1303140604"/>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604"/>
          <w14:textFill>
            <w14:solidFill>
              <w14:srgbClr w14:val="000000">
                <w14:alpha w14:val="100000"/>
              </w14:srgbClr>
            </w14:solidFill>
          </w14:textFill>
        </w:rPr>
        <w:t>|</w:t>
      </w:r>
      <w:r w:rsidR="004E4A7C" w:rsidRPr="000A03FD">
        <w:t xml:space="preserve"> per </w:t>
      </w:r>
      <w:r w:rsidR="00F67A6C">
        <w:t>pen</w:t>
      </w:r>
      <w:r w:rsidR="00F67A6C" w:rsidRPr="000A03FD">
        <w:t xml:space="preserve"> </w:t>
      </w:r>
      <w:r w:rsidR="0094230C" w:rsidRPr="000A03FD">
        <w:t xml:space="preserve">proposed in the </w:t>
      </w:r>
      <w:r w:rsidR="00973B6C" w:rsidRPr="000A03FD">
        <w:t>November 2021</w:t>
      </w:r>
      <w:r w:rsidR="0094230C" w:rsidRPr="000A03FD">
        <w:t xml:space="preserve"> submission.</w:t>
      </w:r>
      <w:r w:rsidR="00B009FE" w:rsidRPr="000A03FD">
        <w:t xml:space="preserve"> </w:t>
      </w:r>
      <w:r w:rsidR="00407E40" w:rsidRPr="000A03FD">
        <w:lastRenderedPageBreak/>
        <w:t xml:space="preserve">The pre-PBAC response proposed a </w:t>
      </w:r>
      <w:r w:rsidR="00973B6C" w:rsidRPr="000A03FD">
        <w:t xml:space="preserve">further reduction with a </w:t>
      </w:r>
      <w:r w:rsidR="00407E40" w:rsidRPr="000A03FD">
        <w:t xml:space="preserve">revised </w:t>
      </w:r>
      <w:r w:rsidR="00973B6C" w:rsidRPr="000A03FD">
        <w:t>EMP</w:t>
      </w:r>
      <w:r w:rsidR="00407E40" w:rsidRPr="000A03FD">
        <w:t xml:space="preserve"> of $</w:t>
      </w:r>
      <w:r w:rsidR="0020233B" w:rsidRPr="00685AB3">
        <w:rPr>
          <w:color w:val="000000"/>
          <w:w w:val="15"/>
          <w:shd w:val="solid" w:color="000000" w:fill="000000"/>
          <w:fitText w:val="-20" w:id="-1303140603"/>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603"/>
          <w14:textFill>
            <w14:solidFill>
              <w14:srgbClr w14:val="000000">
                <w14:alpha w14:val="100000"/>
              </w14:srgbClr>
            </w14:solidFill>
          </w14:textFill>
        </w:rPr>
        <w:t>|</w:t>
      </w:r>
      <w:r w:rsidR="00407E40" w:rsidRPr="000A03FD">
        <w:t xml:space="preserve"> </w:t>
      </w:r>
      <w:r w:rsidR="00973B6C" w:rsidRPr="000A03FD">
        <w:t xml:space="preserve">per </w:t>
      </w:r>
      <w:r w:rsidR="00F67A6C">
        <w:t>pen</w:t>
      </w:r>
      <w:r w:rsidR="00973B6C" w:rsidRPr="000A03FD">
        <w:t xml:space="preserve">. This represented a </w:t>
      </w:r>
      <w:r w:rsidR="0020233B" w:rsidRPr="00685AB3">
        <w:rPr>
          <w:color w:val="000000"/>
          <w:w w:val="15"/>
          <w:shd w:val="solid" w:color="000000" w:fill="000000"/>
          <w:fitText w:val="-20" w:id="-1303140602"/>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602"/>
          <w14:textFill>
            <w14:solidFill>
              <w14:srgbClr w14:val="000000">
                <w14:alpha w14:val="100000"/>
              </w14:srgbClr>
            </w14:solidFill>
          </w14:textFill>
        </w:rPr>
        <w:t>|</w:t>
      </w:r>
      <w:r w:rsidR="00973B6C" w:rsidRPr="000A03FD">
        <w:t>% reduction from the EMP proposed in the November 2021 submission.</w:t>
      </w:r>
      <w:bookmarkEnd w:id="15"/>
      <w:r w:rsidR="00973B6C" w:rsidRPr="000A03FD">
        <w:t xml:space="preserve"> </w:t>
      </w:r>
    </w:p>
    <w:p w14:paraId="059997BC" w14:textId="57C65A5D" w:rsidR="00F67A69" w:rsidRPr="000A03FD" w:rsidRDefault="000A4DB9" w:rsidP="00F9393E">
      <w:pPr>
        <w:pStyle w:val="3-BodyText"/>
      </w:pPr>
      <w:r w:rsidRPr="000A03FD">
        <w:t>Mepolizumab is PBS-listed for uncontrolled severe asthma</w:t>
      </w:r>
      <w:r w:rsidR="004342E7" w:rsidRPr="000A03FD">
        <w:t xml:space="preserve"> and is subject to a</w:t>
      </w:r>
      <w:r w:rsidR="00AE2E03" w:rsidRPr="000A03FD">
        <w:t>n SPA</w:t>
      </w:r>
      <w:r w:rsidR="004342E7" w:rsidRPr="000A03FD">
        <w:t>.</w:t>
      </w:r>
    </w:p>
    <w:p w14:paraId="6F857C72" w14:textId="59946FFE" w:rsidR="008324EA" w:rsidRPr="000A03FD" w:rsidRDefault="00D41073" w:rsidP="0065460C">
      <w:pPr>
        <w:pStyle w:val="3-BodyText"/>
      </w:pPr>
      <w:r w:rsidRPr="000A03FD">
        <w:t xml:space="preserve">The </w:t>
      </w:r>
      <w:r w:rsidR="00380BED" w:rsidRPr="000A03FD">
        <w:t>S</w:t>
      </w:r>
      <w:r w:rsidRPr="000A03FD">
        <w:t xml:space="preserve">ponsor </w:t>
      </w:r>
      <w:r w:rsidR="004C18F6" w:rsidRPr="000A03FD">
        <w:t xml:space="preserve">stated a </w:t>
      </w:r>
      <w:r w:rsidRPr="000A03FD">
        <w:t>wish to work with the PBAC to agree on a separate grandfathering restriction for patients enrolled in a planned patient familiarisation program following TGA approval. No details for the proposed patient familiarisation program were provided and it was unclear if the enrolment in the familiarisation program would be aligned to the proposed PBS restriction</w:t>
      </w:r>
      <w:r w:rsidR="00380BED" w:rsidRPr="000A03FD">
        <w:t>.</w:t>
      </w:r>
      <w:r w:rsidR="0065460C" w:rsidRPr="000A03FD">
        <w:t xml:space="preserve"> The Pre-Sub-Committee Response (PSCR) </w:t>
      </w:r>
      <w:r w:rsidR="000B5049" w:rsidRPr="000A03FD">
        <w:t>stated that a</w:t>
      </w:r>
      <w:r w:rsidR="0065460C" w:rsidRPr="000A03FD">
        <w:t xml:space="preserve"> patient familiarisation program </w:t>
      </w:r>
      <w:r w:rsidR="000B5049" w:rsidRPr="000A03FD">
        <w:t>wa</w:t>
      </w:r>
      <w:r w:rsidR="0065460C" w:rsidRPr="000A03FD">
        <w:t>s currently recruiting patients</w:t>
      </w:r>
      <w:r w:rsidR="000B5049" w:rsidRPr="000A03FD">
        <w:t xml:space="preserve"> with t</w:t>
      </w:r>
      <w:r w:rsidR="0065460C" w:rsidRPr="000A03FD">
        <w:t>he entry criteria not allow</w:t>
      </w:r>
      <w:r w:rsidR="000B5049" w:rsidRPr="000A03FD">
        <w:t>ing</w:t>
      </w:r>
      <w:r w:rsidR="0065460C" w:rsidRPr="000A03FD">
        <w:t xml:space="preserve"> patients outside of indication or the proposed PBAC criteria to be enrolled.</w:t>
      </w:r>
      <w:r w:rsidR="00C54A55" w:rsidRPr="000A03FD">
        <w:t xml:space="preserve"> </w:t>
      </w:r>
    </w:p>
    <w:p w14:paraId="7FFBE760" w14:textId="0609BFFD" w:rsidR="00380BED" w:rsidRPr="000A03FD" w:rsidRDefault="00700AB7" w:rsidP="00F9393E">
      <w:pPr>
        <w:pStyle w:val="3-BodyText"/>
      </w:pPr>
      <w:r w:rsidRPr="000A03FD">
        <w:t>The resubmission additionally proposed a balance of supply restriction, similar to mepolizumab in severe asthma, be drafted post positive recommendation to account for patients who have received insufficient therapy under initial or continuing treatment restrictions to complete a 24-week treatment cycle.</w:t>
      </w:r>
    </w:p>
    <w:p w14:paraId="46616377" w14:textId="2E993E8A" w:rsidR="003D0F73" w:rsidRPr="000A03FD" w:rsidRDefault="002775F5" w:rsidP="00F9393E">
      <w:pPr>
        <w:pStyle w:val="3-BodyText"/>
      </w:pPr>
      <w:bookmarkStart w:id="16" w:name="_Ref111517667"/>
      <w:r w:rsidRPr="000A03FD">
        <w:t xml:space="preserve">The request for patients with a baseline BEC ≥150 </w:t>
      </w:r>
      <w:r w:rsidR="00B30CCD" w:rsidRPr="000A03FD">
        <w:t xml:space="preserve">but &lt;300 </w:t>
      </w:r>
      <w:r w:rsidRPr="000A03FD">
        <w:t>cells/</w:t>
      </w:r>
      <w:r w:rsidRPr="000A03FD">
        <w:rPr>
          <w:rFonts w:cstheme="minorHAnsi"/>
        </w:rPr>
        <w:t>µ</w:t>
      </w:r>
      <w:r w:rsidRPr="000A03FD">
        <w:t>L if they had received</w:t>
      </w:r>
      <w:r w:rsidR="004E2B3B" w:rsidRPr="000A03FD">
        <w:t xml:space="preserve"> oral corticosteroid</w:t>
      </w:r>
      <w:r w:rsidRPr="000A03FD">
        <w:t xml:space="preserve"> </w:t>
      </w:r>
      <w:r w:rsidR="004E2B3B" w:rsidRPr="000A03FD">
        <w:t>(</w:t>
      </w:r>
      <w:r w:rsidRPr="000A03FD">
        <w:t>OCS</w:t>
      </w:r>
      <w:r w:rsidR="004E2B3B" w:rsidRPr="000A03FD">
        <w:t>)</w:t>
      </w:r>
      <w:r w:rsidRPr="000A03FD">
        <w:t xml:space="preserve"> in the past 12 months to access initial mepolizumab treatment was inconsistent with the PBAC consideration</w:t>
      </w:r>
      <w:r w:rsidR="005603EC" w:rsidRPr="000A03FD">
        <w:t xml:space="preserve"> of the previous submission that </w:t>
      </w:r>
      <w:r w:rsidR="00B63F75" w:rsidRPr="000A03FD">
        <w:t>the BEC threshold for access</w:t>
      </w:r>
      <w:r w:rsidR="009E5EA7" w:rsidRPr="000A03FD">
        <w:t xml:space="preserve"> should be increased to </w:t>
      </w:r>
      <w:r w:rsidR="009E5EA7" w:rsidRPr="000A03FD">
        <w:rPr>
          <w:rFonts w:cstheme="minorHAnsi"/>
        </w:rPr>
        <w:t>≥</w:t>
      </w:r>
      <w:r w:rsidR="009E5EA7" w:rsidRPr="000A03FD">
        <w:t>300 cells/</w:t>
      </w:r>
      <w:r w:rsidR="009E5EA7" w:rsidRPr="000A03FD">
        <w:rPr>
          <w:rFonts w:cstheme="minorHAnsi"/>
        </w:rPr>
        <w:t>µ</w:t>
      </w:r>
      <w:r w:rsidR="009E5EA7" w:rsidRPr="000A03FD">
        <w:t>L</w:t>
      </w:r>
      <w:r w:rsidRPr="000A03FD">
        <w:t xml:space="preserve"> (paragraph 7.1, mepolizumab</w:t>
      </w:r>
      <w:r w:rsidR="00571B0C" w:rsidRPr="000A03FD">
        <w:t xml:space="preserve"> Public Summary Document</w:t>
      </w:r>
      <w:r w:rsidR="006A1B32">
        <w:t xml:space="preserve"> [PSD]</w:t>
      </w:r>
      <w:r w:rsidR="00571B0C" w:rsidRPr="000A03FD">
        <w:t>,</w:t>
      </w:r>
      <w:r w:rsidRPr="000A03FD">
        <w:t xml:space="preserve"> November 2021</w:t>
      </w:r>
      <w:r w:rsidR="006E65D0" w:rsidRPr="000A03FD">
        <w:t xml:space="preserve"> PBAC meeting</w:t>
      </w:r>
      <w:r w:rsidRPr="000A03FD">
        <w:t>) and may not be reasonable for the following reasons</w:t>
      </w:r>
      <w:r w:rsidR="00C06F53" w:rsidRPr="000A03FD">
        <w:t>:</w:t>
      </w:r>
      <w:bookmarkEnd w:id="16"/>
    </w:p>
    <w:p w14:paraId="0AC762BD" w14:textId="1F8D5A3B" w:rsidR="00C06F53" w:rsidRPr="000A03FD" w:rsidRDefault="004E2B3B" w:rsidP="0046635A">
      <w:pPr>
        <w:pStyle w:val="3-BodyText"/>
        <w:numPr>
          <w:ilvl w:val="0"/>
          <w:numId w:val="12"/>
        </w:numPr>
      </w:pPr>
      <w:r w:rsidRPr="000A03FD">
        <w:t>ESC had previously considered that the inclusion of prior OCS use in the past 12 months as part of the restriction could lead to inappropriate use of OCS to meet the restriction criteria (paragraph 3.8, mepolizumab</w:t>
      </w:r>
      <w:r w:rsidR="00571B0C" w:rsidRPr="000A03FD">
        <w:t xml:space="preserve"> </w:t>
      </w:r>
      <w:r w:rsidR="006A1B32">
        <w:t>PSD</w:t>
      </w:r>
      <w:r w:rsidR="00571B0C" w:rsidRPr="000A03FD">
        <w:t>,</w:t>
      </w:r>
      <w:r w:rsidRPr="000A03FD">
        <w:t xml:space="preserve"> November 2021</w:t>
      </w:r>
      <w:r w:rsidR="006E65D0" w:rsidRPr="000A03FD">
        <w:t xml:space="preserve"> PBAC meeting</w:t>
      </w:r>
      <w:r w:rsidRPr="000A03FD">
        <w:t xml:space="preserve">). The resubmission’s proposed restriction would have a similar effect in that patients may be incentivised to use OCS even when it is not </w:t>
      </w:r>
      <w:r w:rsidR="008B5C19" w:rsidRPr="000A03FD">
        <w:t xml:space="preserve">clinically </w:t>
      </w:r>
      <w:r w:rsidRPr="000A03FD">
        <w:t>appropriate in order to meet the lower baseline BEC threshold to become eligible for mepolizumab treatment;</w:t>
      </w:r>
      <w:r w:rsidR="008B5C19" w:rsidRPr="000A03FD">
        <w:t xml:space="preserve"> and</w:t>
      </w:r>
    </w:p>
    <w:p w14:paraId="3E4A0DB4" w14:textId="043349C3" w:rsidR="00B57D0B" w:rsidRPr="000A03FD" w:rsidRDefault="00B57D0B" w:rsidP="0046635A">
      <w:pPr>
        <w:pStyle w:val="3-BodyText"/>
        <w:numPr>
          <w:ilvl w:val="0"/>
          <w:numId w:val="12"/>
        </w:numPr>
      </w:pPr>
      <w:bookmarkStart w:id="17" w:name="_Ref111517723"/>
      <w:r w:rsidRPr="000A03FD">
        <w:t>The evidence used to inform the clinical claim, economic model and financial estimates in the resubmission utilised BEC ≥300 cells/</w:t>
      </w:r>
      <w:r w:rsidRPr="000A03FD">
        <w:rPr>
          <w:rFonts w:cstheme="minorHAnsi"/>
        </w:rPr>
        <w:t>µ</w:t>
      </w:r>
      <w:r w:rsidRPr="000A03FD">
        <w:t xml:space="preserve">L </w:t>
      </w:r>
      <w:r w:rsidR="002774D1" w:rsidRPr="000A03FD">
        <w:t>subgroup</w:t>
      </w:r>
      <w:r w:rsidRPr="000A03FD">
        <w:t xml:space="preserve"> data</w:t>
      </w:r>
      <w:r w:rsidR="00BC0D04" w:rsidRPr="000A03FD">
        <w:t xml:space="preserve"> from the SYNAPSE trial</w:t>
      </w:r>
      <w:r w:rsidRPr="000A03FD">
        <w:t xml:space="preserve">. As such, the clinical, economic and financial data in the resubmission </w:t>
      </w:r>
      <w:r w:rsidR="002774D1" w:rsidRPr="000A03FD">
        <w:t xml:space="preserve">may not be </w:t>
      </w:r>
      <w:r w:rsidRPr="000A03FD">
        <w:t>applicable to the subset of patients with a BEC ≥150 but &lt;300 cells/</w:t>
      </w:r>
      <w:r w:rsidRPr="000A03FD">
        <w:rPr>
          <w:rFonts w:cstheme="minorHAnsi"/>
        </w:rPr>
        <w:t>µ</w:t>
      </w:r>
      <w:r w:rsidRPr="000A03FD">
        <w:t>L who have had treatment with OCS in the past 12 months. It was unclear how many patients, or what proportion of the requested population, would become eligible for mepolizumab under this clinical criterion.</w:t>
      </w:r>
    </w:p>
    <w:p w14:paraId="1C1400C6" w14:textId="1C4D05FE" w:rsidR="00670222" w:rsidRPr="000A03FD" w:rsidRDefault="006166BF" w:rsidP="000F4AB9">
      <w:pPr>
        <w:pStyle w:val="3-BodyText"/>
        <w:numPr>
          <w:ilvl w:val="0"/>
          <w:numId w:val="0"/>
        </w:numPr>
        <w:ind w:left="720"/>
      </w:pPr>
      <w:bookmarkStart w:id="18" w:name="_Ref111525170"/>
      <w:bookmarkStart w:id="19" w:name="_Ref111517789"/>
      <w:bookmarkEnd w:id="17"/>
      <w:r w:rsidRPr="000A03FD">
        <w:t>The PSCR</w:t>
      </w:r>
      <w:r w:rsidR="0065460C" w:rsidRPr="000A03FD">
        <w:t xml:space="preserve"> </w:t>
      </w:r>
      <w:r w:rsidR="00B804DE" w:rsidRPr="000A03FD">
        <w:t>noted the proposed restriction would require patients to be on OCS treatment at the time of registering a BEC between ≥150 cells/µL and &lt;300 cells/µL if they were to meet eligibility via this criterion. The PSCR reiterated that a retrospective longitudinal study (Ortega 2019) indicated BEC levels are suppressed by between 30-</w:t>
      </w:r>
      <w:r w:rsidR="00B804DE" w:rsidRPr="000A03FD">
        <w:lastRenderedPageBreak/>
        <w:t xml:space="preserve">36% after systemic corticosteroid treatment and gradually return to near index levels by 3 months post-treatment. The ESC acknowledged the </w:t>
      </w:r>
      <w:r w:rsidR="00694B95" w:rsidRPr="000A03FD">
        <w:t>sensitivity of</w:t>
      </w:r>
      <w:r w:rsidR="00B804DE" w:rsidRPr="000A03FD">
        <w:t xml:space="preserve"> BEC </w:t>
      </w:r>
      <w:r w:rsidR="00694B95" w:rsidRPr="000A03FD">
        <w:t>to OCS</w:t>
      </w:r>
      <w:r w:rsidR="00B804DE" w:rsidRPr="000A03FD">
        <w:t xml:space="preserve"> and considered it may be reasonable for the restriction to include </w:t>
      </w:r>
      <w:r w:rsidR="00694B95" w:rsidRPr="000A03FD">
        <w:t>the</w:t>
      </w:r>
      <w:r w:rsidR="00B804DE" w:rsidRPr="000A03FD">
        <w:t xml:space="preserve"> BEC </w:t>
      </w:r>
      <w:r w:rsidR="00694B95" w:rsidRPr="000A03FD">
        <w:t>≥150 cells/</w:t>
      </w:r>
      <w:r w:rsidR="00694B95" w:rsidRPr="000A03FD">
        <w:rPr>
          <w:rFonts w:cstheme="minorHAnsi"/>
        </w:rPr>
        <w:t>µ</w:t>
      </w:r>
      <w:r w:rsidR="00694B95" w:rsidRPr="000A03FD">
        <w:t xml:space="preserve">L while on OCS criterion. </w:t>
      </w:r>
      <w:bookmarkEnd w:id="18"/>
    </w:p>
    <w:p w14:paraId="1F9885ED" w14:textId="1C088693" w:rsidR="00687953" w:rsidRPr="000A03FD" w:rsidRDefault="00936C1C" w:rsidP="00F9393E">
      <w:pPr>
        <w:pStyle w:val="3-BodyText"/>
      </w:pPr>
      <w:bookmarkStart w:id="20" w:name="_Ref117072253"/>
      <w:r w:rsidRPr="000A03FD">
        <w:t xml:space="preserve">The </w:t>
      </w:r>
      <w:r w:rsidR="006E4405" w:rsidRPr="000A03FD">
        <w:t xml:space="preserve">requirement for patients to discontinue </w:t>
      </w:r>
      <w:r w:rsidR="00752A7D" w:rsidRPr="000A03FD">
        <w:t xml:space="preserve">mepolizumab treatment after undergoing NP surgery </w:t>
      </w:r>
      <w:r w:rsidR="004B499A" w:rsidRPr="000A03FD">
        <w:t xml:space="preserve">may cause equity issues for </w:t>
      </w:r>
      <w:r w:rsidR="004662EE" w:rsidRPr="000A03FD">
        <w:t xml:space="preserve">patients who meet the continuing treatment response criteria but still require NP surgery. These patients may be forced to </w:t>
      </w:r>
      <w:r w:rsidR="006404F3" w:rsidRPr="000A03FD">
        <w:t xml:space="preserve">choose between continuing responsive mepolizumab treatment or potentially successful NP surgery. </w:t>
      </w:r>
      <w:r w:rsidR="000E02A5" w:rsidRPr="000A03FD">
        <w:t>In the previous submission, ESC noted that symptomatic improvements can occur in patients without a change in the size of NPs (Paragraph 3.5, 6.04, mepolizumab</w:t>
      </w:r>
      <w:r w:rsidR="00571B0C" w:rsidRPr="000A03FD">
        <w:t xml:space="preserve"> </w:t>
      </w:r>
      <w:r w:rsidR="006A1B32">
        <w:t>PSD</w:t>
      </w:r>
      <w:r w:rsidR="00571B0C" w:rsidRPr="000A03FD">
        <w:t>,</w:t>
      </w:r>
      <w:r w:rsidR="000E02A5" w:rsidRPr="000A03FD">
        <w:t xml:space="preserve"> November 2021</w:t>
      </w:r>
      <w:r w:rsidR="006E65D0" w:rsidRPr="000A03FD">
        <w:t xml:space="preserve"> PBAC meeting</w:t>
      </w:r>
      <w:r w:rsidR="000E02A5" w:rsidRPr="000A03FD">
        <w:t>)</w:t>
      </w:r>
      <w:r w:rsidR="002F2A97" w:rsidRPr="000A03FD">
        <w:t xml:space="preserve"> therefore NP surgery may still be beneficial for patients who are responding to mepolizumab treatment</w:t>
      </w:r>
      <w:r w:rsidR="000E02A5" w:rsidRPr="000A03FD">
        <w:t xml:space="preserve">. </w:t>
      </w:r>
      <w:r w:rsidR="00FB0C81" w:rsidRPr="000A03FD">
        <w:t>These patients would be unable to re-trial mepolizumab for at least 12 months under the requested restriction for initial treatment.</w:t>
      </w:r>
      <w:bookmarkEnd w:id="19"/>
      <w:r w:rsidR="007B0BC5" w:rsidRPr="000A03FD">
        <w:t xml:space="preserve"> In the pivotal SYNAPSE trial, patients could continue mepolizumab treatment after NP surgery, unlike the requested restrictions which would cause a patient to discontinue treatment. This may be an important applicability issue with the clinical evidence as 9% and 23% of mepolizumab and placebo-arm patients respectively underwent NP surgery in the 52-week treatment period of SYNAPSE (see </w:t>
      </w:r>
      <w:r w:rsidR="007B0BC5" w:rsidRPr="000A03FD">
        <w:fldChar w:fldCharType="begin" w:fldLock="1"/>
      </w:r>
      <w:r w:rsidR="007B0BC5" w:rsidRPr="000A03FD">
        <w:instrText xml:space="preserve"> REF _Ref111518005 \h  \* MERGEFORMAT </w:instrText>
      </w:r>
      <w:r w:rsidR="007B0BC5" w:rsidRPr="000A03FD">
        <w:fldChar w:fldCharType="separate"/>
      </w:r>
      <w:r w:rsidR="00625A18" w:rsidRPr="000A03FD">
        <w:t>Table 8</w:t>
      </w:r>
      <w:r w:rsidR="007B0BC5" w:rsidRPr="000A03FD">
        <w:fldChar w:fldCharType="end"/>
      </w:r>
      <w:r w:rsidR="007B0BC5" w:rsidRPr="000A03FD">
        <w:t>).</w:t>
      </w:r>
      <w:r w:rsidR="00107E93" w:rsidRPr="000A03FD">
        <w:t xml:space="preserve"> </w:t>
      </w:r>
      <w:r w:rsidR="00FC783D" w:rsidRPr="000A03FD">
        <w:t xml:space="preserve">The </w:t>
      </w:r>
      <w:r w:rsidR="00866B1F" w:rsidRPr="000A03FD">
        <w:t xml:space="preserve">PSCR stated </w:t>
      </w:r>
      <w:r w:rsidR="00BE26FC" w:rsidRPr="000A03FD">
        <w:t xml:space="preserve">that if the patient had surgery and the nasal polyps were removed, they would not require mepolizumab. Further the PSCR argued that if their nasal polyps or symptoms returned following surgery sufficient to meet the initiation criteria, they would be eligible to be treated with mepolizumab. </w:t>
      </w:r>
      <w:r w:rsidR="00866B1F" w:rsidRPr="000A03FD">
        <w:t xml:space="preserve">The </w:t>
      </w:r>
      <w:r w:rsidR="00FC783D" w:rsidRPr="000A03FD">
        <w:t xml:space="preserve">ESC </w:t>
      </w:r>
      <w:r w:rsidR="00BE26FC" w:rsidRPr="000A03FD">
        <w:t>agreed with the evaluation that there may be situations where patients responding to mepolizumab still require surgery</w:t>
      </w:r>
      <w:r w:rsidR="008A20B5" w:rsidRPr="000A03FD">
        <w:t>.</w:t>
      </w:r>
      <w:r w:rsidR="00BE26FC" w:rsidRPr="000A03FD">
        <w:t xml:space="preserve"> </w:t>
      </w:r>
      <w:bookmarkEnd w:id="20"/>
    </w:p>
    <w:p w14:paraId="3F0D564B" w14:textId="65AB558C" w:rsidR="00E40E7F" w:rsidRPr="000A03FD" w:rsidRDefault="00687953" w:rsidP="00687953">
      <w:pPr>
        <w:pStyle w:val="3-BodyText"/>
        <w:rPr>
          <w:i/>
          <w:iCs/>
        </w:rPr>
      </w:pPr>
      <w:bookmarkStart w:id="21" w:name="_Ref111517744"/>
      <w:bookmarkStart w:id="22" w:name="_Ref116047246"/>
      <w:r w:rsidRPr="000A03FD">
        <w:t xml:space="preserve">Under the requested restrictions, patients could re-trial mepolizumab after a 12-month treatment break. </w:t>
      </w:r>
      <w:r w:rsidR="00147C69" w:rsidRPr="000A03FD">
        <w:t>However t</w:t>
      </w:r>
      <w:r w:rsidRPr="000A03FD">
        <w:t xml:space="preserve">here was no clinical, economic or financial evidence </w:t>
      </w:r>
      <w:r w:rsidR="00B4778D" w:rsidRPr="000A03FD">
        <w:t>presented in the resubmission for this sub-set of patients and may be an important applicability issue</w:t>
      </w:r>
      <w:r w:rsidR="00C61CA0" w:rsidRPr="000A03FD">
        <w:t>.</w:t>
      </w:r>
      <w:r w:rsidR="00A92056" w:rsidRPr="000A03FD">
        <w:t xml:space="preserve"> </w:t>
      </w:r>
      <w:bookmarkEnd w:id="21"/>
      <w:r w:rsidR="004A5132" w:rsidRPr="000A03FD">
        <w:t xml:space="preserve">The PSCR stated that the requirement for a minimum break of 12 months was consistent with the PBS restriction criteria for mepolizumab in </w:t>
      </w:r>
      <w:r w:rsidR="00107E93" w:rsidRPr="000A03FD">
        <w:t xml:space="preserve">uncontrolled </w:t>
      </w:r>
      <w:r w:rsidR="004A5132" w:rsidRPr="000A03FD">
        <w:t xml:space="preserve">severe asthma. The ESC noted that </w:t>
      </w:r>
      <w:r w:rsidR="00107E93" w:rsidRPr="000A03FD">
        <w:t xml:space="preserve">one of </w:t>
      </w:r>
      <w:r w:rsidR="004A5132" w:rsidRPr="000A03FD">
        <w:t xml:space="preserve">the </w:t>
      </w:r>
      <w:r w:rsidR="00107E93" w:rsidRPr="000A03FD">
        <w:t>initial treatment clinical criteria</w:t>
      </w:r>
      <w:r w:rsidR="004A5132" w:rsidRPr="000A03FD">
        <w:t xml:space="preserve"> for mepolizumab for </w:t>
      </w:r>
      <w:r w:rsidR="00107E93" w:rsidRPr="000A03FD">
        <w:t xml:space="preserve">uncontrolled </w:t>
      </w:r>
      <w:r w:rsidR="004A5132" w:rsidRPr="000A03FD">
        <w:t xml:space="preserve">severe asthma </w:t>
      </w:r>
      <w:r w:rsidR="00107E93" w:rsidRPr="000A03FD">
        <w:t xml:space="preserve">was ‘Patient must not have failed, or ceased to respond to, PBS-subsidised treatment with this drug for severe asthma during the current treatment cycle’. </w:t>
      </w:r>
      <w:r w:rsidR="004A5132" w:rsidRPr="000A03FD">
        <w:t xml:space="preserve">The ESC considered that it may be appropriate for the </w:t>
      </w:r>
      <w:r w:rsidR="00107E93" w:rsidRPr="000A03FD">
        <w:t xml:space="preserve">initial treatment </w:t>
      </w:r>
      <w:r w:rsidR="004A5132" w:rsidRPr="000A03FD">
        <w:t xml:space="preserve">clinical criteria to be amended to include reference to the need </w:t>
      </w:r>
      <w:r w:rsidR="00107E93" w:rsidRPr="000A03FD">
        <w:t>to have</w:t>
      </w:r>
      <w:r w:rsidR="004A5132" w:rsidRPr="000A03FD">
        <w:t xml:space="preserve"> ‘have failed, or ceased </w:t>
      </w:r>
      <w:r w:rsidR="00107E93" w:rsidRPr="000A03FD">
        <w:t xml:space="preserve">to respond to’ with respect to the treatment break. </w:t>
      </w:r>
      <w:bookmarkEnd w:id="22"/>
    </w:p>
    <w:p w14:paraId="1BE7377E" w14:textId="6E71891C" w:rsidR="00497769" w:rsidRPr="000A03FD" w:rsidRDefault="00BD1A5D" w:rsidP="00F9393E">
      <w:pPr>
        <w:pStyle w:val="3-BodyText"/>
      </w:pPr>
      <w:r w:rsidRPr="000A03FD">
        <w:t xml:space="preserve">The eligibility criteria in the pivotal SYNAPSE trial </w:t>
      </w:r>
      <w:r w:rsidR="00416D1E" w:rsidRPr="000A03FD">
        <w:t xml:space="preserve">also </w:t>
      </w:r>
      <w:r w:rsidRPr="000A03FD">
        <w:t>did not fully align with the requested restrictions</w:t>
      </w:r>
      <w:r w:rsidR="00A70619" w:rsidRPr="000A03FD">
        <w:t>.</w:t>
      </w:r>
      <w:r w:rsidR="00491F30" w:rsidRPr="000A03FD">
        <w:t xml:space="preserve"> </w:t>
      </w:r>
      <w:r w:rsidR="00C24E74" w:rsidRPr="000A03FD">
        <w:t>The requested restrictions were broader than the eligibility criteria in SYNAPSE, which required patients to:</w:t>
      </w:r>
    </w:p>
    <w:p w14:paraId="4FE3455B" w14:textId="78FDC608" w:rsidR="009B53D9" w:rsidRPr="000A03FD" w:rsidRDefault="008B0664" w:rsidP="0046635A">
      <w:pPr>
        <w:pStyle w:val="3-BodyText"/>
        <w:numPr>
          <w:ilvl w:val="0"/>
          <w:numId w:val="13"/>
        </w:numPr>
      </w:pPr>
      <w:r w:rsidRPr="000A03FD">
        <w:lastRenderedPageBreak/>
        <w:t>Have</w:t>
      </w:r>
      <w:r w:rsidR="00F10F1A" w:rsidRPr="000A03FD">
        <w:t xml:space="preserve"> all three of</w:t>
      </w:r>
      <w:r w:rsidR="00490073" w:rsidRPr="000A03FD">
        <w:t xml:space="preserve"> endoscopic nasal polyp (</w:t>
      </w:r>
      <w:r w:rsidR="00F10F1A" w:rsidRPr="000A03FD">
        <w:t>ENP</w:t>
      </w:r>
      <w:r w:rsidR="00490073" w:rsidRPr="000A03FD">
        <w:t>)</w:t>
      </w:r>
      <w:r w:rsidR="00F10F1A" w:rsidRPr="000A03FD">
        <w:t xml:space="preserve"> score </w:t>
      </w:r>
      <w:r w:rsidR="00F10F1A" w:rsidRPr="000A03FD">
        <w:rPr>
          <w:rFonts w:cstheme="minorHAnsi"/>
        </w:rPr>
        <w:t>≥</w:t>
      </w:r>
      <w:r w:rsidR="00664A0E" w:rsidRPr="000A03FD">
        <w:t xml:space="preserve">5, </w:t>
      </w:r>
      <w:r w:rsidR="00490073" w:rsidRPr="000A03FD">
        <w:t>nasal obstruction (NO)</w:t>
      </w:r>
      <w:r w:rsidR="00F32F62" w:rsidRPr="000A03FD">
        <w:t xml:space="preserve"> </w:t>
      </w:r>
      <w:r w:rsidR="00664A0E" w:rsidRPr="000A03FD">
        <w:t xml:space="preserve">VAS score </w:t>
      </w:r>
      <w:r w:rsidR="00664A0E" w:rsidRPr="000A03FD">
        <w:rPr>
          <w:rFonts w:cstheme="minorHAnsi"/>
        </w:rPr>
        <w:t xml:space="preserve">&gt;5 and </w:t>
      </w:r>
      <w:r w:rsidR="003E75E5" w:rsidRPr="000A03FD">
        <w:rPr>
          <w:rFonts w:cstheme="minorHAnsi"/>
        </w:rPr>
        <w:t xml:space="preserve">overall VAS score &gt;7. </w:t>
      </w:r>
      <w:r w:rsidR="000E7E14" w:rsidRPr="000A03FD">
        <w:rPr>
          <w:rFonts w:cstheme="minorHAnsi"/>
        </w:rPr>
        <w:t>Comparatively, t</w:t>
      </w:r>
      <w:r w:rsidR="00185F30" w:rsidRPr="000A03FD">
        <w:rPr>
          <w:rFonts w:cstheme="minorHAnsi"/>
        </w:rPr>
        <w:t xml:space="preserve">he requested restrictions required </w:t>
      </w:r>
      <w:r w:rsidR="000E7E14" w:rsidRPr="000A03FD">
        <w:rPr>
          <w:rFonts w:cstheme="minorHAnsi"/>
        </w:rPr>
        <w:t>at least two of the three</w:t>
      </w:r>
      <w:r w:rsidR="00416D1E" w:rsidRPr="000A03FD">
        <w:rPr>
          <w:rFonts w:cstheme="minorHAnsi"/>
        </w:rPr>
        <w:t>;</w:t>
      </w:r>
    </w:p>
    <w:p w14:paraId="70DB3B99" w14:textId="25C32A11" w:rsidR="00B178C2" w:rsidRPr="000A03FD" w:rsidRDefault="00EF2DD6" w:rsidP="0046635A">
      <w:pPr>
        <w:pStyle w:val="3-BodyText"/>
        <w:numPr>
          <w:ilvl w:val="0"/>
          <w:numId w:val="13"/>
        </w:numPr>
      </w:pPr>
      <w:r w:rsidRPr="000A03FD">
        <w:t>Have received intra</w:t>
      </w:r>
      <w:r w:rsidR="00D67131" w:rsidRPr="000A03FD">
        <w:t>-nasal corticosteroids (INCS) for at least eight weeks prior to screening</w:t>
      </w:r>
      <w:r w:rsidR="00CC4A49" w:rsidRPr="000A03FD">
        <w:t xml:space="preserve">. The requested restrictions required </w:t>
      </w:r>
      <w:r w:rsidR="00862162" w:rsidRPr="000A03FD">
        <w:t>patients to have received INCS for at least two months, without stating the recency of the two months, or to be contraindicated or intolerant to INCS</w:t>
      </w:r>
      <w:r w:rsidR="009B422F" w:rsidRPr="000A03FD">
        <w:t xml:space="preserve">. In addition, the ESC noted that the SYNAPSE trial </w:t>
      </w:r>
      <w:r w:rsidR="009D0E6D" w:rsidRPr="000A03FD">
        <w:t xml:space="preserve">included saline nasal douching, </w:t>
      </w:r>
      <w:r w:rsidR="009B422F" w:rsidRPr="000A03FD">
        <w:t xml:space="preserve">if required, </w:t>
      </w:r>
      <w:r w:rsidR="009D0E6D" w:rsidRPr="000A03FD">
        <w:t>as part of concomitant therapy and considered it may be appropriate to reference it in the prescribing instruction defining optimised nasal polyp therapy</w:t>
      </w:r>
      <w:r w:rsidR="00416D1E" w:rsidRPr="000A03FD">
        <w:t>; and</w:t>
      </w:r>
    </w:p>
    <w:p w14:paraId="6DD00A44" w14:textId="2E3FC214" w:rsidR="00416D1E" w:rsidRPr="000A03FD" w:rsidRDefault="00416D1E" w:rsidP="0046635A">
      <w:pPr>
        <w:pStyle w:val="3-BodyText"/>
        <w:numPr>
          <w:ilvl w:val="0"/>
          <w:numId w:val="13"/>
        </w:numPr>
      </w:pPr>
      <w:r w:rsidRPr="000A03FD">
        <w:t xml:space="preserve">Have had at least one NP surgery in the past 10 years. However the requested restrictions allow patients to who were unsuitable for NP surgery to access mepolizumab. DUSC had previously considered that </w:t>
      </w:r>
      <w:r w:rsidR="00BC0D04" w:rsidRPr="000A03FD">
        <w:t>a</w:t>
      </w:r>
      <w:r w:rsidRPr="000A03FD">
        <w:t>s CRSwNP prevalence is greater in people aged 60 years and over, there could be a large population of patients who are unsuitable for surgery and eligible for mepolizumab treatment. (paragraph 6.62, mepolizumab</w:t>
      </w:r>
      <w:r w:rsidR="00571B0C" w:rsidRPr="000A03FD">
        <w:t xml:space="preserve"> </w:t>
      </w:r>
      <w:r w:rsidR="006A1B32">
        <w:t>PSD</w:t>
      </w:r>
      <w:r w:rsidR="00571B0C" w:rsidRPr="000A03FD">
        <w:t>,</w:t>
      </w:r>
      <w:r w:rsidRPr="000A03FD">
        <w:t xml:space="preserve"> November 2021</w:t>
      </w:r>
      <w:r w:rsidR="006E65D0" w:rsidRPr="000A03FD">
        <w:t xml:space="preserve"> PBAC meeting</w:t>
      </w:r>
      <w:r w:rsidRPr="000A03FD">
        <w:t xml:space="preserve">) </w:t>
      </w:r>
    </w:p>
    <w:p w14:paraId="2BB137D3" w14:textId="5031FE8D" w:rsidR="00916CD2" w:rsidRPr="000A03FD" w:rsidRDefault="00916CD2" w:rsidP="00916CD2">
      <w:pPr>
        <w:pStyle w:val="3-BodyText"/>
      </w:pPr>
      <w:r w:rsidRPr="000A03FD">
        <w:t xml:space="preserve">The requested restrictions included only patients with a BEC </w:t>
      </w:r>
      <w:r w:rsidRPr="000A03FD">
        <w:rPr>
          <w:rFonts w:cstheme="minorHAnsi"/>
        </w:rPr>
        <w:t>≥</w:t>
      </w:r>
      <w:r w:rsidRPr="000A03FD">
        <w:t>300 cells/</w:t>
      </w:r>
      <w:r w:rsidRPr="000A03FD">
        <w:rPr>
          <w:rFonts w:cstheme="minorHAnsi"/>
        </w:rPr>
        <w:t>µ</w:t>
      </w:r>
      <w:r w:rsidRPr="000A03FD">
        <w:t>L</w:t>
      </w:r>
      <w:r w:rsidR="00BB4D89">
        <w:t xml:space="preserve"> (or </w:t>
      </w:r>
      <w:r w:rsidR="00BB4D89" w:rsidRPr="000A03FD">
        <w:t>BEC ≥150 cells/</w:t>
      </w:r>
      <w:r w:rsidR="00BB4D89" w:rsidRPr="000A03FD">
        <w:rPr>
          <w:rFonts w:cstheme="minorHAnsi"/>
        </w:rPr>
        <w:t>µ</w:t>
      </w:r>
      <w:r w:rsidR="00BB4D89" w:rsidRPr="000A03FD">
        <w:t>L while on OCS</w:t>
      </w:r>
      <w:r w:rsidR="00BB4D89">
        <w:t>)</w:t>
      </w:r>
      <w:r w:rsidRPr="000A03FD">
        <w:t xml:space="preserve">, which was narrower than in SYNAPSE which did not </w:t>
      </w:r>
      <w:r w:rsidR="00BC0D04" w:rsidRPr="000A03FD">
        <w:t xml:space="preserve">include </w:t>
      </w:r>
      <w:r w:rsidRPr="000A03FD">
        <w:t>a BEC threshold requirement. However, restricting use of mepolizumab to this subgroup of patients was consistent with PBAC’s previous consideration of the appropriate BEC threshold for eligibility to mepolizumab for the treatment of CRSwNP (paragraph 7.5, mepolizumab</w:t>
      </w:r>
      <w:r w:rsidR="00571B0C" w:rsidRPr="000A03FD">
        <w:t xml:space="preserve"> </w:t>
      </w:r>
      <w:r w:rsidR="006A1B32">
        <w:t>PSD</w:t>
      </w:r>
      <w:r w:rsidR="00571B0C" w:rsidRPr="000A03FD">
        <w:t>,</w:t>
      </w:r>
      <w:r w:rsidRPr="000A03FD">
        <w:t xml:space="preserve"> November 2021</w:t>
      </w:r>
      <w:r w:rsidR="006E65D0" w:rsidRPr="000A03FD">
        <w:t xml:space="preserve"> PBAC meeting</w:t>
      </w:r>
      <w:r w:rsidRPr="000A03FD">
        <w:t>).</w:t>
      </w:r>
    </w:p>
    <w:p w14:paraId="50DF3000" w14:textId="70D471B1" w:rsidR="00CC35EA" w:rsidRPr="000A03FD" w:rsidRDefault="00AC5E2E" w:rsidP="00B12D74">
      <w:pPr>
        <w:pStyle w:val="3-BodyText"/>
        <w:rPr>
          <w:i/>
          <w:iCs/>
        </w:rPr>
      </w:pPr>
      <w:r w:rsidRPr="000A03FD">
        <w:t xml:space="preserve">The requested restrictions were </w:t>
      </w:r>
      <w:r w:rsidR="001D724D" w:rsidRPr="000A03FD">
        <w:t>also narrower than the approved TGA indication</w:t>
      </w:r>
      <w:r w:rsidR="005E40BF" w:rsidRPr="000A03FD">
        <w:t xml:space="preserve"> which does no</w:t>
      </w:r>
      <w:r w:rsidR="00506D2C" w:rsidRPr="000A03FD">
        <w:t>t</w:t>
      </w:r>
      <w:r w:rsidR="005E40BF" w:rsidRPr="000A03FD">
        <w:t xml:space="preserve"> define ‘severe’ CRSwN</w:t>
      </w:r>
      <w:r w:rsidR="005A7E0E" w:rsidRPr="000A03FD">
        <w:t>P</w:t>
      </w:r>
      <w:r w:rsidR="005E40BF" w:rsidRPr="000A03FD">
        <w:t xml:space="preserve"> or ‘</w:t>
      </w:r>
      <w:r w:rsidR="005A7E0E" w:rsidRPr="000A03FD">
        <w:t>inadequate</w:t>
      </w:r>
      <w:r w:rsidR="005E40BF" w:rsidRPr="000A03FD">
        <w:t xml:space="preserve"> response’</w:t>
      </w:r>
      <w:r w:rsidR="00506D2C" w:rsidRPr="000A03FD">
        <w:t>,</w:t>
      </w:r>
      <w:r w:rsidR="001D724D" w:rsidRPr="000A03FD">
        <w:t xml:space="preserve"> </w:t>
      </w:r>
      <w:r w:rsidR="00506D2C" w:rsidRPr="000A03FD">
        <w:t xml:space="preserve">does not require prior NP surgery and does not have a BEC requirement </w:t>
      </w:r>
      <w:r w:rsidR="001D724D" w:rsidRPr="000A03FD">
        <w:t xml:space="preserve">(see paragraph </w:t>
      </w:r>
      <w:r w:rsidR="00916CD2" w:rsidRPr="000A03FD">
        <w:fldChar w:fldCharType="begin" w:fldLock="1"/>
      </w:r>
      <w:r w:rsidR="00916CD2" w:rsidRPr="000A03FD">
        <w:instrText xml:space="preserve"> REF _Ref111518834 \r \h </w:instrText>
      </w:r>
      <w:r w:rsidR="00053F23" w:rsidRPr="000A03FD">
        <w:instrText xml:space="preserve"> \* MERGEFORMAT </w:instrText>
      </w:r>
      <w:r w:rsidR="00916CD2" w:rsidRPr="000A03FD">
        <w:fldChar w:fldCharType="separate"/>
      </w:r>
      <w:r w:rsidR="009849D7">
        <w:t>2.1</w:t>
      </w:r>
      <w:r w:rsidR="00916CD2" w:rsidRPr="000A03FD">
        <w:fldChar w:fldCharType="end"/>
      </w:r>
      <w:r w:rsidR="001D724D" w:rsidRPr="000A03FD">
        <w:t>)</w:t>
      </w:r>
      <w:r w:rsidR="00506D2C" w:rsidRPr="000A03FD">
        <w:t>.</w:t>
      </w:r>
      <w:r w:rsidR="00AE2952" w:rsidRPr="000A03FD">
        <w:rPr>
          <w:i/>
          <w:iCs/>
        </w:rPr>
        <w:t xml:space="preserve"> </w:t>
      </w:r>
    </w:p>
    <w:p w14:paraId="1EA60C6A" w14:textId="5D8D241A" w:rsidR="00193643" w:rsidRPr="000A03FD" w:rsidRDefault="00193643" w:rsidP="00B12D74">
      <w:pPr>
        <w:pStyle w:val="3-BodyText"/>
      </w:pPr>
      <w:bookmarkStart w:id="23" w:name="_Ref119323253"/>
      <w:r w:rsidRPr="000A03FD">
        <w:t>The ESC noted the clinical criteria that ‘the treatment must not be used in combination with and within 4 weeks of another PBS-subsidised biological medicine prescribed for nasal polyps or severe eosinophilic asthma’. The ESC advised that combinations with biological medicines for indications other than NP or severe eosinophilic asthma</w:t>
      </w:r>
      <w:r w:rsidR="00F24A4F" w:rsidRPr="000A03FD">
        <w:t xml:space="preserve">, which may have efficacy for </w:t>
      </w:r>
      <w:r w:rsidR="00F06B34" w:rsidRPr="000A03FD">
        <w:t>CRSwNP</w:t>
      </w:r>
      <w:r w:rsidR="00F24A4F" w:rsidRPr="000A03FD">
        <w:t>,</w:t>
      </w:r>
      <w:r w:rsidRPr="000A03FD">
        <w:t xml:space="preserve"> should also be included as part of this criterion.</w:t>
      </w:r>
      <w:bookmarkEnd w:id="23"/>
      <w:r w:rsidRPr="000A03FD">
        <w:t xml:space="preserve"> </w:t>
      </w:r>
    </w:p>
    <w:p w14:paraId="0AAECFEB" w14:textId="1D694AE7" w:rsidR="003747D2" w:rsidRPr="000A03FD" w:rsidRDefault="003747D2" w:rsidP="003747D2">
      <w:pPr>
        <w:pStyle w:val="3-BodyText"/>
        <w:numPr>
          <w:ilvl w:val="0"/>
          <w:numId w:val="0"/>
        </w:numPr>
        <w:ind w:left="720"/>
      </w:pPr>
      <w:r w:rsidRPr="000A03FD">
        <w:rPr>
          <w:i/>
        </w:rPr>
        <w:t>For more detail on PBAC’s view, see section 7 PBAC outcome</w:t>
      </w:r>
    </w:p>
    <w:p w14:paraId="7075B85C" w14:textId="62A47B7B" w:rsidR="00B50DB8" w:rsidRPr="000A03FD" w:rsidDel="00195452" w:rsidRDefault="00203181" w:rsidP="004E18E9">
      <w:pPr>
        <w:pStyle w:val="2-SectionHeading"/>
      </w:pPr>
      <w:bookmarkStart w:id="24" w:name="_Toc113982840"/>
      <w:r w:rsidRPr="000A03FD" w:rsidDel="00195452">
        <w:t xml:space="preserve">Population and </w:t>
      </w:r>
      <w:r w:rsidR="008E0D3C" w:rsidRPr="000A03FD" w:rsidDel="00195452">
        <w:t>d</w:t>
      </w:r>
      <w:r w:rsidRPr="000A03FD" w:rsidDel="00195452">
        <w:t>isease</w:t>
      </w:r>
      <w:bookmarkEnd w:id="24"/>
    </w:p>
    <w:p w14:paraId="4165CBF5" w14:textId="2EDB2A8B" w:rsidR="0017405A" w:rsidRPr="000A03FD" w:rsidRDefault="00AB5BBE" w:rsidP="00861220">
      <w:pPr>
        <w:pStyle w:val="3-BodyText"/>
      </w:pPr>
      <w:r w:rsidRPr="000A03FD">
        <w:t>NP are chronic inflammatory outgrowths of the paranasal sinus mucosa (commonly the ethmoid sinuses) that present bilaterally along the middle and superior meatus and occur primarily in adults. NP greatly impact a patient’s</w:t>
      </w:r>
      <w:r w:rsidR="00AC076E" w:rsidRPr="000A03FD">
        <w:t xml:space="preserve"> </w:t>
      </w:r>
      <w:r w:rsidR="00E17C8F" w:rsidRPr="000A03FD">
        <w:t>health-related quality-of-life</w:t>
      </w:r>
      <w:r w:rsidRPr="000A03FD">
        <w:t xml:space="preserve"> </w:t>
      </w:r>
      <w:r w:rsidR="00E17C8F" w:rsidRPr="000A03FD">
        <w:t>(</w:t>
      </w:r>
      <w:r w:rsidRPr="000A03FD">
        <w:t>HRQoL</w:t>
      </w:r>
      <w:r w:rsidR="00E17C8F" w:rsidRPr="000A03FD">
        <w:t>)</w:t>
      </w:r>
      <w:r w:rsidRPr="000A03FD">
        <w:t xml:space="preserve"> through increases in nasal obstruction, loss of sense of smell, facial pain, facial pressure and nasal discharge; and the persistence of these symptoms leads to CRS. NP develop in the setting of chronic paranasal sinus inflammation and are </w:t>
      </w:r>
      <w:r w:rsidRPr="000A03FD">
        <w:lastRenderedPageBreak/>
        <w:t>therefore associated with CRS. In the last decade there has been a change in terminology in the medical literature and guidelines which acknowledges NP as a subtype of CRS (Hopkins, 2019) and the treatment algorithms for CRS depend mainly on the presence or absence of NP. While the pathogenesis of CRSwNP is not completely understood amidst significant microscopic and macroscopic disease heterogeneity, type 2 inflammation and eosinophils are thought to play a role (Schleimer 2017).</w:t>
      </w:r>
    </w:p>
    <w:p w14:paraId="6CC6AD5B" w14:textId="77777777" w:rsidR="005A7034" w:rsidRPr="000A03FD" w:rsidRDefault="005A7034" w:rsidP="005A7034">
      <w:pPr>
        <w:pStyle w:val="3-BodyText"/>
      </w:pPr>
      <w:r w:rsidRPr="000A03FD">
        <w:t xml:space="preserve">The target population in the resubmission were patients with </w:t>
      </w:r>
      <w:bookmarkStart w:id="25" w:name="_Hlk117516624"/>
      <w:r w:rsidRPr="000A03FD">
        <w:t>CRSwNP</w:t>
      </w:r>
      <w:bookmarkEnd w:id="25"/>
      <w:r w:rsidRPr="000A03FD">
        <w:t xml:space="preserve"> who have received at least one previous surgery for the removal of NP (unless not suitable for surgery) and failed to achieve adequate control with optimised NP therapy (INCS unless contraindicated or not tolerated), with a BEC </w:t>
      </w:r>
      <w:r w:rsidRPr="000A03FD">
        <w:rPr>
          <w:rFonts w:cstheme="minorHAnsi"/>
        </w:rPr>
        <w:t>≥</w:t>
      </w:r>
      <w:r w:rsidRPr="000A03FD">
        <w:t>300 cells/</w:t>
      </w:r>
      <w:r w:rsidRPr="000A03FD">
        <w:rPr>
          <w:rFonts w:cstheme="minorHAnsi"/>
        </w:rPr>
        <w:t>µ</w:t>
      </w:r>
      <w:r w:rsidRPr="000A03FD">
        <w:t xml:space="preserve">L or </w:t>
      </w:r>
      <w:r w:rsidRPr="000A03FD">
        <w:rPr>
          <w:rFonts w:cstheme="minorHAnsi"/>
        </w:rPr>
        <w:t>≥</w:t>
      </w:r>
      <w:r w:rsidRPr="000A03FD">
        <w:t>150 cells/</w:t>
      </w:r>
      <w:r w:rsidRPr="000A03FD">
        <w:rPr>
          <w:rFonts w:cstheme="minorHAnsi"/>
        </w:rPr>
        <w:t>µ</w:t>
      </w:r>
      <w:r w:rsidRPr="000A03FD">
        <w:t xml:space="preserve">L if treated with OCS within the past 12 months. This differed to the previous submission which targeted patients with a BEC </w:t>
      </w:r>
      <w:r w:rsidRPr="000A03FD">
        <w:rPr>
          <w:rFonts w:cstheme="minorHAnsi"/>
        </w:rPr>
        <w:t>≥</w:t>
      </w:r>
      <w:r w:rsidRPr="000A03FD">
        <w:t>150 cells/</w:t>
      </w:r>
      <w:r w:rsidRPr="000A03FD">
        <w:rPr>
          <w:rFonts w:cstheme="minorHAnsi"/>
        </w:rPr>
        <w:t>µ</w:t>
      </w:r>
      <w:r w:rsidRPr="000A03FD">
        <w:t>L and additionally required patients to be inadequately controlled on OCS treatment (unless contraindicated or not tolerated).</w:t>
      </w:r>
    </w:p>
    <w:p w14:paraId="11FCAAEE" w14:textId="7F1E9D76" w:rsidR="007627BE" w:rsidRPr="000A03FD" w:rsidRDefault="00C36F52" w:rsidP="00861220">
      <w:pPr>
        <w:pStyle w:val="3-BodyText"/>
      </w:pPr>
      <w:r w:rsidRPr="000A03FD">
        <w:t xml:space="preserve">Mepolizumab is </w:t>
      </w:r>
      <w:r w:rsidR="00786D31" w:rsidRPr="000A03FD">
        <w:t xml:space="preserve">a humanised monoclonal antibody (IgG1, kappa) </w:t>
      </w:r>
      <w:r w:rsidR="00861220" w:rsidRPr="000A03FD">
        <w:t>directed against human interleukin-5 (IL-5).</w:t>
      </w:r>
      <w:r w:rsidR="00F15A06" w:rsidRPr="000A03FD">
        <w:t xml:space="preserve"> </w:t>
      </w:r>
    </w:p>
    <w:p w14:paraId="548BB3CC" w14:textId="541ADC2D" w:rsidR="003747D2" w:rsidRPr="000A03FD" w:rsidDel="00195452" w:rsidRDefault="003747D2" w:rsidP="003747D2">
      <w:pPr>
        <w:pStyle w:val="3-BodyText"/>
        <w:numPr>
          <w:ilvl w:val="0"/>
          <w:numId w:val="0"/>
        </w:numPr>
        <w:ind w:left="720"/>
      </w:pPr>
      <w:r w:rsidRPr="000A03FD">
        <w:rPr>
          <w:i/>
        </w:rPr>
        <w:t>For more detail on PBAC’s view, see section 7 PBAC outcome</w:t>
      </w:r>
    </w:p>
    <w:p w14:paraId="51E5AE96" w14:textId="2C374D03" w:rsidR="00B50DB8" w:rsidRPr="000A03FD" w:rsidRDefault="00B50DB8" w:rsidP="004E18E9">
      <w:pPr>
        <w:pStyle w:val="2-SectionHeading"/>
      </w:pPr>
      <w:bookmarkStart w:id="26" w:name="_Toc113982841"/>
      <w:r w:rsidRPr="000A03FD">
        <w:t>Comparator</w:t>
      </w:r>
      <w:bookmarkEnd w:id="26"/>
    </w:p>
    <w:p w14:paraId="44977771" w14:textId="4EF08E7B" w:rsidR="008A2E34" w:rsidRPr="000A03FD" w:rsidRDefault="008A2E34" w:rsidP="008A2E34">
      <w:pPr>
        <w:pStyle w:val="3-BodyText"/>
        <w:rPr>
          <w:snapToGrid/>
        </w:rPr>
      </w:pPr>
      <w:r w:rsidRPr="000A03FD">
        <w:rPr>
          <w:snapToGrid/>
        </w:rPr>
        <w:t xml:space="preserve">The resubmission nominated SoC as the main comparator. SoC included background INCS therapy with intermittent usage of OCS and saline spray or rinses. This was the same nominated comparator as in the previous submission. The resubmission did not consider NP surgery as part of SoC, or as a relevant comparator to mepolizumab claiming that the place of therapy for mepolizumab was after a prior NP surgery. In the previous submission, ESC noted </w:t>
      </w:r>
      <w:r w:rsidRPr="000A03FD">
        <w:t>that “surgery was likely unreasonably omitted as part of the SoC” (Paragraph 5.2, 6.04, mepolizumab</w:t>
      </w:r>
      <w:r w:rsidR="00571B0C" w:rsidRPr="000A03FD">
        <w:t xml:space="preserve"> </w:t>
      </w:r>
      <w:r w:rsidR="006A1B32">
        <w:t>PSD</w:t>
      </w:r>
      <w:r w:rsidR="00571B0C" w:rsidRPr="000A03FD">
        <w:t>,</w:t>
      </w:r>
      <w:r w:rsidRPr="000A03FD">
        <w:t xml:space="preserve"> November </w:t>
      </w:r>
      <w:r w:rsidR="006A1B32">
        <w:t>20</w:t>
      </w:r>
      <w:r w:rsidRPr="000A03FD">
        <w:t xml:space="preserve">21). Clinical evidence from SYNAPSE presented in the resubmission showed a lower proportion of mepolizumab patients underwent NP surgery than SoC patients (see </w:t>
      </w:r>
      <w:r w:rsidRPr="000A03FD">
        <w:fldChar w:fldCharType="begin" w:fldLock="1"/>
      </w:r>
      <w:r w:rsidRPr="000A03FD">
        <w:instrText xml:space="preserve"> REF _Ref111518005 \h  \* MERGEFORMAT </w:instrText>
      </w:r>
      <w:r w:rsidRPr="000A03FD">
        <w:fldChar w:fldCharType="separate"/>
      </w:r>
      <w:r w:rsidR="00625A18" w:rsidRPr="000A03FD">
        <w:t>Table 8</w:t>
      </w:r>
      <w:r w:rsidRPr="000A03FD">
        <w:fldChar w:fldCharType="end"/>
      </w:r>
      <w:r w:rsidRPr="000A03FD">
        <w:t>), indicating NP surgery is a relevant comparator to mepolizumab.</w:t>
      </w:r>
    </w:p>
    <w:p w14:paraId="44FC2884" w14:textId="5B2ECF02" w:rsidR="006A30F1" w:rsidRPr="000A03FD" w:rsidRDefault="006A30F1" w:rsidP="006A30F1">
      <w:pPr>
        <w:pStyle w:val="3-BodyText"/>
        <w:rPr>
          <w:snapToGrid/>
        </w:rPr>
      </w:pPr>
      <w:bookmarkStart w:id="27" w:name="_Toc22897640"/>
      <w:r w:rsidRPr="000A03FD">
        <w:rPr>
          <w:snapToGrid/>
        </w:rPr>
        <w:t xml:space="preserve">Overall, </w:t>
      </w:r>
      <w:r w:rsidRPr="000A03FD">
        <w:t>whilst the nominated comparator of SoC is appropriate and has been previously accepted by the PBAC (7.3, mepolizumab</w:t>
      </w:r>
      <w:r w:rsidR="00571B0C" w:rsidRPr="000A03FD">
        <w:t xml:space="preserve"> </w:t>
      </w:r>
      <w:r w:rsidR="006A1B32">
        <w:t>PSD</w:t>
      </w:r>
      <w:r w:rsidR="00571B0C" w:rsidRPr="000A03FD">
        <w:t>,</w:t>
      </w:r>
      <w:r w:rsidRPr="000A03FD">
        <w:t xml:space="preserve"> November 2021</w:t>
      </w:r>
      <w:r w:rsidR="006E65D0" w:rsidRPr="000A03FD">
        <w:t xml:space="preserve"> PBAC meeting</w:t>
      </w:r>
      <w:r w:rsidRPr="000A03FD">
        <w:t>), NP surgery was likely inappropriately omitted in the definition of SoC.</w:t>
      </w:r>
    </w:p>
    <w:p w14:paraId="46AF3F95" w14:textId="2C55D5DC" w:rsidR="003747D2" w:rsidRPr="000A03FD" w:rsidRDefault="003747D2" w:rsidP="003747D2">
      <w:pPr>
        <w:pStyle w:val="3-BodyText"/>
        <w:numPr>
          <w:ilvl w:val="0"/>
          <w:numId w:val="0"/>
        </w:numPr>
        <w:ind w:left="720"/>
        <w:rPr>
          <w:snapToGrid/>
        </w:rPr>
      </w:pPr>
      <w:r w:rsidRPr="000A03FD">
        <w:rPr>
          <w:i/>
        </w:rPr>
        <w:t>For more detail on PBAC’s view, see section 7 PBAC outcome</w:t>
      </w:r>
    </w:p>
    <w:p w14:paraId="7F9C27C8" w14:textId="004B6C96" w:rsidR="00223D5A" w:rsidRPr="000A03FD" w:rsidRDefault="00223D5A" w:rsidP="00223D5A">
      <w:pPr>
        <w:pStyle w:val="2-SectionHeading"/>
      </w:pPr>
      <w:bookmarkStart w:id="28" w:name="_Toc113982842"/>
      <w:r w:rsidRPr="000A03FD">
        <w:t>Consideration of the evidence</w:t>
      </w:r>
      <w:bookmarkEnd w:id="28"/>
    </w:p>
    <w:p w14:paraId="14377A18" w14:textId="77777777" w:rsidR="003747D2" w:rsidRPr="000A03FD" w:rsidRDefault="003747D2" w:rsidP="0006735E">
      <w:pPr>
        <w:pStyle w:val="4-SubsectionHeading"/>
      </w:pPr>
      <w:bookmarkStart w:id="29" w:name="_Hlk76375935"/>
      <w:r w:rsidRPr="000A03FD">
        <w:t>Sponsor hearing</w:t>
      </w:r>
    </w:p>
    <w:p w14:paraId="0A1694D4" w14:textId="14C33F09" w:rsidR="003747D2" w:rsidRPr="000A03FD" w:rsidRDefault="003747D2" w:rsidP="003747D2">
      <w:pPr>
        <w:widowControl w:val="0"/>
        <w:numPr>
          <w:ilvl w:val="1"/>
          <w:numId w:val="1"/>
        </w:numPr>
        <w:spacing w:after="120"/>
        <w:rPr>
          <w:rFonts w:cs="Calibri"/>
          <w:bCs/>
          <w:snapToGrid w:val="0"/>
        </w:rPr>
      </w:pPr>
      <w:r w:rsidRPr="000A03FD">
        <w:rPr>
          <w:rFonts w:cs="Calibri"/>
          <w:bCs/>
          <w:snapToGrid w:val="0"/>
        </w:rPr>
        <w:t>There was no hearing for this item.</w:t>
      </w:r>
    </w:p>
    <w:p w14:paraId="1F583EF7" w14:textId="77777777" w:rsidR="003747D2" w:rsidRPr="000A03FD" w:rsidRDefault="003747D2" w:rsidP="0006735E">
      <w:pPr>
        <w:pStyle w:val="4-SubsectionHeading"/>
      </w:pPr>
      <w:r w:rsidRPr="000A03FD">
        <w:lastRenderedPageBreak/>
        <w:t>Consumer comments</w:t>
      </w:r>
    </w:p>
    <w:p w14:paraId="41E5B76B" w14:textId="33C3E78C" w:rsidR="00063899" w:rsidRPr="000A03FD" w:rsidRDefault="003747D2" w:rsidP="00063899">
      <w:pPr>
        <w:widowControl w:val="0"/>
        <w:numPr>
          <w:ilvl w:val="1"/>
          <w:numId w:val="1"/>
        </w:numPr>
        <w:spacing w:after="120"/>
        <w:rPr>
          <w:rFonts w:asciiTheme="minorHAnsi" w:hAnsiTheme="minorHAnsi"/>
          <w:bCs/>
          <w:snapToGrid w:val="0"/>
        </w:rPr>
      </w:pPr>
      <w:bookmarkStart w:id="30" w:name="_Hlk119487902"/>
      <w:bookmarkStart w:id="31" w:name="_Hlk76382618"/>
      <w:r w:rsidRPr="000A03FD">
        <w:rPr>
          <w:rFonts w:asciiTheme="minorHAnsi" w:hAnsiTheme="minorHAnsi"/>
          <w:bCs/>
          <w:snapToGrid w:val="0"/>
        </w:rPr>
        <w:t>The PBAC noted and welcomed the input from individuals (</w:t>
      </w:r>
      <w:r w:rsidR="00C33BD1" w:rsidRPr="000A03FD">
        <w:rPr>
          <w:rFonts w:asciiTheme="minorHAnsi" w:hAnsiTheme="minorHAnsi"/>
          <w:bCs/>
          <w:snapToGrid w:val="0"/>
        </w:rPr>
        <w:t>2</w:t>
      </w:r>
      <w:r w:rsidRPr="000A03FD">
        <w:rPr>
          <w:rFonts w:asciiTheme="minorHAnsi" w:hAnsiTheme="minorHAnsi"/>
          <w:bCs/>
          <w:snapToGrid w:val="0"/>
        </w:rPr>
        <w:t>), health care professionals (</w:t>
      </w:r>
      <w:r w:rsidR="00C33BD1" w:rsidRPr="000A03FD">
        <w:rPr>
          <w:rFonts w:asciiTheme="minorHAnsi" w:hAnsiTheme="minorHAnsi"/>
          <w:bCs/>
          <w:snapToGrid w:val="0"/>
        </w:rPr>
        <w:t>3</w:t>
      </w:r>
      <w:r w:rsidRPr="000A03FD">
        <w:rPr>
          <w:rFonts w:asciiTheme="minorHAnsi" w:hAnsiTheme="minorHAnsi"/>
          <w:bCs/>
          <w:snapToGrid w:val="0"/>
        </w:rPr>
        <w:t>) and organisations (</w:t>
      </w:r>
      <w:r w:rsidR="00C33BD1" w:rsidRPr="000A03FD">
        <w:rPr>
          <w:rFonts w:asciiTheme="minorHAnsi" w:hAnsiTheme="minorHAnsi"/>
          <w:bCs/>
          <w:snapToGrid w:val="0"/>
        </w:rPr>
        <w:t>2</w:t>
      </w:r>
      <w:r w:rsidRPr="000A03FD">
        <w:rPr>
          <w:rFonts w:asciiTheme="minorHAnsi" w:hAnsiTheme="minorHAnsi"/>
          <w:bCs/>
          <w:snapToGrid w:val="0"/>
        </w:rPr>
        <w:t xml:space="preserve">) via the Consumer Comments facility on the PBS website. </w:t>
      </w:r>
      <w:r w:rsidR="00063899" w:rsidRPr="000A03FD">
        <w:rPr>
          <w:rFonts w:asciiTheme="minorHAnsi" w:hAnsiTheme="minorHAnsi"/>
          <w:bCs/>
          <w:snapToGrid w:val="0"/>
        </w:rPr>
        <w:t xml:space="preserve">The comments from individuals described the limitations of the treatment options currently available for </w:t>
      </w:r>
      <w:r w:rsidR="00063899" w:rsidRPr="000A03FD">
        <w:t xml:space="preserve">CRSwNP. </w:t>
      </w:r>
      <w:r w:rsidR="00063899" w:rsidRPr="000A03FD">
        <w:rPr>
          <w:rFonts w:asciiTheme="minorHAnsi" w:hAnsiTheme="minorHAnsi"/>
          <w:bCs/>
          <w:snapToGrid w:val="0"/>
        </w:rPr>
        <w:t xml:space="preserve">Input from health care professionals described the positive effects of mepolizumab on disease severity and overall Quality of Life (QoL). </w:t>
      </w:r>
      <w:r w:rsidR="00311807" w:rsidRPr="000A03FD">
        <w:rPr>
          <w:rFonts w:asciiTheme="minorHAnsi" w:hAnsiTheme="minorHAnsi"/>
          <w:bCs/>
          <w:snapToGrid w:val="0"/>
        </w:rPr>
        <w:t>The comments</w:t>
      </w:r>
      <w:r w:rsidR="00063899" w:rsidRPr="000A03FD">
        <w:rPr>
          <w:rFonts w:asciiTheme="minorHAnsi" w:hAnsiTheme="minorHAnsi"/>
          <w:bCs/>
          <w:snapToGrid w:val="0"/>
        </w:rPr>
        <w:t xml:space="preserve"> noted improved efficacy and reduced risk of </w:t>
      </w:r>
      <w:r w:rsidR="00311807" w:rsidRPr="000A03FD">
        <w:rPr>
          <w:rFonts w:asciiTheme="minorHAnsi" w:hAnsiTheme="minorHAnsi"/>
          <w:bCs/>
          <w:snapToGrid w:val="0"/>
        </w:rPr>
        <w:t>adverse</w:t>
      </w:r>
      <w:r w:rsidR="00063899" w:rsidRPr="000A03FD">
        <w:rPr>
          <w:rFonts w:asciiTheme="minorHAnsi" w:hAnsiTheme="minorHAnsi"/>
          <w:bCs/>
          <w:snapToGrid w:val="0"/>
        </w:rPr>
        <w:t xml:space="preserve"> </w:t>
      </w:r>
      <w:r w:rsidR="00311807" w:rsidRPr="000A03FD">
        <w:rPr>
          <w:rFonts w:asciiTheme="minorHAnsi" w:hAnsiTheme="minorHAnsi"/>
          <w:bCs/>
          <w:snapToGrid w:val="0"/>
        </w:rPr>
        <w:t>events (AEs)</w:t>
      </w:r>
      <w:r w:rsidR="00063899" w:rsidRPr="000A03FD">
        <w:rPr>
          <w:rFonts w:asciiTheme="minorHAnsi" w:hAnsiTheme="minorHAnsi"/>
          <w:bCs/>
          <w:snapToGrid w:val="0"/>
        </w:rPr>
        <w:t xml:space="preserve"> of mepolizumab treatment compared to current treatment options, including recurrent surgeries, antibiotics, and systemic corticosteroids. One comment proposed a potential improvement in existing comorbidities, such as asthma or allergic rhinitis, as a result of treatment, and mentioned the disadvantages of the delivery of </w:t>
      </w:r>
      <w:r w:rsidR="00311807" w:rsidRPr="000A03FD">
        <w:rPr>
          <w:rFonts w:asciiTheme="minorHAnsi" w:hAnsiTheme="minorHAnsi"/>
          <w:bCs/>
          <w:snapToGrid w:val="0"/>
        </w:rPr>
        <w:t>mepolizumab (</w:t>
      </w:r>
      <w:r w:rsidR="00063899" w:rsidRPr="000A03FD">
        <w:rPr>
          <w:rFonts w:asciiTheme="minorHAnsi" w:hAnsiTheme="minorHAnsi"/>
          <w:bCs/>
          <w:snapToGrid w:val="0"/>
        </w:rPr>
        <w:t>by injection</w:t>
      </w:r>
      <w:r w:rsidR="00311807" w:rsidRPr="000A03FD">
        <w:rPr>
          <w:rFonts w:asciiTheme="minorHAnsi" w:hAnsiTheme="minorHAnsi"/>
          <w:bCs/>
          <w:snapToGrid w:val="0"/>
        </w:rPr>
        <w:t xml:space="preserve"> and </w:t>
      </w:r>
      <w:r w:rsidR="00063899" w:rsidRPr="000A03FD">
        <w:rPr>
          <w:rFonts w:asciiTheme="minorHAnsi" w:hAnsiTheme="minorHAnsi"/>
          <w:bCs/>
          <w:snapToGrid w:val="0"/>
        </w:rPr>
        <w:t>with recurring appointments with specialists</w:t>
      </w:r>
      <w:r w:rsidR="00311807" w:rsidRPr="000A03FD">
        <w:rPr>
          <w:rFonts w:asciiTheme="minorHAnsi" w:hAnsiTheme="minorHAnsi"/>
          <w:bCs/>
          <w:snapToGrid w:val="0"/>
        </w:rPr>
        <w:t>)</w:t>
      </w:r>
      <w:r w:rsidR="00063899" w:rsidRPr="000A03FD">
        <w:rPr>
          <w:rFonts w:asciiTheme="minorHAnsi" w:hAnsiTheme="minorHAnsi"/>
          <w:bCs/>
          <w:snapToGrid w:val="0"/>
        </w:rPr>
        <w:t>.</w:t>
      </w:r>
    </w:p>
    <w:bookmarkEnd w:id="30"/>
    <w:p w14:paraId="65DAB832" w14:textId="37E629C8" w:rsidR="003747D2" w:rsidRPr="000A03FD" w:rsidRDefault="003747D2" w:rsidP="003747D2">
      <w:pPr>
        <w:widowControl w:val="0"/>
        <w:numPr>
          <w:ilvl w:val="1"/>
          <w:numId w:val="1"/>
        </w:numPr>
        <w:spacing w:after="120"/>
        <w:rPr>
          <w:rFonts w:asciiTheme="minorHAnsi" w:hAnsiTheme="minorHAnsi"/>
          <w:bCs/>
          <w:snapToGrid w:val="0"/>
        </w:rPr>
      </w:pPr>
      <w:r w:rsidRPr="000A03FD">
        <w:rPr>
          <w:rFonts w:asciiTheme="minorHAnsi" w:hAnsiTheme="minorHAnsi"/>
          <w:bCs/>
          <w:snapToGrid w:val="0"/>
        </w:rPr>
        <w:t xml:space="preserve">The PBAC noted the advice received from </w:t>
      </w:r>
      <w:r w:rsidR="00437F2D" w:rsidRPr="000A03FD">
        <w:rPr>
          <w:rFonts w:asciiTheme="minorHAnsi" w:hAnsiTheme="minorHAnsi"/>
          <w:bCs/>
          <w:snapToGrid w:val="0"/>
        </w:rPr>
        <w:t>the Australasian Society of Clinical Immunology and Allergy</w:t>
      </w:r>
      <w:r w:rsidRPr="000A03FD">
        <w:rPr>
          <w:rFonts w:asciiTheme="minorHAnsi" w:hAnsiTheme="minorHAnsi"/>
          <w:bCs/>
          <w:snapToGrid w:val="0"/>
        </w:rPr>
        <w:t xml:space="preserve"> </w:t>
      </w:r>
      <w:r w:rsidR="00437F2D" w:rsidRPr="000A03FD">
        <w:rPr>
          <w:rFonts w:asciiTheme="minorHAnsi" w:hAnsiTheme="minorHAnsi"/>
          <w:bCs/>
          <w:snapToGrid w:val="0"/>
        </w:rPr>
        <w:t xml:space="preserve">(ASCIA) </w:t>
      </w:r>
      <w:r w:rsidRPr="000A03FD">
        <w:rPr>
          <w:rFonts w:asciiTheme="minorHAnsi" w:hAnsiTheme="minorHAnsi"/>
          <w:bCs/>
          <w:snapToGrid w:val="0"/>
        </w:rPr>
        <w:t xml:space="preserve">clarifying the likely use of </w:t>
      </w:r>
      <w:r w:rsidR="00437F2D" w:rsidRPr="000A03FD">
        <w:rPr>
          <w:rFonts w:asciiTheme="minorHAnsi" w:hAnsiTheme="minorHAnsi"/>
          <w:bCs/>
          <w:snapToGrid w:val="0"/>
        </w:rPr>
        <w:t xml:space="preserve">mepolizumab </w:t>
      </w:r>
      <w:r w:rsidRPr="000A03FD">
        <w:rPr>
          <w:rFonts w:asciiTheme="minorHAnsi" w:hAnsiTheme="minorHAnsi"/>
          <w:bCs/>
          <w:snapToGrid w:val="0"/>
        </w:rPr>
        <w:t>in clinical practice</w:t>
      </w:r>
      <w:r w:rsidR="000A03FD">
        <w:rPr>
          <w:rFonts w:asciiTheme="minorHAnsi" w:hAnsiTheme="minorHAnsi"/>
          <w:bCs/>
          <w:snapToGrid w:val="0"/>
        </w:rPr>
        <w:t xml:space="preserve">. </w:t>
      </w:r>
      <w:r w:rsidRPr="000A03FD">
        <w:rPr>
          <w:rFonts w:asciiTheme="minorHAnsi" w:hAnsiTheme="minorHAnsi"/>
          <w:bCs/>
          <w:snapToGrid w:val="0"/>
        </w:rPr>
        <w:t xml:space="preserve">The PBAC specifically noted the advice that the use of </w:t>
      </w:r>
      <w:r w:rsidR="00BC7F08" w:rsidRPr="000A03FD">
        <w:rPr>
          <w:rFonts w:asciiTheme="minorHAnsi" w:hAnsiTheme="minorHAnsi"/>
          <w:bCs/>
          <w:snapToGrid w:val="0"/>
        </w:rPr>
        <w:t xml:space="preserve">mepolizumab </w:t>
      </w:r>
      <w:r w:rsidRPr="000A03FD">
        <w:rPr>
          <w:rFonts w:asciiTheme="minorHAnsi" w:hAnsiTheme="minorHAnsi"/>
          <w:bCs/>
          <w:snapToGrid w:val="0"/>
        </w:rPr>
        <w:t xml:space="preserve">may </w:t>
      </w:r>
      <w:r w:rsidR="00BC7F08" w:rsidRPr="000A03FD">
        <w:rPr>
          <w:rFonts w:asciiTheme="minorHAnsi" w:hAnsiTheme="minorHAnsi"/>
          <w:bCs/>
          <w:snapToGrid w:val="0"/>
        </w:rPr>
        <w:t>decrease the number of patients requiring NP surgery</w:t>
      </w:r>
      <w:r w:rsidR="00267CBB" w:rsidRPr="000A03FD">
        <w:rPr>
          <w:rFonts w:asciiTheme="minorHAnsi" w:hAnsiTheme="minorHAnsi"/>
          <w:bCs/>
          <w:snapToGrid w:val="0"/>
        </w:rPr>
        <w:t xml:space="preserve"> and may have indirect health-economic benefits by improving the health related quality of life for patients, reducing absenteeism and increasing productivity</w:t>
      </w:r>
      <w:r w:rsidR="00BC7F08" w:rsidRPr="000A03FD">
        <w:rPr>
          <w:rFonts w:asciiTheme="minorHAnsi" w:hAnsiTheme="minorHAnsi"/>
          <w:bCs/>
          <w:snapToGrid w:val="0"/>
        </w:rPr>
        <w:t xml:space="preserve">. </w:t>
      </w:r>
      <w:r w:rsidRPr="000A03FD">
        <w:rPr>
          <w:rFonts w:asciiTheme="minorHAnsi" w:hAnsiTheme="minorHAnsi"/>
          <w:bCs/>
          <w:snapToGrid w:val="0"/>
        </w:rPr>
        <w:t xml:space="preserve">The PBAC noted that this advice was </w:t>
      </w:r>
      <w:r w:rsidR="00F93595" w:rsidRPr="000A03FD">
        <w:rPr>
          <w:rFonts w:asciiTheme="minorHAnsi" w:hAnsiTheme="minorHAnsi"/>
          <w:bCs/>
          <w:snapToGrid w:val="0"/>
        </w:rPr>
        <w:t xml:space="preserve">supportive </w:t>
      </w:r>
      <w:r w:rsidRPr="000A03FD">
        <w:rPr>
          <w:rFonts w:asciiTheme="minorHAnsi" w:hAnsiTheme="minorHAnsi"/>
          <w:bCs/>
          <w:snapToGrid w:val="0"/>
        </w:rPr>
        <w:t>of the evidence provided in the submission.</w:t>
      </w:r>
    </w:p>
    <w:p w14:paraId="609C0765" w14:textId="313D070A" w:rsidR="00B60939" w:rsidRPr="000A03FD" w:rsidRDefault="00B60939" w:rsidP="002E4F02">
      <w:pPr>
        <w:pStyle w:val="4-SubsectionHeading"/>
      </w:pPr>
      <w:bookmarkStart w:id="32" w:name="_Toc113982843"/>
      <w:bookmarkEnd w:id="29"/>
      <w:bookmarkEnd w:id="31"/>
      <w:r w:rsidRPr="000A03FD">
        <w:t>Clinical</w:t>
      </w:r>
      <w:r w:rsidR="003B4456" w:rsidRPr="000A03FD">
        <w:t xml:space="preserve"> </w:t>
      </w:r>
      <w:r w:rsidRPr="000A03FD">
        <w:t>trials</w:t>
      </w:r>
      <w:bookmarkEnd w:id="27"/>
      <w:bookmarkEnd w:id="32"/>
    </w:p>
    <w:p w14:paraId="6BC2C5EC" w14:textId="16E97B15" w:rsidR="00AA6F9F" w:rsidRPr="000A03FD" w:rsidRDefault="00AA6F9F" w:rsidP="002C441B">
      <w:pPr>
        <w:pStyle w:val="ListParagraph"/>
        <w:numPr>
          <w:ilvl w:val="1"/>
          <w:numId w:val="1"/>
        </w:numPr>
        <w:spacing w:after="160"/>
      </w:pPr>
      <w:r w:rsidRPr="000A03FD">
        <w:t>The resubmission was</w:t>
      </w:r>
      <w:r w:rsidR="007C0631" w:rsidRPr="000A03FD">
        <w:t xml:space="preserve"> </w:t>
      </w:r>
      <w:r w:rsidR="007C0631" w:rsidRPr="000A03FD">
        <w:rPr>
          <w:rFonts w:cs="Calibri"/>
          <w:snapToGrid/>
        </w:rPr>
        <w:t xml:space="preserve">based on one head-to-head trial, SYNAPSE (intent-to-treat (ITT) N=407) comparing mepolizumab (N=206) to placebo (N=201), in adult (≥18 years of age) CRSwNP patients with uncontrolled symptoms after at least </w:t>
      </w:r>
      <w:r w:rsidR="00984826" w:rsidRPr="000A03FD">
        <w:rPr>
          <w:rFonts w:cs="Calibri"/>
          <w:snapToGrid/>
        </w:rPr>
        <w:t xml:space="preserve">one NP surgery and treatment with INCS for at least eight weeks. This was the same clinical trial used to inform the previous submission. However, the clinical claim of the resubmission was based on the SYNAPSE BEC </w:t>
      </w:r>
      <w:r w:rsidR="00984826" w:rsidRPr="000A03FD">
        <w:rPr>
          <w:rFonts w:cstheme="minorHAnsi"/>
          <w:snapToGrid/>
        </w:rPr>
        <w:t xml:space="preserve">≥300 </w:t>
      </w:r>
      <w:r w:rsidR="00984826" w:rsidRPr="000A03FD">
        <w:rPr>
          <w:rFonts w:cs="Calibri"/>
          <w:snapToGrid/>
        </w:rPr>
        <w:t>cells/</w:t>
      </w:r>
      <w:r w:rsidR="00984826" w:rsidRPr="000A03FD">
        <w:rPr>
          <w:rFonts w:cstheme="minorHAnsi"/>
          <w:snapToGrid/>
        </w:rPr>
        <w:t xml:space="preserve">µL sub-group whilst the clinical claim of the previous submission was based on the </w:t>
      </w:r>
      <w:r w:rsidR="00984826" w:rsidRPr="000A03FD">
        <w:rPr>
          <w:rFonts w:cs="Calibri"/>
          <w:snapToGrid/>
        </w:rPr>
        <w:t xml:space="preserve">BEC </w:t>
      </w:r>
      <w:r w:rsidR="00984826" w:rsidRPr="000A03FD">
        <w:rPr>
          <w:rFonts w:cstheme="minorHAnsi"/>
          <w:snapToGrid/>
        </w:rPr>
        <w:t xml:space="preserve">≥150 </w:t>
      </w:r>
      <w:r w:rsidR="00984826" w:rsidRPr="000A03FD">
        <w:rPr>
          <w:rFonts w:cs="Calibri"/>
          <w:snapToGrid/>
        </w:rPr>
        <w:t>cells/</w:t>
      </w:r>
      <w:r w:rsidR="00984826" w:rsidRPr="000A03FD">
        <w:rPr>
          <w:rFonts w:cstheme="minorHAnsi"/>
          <w:snapToGrid/>
        </w:rPr>
        <w:t>µL sub-group. The placebo arm was considered to be a proxy for patients treated with SoC.</w:t>
      </w:r>
    </w:p>
    <w:p w14:paraId="2B59ABAC" w14:textId="4D02B05D" w:rsidR="00862502" w:rsidRPr="000A03FD" w:rsidRDefault="0030245C" w:rsidP="00AE1E58">
      <w:pPr>
        <w:pStyle w:val="ListParagraph"/>
        <w:numPr>
          <w:ilvl w:val="1"/>
          <w:numId w:val="1"/>
        </w:numPr>
        <w:spacing w:after="160"/>
      </w:pPr>
      <w:r w:rsidRPr="000A03FD">
        <w:rPr>
          <w:rFonts w:cs="Calibri"/>
          <w:snapToGrid/>
        </w:rPr>
        <w:t xml:space="preserve">SYNAPSE comprised of a four-week run in period, followed by a 52-week treatment period. </w:t>
      </w:r>
      <w:r w:rsidR="00A73134" w:rsidRPr="000A03FD">
        <w:rPr>
          <w:snapToGrid/>
        </w:rPr>
        <w:t xml:space="preserve">Details of the trial presented in the </w:t>
      </w:r>
      <w:r w:rsidR="00AE1E58" w:rsidRPr="000A03FD">
        <w:rPr>
          <w:snapToGrid/>
        </w:rPr>
        <w:t>re</w:t>
      </w:r>
      <w:r w:rsidR="00A73134" w:rsidRPr="000A03FD">
        <w:rPr>
          <w:snapToGrid/>
        </w:rPr>
        <w:t xml:space="preserve">submission </w:t>
      </w:r>
      <w:r w:rsidR="00D235BE" w:rsidRPr="000A03FD">
        <w:rPr>
          <w:snapToGrid/>
        </w:rPr>
        <w:t>are</w:t>
      </w:r>
      <w:r w:rsidR="00A73134" w:rsidRPr="000A03FD">
        <w:rPr>
          <w:snapToGrid/>
        </w:rPr>
        <w:t xml:space="preserve"> provided in </w:t>
      </w:r>
      <w:r w:rsidR="00696EF9" w:rsidRPr="000A03FD">
        <w:rPr>
          <w:snapToGrid/>
        </w:rPr>
        <w:fldChar w:fldCharType="begin" w:fldLock="1"/>
      </w:r>
      <w:r w:rsidR="00696EF9" w:rsidRPr="000A03FD">
        <w:rPr>
          <w:snapToGrid/>
        </w:rPr>
        <w:instrText xml:space="preserve"> REF _Ref104803956 \h </w:instrText>
      </w:r>
      <w:r w:rsidR="00696EF9" w:rsidRPr="000A03FD">
        <w:rPr>
          <w:snapToGrid/>
        </w:rPr>
      </w:r>
      <w:r w:rsidR="00696EF9" w:rsidRPr="000A03FD">
        <w:rPr>
          <w:snapToGrid/>
        </w:rPr>
        <w:fldChar w:fldCharType="separate"/>
      </w:r>
      <w:r w:rsidR="00625A18" w:rsidRPr="000A03FD">
        <w:t>Table 3</w:t>
      </w:r>
      <w:r w:rsidR="00696EF9" w:rsidRPr="000A03FD">
        <w:rPr>
          <w:snapToGrid/>
        </w:rPr>
        <w:fldChar w:fldCharType="end"/>
      </w:r>
      <w:r w:rsidR="00A73134" w:rsidRPr="000A03FD">
        <w:rPr>
          <w:snapToGrid/>
        </w:rPr>
        <w:t>.</w:t>
      </w:r>
      <w:r w:rsidR="00BC591F" w:rsidRPr="000A03FD">
        <w:rPr>
          <w:snapToGrid/>
        </w:rPr>
        <w:t xml:space="preserve"> </w:t>
      </w:r>
    </w:p>
    <w:p w14:paraId="7DE3A286" w14:textId="3F14389D" w:rsidR="008E0D3C" w:rsidRPr="000A03FD" w:rsidRDefault="00696EF9" w:rsidP="005D44F5">
      <w:pPr>
        <w:pStyle w:val="TableFigureHeading"/>
        <w:keepLines/>
        <w:rPr>
          <w:rStyle w:val="CommentReference"/>
          <w:b/>
          <w:szCs w:val="24"/>
        </w:rPr>
      </w:pPr>
      <w:bookmarkStart w:id="33" w:name="_Ref104803956"/>
      <w:r w:rsidRPr="000A03FD">
        <w:lastRenderedPageBreak/>
        <w:t xml:space="preserve">Table </w:t>
      </w:r>
      <w:fldSimple w:instr=" SEQ Table \* ARABIC " w:fldLock="1">
        <w:r w:rsidR="00A0401C" w:rsidRPr="000A03FD">
          <w:t>3</w:t>
        </w:r>
      </w:fldSimple>
      <w:bookmarkEnd w:id="33"/>
      <w:r w:rsidRPr="000A03FD">
        <w:t>:</w:t>
      </w:r>
      <w:r w:rsidR="00BC591F" w:rsidRPr="000A03FD">
        <w:rPr>
          <w:rStyle w:val="CommentReference"/>
          <w:b/>
          <w:szCs w:val="24"/>
        </w:rPr>
        <w:t xml:space="preserve"> </w:t>
      </w:r>
      <w:r w:rsidR="008E0D3C" w:rsidRPr="000A03FD">
        <w:rPr>
          <w:rStyle w:val="CommentReference"/>
          <w:b/>
          <w:szCs w:val="24"/>
        </w:rPr>
        <w:t>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5D44F5" w:rsidRPr="000A03FD" w14:paraId="62546AD0" w14:textId="77777777" w:rsidTr="00113672">
        <w:trPr>
          <w:cantSplit/>
          <w:tblHeader/>
        </w:trPr>
        <w:tc>
          <w:tcPr>
            <w:tcW w:w="795" w:type="pct"/>
            <w:vAlign w:val="center"/>
          </w:tcPr>
          <w:p w14:paraId="739392E5" w14:textId="77777777" w:rsidR="005D44F5" w:rsidRPr="000A03FD" w:rsidRDefault="005D44F5" w:rsidP="005D44F5">
            <w:pPr>
              <w:pStyle w:val="In-tableHeading"/>
              <w:keepLines/>
              <w:jc w:val="center"/>
              <w:rPr>
                <w:lang w:val="en-AU"/>
              </w:rPr>
            </w:pPr>
            <w:r w:rsidRPr="000A03FD">
              <w:rPr>
                <w:lang w:val="en-AU"/>
              </w:rPr>
              <w:t>Trial ID</w:t>
            </w:r>
          </w:p>
        </w:tc>
        <w:tc>
          <w:tcPr>
            <w:tcW w:w="2803" w:type="pct"/>
            <w:vAlign w:val="center"/>
          </w:tcPr>
          <w:p w14:paraId="7F773F97" w14:textId="77777777" w:rsidR="005D44F5" w:rsidRPr="000A03FD" w:rsidRDefault="005D44F5" w:rsidP="005D44F5">
            <w:pPr>
              <w:pStyle w:val="In-tableHeading"/>
              <w:keepLines/>
              <w:rPr>
                <w:lang w:val="en-AU"/>
              </w:rPr>
            </w:pPr>
            <w:r w:rsidRPr="000A03FD">
              <w:rPr>
                <w:lang w:val="en-AU"/>
              </w:rPr>
              <w:t>Protocol title/ Publication title</w:t>
            </w:r>
          </w:p>
        </w:tc>
        <w:tc>
          <w:tcPr>
            <w:tcW w:w="1402" w:type="pct"/>
            <w:vAlign w:val="center"/>
          </w:tcPr>
          <w:p w14:paraId="1CCF9358" w14:textId="77777777" w:rsidR="005D44F5" w:rsidRPr="000A03FD" w:rsidRDefault="005D44F5" w:rsidP="005D44F5">
            <w:pPr>
              <w:pStyle w:val="In-tableHeading"/>
              <w:keepLines/>
              <w:rPr>
                <w:lang w:val="en-AU"/>
              </w:rPr>
            </w:pPr>
            <w:r w:rsidRPr="000A03FD">
              <w:rPr>
                <w:lang w:val="en-AU"/>
              </w:rPr>
              <w:t>Publication citation</w:t>
            </w:r>
          </w:p>
        </w:tc>
      </w:tr>
      <w:tr w:rsidR="007E1071" w:rsidRPr="000A03FD" w14:paraId="37C4632D" w14:textId="77777777" w:rsidTr="00113672">
        <w:trPr>
          <w:cantSplit/>
        </w:trPr>
        <w:tc>
          <w:tcPr>
            <w:tcW w:w="795" w:type="pct"/>
            <w:vMerge w:val="restart"/>
            <w:vAlign w:val="center"/>
          </w:tcPr>
          <w:p w14:paraId="5B929137" w14:textId="77777777" w:rsidR="007E1071" w:rsidRPr="000A03FD" w:rsidRDefault="007E1071" w:rsidP="005D44F5">
            <w:pPr>
              <w:pStyle w:val="TableText0"/>
              <w:keepLines/>
              <w:jc w:val="center"/>
              <w:rPr>
                <w:szCs w:val="20"/>
              </w:rPr>
            </w:pPr>
            <w:r w:rsidRPr="000A03FD">
              <w:t>SYNAPSE</w:t>
            </w:r>
          </w:p>
        </w:tc>
        <w:tc>
          <w:tcPr>
            <w:tcW w:w="2803" w:type="pct"/>
            <w:tcBorders>
              <w:bottom w:val="nil"/>
            </w:tcBorders>
            <w:shd w:val="clear" w:color="auto" w:fill="C6D9F1" w:themeFill="text2" w:themeFillTint="33"/>
            <w:vAlign w:val="center"/>
          </w:tcPr>
          <w:p w14:paraId="20D9DB26" w14:textId="77777777" w:rsidR="007E1071" w:rsidRPr="000A03FD" w:rsidRDefault="007E1071" w:rsidP="005D44F5">
            <w:pPr>
              <w:pStyle w:val="TableText0"/>
              <w:keepLines/>
            </w:pPr>
            <w:r w:rsidRPr="000A03FD">
              <w:t>Clinical Study Report: A randomised, double-blind, parallel group PhIII study to assess the clinical efficacy and safety of 100 mg SC Mepolizumab as an add on to maintenance treatment in adults with severe bilateral nasal polyps - SYNAPSE (StudY in NAsal Polyps patients to assess the Safety and Efficacy of mepolizumab).</w:t>
            </w:r>
          </w:p>
        </w:tc>
        <w:tc>
          <w:tcPr>
            <w:tcW w:w="1402" w:type="pct"/>
            <w:tcBorders>
              <w:bottom w:val="nil"/>
            </w:tcBorders>
            <w:shd w:val="clear" w:color="auto" w:fill="C6D9F1" w:themeFill="text2" w:themeFillTint="33"/>
            <w:vAlign w:val="center"/>
          </w:tcPr>
          <w:p w14:paraId="60B9176C" w14:textId="77777777" w:rsidR="007E1071" w:rsidRPr="000A03FD" w:rsidRDefault="007E1071" w:rsidP="005D44F5">
            <w:pPr>
              <w:pStyle w:val="TableText0"/>
              <w:keepLines/>
              <w:rPr>
                <w:rFonts w:ascii="Times" w:hAnsi="Times"/>
              </w:rPr>
            </w:pPr>
            <w:r w:rsidRPr="000A03FD">
              <w:t>CSR Dated 23 June 2020</w:t>
            </w:r>
          </w:p>
        </w:tc>
      </w:tr>
      <w:tr w:rsidR="007E1071" w:rsidRPr="000A03FD" w14:paraId="30438EC8" w14:textId="77777777" w:rsidTr="00113672">
        <w:trPr>
          <w:cantSplit/>
        </w:trPr>
        <w:tc>
          <w:tcPr>
            <w:tcW w:w="795" w:type="pct"/>
            <w:vMerge/>
            <w:vAlign w:val="center"/>
          </w:tcPr>
          <w:p w14:paraId="041D8021" w14:textId="77777777" w:rsidR="007E1071" w:rsidRPr="000A03FD" w:rsidRDefault="007E1071" w:rsidP="005D44F5">
            <w:pPr>
              <w:pStyle w:val="TableText0"/>
              <w:keepLines/>
              <w:jc w:val="center"/>
            </w:pPr>
          </w:p>
        </w:tc>
        <w:tc>
          <w:tcPr>
            <w:tcW w:w="2803" w:type="pct"/>
            <w:tcBorders>
              <w:top w:val="nil"/>
              <w:bottom w:val="nil"/>
            </w:tcBorders>
            <w:shd w:val="clear" w:color="auto" w:fill="C6D9F1" w:themeFill="text2" w:themeFillTint="33"/>
            <w:vAlign w:val="center"/>
          </w:tcPr>
          <w:p w14:paraId="7AC9301A" w14:textId="77777777" w:rsidR="007E1071" w:rsidRPr="000A03FD" w:rsidRDefault="007E1071" w:rsidP="005D44F5">
            <w:pPr>
              <w:pStyle w:val="Tabletext"/>
              <w:keepNext/>
              <w:keepLines/>
              <w:rPr>
                <w:szCs w:val="18"/>
              </w:rPr>
            </w:pPr>
            <w:r w:rsidRPr="000A03FD">
              <w:rPr>
                <w:szCs w:val="18"/>
              </w:rPr>
              <w:t>Han JK, Bachert C, Fokkens W, Desrosiers M, Wagenmann M, Lee SE, Smith SG, Martin N, Mayer B, Yancey SW, Sousa AR, Chan R, Hopkins C; SYNAPSE study investigators. Mepolizumab for chronic rhinosinusitis with nasal polyps (SYNAPSE): a randomised, double-blind, placebo-controlled, phase 3 trial.</w:t>
            </w:r>
          </w:p>
        </w:tc>
        <w:tc>
          <w:tcPr>
            <w:tcW w:w="1402" w:type="pct"/>
            <w:tcBorders>
              <w:top w:val="nil"/>
              <w:bottom w:val="nil"/>
            </w:tcBorders>
            <w:shd w:val="clear" w:color="auto" w:fill="C6D9F1" w:themeFill="text2" w:themeFillTint="33"/>
            <w:vAlign w:val="center"/>
          </w:tcPr>
          <w:p w14:paraId="1347458B" w14:textId="77777777" w:rsidR="007E1071" w:rsidRPr="000A03FD" w:rsidRDefault="007E1071" w:rsidP="005D44F5">
            <w:pPr>
              <w:pStyle w:val="TableText0"/>
              <w:keepLines/>
            </w:pPr>
            <w:r w:rsidRPr="000A03FD">
              <w:rPr>
                <w:i/>
                <w:szCs w:val="18"/>
              </w:rPr>
              <w:t>Lancet Respir Med</w:t>
            </w:r>
            <w:r w:rsidRPr="000A03FD">
              <w:rPr>
                <w:szCs w:val="18"/>
              </w:rPr>
              <w:t xml:space="preserve"> 2021; S2213-2600(21): 00097-7.</w:t>
            </w:r>
          </w:p>
        </w:tc>
      </w:tr>
      <w:tr w:rsidR="007E1071" w:rsidRPr="000A03FD" w14:paraId="283DF6CD" w14:textId="77777777" w:rsidTr="00113672">
        <w:trPr>
          <w:cantSplit/>
        </w:trPr>
        <w:tc>
          <w:tcPr>
            <w:tcW w:w="795" w:type="pct"/>
            <w:vMerge/>
            <w:vAlign w:val="center"/>
          </w:tcPr>
          <w:p w14:paraId="2AC96BB8" w14:textId="77777777" w:rsidR="007E1071" w:rsidRPr="000A03FD" w:rsidRDefault="007E1071" w:rsidP="005D44F5">
            <w:pPr>
              <w:pStyle w:val="TableText0"/>
              <w:keepLines/>
              <w:jc w:val="center"/>
            </w:pPr>
          </w:p>
        </w:tc>
        <w:tc>
          <w:tcPr>
            <w:tcW w:w="2803" w:type="pct"/>
            <w:tcBorders>
              <w:top w:val="nil"/>
              <w:bottom w:val="nil"/>
            </w:tcBorders>
            <w:vAlign w:val="center"/>
          </w:tcPr>
          <w:p w14:paraId="0C363C40" w14:textId="77777777" w:rsidR="007E1071" w:rsidRPr="000A03FD" w:rsidRDefault="007E1071" w:rsidP="005D44F5">
            <w:pPr>
              <w:pStyle w:val="Tabletext"/>
              <w:keepNext/>
              <w:keepLines/>
            </w:pPr>
            <w:r w:rsidRPr="000A03FD">
              <w:rPr>
                <w:szCs w:val="18"/>
              </w:rPr>
              <w:t xml:space="preserve">Bachert C, </w:t>
            </w:r>
            <w:r w:rsidRPr="000A03FD">
              <w:t>Sousa AR, Han JK, et al. Mepolizumab for chronic rhinosinusitis with nasal polyps: treatment efficacy by comorbidity and blood eosinophil count.</w:t>
            </w:r>
          </w:p>
        </w:tc>
        <w:tc>
          <w:tcPr>
            <w:tcW w:w="1402" w:type="pct"/>
            <w:tcBorders>
              <w:top w:val="nil"/>
              <w:bottom w:val="nil"/>
            </w:tcBorders>
            <w:vAlign w:val="center"/>
          </w:tcPr>
          <w:p w14:paraId="17B224E4" w14:textId="77777777" w:rsidR="007E1071" w:rsidRPr="000A03FD" w:rsidRDefault="007E1071" w:rsidP="005D44F5">
            <w:pPr>
              <w:pStyle w:val="TableText0"/>
              <w:keepLines/>
              <w:rPr>
                <w:i/>
              </w:rPr>
            </w:pPr>
            <w:r w:rsidRPr="000A03FD">
              <w:rPr>
                <w:i/>
                <w:szCs w:val="18"/>
              </w:rPr>
              <w:t>J Allergy Clin Immunol</w:t>
            </w:r>
            <w:r w:rsidRPr="000A03FD">
              <w:rPr>
                <w:iCs/>
                <w:szCs w:val="18"/>
              </w:rPr>
              <w:t xml:space="preserve"> 2022; 149: 1711-21).</w:t>
            </w:r>
          </w:p>
        </w:tc>
      </w:tr>
      <w:tr w:rsidR="007E1071" w:rsidRPr="000A03FD" w14:paraId="5137B583" w14:textId="77777777" w:rsidTr="00113672">
        <w:trPr>
          <w:cantSplit/>
        </w:trPr>
        <w:tc>
          <w:tcPr>
            <w:tcW w:w="795" w:type="pct"/>
            <w:vMerge/>
            <w:vAlign w:val="center"/>
          </w:tcPr>
          <w:p w14:paraId="7E4253E8" w14:textId="77777777" w:rsidR="007E1071" w:rsidRPr="000A03FD" w:rsidRDefault="007E1071" w:rsidP="005D44F5">
            <w:pPr>
              <w:pStyle w:val="TableText0"/>
              <w:keepLines/>
              <w:jc w:val="center"/>
            </w:pPr>
          </w:p>
        </w:tc>
        <w:tc>
          <w:tcPr>
            <w:tcW w:w="2803" w:type="pct"/>
            <w:tcBorders>
              <w:top w:val="nil"/>
              <w:bottom w:val="nil"/>
            </w:tcBorders>
            <w:vAlign w:val="center"/>
          </w:tcPr>
          <w:p w14:paraId="5199F36D" w14:textId="77777777" w:rsidR="007E1071" w:rsidRPr="000A03FD" w:rsidRDefault="007E1071" w:rsidP="005D44F5">
            <w:pPr>
              <w:pStyle w:val="Tabletext"/>
              <w:keepNext/>
              <w:keepLines/>
              <w:rPr>
                <w:bCs/>
              </w:rPr>
            </w:pPr>
            <w:r w:rsidRPr="000A03FD">
              <w:rPr>
                <w:szCs w:val="18"/>
              </w:rPr>
              <w:t xml:space="preserve">Lipworth B, Chan R, Misiroys, R, Stewart K. </w:t>
            </w:r>
            <w:r w:rsidRPr="000A03FD">
              <w:rPr>
                <w:bCs/>
              </w:rPr>
              <w:t>Mepolizumab response in severe chronic rhinosinusitis with nasal polyps is dissociated from blood eosinophil levels (correspondence).</w:t>
            </w:r>
          </w:p>
        </w:tc>
        <w:tc>
          <w:tcPr>
            <w:tcW w:w="1402" w:type="pct"/>
            <w:tcBorders>
              <w:top w:val="nil"/>
              <w:bottom w:val="nil"/>
            </w:tcBorders>
            <w:vAlign w:val="center"/>
          </w:tcPr>
          <w:p w14:paraId="1A1C7816" w14:textId="77777777" w:rsidR="007E1071" w:rsidRPr="000A03FD" w:rsidRDefault="007E1071" w:rsidP="005D44F5">
            <w:pPr>
              <w:pStyle w:val="TableText0"/>
              <w:keepLines/>
              <w:rPr>
                <w:i/>
              </w:rPr>
            </w:pPr>
            <w:r w:rsidRPr="000A03FD">
              <w:rPr>
                <w:i/>
                <w:iCs/>
              </w:rPr>
              <w:t>J Allergy Clin Immunol</w:t>
            </w:r>
            <w:r w:rsidRPr="000A03FD">
              <w:t>. 2022 May;149(5):1817</w:t>
            </w:r>
          </w:p>
        </w:tc>
      </w:tr>
      <w:tr w:rsidR="007E1071" w:rsidRPr="000A03FD" w14:paraId="19999AA3" w14:textId="77777777" w:rsidTr="00113672">
        <w:trPr>
          <w:cantSplit/>
        </w:trPr>
        <w:tc>
          <w:tcPr>
            <w:tcW w:w="795" w:type="pct"/>
            <w:vMerge/>
            <w:vAlign w:val="center"/>
          </w:tcPr>
          <w:p w14:paraId="613B5467" w14:textId="77777777" w:rsidR="007E1071" w:rsidRPr="000A03FD" w:rsidRDefault="007E1071" w:rsidP="005D44F5">
            <w:pPr>
              <w:pStyle w:val="TableText0"/>
              <w:keepLines/>
              <w:jc w:val="center"/>
            </w:pPr>
          </w:p>
        </w:tc>
        <w:tc>
          <w:tcPr>
            <w:tcW w:w="2803" w:type="pct"/>
            <w:tcBorders>
              <w:top w:val="nil"/>
              <w:bottom w:val="nil"/>
            </w:tcBorders>
            <w:vAlign w:val="center"/>
          </w:tcPr>
          <w:p w14:paraId="3C21F040" w14:textId="77777777" w:rsidR="007E1071" w:rsidRPr="000A03FD" w:rsidRDefault="007E1071" w:rsidP="005D44F5">
            <w:pPr>
              <w:pStyle w:val="TableText0"/>
              <w:keepLines/>
            </w:pPr>
            <w:r w:rsidRPr="000A03FD">
              <w:rPr>
                <w:szCs w:val="18"/>
              </w:rPr>
              <w:t xml:space="preserve">Bachert C, Hellings P, Lund V et al. </w:t>
            </w:r>
            <w:r w:rsidRPr="000A03FD">
              <w:t>Improving quality of life and productivity in patients with chronic rhinosinusitis with nasal polyps treated with mepolizumab: SF-36 and WPAI results from SYNAPSE.</w:t>
            </w:r>
          </w:p>
        </w:tc>
        <w:tc>
          <w:tcPr>
            <w:tcW w:w="1402" w:type="pct"/>
            <w:tcBorders>
              <w:top w:val="nil"/>
              <w:bottom w:val="nil"/>
            </w:tcBorders>
            <w:vAlign w:val="center"/>
          </w:tcPr>
          <w:p w14:paraId="7D0A9240" w14:textId="77777777" w:rsidR="007E1071" w:rsidRPr="000A03FD" w:rsidRDefault="007E1071" w:rsidP="005D44F5">
            <w:pPr>
              <w:pStyle w:val="Tabletext"/>
              <w:keepNext/>
              <w:keepLines/>
            </w:pPr>
            <w:r w:rsidRPr="000A03FD">
              <w:rPr>
                <w:i/>
                <w:iCs/>
              </w:rPr>
              <w:t>Allergy: European journal of allergy and clinical immunology</w:t>
            </w:r>
            <w:r w:rsidRPr="000A03FD">
              <w:t>:2021, 76 (110) 653</w:t>
            </w:r>
            <w:r w:rsidRPr="000A03FD">
              <w:rPr>
                <w:rFonts w:ascii="Cambria Math" w:hAnsi="Cambria Math" w:cs="Cambria Math"/>
              </w:rPr>
              <w:t>‐</w:t>
            </w:r>
            <w:r w:rsidRPr="000A03FD">
              <w:t>654</w:t>
            </w:r>
          </w:p>
        </w:tc>
      </w:tr>
      <w:tr w:rsidR="007E1071" w:rsidRPr="000A03FD" w14:paraId="57A5D4E8" w14:textId="77777777" w:rsidTr="00113672">
        <w:trPr>
          <w:cantSplit/>
        </w:trPr>
        <w:tc>
          <w:tcPr>
            <w:tcW w:w="795" w:type="pct"/>
            <w:vMerge/>
            <w:tcBorders>
              <w:bottom w:val="single" w:sz="4" w:space="0" w:color="auto"/>
            </w:tcBorders>
            <w:vAlign w:val="center"/>
          </w:tcPr>
          <w:p w14:paraId="34CE1C95" w14:textId="77777777" w:rsidR="007E1071" w:rsidRPr="000A03FD" w:rsidRDefault="007E1071" w:rsidP="005D44F5">
            <w:pPr>
              <w:pStyle w:val="TableText0"/>
              <w:keepLines/>
              <w:jc w:val="center"/>
            </w:pPr>
          </w:p>
        </w:tc>
        <w:tc>
          <w:tcPr>
            <w:tcW w:w="2803" w:type="pct"/>
            <w:tcBorders>
              <w:top w:val="nil"/>
              <w:bottom w:val="single" w:sz="4" w:space="0" w:color="auto"/>
            </w:tcBorders>
            <w:vAlign w:val="center"/>
          </w:tcPr>
          <w:p w14:paraId="622B50E6" w14:textId="77777777" w:rsidR="007E1071" w:rsidRPr="000A03FD" w:rsidRDefault="007E1071" w:rsidP="005D44F5">
            <w:pPr>
              <w:pStyle w:val="TableText0"/>
              <w:keepLines/>
            </w:pPr>
            <w:r w:rsidRPr="000A03FD">
              <w:rPr>
                <w:szCs w:val="18"/>
              </w:rPr>
              <w:t xml:space="preserve">Mullol J, Lund V, Wagenmann M et al. </w:t>
            </w:r>
            <w:r w:rsidRPr="000A03FD">
              <w:t>Mepolizumab Induced Loss of Smell Improvement in Patients With Chronic Rhinosinusitis With Nasal Polyps From the SYNAPSE Study.</w:t>
            </w:r>
          </w:p>
        </w:tc>
        <w:tc>
          <w:tcPr>
            <w:tcW w:w="1402" w:type="pct"/>
            <w:tcBorders>
              <w:top w:val="nil"/>
              <w:bottom w:val="single" w:sz="4" w:space="0" w:color="auto"/>
            </w:tcBorders>
            <w:vAlign w:val="center"/>
          </w:tcPr>
          <w:p w14:paraId="32CB806A" w14:textId="77777777" w:rsidR="007E1071" w:rsidRPr="000A03FD" w:rsidRDefault="007E1071" w:rsidP="005D44F5">
            <w:pPr>
              <w:pStyle w:val="TableLeft"/>
              <w:keepNext/>
              <w:keepLines/>
            </w:pPr>
            <w:r w:rsidRPr="000A03FD">
              <w:rPr>
                <w:i/>
                <w:iCs/>
              </w:rPr>
              <w:t xml:space="preserve">Journal of Allergy and Clinical Immunology. </w:t>
            </w:r>
            <w:r w:rsidRPr="000A03FD">
              <w:t>2022,</w:t>
            </w:r>
          </w:p>
          <w:p w14:paraId="440A3BD3" w14:textId="77777777" w:rsidR="007E1071" w:rsidRPr="000A03FD" w:rsidRDefault="007E1071" w:rsidP="005D44F5">
            <w:pPr>
              <w:pStyle w:val="TableText0"/>
              <w:keepLines/>
              <w:rPr>
                <w:i/>
              </w:rPr>
            </w:pPr>
            <w:r w:rsidRPr="000A03FD">
              <w:t>149(2): Supplement, Page AB160.</w:t>
            </w:r>
          </w:p>
        </w:tc>
      </w:tr>
    </w:tbl>
    <w:p w14:paraId="51D8173A" w14:textId="1F5D7971" w:rsidR="008E0D3C" w:rsidRPr="000A03FD" w:rsidRDefault="008E0D3C" w:rsidP="005D44F5">
      <w:pPr>
        <w:pStyle w:val="FooterTableFigure"/>
        <w:keepNext/>
        <w:keepLines/>
      </w:pPr>
      <w:r w:rsidRPr="000A03FD">
        <w:t xml:space="preserve">Source: </w:t>
      </w:r>
      <w:r w:rsidR="009C4321" w:rsidRPr="000A03FD">
        <w:t>Table 2-5 (p45-7) of the resubmission</w:t>
      </w:r>
    </w:p>
    <w:p w14:paraId="6008AE3A" w14:textId="702EF512" w:rsidR="005C32E8" w:rsidRPr="000A03FD" w:rsidRDefault="005C32E8" w:rsidP="005D44F5">
      <w:pPr>
        <w:pStyle w:val="FooterTableFigure"/>
        <w:keepNext/>
        <w:keepLines/>
      </w:pPr>
      <w:r w:rsidRPr="000A03FD">
        <w:t>Blue shaded cells indicate publications presented in previous submission</w:t>
      </w:r>
    </w:p>
    <w:p w14:paraId="64BFDF35" w14:textId="60FB63DD" w:rsidR="00E513D5" w:rsidRPr="000A03FD" w:rsidRDefault="0079454E" w:rsidP="00E513D5">
      <w:pPr>
        <w:pStyle w:val="3-BodyText"/>
        <w:rPr>
          <w:iCs/>
        </w:rPr>
      </w:pPr>
      <w:r w:rsidRPr="000A03FD">
        <w:t xml:space="preserve">The key features of the direct randomised trial are summarised in </w:t>
      </w:r>
      <w:r w:rsidR="00F1619C" w:rsidRPr="000A03FD">
        <w:fldChar w:fldCharType="begin" w:fldLock="1"/>
      </w:r>
      <w:r w:rsidR="00F1619C" w:rsidRPr="000A03FD">
        <w:instrText xml:space="preserve"> REF _Ref104804098 \h  \* MERGEFORMAT </w:instrText>
      </w:r>
      <w:r w:rsidR="00F1619C" w:rsidRPr="000A03FD">
        <w:fldChar w:fldCharType="separate"/>
      </w:r>
      <w:r w:rsidR="00625A18" w:rsidRPr="000A03FD">
        <w:t>Table 4</w:t>
      </w:r>
      <w:r w:rsidR="00F1619C" w:rsidRPr="000A03FD">
        <w:fldChar w:fldCharType="end"/>
      </w:r>
      <w:r w:rsidR="000A03FD">
        <w:t xml:space="preserve">. </w:t>
      </w:r>
      <w:r w:rsidRPr="000A03FD">
        <w:rPr>
          <w:iCs/>
        </w:rPr>
        <w:t>Overall, there was a low risk of bias in the SYNAPSE trial</w:t>
      </w:r>
      <w:r w:rsidR="00085D5B" w:rsidRPr="000A03FD">
        <w:rPr>
          <w:iCs/>
        </w:rPr>
        <w:t>.</w:t>
      </w:r>
      <w:r w:rsidR="00E513D5" w:rsidRPr="000A03FD">
        <w:rPr>
          <w:iCs/>
        </w:rPr>
        <w:t xml:space="preserve"> However, as stated in the previous submission (paragraph 6.24, mepolizumab PSD, November 2021</w:t>
      </w:r>
      <w:r w:rsidR="006E65D0" w:rsidRPr="000A03FD">
        <w:rPr>
          <w:iCs/>
        </w:rPr>
        <w:t xml:space="preserve"> PBAC meeting</w:t>
      </w:r>
      <w:r w:rsidR="00E513D5" w:rsidRPr="000A03FD">
        <w:rPr>
          <w:iCs/>
        </w:rPr>
        <w:t>), in SYNAPSE the pre-specified subgroups for BEC were ≤</w:t>
      </w:r>
      <w:r w:rsidR="00A35A17" w:rsidRPr="000A03FD">
        <w:rPr>
          <w:iCs/>
        </w:rPr>
        <w:t>300</w:t>
      </w:r>
      <w:r w:rsidR="00A35A17">
        <w:rPr>
          <w:iCs/>
        </w:rPr>
        <w:t> </w:t>
      </w:r>
      <w:r w:rsidR="00E513D5" w:rsidRPr="000A03FD">
        <w:rPr>
          <w:iCs/>
        </w:rPr>
        <w:t>cells/</w:t>
      </w:r>
      <w:bookmarkStart w:id="34" w:name="_Hlk111523931"/>
      <w:r w:rsidR="009F319C" w:rsidRPr="000A03FD">
        <w:rPr>
          <w:rFonts w:cstheme="minorHAnsi"/>
          <w:iCs/>
        </w:rPr>
        <w:t>µ</w:t>
      </w:r>
      <w:r w:rsidR="00E513D5" w:rsidRPr="000A03FD">
        <w:rPr>
          <w:iCs/>
        </w:rPr>
        <w:t>L</w:t>
      </w:r>
      <w:bookmarkEnd w:id="34"/>
      <w:r w:rsidR="00E513D5" w:rsidRPr="000A03FD">
        <w:rPr>
          <w:iCs/>
        </w:rPr>
        <w:t>; &gt;300 to ≤</w:t>
      </w:r>
      <w:r w:rsidR="00A35A17" w:rsidRPr="000A03FD">
        <w:rPr>
          <w:iCs/>
        </w:rPr>
        <w:t>500</w:t>
      </w:r>
      <w:r w:rsidR="00A35A17">
        <w:rPr>
          <w:iCs/>
        </w:rPr>
        <w:t> </w:t>
      </w:r>
      <w:r w:rsidR="00E513D5" w:rsidRPr="000A03FD">
        <w:rPr>
          <w:iCs/>
        </w:rPr>
        <w:t>cells/</w:t>
      </w:r>
      <w:r w:rsidR="009F319C" w:rsidRPr="000A03FD">
        <w:rPr>
          <w:rFonts w:cstheme="minorHAnsi"/>
          <w:iCs/>
        </w:rPr>
        <w:t>µ</w:t>
      </w:r>
      <w:r w:rsidR="009F319C" w:rsidRPr="000A03FD">
        <w:rPr>
          <w:iCs/>
        </w:rPr>
        <w:t>L</w:t>
      </w:r>
      <w:r w:rsidR="00E513D5" w:rsidRPr="000A03FD">
        <w:rPr>
          <w:iCs/>
        </w:rPr>
        <w:t>; &gt;500 to ≤700</w:t>
      </w:r>
      <w:r w:rsidR="00A35A17">
        <w:rPr>
          <w:iCs/>
        </w:rPr>
        <w:t> </w:t>
      </w:r>
      <w:r w:rsidR="00E513D5" w:rsidRPr="000A03FD">
        <w:rPr>
          <w:iCs/>
        </w:rPr>
        <w:t>cells/</w:t>
      </w:r>
      <w:r w:rsidR="009F319C" w:rsidRPr="000A03FD">
        <w:rPr>
          <w:rFonts w:cstheme="minorHAnsi"/>
          <w:iCs/>
        </w:rPr>
        <w:t>µ</w:t>
      </w:r>
      <w:r w:rsidR="009F319C" w:rsidRPr="000A03FD">
        <w:rPr>
          <w:iCs/>
        </w:rPr>
        <w:t>L</w:t>
      </w:r>
      <w:r w:rsidR="00E513D5" w:rsidRPr="000A03FD">
        <w:rPr>
          <w:iCs/>
        </w:rPr>
        <w:t xml:space="preserve"> and &gt;700</w:t>
      </w:r>
      <w:r w:rsidR="00A35A17">
        <w:rPr>
          <w:iCs/>
        </w:rPr>
        <w:t> </w:t>
      </w:r>
      <w:r w:rsidR="00E513D5" w:rsidRPr="000A03FD">
        <w:rPr>
          <w:iCs/>
        </w:rPr>
        <w:t>cells/</w:t>
      </w:r>
      <w:r w:rsidR="009F319C" w:rsidRPr="000A03FD">
        <w:rPr>
          <w:rFonts w:cstheme="minorHAnsi"/>
          <w:iCs/>
        </w:rPr>
        <w:t>µ</w:t>
      </w:r>
      <w:r w:rsidR="009F319C" w:rsidRPr="000A03FD">
        <w:rPr>
          <w:iCs/>
        </w:rPr>
        <w:t>L</w:t>
      </w:r>
      <w:r w:rsidR="00E513D5" w:rsidRPr="000A03FD">
        <w:rPr>
          <w:iCs/>
        </w:rPr>
        <w:t>. Strictly speaking, the requested subgroup of BEC ≥300</w:t>
      </w:r>
      <w:r w:rsidR="00A35A17">
        <w:rPr>
          <w:iCs/>
        </w:rPr>
        <w:t> </w:t>
      </w:r>
      <w:r w:rsidR="00E513D5" w:rsidRPr="000A03FD">
        <w:rPr>
          <w:iCs/>
        </w:rPr>
        <w:t>cells/</w:t>
      </w:r>
      <w:r w:rsidR="009F319C" w:rsidRPr="000A03FD">
        <w:rPr>
          <w:rFonts w:cstheme="minorHAnsi"/>
          <w:iCs/>
        </w:rPr>
        <w:t>µ</w:t>
      </w:r>
      <w:r w:rsidR="009F319C" w:rsidRPr="000A03FD">
        <w:rPr>
          <w:iCs/>
        </w:rPr>
        <w:t>L</w:t>
      </w:r>
      <w:r w:rsidR="00E513D5" w:rsidRPr="000A03FD">
        <w:rPr>
          <w:iCs/>
        </w:rPr>
        <w:t xml:space="preserve"> was not a pre-specified subgroup, but rather, the complement to the pre-specified ≤300</w:t>
      </w:r>
      <w:r w:rsidR="00A35A17">
        <w:rPr>
          <w:iCs/>
        </w:rPr>
        <w:t> </w:t>
      </w:r>
      <w:r w:rsidR="00E513D5" w:rsidRPr="000A03FD">
        <w:rPr>
          <w:iCs/>
        </w:rPr>
        <w:t>cells/</w:t>
      </w:r>
      <w:r w:rsidR="009F319C" w:rsidRPr="000A03FD">
        <w:rPr>
          <w:rFonts w:cstheme="minorHAnsi"/>
          <w:iCs/>
        </w:rPr>
        <w:t>µ</w:t>
      </w:r>
      <w:r w:rsidR="009F319C" w:rsidRPr="000A03FD">
        <w:rPr>
          <w:iCs/>
        </w:rPr>
        <w:t>L</w:t>
      </w:r>
      <w:r w:rsidR="00E513D5" w:rsidRPr="000A03FD">
        <w:rPr>
          <w:iCs/>
        </w:rPr>
        <w:t xml:space="preserve"> subgroup. Regardless, no formal hypothesis testing was conducted for any of the subgroups and as such subgroup results should be considered exploratory.</w:t>
      </w:r>
    </w:p>
    <w:p w14:paraId="355E2F15" w14:textId="5A119994" w:rsidR="007F1017" w:rsidRPr="000A03FD" w:rsidRDefault="00696EF9" w:rsidP="00D6076E">
      <w:pPr>
        <w:pStyle w:val="Caption"/>
        <w:rPr>
          <w:rStyle w:val="CommentReference"/>
          <w:rFonts w:eastAsiaTheme="majorEastAsia" w:cstheme="majorBidi"/>
          <w:b/>
          <w:szCs w:val="24"/>
        </w:rPr>
      </w:pPr>
      <w:bookmarkStart w:id="35" w:name="_Ref104804098"/>
      <w:r w:rsidRPr="000A03FD">
        <w:rPr>
          <w:rStyle w:val="CommentReference"/>
          <w:rFonts w:eastAsiaTheme="majorEastAsia" w:cstheme="majorBidi"/>
          <w:b/>
          <w:szCs w:val="24"/>
        </w:rPr>
        <w:lastRenderedPageBreak/>
        <w:t xml:space="preserve">Table </w:t>
      </w:r>
      <w:r w:rsidRPr="000A03FD">
        <w:rPr>
          <w:rStyle w:val="CommentReference"/>
          <w:rFonts w:eastAsiaTheme="majorEastAsia" w:cstheme="majorBidi"/>
          <w:b/>
          <w:szCs w:val="24"/>
        </w:rPr>
        <w:fldChar w:fldCharType="begin" w:fldLock="1"/>
      </w:r>
      <w:r w:rsidRPr="000A03FD">
        <w:rPr>
          <w:rStyle w:val="CommentReference"/>
          <w:rFonts w:eastAsiaTheme="majorEastAsia" w:cstheme="majorBidi"/>
          <w:b/>
          <w:szCs w:val="24"/>
        </w:rPr>
        <w:instrText xml:space="preserve"> SEQ Table \* ARABIC </w:instrText>
      </w:r>
      <w:r w:rsidRPr="000A03FD">
        <w:rPr>
          <w:rStyle w:val="CommentReference"/>
          <w:rFonts w:eastAsiaTheme="majorEastAsia" w:cstheme="majorBidi"/>
          <w:b/>
          <w:szCs w:val="24"/>
        </w:rPr>
        <w:fldChar w:fldCharType="separate"/>
      </w:r>
      <w:r w:rsidR="00A0401C" w:rsidRPr="000A03FD">
        <w:rPr>
          <w:rStyle w:val="CommentReference"/>
          <w:rFonts w:eastAsiaTheme="majorEastAsia" w:cstheme="majorBidi"/>
          <w:b/>
          <w:szCs w:val="24"/>
        </w:rPr>
        <w:t>4</w:t>
      </w:r>
      <w:r w:rsidRPr="000A03FD">
        <w:rPr>
          <w:rStyle w:val="CommentReference"/>
          <w:rFonts w:eastAsiaTheme="majorEastAsia" w:cstheme="majorBidi"/>
          <w:b/>
          <w:szCs w:val="24"/>
        </w:rPr>
        <w:fldChar w:fldCharType="end"/>
      </w:r>
      <w:bookmarkEnd w:id="35"/>
      <w:r w:rsidR="00D6076E" w:rsidRPr="000A03FD">
        <w:rPr>
          <w:rStyle w:val="CommentReference"/>
          <w:rFonts w:eastAsiaTheme="majorEastAsia" w:cstheme="majorBidi"/>
          <w:b/>
          <w:szCs w:val="24"/>
        </w:rPr>
        <w:t xml:space="preserve">: </w:t>
      </w:r>
      <w:r w:rsidR="007F1017" w:rsidRPr="000A03FD">
        <w:rPr>
          <w:rStyle w:val="CommentReference"/>
          <w:rFonts w:eastAsiaTheme="majorEastAsia" w:cstheme="majorBidi"/>
          <w:b/>
          <w:szCs w:val="24"/>
        </w:rPr>
        <w:t>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1"/>
        <w:gridCol w:w="1709"/>
        <w:gridCol w:w="482"/>
        <w:gridCol w:w="2393"/>
        <w:gridCol w:w="1793"/>
        <w:gridCol w:w="1808"/>
      </w:tblGrid>
      <w:tr w:rsidR="00467DD3" w:rsidRPr="000A03FD" w14:paraId="153CADF8" w14:textId="77777777" w:rsidTr="00113672">
        <w:trPr>
          <w:cantSplit/>
          <w:tblHeader/>
        </w:trPr>
        <w:tc>
          <w:tcPr>
            <w:tcW w:w="0" w:type="auto"/>
            <w:shd w:val="clear" w:color="auto" w:fill="auto"/>
            <w:vAlign w:val="center"/>
          </w:tcPr>
          <w:p w14:paraId="1C1F27A0" w14:textId="77777777" w:rsidR="00467DD3" w:rsidRPr="000A03FD" w:rsidRDefault="00467DD3" w:rsidP="00113672">
            <w:pPr>
              <w:pStyle w:val="In-tableHeading"/>
              <w:rPr>
                <w:lang w:val="en-AU"/>
              </w:rPr>
            </w:pPr>
            <w:r w:rsidRPr="000A03FD">
              <w:rPr>
                <w:lang w:val="en-AU"/>
              </w:rPr>
              <w:t>Trial, N</w:t>
            </w:r>
          </w:p>
        </w:tc>
        <w:tc>
          <w:tcPr>
            <w:tcW w:w="0" w:type="auto"/>
            <w:shd w:val="clear" w:color="auto" w:fill="auto"/>
            <w:vAlign w:val="center"/>
          </w:tcPr>
          <w:p w14:paraId="723FD6CD" w14:textId="77777777" w:rsidR="00467DD3" w:rsidRPr="000A03FD" w:rsidRDefault="00467DD3" w:rsidP="00113672">
            <w:pPr>
              <w:pStyle w:val="In-tableHeading"/>
              <w:jc w:val="center"/>
              <w:rPr>
                <w:lang w:val="en-AU"/>
              </w:rPr>
            </w:pPr>
            <w:r w:rsidRPr="000A03FD">
              <w:rPr>
                <w:lang w:val="en-AU"/>
              </w:rPr>
              <w:t>Design / duration / interventions</w:t>
            </w:r>
          </w:p>
        </w:tc>
        <w:tc>
          <w:tcPr>
            <w:tcW w:w="0" w:type="auto"/>
            <w:shd w:val="clear" w:color="auto" w:fill="auto"/>
            <w:vAlign w:val="center"/>
          </w:tcPr>
          <w:p w14:paraId="162060B9" w14:textId="77777777" w:rsidR="00467DD3" w:rsidRPr="000A03FD" w:rsidRDefault="00467DD3" w:rsidP="00113672">
            <w:pPr>
              <w:pStyle w:val="In-tableHeading"/>
              <w:jc w:val="center"/>
              <w:rPr>
                <w:lang w:val="en-AU"/>
              </w:rPr>
            </w:pPr>
            <w:r w:rsidRPr="000A03FD">
              <w:rPr>
                <w:lang w:val="en-AU"/>
              </w:rPr>
              <w:t>Risk of bias</w:t>
            </w:r>
          </w:p>
        </w:tc>
        <w:tc>
          <w:tcPr>
            <w:tcW w:w="0" w:type="auto"/>
            <w:shd w:val="clear" w:color="auto" w:fill="auto"/>
            <w:vAlign w:val="center"/>
          </w:tcPr>
          <w:p w14:paraId="732B628F" w14:textId="77777777" w:rsidR="00467DD3" w:rsidRPr="000A03FD" w:rsidRDefault="00467DD3" w:rsidP="00113672">
            <w:pPr>
              <w:pStyle w:val="In-tableHeading"/>
              <w:jc w:val="center"/>
              <w:rPr>
                <w:lang w:val="en-AU"/>
              </w:rPr>
            </w:pPr>
            <w:r w:rsidRPr="000A03FD">
              <w:rPr>
                <w:lang w:val="en-AU"/>
              </w:rPr>
              <w:t>Patient population</w:t>
            </w:r>
          </w:p>
        </w:tc>
        <w:tc>
          <w:tcPr>
            <w:tcW w:w="0" w:type="auto"/>
            <w:tcBorders>
              <w:bottom w:val="single" w:sz="4" w:space="0" w:color="auto"/>
            </w:tcBorders>
            <w:shd w:val="clear" w:color="auto" w:fill="auto"/>
            <w:vAlign w:val="center"/>
          </w:tcPr>
          <w:p w14:paraId="6271017B" w14:textId="77777777" w:rsidR="00467DD3" w:rsidRPr="000A03FD" w:rsidRDefault="00467DD3" w:rsidP="00113672">
            <w:pPr>
              <w:pStyle w:val="In-tableHeading"/>
              <w:jc w:val="center"/>
              <w:rPr>
                <w:lang w:val="en-AU"/>
              </w:rPr>
            </w:pPr>
            <w:r w:rsidRPr="000A03FD">
              <w:rPr>
                <w:lang w:val="en-AU"/>
              </w:rPr>
              <w:t>Main Outcomes</w:t>
            </w:r>
          </w:p>
        </w:tc>
        <w:tc>
          <w:tcPr>
            <w:tcW w:w="0" w:type="auto"/>
            <w:tcBorders>
              <w:bottom w:val="single" w:sz="4" w:space="0" w:color="auto"/>
            </w:tcBorders>
            <w:shd w:val="clear" w:color="auto" w:fill="auto"/>
            <w:vAlign w:val="center"/>
          </w:tcPr>
          <w:p w14:paraId="2452BD80" w14:textId="77777777" w:rsidR="00467DD3" w:rsidRPr="000A03FD" w:rsidRDefault="00467DD3" w:rsidP="00113672">
            <w:pPr>
              <w:pStyle w:val="In-tableHeading"/>
              <w:jc w:val="center"/>
              <w:rPr>
                <w:lang w:val="en-AU"/>
              </w:rPr>
            </w:pPr>
            <w:r w:rsidRPr="000A03FD">
              <w:rPr>
                <w:lang w:val="en-AU"/>
              </w:rPr>
              <w:t>Use in modelled evaluation</w:t>
            </w:r>
          </w:p>
        </w:tc>
      </w:tr>
      <w:tr w:rsidR="00467DD3" w:rsidRPr="000A03FD" w14:paraId="6FDAFC89" w14:textId="77777777" w:rsidTr="00FA58DD">
        <w:trPr>
          <w:cantSplit/>
          <w:trHeight w:val="828"/>
        </w:trPr>
        <w:tc>
          <w:tcPr>
            <w:tcW w:w="0" w:type="auto"/>
            <w:vMerge w:val="restart"/>
            <w:shd w:val="clear" w:color="auto" w:fill="C6D9F1" w:themeFill="text2" w:themeFillTint="33"/>
            <w:vAlign w:val="center"/>
          </w:tcPr>
          <w:p w14:paraId="53EACE19" w14:textId="77777777" w:rsidR="00467DD3" w:rsidRPr="000A03FD" w:rsidRDefault="00467DD3" w:rsidP="00113672">
            <w:pPr>
              <w:pStyle w:val="TableText0"/>
            </w:pPr>
            <w:r w:rsidRPr="000A03FD">
              <w:t>SYNAPSE</w:t>
            </w:r>
          </w:p>
          <w:p w14:paraId="71F1681A" w14:textId="77777777" w:rsidR="00467DD3" w:rsidRPr="000A03FD" w:rsidRDefault="00467DD3" w:rsidP="00113672">
            <w:pPr>
              <w:pStyle w:val="TableText0"/>
            </w:pPr>
            <w:r w:rsidRPr="000A03FD">
              <w:t xml:space="preserve">N=407 </w:t>
            </w:r>
            <w:r w:rsidRPr="000A03FD">
              <w:rPr>
                <w:vertAlign w:val="superscript"/>
              </w:rPr>
              <w:t>a</w:t>
            </w:r>
          </w:p>
        </w:tc>
        <w:tc>
          <w:tcPr>
            <w:tcW w:w="0" w:type="auto"/>
            <w:vMerge w:val="restart"/>
            <w:shd w:val="clear" w:color="auto" w:fill="C6D9F1" w:themeFill="text2" w:themeFillTint="33"/>
            <w:vAlign w:val="center"/>
          </w:tcPr>
          <w:p w14:paraId="5533912D" w14:textId="77777777" w:rsidR="00467DD3" w:rsidRPr="000A03FD" w:rsidRDefault="00467DD3" w:rsidP="00467DD3">
            <w:pPr>
              <w:pStyle w:val="Tabletext"/>
              <w:keepNext/>
              <w:keepLines/>
            </w:pPr>
            <w:r w:rsidRPr="000A03FD">
              <w:t>Phase 3, R, DB, PC, MC, PG</w:t>
            </w:r>
          </w:p>
          <w:p w14:paraId="36553C32" w14:textId="77777777" w:rsidR="00467DD3" w:rsidRPr="000A03FD" w:rsidRDefault="00467DD3" w:rsidP="00467DD3">
            <w:pPr>
              <w:pStyle w:val="Tabletext"/>
              <w:keepNext/>
              <w:keepLines/>
            </w:pPr>
          </w:p>
          <w:p w14:paraId="7EF323A0" w14:textId="77777777" w:rsidR="00467DD3" w:rsidRPr="000A03FD" w:rsidRDefault="00467DD3" w:rsidP="00467DD3">
            <w:pPr>
              <w:pStyle w:val="TableText0"/>
            </w:pPr>
            <w:r w:rsidRPr="000A03FD">
              <w:t>Trial duration of treatment of 48 weeks (sufficient for 52 weeks of treatment).</w:t>
            </w:r>
          </w:p>
          <w:p w14:paraId="50AAACAE" w14:textId="77777777" w:rsidR="00467DD3" w:rsidRPr="000A03FD" w:rsidRDefault="00467DD3" w:rsidP="00467DD3">
            <w:pPr>
              <w:pStyle w:val="TableText0"/>
            </w:pPr>
          </w:p>
          <w:p w14:paraId="3EAF7D48" w14:textId="77777777" w:rsidR="00467DD3" w:rsidRPr="000A03FD" w:rsidRDefault="00467DD3" w:rsidP="00467DD3">
            <w:pPr>
              <w:pStyle w:val="Tabletext"/>
              <w:keepNext/>
              <w:keepLines/>
            </w:pPr>
            <w:r w:rsidRPr="000A03FD">
              <w:t>MEPO: 100mg, SC, Q4W</w:t>
            </w:r>
          </w:p>
          <w:p w14:paraId="6D660679" w14:textId="77777777" w:rsidR="00467DD3" w:rsidRPr="000A03FD" w:rsidRDefault="00467DD3" w:rsidP="00467DD3">
            <w:pPr>
              <w:pStyle w:val="Tabletext"/>
              <w:keepNext/>
              <w:keepLines/>
            </w:pPr>
            <w:r w:rsidRPr="000A03FD">
              <w:t>vs.</w:t>
            </w:r>
          </w:p>
          <w:p w14:paraId="7E134F8E" w14:textId="77777777" w:rsidR="00467DD3" w:rsidRPr="000A03FD" w:rsidRDefault="00467DD3" w:rsidP="00467DD3">
            <w:pPr>
              <w:pStyle w:val="TableText0"/>
            </w:pPr>
            <w:r w:rsidRPr="000A03FD">
              <w:t>PLA: SC, Q4W</w:t>
            </w:r>
          </w:p>
        </w:tc>
        <w:tc>
          <w:tcPr>
            <w:tcW w:w="0" w:type="auto"/>
            <w:vMerge w:val="restart"/>
            <w:shd w:val="clear" w:color="auto" w:fill="C6D9F1" w:themeFill="text2" w:themeFillTint="33"/>
            <w:vAlign w:val="center"/>
          </w:tcPr>
          <w:p w14:paraId="45E007AD" w14:textId="77777777" w:rsidR="00467DD3" w:rsidRPr="000A03FD" w:rsidRDefault="00467DD3" w:rsidP="00467DD3">
            <w:pPr>
              <w:pStyle w:val="TableText0"/>
            </w:pPr>
            <w:r w:rsidRPr="000A03FD">
              <w:t>Low</w:t>
            </w:r>
          </w:p>
        </w:tc>
        <w:tc>
          <w:tcPr>
            <w:tcW w:w="0" w:type="auto"/>
            <w:vMerge w:val="restart"/>
            <w:shd w:val="clear" w:color="auto" w:fill="C6D9F1" w:themeFill="text2" w:themeFillTint="33"/>
            <w:vAlign w:val="center"/>
          </w:tcPr>
          <w:p w14:paraId="3E9352E3" w14:textId="77777777" w:rsidR="00467DD3" w:rsidRPr="000A03FD" w:rsidRDefault="00467DD3" w:rsidP="00467DD3">
            <w:pPr>
              <w:pStyle w:val="TableText0"/>
            </w:pPr>
            <w:r w:rsidRPr="000A03FD">
              <w:t>Adults with recurrent CRSwNP, a history of at least one prior surgery for NP, recurrent NP despite treatment with current SoC and in current need for NP surgery.</w:t>
            </w:r>
          </w:p>
        </w:tc>
        <w:tc>
          <w:tcPr>
            <w:tcW w:w="0" w:type="auto"/>
            <w:tcBorders>
              <w:bottom w:val="nil"/>
              <w:right w:val="single" w:sz="4" w:space="0" w:color="auto"/>
            </w:tcBorders>
            <w:shd w:val="clear" w:color="auto" w:fill="C6D9F1" w:themeFill="text2" w:themeFillTint="33"/>
            <w:vAlign w:val="center"/>
          </w:tcPr>
          <w:p w14:paraId="34DF9C8B" w14:textId="77777777" w:rsidR="00467DD3" w:rsidRPr="000A03FD" w:rsidRDefault="00467DD3" w:rsidP="00467DD3">
            <w:pPr>
              <w:pStyle w:val="TableText0"/>
            </w:pPr>
            <w:r w:rsidRPr="000A03FD">
              <w:t>Co-primary: Change from baseline total ENP score at week 52</w:t>
            </w:r>
          </w:p>
          <w:p w14:paraId="01853E51" w14:textId="77777777" w:rsidR="00467DD3" w:rsidRPr="000A03FD" w:rsidRDefault="00467DD3" w:rsidP="00467DD3">
            <w:pPr>
              <w:pStyle w:val="TableText0"/>
            </w:pPr>
            <w:r w:rsidRPr="000A03FD">
              <w:t>Co-primary: Change from baseline mean NO-VAS score during the 4 weeks prior to week 52</w:t>
            </w:r>
          </w:p>
        </w:tc>
        <w:tc>
          <w:tcPr>
            <w:tcW w:w="0" w:type="auto"/>
            <w:tcBorders>
              <w:left w:val="single" w:sz="4" w:space="0" w:color="auto"/>
              <w:bottom w:val="nil"/>
            </w:tcBorders>
            <w:shd w:val="clear" w:color="auto" w:fill="C6D9F1" w:themeFill="text2" w:themeFillTint="33"/>
            <w:vAlign w:val="center"/>
          </w:tcPr>
          <w:p w14:paraId="5E0E90EF" w14:textId="59C82089" w:rsidR="00467DD3" w:rsidRPr="000A03FD" w:rsidRDefault="00467DD3" w:rsidP="00467DD3">
            <w:pPr>
              <w:pStyle w:val="TableText0"/>
            </w:pPr>
            <w:r w:rsidRPr="000A03FD">
              <w:t>Co-primary outcomes of ENP and NO-VAS were used to in combination to inform responder status</w:t>
            </w:r>
          </w:p>
        </w:tc>
      </w:tr>
      <w:tr w:rsidR="00467DD3" w:rsidRPr="000A03FD" w14:paraId="32110961" w14:textId="77777777" w:rsidTr="00FA58DD">
        <w:trPr>
          <w:cantSplit/>
          <w:trHeight w:val="825"/>
        </w:trPr>
        <w:tc>
          <w:tcPr>
            <w:tcW w:w="0" w:type="auto"/>
            <w:vMerge/>
            <w:shd w:val="clear" w:color="auto" w:fill="C6D9F1" w:themeFill="text2" w:themeFillTint="33"/>
            <w:vAlign w:val="center"/>
          </w:tcPr>
          <w:p w14:paraId="3F16FA32" w14:textId="77777777" w:rsidR="00467DD3" w:rsidRPr="000A03FD" w:rsidRDefault="00467DD3" w:rsidP="00113672">
            <w:pPr>
              <w:pStyle w:val="TableText0"/>
            </w:pPr>
          </w:p>
        </w:tc>
        <w:tc>
          <w:tcPr>
            <w:tcW w:w="0" w:type="auto"/>
            <w:vMerge/>
            <w:shd w:val="clear" w:color="auto" w:fill="C6D9F1" w:themeFill="text2" w:themeFillTint="33"/>
            <w:vAlign w:val="center"/>
          </w:tcPr>
          <w:p w14:paraId="6F8935B0" w14:textId="77777777" w:rsidR="00467DD3" w:rsidRPr="000A03FD" w:rsidRDefault="00467DD3" w:rsidP="00467DD3">
            <w:pPr>
              <w:pStyle w:val="Tabletext"/>
              <w:keepNext/>
              <w:keepLines/>
            </w:pPr>
          </w:p>
        </w:tc>
        <w:tc>
          <w:tcPr>
            <w:tcW w:w="0" w:type="auto"/>
            <w:vMerge/>
            <w:shd w:val="clear" w:color="auto" w:fill="C6D9F1" w:themeFill="text2" w:themeFillTint="33"/>
            <w:vAlign w:val="center"/>
          </w:tcPr>
          <w:p w14:paraId="7DDDA5DB" w14:textId="77777777" w:rsidR="00467DD3" w:rsidRPr="000A03FD" w:rsidRDefault="00467DD3" w:rsidP="00467DD3">
            <w:pPr>
              <w:pStyle w:val="TableText0"/>
            </w:pPr>
          </w:p>
        </w:tc>
        <w:tc>
          <w:tcPr>
            <w:tcW w:w="0" w:type="auto"/>
            <w:vMerge/>
            <w:shd w:val="clear" w:color="auto" w:fill="C6D9F1" w:themeFill="text2" w:themeFillTint="33"/>
            <w:vAlign w:val="center"/>
          </w:tcPr>
          <w:p w14:paraId="3B30CBC1" w14:textId="77777777" w:rsidR="00467DD3" w:rsidRPr="000A03FD" w:rsidRDefault="00467DD3" w:rsidP="00467DD3">
            <w:pPr>
              <w:pStyle w:val="TableText0"/>
            </w:pPr>
          </w:p>
        </w:tc>
        <w:tc>
          <w:tcPr>
            <w:tcW w:w="0" w:type="auto"/>
            <w:tcBorders>
              <w:top w:val="nil"/>
              <w:bottom w:val="nil"/>
              <w:right w:val="single" w:sz="4" w:space="0" w:color="auto"/>
            </w:tcBorders>
            <w:shd w:val="clear" w:color="auto" w:fill="C6D9F1" w:themeFill="text2" w:themeFillTint="33"/>
            <w:vAlign w:val="center"/>
          </w:tcPr>
          <w:p w14:paraId="5A057511" w14:textId="77777777" w:rsidR="00467DD3" w:rsidRPr="000A03FD" w:rsidRDefault="00467DD3" w:rsidP="00467DD3">
            <w:pPr>
              <w:pStyle w:val="TableText0"/>
            </w:pPr>
            <w:r w:rsidRPr="000A03FD">
              <w:t>Secondary: Time to first actual surgery</w:t>
            </w:r>
          </w:p>
        </w:tc>
        <w:tc>
          <w:tcPr>
            <w:tcW w:w="0" w:type="auto"/>
            <w:tcBorders>
              <w:top w:val="nil"/>
              <w:left w:val="single" w:sz="4" w:space="0" w:color="auto"/>
              <w:bottom w:val="nil"/>
            </w:tcBorders>
            <w:shd w:val="clear" w:color="auto" w:fill="C6D9F1" w:themeFill="text2" w:themeFillTint="33"/>
            <w:vAlign w:val="center"/>
          </w:tcPr>
          <w:p w14:paraId="3B0E63A2" w14:textId="2EB40326" w:rsidR="00467DD3" w:rsidRPr="000A03FD" w:rsidRDefault="00467DD3" w:rsidP="00467DD3">
            <w:pPr>
              <w:pStyle w:val="TableText0"/>
            </w:pPr>
            <w:r w:rsidRPr="000A03FD">
              <w:t>Yes</w:t>
            </w:r>
          </w:p>
        </w:tc>
      </w:tr>
      <w:tr w:rsidR="00467DD3" w:rsidRPr="000A03FD" w14:paraId="6C74B99C" w14:textId="77777777" w:rsidTr="00FA58DD">
        <w:trPr>
          <w:cantSplit/>
          <w:trHeight w:val="825"/>
        </w:trPr>
        <w:tc>
          <w:tcPr>
            <w:tcW w:w="0" w:type="auto"/>
            <w:vMerge/>
            <w:shd w:val="clear" w:color="auto" w:fill="C6D9F1" w:themeFill="text2" w:themeFillTint="33"/>
            <w:vAlign w:val="center"/>
          </w:tcPr>
          <w:p w14:paraId="52A1ABAC" w14:textId="77777777" w:rsidR="00467DD3" w:rsidRPr="000A03FD" w:rsidRDefault="00467DD3" w:rsidP="00113672">
            <w:pPr>
              <w:pStyle w:val="TableText0"/>
            </w:pPr>
          </w:p>
        </w:tc>
        <w:tc>
          <w:tcPr>
            <w:tcW w:w="0" w:type="auto"/>
            <w:vMerge/>
            <w:shd w:val="clear" w:color="auto" w:fill="C6D9F1" w:themeFill="text2" w:themeFillTint="33"/>
            <w:vAlign w:val="center"/>
          </w:tcPr>
          <w:p w14:paraId="1F43D2BB" w14:textId="77777777" w:rsidR="00467DD3" w:rsidRPr="000A03FD" w:rsidRDefault="00467DD3" w:rsidP="00467DD3">
            <w:pPr>
              <w:pStyle w:val="Tabletext"/>
              <w:keepNext/>
              <w:keepLines/>
            </w:pPr>
          </w:p>
        </w:tc>
        <w:tc>
          <w:tcPr>
            <w:tcW w:w="0" w:type="auto"/>
            <w:vMerge/>
            <w:shd w:val="clear" w:color="auto" w:fill="C6D9F1" w:themeFill="text2" w:themeFillTint="33"/>
            <w:vAlign w:val="center"/>
          </w:tcPr>
          <w:p w14:paraId="07F82355" w14:textId="77777777" w:rsidR="00467DD3" w:rsidRPr="000A03FD" w:rsidRDefault="00467DD3" w:rsidP="00467DD3">
            <w:pPr>
              <w:pStyle w:val="TableText0"/>
            </w:pPr>
          </w:p>
        </w:tc>
        <w:tc>
          <w:tcPr>
            <w:tcW w:w="0" w:type="auto"/>
            <w:vMerge/>
            <w:shd w:val="clear" w:color="auto" w:fill="C6D9F1" w:themeFill="text2" w:themeFillTint="33"/>
            <w:vAlign w:val="center"/>
          </w:tcPr>
          <w:p w14:paraId="55702DB9" w14:textId="77777777" w:rsidR="00467DD3" w:rsidRPr="000A03FD" w:rsidRDefault="00467DD3" w:rsidP="00467DD3">
            <w:pPr>
              <w:pStyle w:val="TableText0"/>
            </w:pPr>
          </w:p>
        </w:tc>
        <w:tc>
          <w:tcPr>
            <w:tcW w:w="0" w:type="auto"/>
            <w:tcBorders>
              <w:top w:val="nil"/>
              <w:bottom w:val="nil"/>
              <w:right w:val="single" w:sz="4" w:space="0" w:color="auto"/>
            </w:tcBorders>
            <w:shd w:val="clear" w:color="auto" w:fill="C6D9F1" w:themeFill="text2" w:themeFillTint="33"/>
            <w:vAlign w:val="center"/>
          </w:tcPr>
          <w:p w14:paraId="4B96F4BD" w14:textId="77777777" w:rsidR="00467DD3" w:rsidRPr="000A03FD" w:rsidRDefault="00467DD3" w:rsidP="00467DD3">
            <w:pPr>
              <w:pStyle w:val="TableText0"/>
            </w:pPr>
            <w:r w:rsidRPr="000A03FD">
              <w:t>Secondary: Change in VAS symptom score</w:t>
            </w:r>
          </w:p>
        </w:tc>
        <w:tc>
          <w:tcPr>
            <w:tcW w:w="0" w:type="auto"/>
            <w:tcBorders>
              <w:top w:val="nil"/>
              <w:left w:val="single" w:sz="4" w:space="0" w:color="auto"/>
              <w:bottom w:val="nil"/>
            </w:tcBorders>
            <w:shd w:val="clear" w:color="auto" w:fill="C6D9F1" w:themeFill="text2" w:themeFillTint="33"/>
            <w:vAlign w:val="center"/>
          </w:tcPr>
          <w:p w14:paraId="7937CB07" w14:textId="77777777" w:rsidR="00467DD3" w:rsidRPr="000A03FD" w:rsidRDefault="00467DD3" w:rsidP="00467DD3">
            <w:pPr>
              <w:pStyle w:val="TableText0"/>
            </w:pPr>
            <w:r w:rsidRPr="000A03FD">
              <w:t>No</w:t>
            </w:r>
          </w:p>
        </w:tc>
      </w:tr>
      <w:tr w:rsidR="00467DD3" w:rsidRPr="000A03FD" w14:paraId="0F8E60BF" w14:textId="77777777" w:rsidTr="00FA58DD">
        <w:trPr>
          <w:cantSplit/>
          <w:trHeight w:val="825"/>
        </w:trPr>
        <w:tc>
          <w:tcPr>
            <w:tcW w:w="0" w:type="auto"/>
            <w:vMerge/>
            <w:shd w:val="clear" w:color="auto" w:fill="C6D9F1" w:themeFill="text2" w:themeFillTint="33"/>
            <w:vAlign w:val="center"/>
          </w:tcPr>
          <w:p w14:paraId="55018F6E" w14:textId="77777777" w:rsidR="00467DD3" w:rsidRPr="000A03FD" w:rsidRDefault="00467DD3" w:rsidP="00113672">
            <w:pPr>
              <w:pStyle w:val="TableText0"/>
            </w:pPr>
          </w:p>
        </w:tc>
        <w:tc>
          <w:tcPr>
            <w:tcW w:w="0" w:type="auto"/>
            <w:vMerge/>
            <w:shd w:val="clear" w:color="auto" w:fill="C6D9F1" w:themeFill="text2" w:themeFillTint="33"/>
            <w:vAlign w:val="center"/>
          </w:tcPr>
          <w:p w14:paraId="37E84F3F" w14:textId="77777777" w:rsidR="00467DD3" w:rsidRPr="000A03FD" w:rsidRDefault="00467DD3" w:rsidP="00467DD3">
            <w:pPr>
              <w:pStyle w:val="Tabletext"/>
              <w:keepNext/>
              <w:keepLines/>
            </w:pPr>
          </w:p>
        </w:tc>
        <w:tc>
          <w:tcPr>
            <w:tcW w:w="0" w:type="auto"/>
            <w:vMerge/>
            <w:shd w:val="clear" w:color="auto" w:fill="C6D9F1" w:themeFill="text2" w:themeFillTint="33"/>
            <w:vAlign w:val="center"/>
          </w:tcPr>
          <w:p w14:paraId="6634E705" w14:textId="77777777" w:rsidR="00467DD3" w:rsidRPr="000A03FD" w:rsidRDefault="00467DD3" w:rsidP="00467DD3">
            <w:pPr>
              <w:pStyle w:val="TableText0"/>
            </w:pPr>
          </w:p>
        </w:tc>
        <w:tc>
          <w:tcPr>
            <w:tcW w:w="0" w:type="auto"/>
            <w:vMerge/>
            <w:shd w:val="clear" w:color="auto" w:fill="C6D9F1" w:themeFill="text2" w:themeFillTint="33"/>
            <w:vAlign w:val="center"/>
          </w:tcPr>
          <w:p w14:paraId="168FA16E" w14:textId="77777777" w:rsidR="00467DD3" w:rsidRPr="000A03FD" w:rsidRDefault="00467DD3" w:rsidP="00467DD3">
            <w:pPr>
              <w:pStyle w:val="TableText0"/>
            </w:pPr>
          </w:p>
        </w:tc>
        <w:tc>
          <w:tcPr>
            <w:tcW w:w="0" w:type="auto"/>
            <w:tcBorders>
              <w:top w:val="nil"/>
              <w:bottom w:val="nil"/>
              <w:right w:val="single" w:sz="4" w:space="0" w:color="auto"/>
            </w:tcBorders>
            <w:shd w:val="clear" w:color="auto" w:fill="C6D9F1" w:themeFill="text2" w:themeFillTint="33"/>
            <w:vAlign w:val="center"/>
          </w:tcPr>
          <w:p w14:paraId="1F30C10B" w14:textId="77777777" w:rsidR="00467DD3" w:rsidRPr="000A03FD" w:rsidRDefault="00467DD3" w:rsidP="00467DD3">
            <w:pPr>
              <w:pStyle w:val="TableText0"/>
            </w:pPr>
            <w:r w:rsidRPr="000A03FD">
              <w:t>Secondary: SNOT-22 score</w:t>
            </w:r>
          </w:p>
        </w:tc>
        <w:tc>
          <w:tcPr>
            <w:tcW w:w="0" w:type="auto"/>
            <w:tcBorders>
              <w:top w:val="nil"/>
              <w:left w:val="single" w:sz="4" w:space="0" w:color="auto"/>
              <w:bottom w:val="nil"/>
            </w:tcBorders>
            <w:shd w:val="clear" w:color="auto" w:fill="C6D9F1" w:themeFill="text2" w:themeFillTint="33"/>
            <w:vAlign w:val="center"/>
          </w:tcPr>
          <w:p w14:paraId="2C6A92CC" w14:textId="77777777" w:rsidR="00467DD3" w:rsidRPr="000A03FD" w:rsidRDefault="00467DD3" w:rsidP="00467DD3">
            <w:pPr>
              <w:pStyle w:val="TableText0"/>
            </w:pPr>
            <w:r w:rsidRPr="000A03FD">
              <w:t>No</w:t>
            </w:r>
          </w:p>
        </w:tc>
      </w:tr>
      <w:tr w:rsidR="00467DD3" w:rsidRPr="000A03FD" w14:paraId="0131AE1B" w14:textId="77777777" w:rsidTr="00FA58DD">
        <w:trPr>
          <w:cantSplit/>
          <w:trHeight w:val="825"/>
        </w:trPr>
        <w:tc>
          <w:tcPr>
            <w:tcW w:w="0" w:type="auto"/>
            <w:vMerge/>
            <w:shd w:val="clear" w:color="auto" w:fill="C6D9F1" w:themeFill="text2" w:themeFillTint="33"/>
            <w:vAlign w:val="center"/>
          </w:tcPr>
          <w:p w14:paraId="6422418C" w14:textId="77777777" w:rsidR="00467DD3" w:rsidRPr="000A03FD" w:rsidRDefault="00467DD3" w:rsidP="00113672">
            <w:pPr>
              <w:pStyle w:val="TableText0"/>
            </w:pPr>
          </w:p>
        </w:tc>
        <w:tc>
          <w:tcPr>
            <w:tcW w:w="0" w:type="auto"/>
            <w:vMerge/>
            <w:shd w:val="clear" w:color="auto" w:fill="C6D9F1" w:themeFill="text2" w:themeFillTint="33"/>
            <w:vAlign w:val="center"/>
          </w:tcPr>
          <w:p w14:paraId="1139809D" w14:textId="77777777" w:rsidR="00467DD3" w:rsidRPr="000A03FD" w:rsidRDefault="00467DD3" w:rsidP="00467DD3">
            <w:pPr>
              <w:pStyle w:val="Tabletext"/>
              <w:keepNext/>
              <w:keepLines/>
            </w:pPr>
          </w:p>
        </w:tc>
        <w:tc>
          <w:tcPr>
            <w:tcW w:w="0" w:type="auto"/>
            <w:vMerge/>
            <w:shd w:val="clear" w:color="auto" w:fill="C6D9F1" w:themeFill="text2" w:themeFillTint="33"/>
            <w:vAlign w:val="center"/>
          </w:tcPr>
          <w:p w14:paraId="6607B7F6" w14:textId="77777777" w:rsidR="00467DD3" w:rsidRPr="000A03FD" w:rsidRDefault="00467DD3" w:rsidP="00467DD3">
            <w:pPr>
              <w:pStyle w:val="TableText0"/>
            </w:pPr>
          </w:p>
        </w:tc>
        <w:tc>
          <w:tcPr>
            <w:tcW w:w="0" w:type="auto"/>
            <w:vMerge/>
            <w:shd w:val="clear" w:color="auto" w:fill="C6D9F1" w:themeFill="text2" w:themeFillTint="33"/>
            <w:vAlign w:val="center"/>
          </w:tcPr>
          <w:p w14:paraId="512949A8" w14:textId="77777777" w:rsidR="00467DD3" w:rsidRPr="000A03FD" w:rsidRDefault="00467DD3" w:rsidP="00467DD3">
            <w:pPr>
              <w:pStyle w:val="TableText0"/>
            </w:pPr>
          </w:p>
        </w:tc>
        <w:tc>
          <w:tcPr>
            <w:tcW w:w="0" w:type="auto"/>
            <w:tcBorders>
              <w:top w:val="nil"/>
              <w:right w:val="single" w:sz="4" w:space="0" w:color="auto"/>
            </w:tcBorders>
            <w:shd w:val="clear" w:color="auto" w:fill="C6D9F1" w:themeFill="text2" w:themeFillTint="33"/>
            <w:vAlign w:val="center"/>
          </w:tcPr>
          <w:p w14:paraId="37FBA473" w14:textId="77777777" w:rsidR="00467DD3" w:rsidRPr="000A03FD" w:rsidRDefault="00467DD3" w:rsidP="00467DD3">
            <w:pPr>
              <w:pStyle w:val="TableText0"/>
            </w:pPr>
            <w:r w:rsidRPr="000A03FD">
              <w:t>Secondary: Requirement for systemic steroid use</w:t>
            </w:r>
          </w:p>
        </w:tc>
        <w:tc>
          <w:tcPr>
            <w:tcW w:w="0" w:type="auto"/>
            <w:tcBorders>
              <w:top w:val="nil"/>
              <w:left w:val="single" w:sz="4" w:space="0" w:color="auto"/>
            </w:tcBorders>
            <w:shd w:val="clear" w:color="auto" w:fill="C6D9F1" w:themeFill="text2" w:themeFillTint="33"/>
            <w:vAlign w:val="center"/>
          </w:tcPr>
          <w:p w14:paraId="4BE09144" w14:textId="77777777" w:rsidR="00467DD3" w:rsidRPr="000A03FD" w:rsidRDefault="00467DD3" w:rsidP="00467DD3">
            <w:pPr>
              <w:pStyle w:val="TableText0"/>
            </w:pPr>
            <w:r w:rsidRPr="000A03FD">
              <w:t>Yes</w:t>
            </w:r>
          </w:p>
        </w:tc>
      </w:tr>
    </w:tbl>
    <w:p w14:paraId="560080D2" w14:textId="7E4B20F4" w:rsidR="00045017" w:rsidRPr="000A03FD" w:rsidRDefault="00045017" w:rsidP="00FA58DD">
      <w:pPr>
        <w:pStyle w:val="FooterTableFigure"/>
        <w:spacing w:after="0"/>
      </w:pPr>
      <w:r w:rsidRPr="000A03FD">
        <w:t xml:space="preserve">Source: </w:t>
      </w:r>
      <w:r w:rsidR="00F52658" w:rsidRPr="000A03FD">
        <w:t>Table 2-6, p49 of the resubmission</w:t>
      </w:r>
    </w:p>
    <w:p w14:paraId="647FE6E8" w14:textId="27E1847E" w:rsidR="005F6614" w:rsidRPr="000A03FD" w:rsidRDefault="005F6614" w:rsidP="00FA58DD">
      <w:pPr>
        <w:pStyle w:val="FooterTableFigure"/>
        <w:spacing w:after="0"/>
      </w:pPr>
      <w:r w:rsidRPr="000A03FD">
        <w:t xml:space="preserve">a </w:t>
      </w:r>
      <w:r w:rsidR="00A25856" w:rsidRPr="000A03FD">
        <w:t>–</w:t>
      </w:r>
      <w:r w:rsidRPr="000A03FD">
        <w:t xml:space="preserve"> </w:t>
      </w:r>
      <w:r w:rsidR="00744A77" w:rsidRPr="000A03FD">
        <w:t>Intent-to-treat population</w:t>
      </w:r>
    </w:p>
    <w:p w14:paraId="11A4A400" w14:textId="4D3079C8" w:rsidR="00C41024" w:rsidRPr="000A03FD" w:rsidRDefault="00C41024" w:rsidP="00FA58DD">
      <w:pPr>
        <w:pStyle w:val="FooterTableFigure"/>
        <w:spacing w:after="0"/>
      </w:pPr>
      <w:r w:rsidRPr="000A03FD">
        <w:t>CRSwNP= chronic rhinosinusitis with nasal polyps; DB= double blind; ENP= endoscopic nasal polyp; EQ-5D= European quality of life five dimension; MC= multicentre; MEPO = mepolizumab; MF= mometasone furoate; NO-VAS= nasal obstruction-visual analogue scale; NP= nasal polyps; PC= placebo-controlled; PG= parallel group; PLA= placebo; Q4W= every 4 weeks; R= randomised; SoC= standard of care; SNOT-22= Sino-nasal outcomes test (22 items); VAS= visual analogue scale</w:t>
      </w:r>
    </w:p>
    <w:p w14:paraId="0337E28B" w14:textId="77777777" w:rsidR="00FA58DD" w:rsidRPr="000A03FD" w:rsidRDefault="00FA58DD" w:rsidP="00FA58DD">
      <w:pPr>
        <w:pStyle w:val="FooterTableFigure"/>
        <w:spacing w:after="0"/>
      </w:pPr>
      <w:r w:rsidRPr="000A03FD">
        <w:t>Blue shaded cells indicate information presented in previous submission</w:t>
      </w:r>
    </w:p>
    <w:p w14:paraId="57BCDB5A" w14:textId="77777777" w:rsidR="00FA58DD" w:rsidRPr="000A03FD" w:rsidRDefault="00FA58DD" w:rsidP="00EC5836">
      <w:pPr>
        <w:pStyle w:val="FooterTableFigure"/>
      </w:pPr>
    </w:p>
    <w:p w14:paraId="7AE754C9" w14:textId="77777777" w:rsidR="00E92685" w:rsidRPr="000A03FD" w:rsidRDefault="00E92685" w:rsidP="00E92685">
      <w:pPr>
        <w:pStyle w:val="3-BodyText"/>
      </w:pPr>
      <w:r w:rsidRPr="000A03FD">
        <w:t>In SYNPASE, patients could continue treatment with mepolizumab (or placebo) following courses of OCS or NP surgery without needing to discontinue treatment.</w:t>
      </w:r>
    </w:p>
    <w:p w14:paraId="02BD45FB" w14:textId="16698203" w:rsidR="00FB3A8C" w:rsidRPr="000A03FD" w:rsidRDefault="00A02847" w:rsidP="00EC5836">
      <w:pPr>
        <w:pStyle w:val="3-BodyText"/>
      </w:pPr>
      <w:r w:rsidRPr="000A03FD">
        <w:t>The efficacy of mepolizumab in the SYNAPSE trial was assessed using co-primary outcomes of change from baseline in total ENP score (0-8) at Week 52 and change in mean NO-VAS symptom score (0-10), which was assessed daily, during the 4 weeks prior to Week 52.</w:t>
      </w:r>
    </w:p>
    <w:p w14:paraId="7B50932A" w14:textId="560D9B09" w:rsidR="001E1B08" w:rsidRPr="000A03FD" w:rsidRDefault="001E1B08" w:rsidP="001E1B08">
      <w:pPr>
        <w:pStyle w:val="3-BodyText"/>
      </w:pPr>
      <w:r w:rsidRPr="000A03FD">
        <w:t xml:space="preserve">Key secondary outcomes presented in the submission included time to first nasal surgery; impact on quality of life (QoL) measured by the 36-item short form health survey (SF-36) version 2 (v2) and the sino-nasal outcome test (22 items) (SNOT-22); proportion of participants requiring systemic steroids; and clinically significant asthma exacerbations. With the exception of the SNOT-22, these secondary outcomes were all used to inform the economic model. SNOT-22 was used to inform the utilities in the economic model in the previous submission, however in the resubmission, utilities were informed by the Short-Form-36 (SF-36) exploratory outcome, which ESC had </w:t>
      </w:r>
      <w:r w:rsidRPr="000A03FD">
        <w:lastRenderedPageBreak/>
        <w:t>previously deemed preferable (paragraph 6.44, mepolizumab</w:t>
      </w:r>
      <w:r w:rsidR="00571B0C" w:rsidRPr="000A03FD">
        <w:t xml:space="preserve"> </w:t>
      </w:r>
      <w:r w:rsidR="006A1B32">
        <w:t>PSD</w:t>
      </w:r>
      <w:r w:rsidR="00571B0C" w:rsidRPr="000A03FD">
        <w:t>,</w:t>
      </w:r>
      <w:r w:rsidRPr="000A03FD">
        <w:t xml:space="preserve"> November 2021</w:t>
      </w:r>
      <w:r w:rsidR="006E65D0" w:rsidRPr="000A03FD">
        <w:t xml:space="preserve"> PBAC meeting</w:t>
      </w:r>
      <w:r w:rsidRPr="000A03FD">
        <w:t>).</w:t>
      </w:r>
    </w:p>
    <w:p w14:paraId="708C442B" w14:textId="77777777" w:rsidR="00C64671" w:rsidRPr="000A03FD" w:rsidRDefault="00C64671" w:rsidP="00C64671">
      <w:pPr>
        <w:pStyle w:val="ListParagraph"/>
        <w:numPr>
          <w:ilvl w:val="1"/>
          <w:numId w:val="1"/>
        </w:numPr>
        <w:spacing w:after="0"/>
      </w:pPr>
      <w:r w:rsidRPr="000A03FD">
        <w:t>The resubmission proposed that the following minimal clinically important differences (MCIDs) for the primary outcomes, which were unchanged from the previous submission:</w:t>
      </w:r>
    </w:p>
    <w:p w14:paraId="29C094CE" w14:textId="3E0238D1" w:rsidR="006C44E9" w:rsidRPr="000A03FD" w:rsidRDefault="006C44E9" w:rsidP="006C44E9">
      <w:pPr>
        <w:pStyle w:val="Bulletpoints"/>
        <w:widowControl w:val="0"/>
        <w:numPr>
          <w:ilvl w:val="0"/>
          <w:numId w:val="2"/>
        </w:numPr>
        <w:spacing w:after="0"/>
        <w:ind w:left="1080"/>
        <w:contextualSpacing w:val="0"/>
      </w:pPr>
      <w:r w:rsidRPr="000A03FD">
        <w:t xml:space="preserve">Change from baseline in total ENP score: An ENP score responder was defined as a participant who had an improvement (decrease) of ≥1.0 point. The </w:t>
      </w:r>
      <w:r w:rsidR="005707E9" w:rsidRPr="000A03FD">
        <w:t>re</w:t>
      </w:r>
      <w:r w:rsidRPr="000A03FD">
        <w:t>submission claimed this was based on Bachert 2021, however a MCID was never explicitly stated in this article (the proportion of patients who achieved a reduction of the ENP score by at least 1 point was reported but it was not stated whether this was clinically meaningful);</w:t>
      </w:r>
    </w:p>
    <w:p w14:paraId="7938A801" w14:textId="4BB47EDA" w:rsidR="00F8331D" w:rsidRPr="000A03FD" w:rsidRDefault="006C44E9" w:rsidP="00A35A17">
      <w:pPr>
        <w:pStyle w:val="Bulletpoints"/>
        <w:widowControl w:val="0"/>
        <w:numPr>
          <w:ilvl w:val="0"/>
          <w:numId w:val="2"/>
        </w:numPr>
        <w:ind w:left="1077" w:hanging="357"/>
        <w:contextualSpacing w:val="0"/>
      </w:pPr>
      <w:r w:rsidRPr="000A03FD">
        <w:t xml:space="preserve">Change from baseline in NO-VAS symptom score: A responder in the assessment of NO-VAS symptom score was defined as a participant who had an improvement (decrease) from baseline of ≥3 points. This was based on advisory board advice (panel indicated an improvement of 2-3 points would be clinically meaningful), in the absence of a validated MCID in the literature. The submission claimed this was further supported by a </w:t>
      </w:r>
      <w:r w:rsidR="001E7F52" w:rsidRPr="000A03FD">
        <w:t>psychometric analysis</w:t>
      </w:r>
      <w:r w:rsidRPr="000A03FD">
        <w:t xml:space="preserve"> based on the SNOT-22 and overall symptoms VAS which were sufficiently correlated (r≥0.3) to indicate a meaningful within-patient change thresholds (Tabberer M, Trigg A, 2021). This could not be independently verified, however as a MCID of ≥3 would represent at least a 30% change the MCID may be reasonable</w:t>
      </w:r>
      <w:r w:rsidR="00F8331D" w:rsidRPr="000A03FD">
        <w:t>.</w:t>
      </w:r>
    </w:p>
    <w:p w14:paraId="6652A910" w14:textId="73F21000" w:rsidR="006C44E9" w:rsidRPr="000A03FD" w:rsidRDefault="00F8331D" w:rsidP="00EC5836">
      <w:pPr>
        <w:pStyle w:val="3-BodyText"/>
      </w:pPr>
      <w:r w:rsidRPr="000A03FD">
        <w:t xml:space="preserve">The change from baseline of ENP score and NO-VAS were not used in the economic model. Instead, the number of responders based on either an ENP score change of </w:t>
      </w:r>
      <w:r w:rsidRPr="000A03FD">
        <w:rPr>
          <w:rFonts w:cs="Calibri"/>
        </w:rPr>
        <w:t>≥</w:t>
      </w:r>
      <w:r w:rsidRPr="000A03FD">
        <w:t xml:space="preserve">1.0 point from baseline or NO-VAS score change of </w:t>
      </w:r>
      <w:r w:rsidRPr="000A03FD">
        <w:rPr>
          <w:rFonts w:cs="Calibri"/>
        </w:rPr>
        <w:t>≥</w:t>
      </w:r>
      <w:r w:rsidRPr="000A03FD">
        <w:t>3.0 points from baseline were the key efficacy input in the economic evaluation. This was in line with the requested restriction which required response on one of either ENP score (≥1) or NO-VAS score (≥3) to continue treatment</w:t>
      </w:r>
      <w:r w:rsidR="00053F23" w:rsidRPr="000A03FD">
        <w:t>.</w:t>
      </w:r>
    </w:p>
    <w:p w14:paraId="4A4FE085" w14:textId="1C5613CC" w:rsidR="00B60939" w:rsidRPr="000A03FD" w:rsidRDefault="00B60939" w:rsidP="00EC5836">
      <w:pPr>
        <w:pStyle w:val="4-SubsectionHeading"/>
      </w:pPr>
      <w:bookmarkStart w:id="36" w:name="_Toc22897641"/>
      <w:bookmarkStart w:id="37" w:name="_Toc113982844"/>
      <w:r w:rsidRPr="000A03FD">
        <w:t>Comparative effectiveness</w:t>
      </w:r>
      <w:bookmarkEnd w:id="36"/>
      <w:bookmarkEnd w:id="37"/>
    </w:p>
    <w:p w14:paraId="49F626DB" w14:textId="66735B5E" w:rsidR="00A971B5" w:rsidRPr="000A03FD" w:rsidRDefault="00B248F4" w:rsidP="00EC5836">
      <w:pPr>
        <w:pStyle w:val="3-BodyText"/>
      </w:pPr>
      <w:r w:rsidRPr="000A03FD">
        <w:t>The results presented in the resubmission for the ITT population wer</w:t>
      </w:r>
      <w:r w:rsidR="00257F52" w:rsidRPr="000A03FD">
        <w:t xml:space="preserve">e </w:t>
      </w:r>
      <w:r w:rsidRPr="000A03FD">
        <w:t>unchanged.</w:t>
      </w:r>
      <w:r w:rsidR="00F23F63" w:rsidRPr="000A03FD">
        <w:t xml:space="preserve"> </w:t>
      </w:r>
      <w:r w:rsidR="00891D45" w:rsidRPr="000A03FD">
        <w:t xml:space="preserve">Median change from baseline, and difference in medians, at week 52 in ENP score and during weeks 49-52 in NO-VAS score </w:t>
      </w:r>
      <w:r w:rsidR="002E067E" w:rsidRPr="000A03FD">
        <w:t>were</w:t>
      </w:r>
      <w:r w:rsidR="00891D45" w:rsidRPr="000A03FD">
        <w:t xml:space="preserve"> presented in the previous submission in the BEC &lt;300 and </w:t>
      </w:r>
      <w:r w:rsidR="00891D45" w:rsidRPr="000A03FD">
        <w:rPr>
          <w:rFonts w:cs="Calibri"/>
        </w:rPr>
        <w:t>≥</w:t>
      </w:r>
      <w:r w:rsidR="00A35A17" w:rsidRPr="000A03FD">
        <w:rPr>
          <w:rFonts w:cs="Calibri"/>
        </w:rPr>
        <w:t>300</w:t>
      </w:r>
      <w:r w:rsidR="00A35A17">
        <w:rPr>
          <w:rFonts w:cs="Calibri"/>
        </w:rPr>
        <w:t> </w:t>
      </w:r>
      <w:r w:rsidR="00891D45" w:rsidRPr="000A03FD">
        <w:rPr>
          <w:rFonts w:cs="Calibri"/>
        </w:rPr>
        <w:t xml:space="preserve">cells/µL </w:t>
      </w:r>
      <w:r w:rsidR="002774D1" w:rsidRPr="000A03FD">
        <w:rPr>
          <w:rFonts w:cs="Calibri"/>
        </w:rPr>
        <w:t>subgroup</w:t>
      </w:r>
      <w:r w:rsidR="00891D45" w:rsidRPr="000A03FD">
        <w:rPr>
          <w:rFonts w:cs="Calibri"/>
        </w:rPr>
        <w:t xml:space="preserve">s, however the resubmission also presented additional clinical data for these </w:t>
      </w:r>
      <w:r w:rsidR="002774D1" w:rsidRPr="000A03FD">
        <w:rPr>
          <w:rFonts w:cs="Calibri"/>
        </w:rPr>
        <w:t>subgroup</w:t>
      </w:r>
      <w:r w:rsidR="00891D45" w:rsidRPr="000A03FD">
        <w:rPr>
          <w:rFonts w:cs="Calibri"/>
        </w:rPr>
        <w:t>s for the co-primary outcomes, secondary outcomes and exploratory outcomes</w:t>
      </w:r>
      <w:r w:rsidR="00F23F63" w:rsidRPr="000A03FD">
        <w:t>.</w:t>
      </w:r>
    </w:p>
    <w:p w14:paraId="2182964F" w14:textId="39074412" w:rsidR="000149D6" w:rsidRPr="000A03FD" w:rsidRDefault="00257F52" w:rsidP="00EC5836">
      <w:pPr>
        <w:pStyle w:val="3-BodyText"/>
      </w:pPr>
      <w:r w:rsidRPr="000A03FD">
        <w:fldChar w:fldCharType="begin" w:fldLock="1"/>
      </w:r>
      <w:r w:rsidRPr="000A03FD">
        <w:instrText xml:space="preserve"> REF _Ref111517965 \h </w:instrText>
      </w:r>
      <w:r w:rsidRPr="000A03FD">
        <w:fldChar w:fldCharType="separate"/>
      </w:r>
      <w:r w:rsidR="00625A18" w:rsidRPr="000A03FD">
        <w:t>Table 5</w:t>
      </w:r>
      <w:r w:rsidRPr="000A03FD">
        <w:fldChar w:fldCharType="end"/>
      </w:r>
      <w:r w:rsidRPr="000A03FD">
        <w:t xml:space="preserve"> </w:t>
      </w:r>
      <w:r w:rsidR="00BA4102" w:rsidRPr="000A03FD">
        <w:t xml:space="preserve">and </w:t>
      </w:r>
      <w:r w:rsidRPr="000A03FD">
        <w:fldChar w:fldCharType="begin" w:fldLock="1"/>
      </w:r>
      <w:r w:rsidRPr="000A03FD">
        <w:instrText xml:space="preserve"> REF _Ref111517972 \h </w:instrText>
      </w:r>
      <w:r w:rsidRPr="000A03FD">
        <w:fldChar w:fldCharType="separate"/>
      </w:r>
      <w:r w:rsidR="00625A18" w:rsidRPr="000A03FD">
        <w:t>Table 6</w:t>
      </w:r>
      <w:r w:rsidRPr="000A03FD">
        <w:fldChar w:fldCharType="end"/>
      </w:r>
      <w:r w:rsidRPr="000A03FD">
        <w:t xml:space="preserve"> </w:t>
      </w:r>
      <w:r w:rsidR="00BA4102" w:rsidRPr="000A03FD">
        <w:t>summarise</w:t>
      </w:r>
      <w:r w:rsidRPr="000A03FD">
        <w:t>s</w:t>
      </w:r>
      <w:r w:rsidR="00BA4102" w:rsidRPr="000A03FD">
        <w:t xml:space="preserve"> the change from baseline in the co-primary outcomes of ENP score change and </w:t>
      </w:r>
      <w:r w:rsidR="005E7864" w:rsidRPr="000A03FD">
        <w:t>NO-VAS score change.</w:t>
      </w:r>
    </w:p>
    <w:p w14:paraId="75730BFC" w14:textId="7F72621C" w:rsidR="00925BA0" w:rsidRPr="000A03FD" w:rsidRDefault="00257F52" w:rsidP="00415D4E">
      <w:pPr>
        <w:pStyle w:val="Caption"/>
        <w:rPr>
          <w:b w:val="0"/>
        </w:rPr>
      </w:pPr>
      <w:bookmarkStart w:id="38" w:name="_Ref111517965"/>
      <w:r w:rsidRPr="000A03FD">
        <w:lastRenderedPageBreak/>
        <w:t xml:space="preserve">Table </w:t>
      </w:r>
      <w:fldSimple w:instr=" SEQ Table \* ARABIC " w:fldLock="1">
        <w:r w:rsidR="00A0401C" w:rsidRPr="000A03FD">
          <w:t>5</w:t>
        </w:r>
      </w:fldSimple>
      <w:bookmarkEnd w:id="38"/>
      <w:r w:rsidR="00925BA0" w:rsidRPr="000A03FD">
        <w:t>: Analysis of change from baseline ENP score at week 52</w:t>
      </w:r>
    </w:p>
    <w:tbl>
      <w:tblPr>
        <w:tblStyle w:val="TableGrid"/>
        <w:tblW w:w="5000" w:type="pct"/>
        <w:tblCellMar>
          <w:left w:w="28" w:type="dxa"/>
          <w:right w:w="28" w:type="dxa"/>
        </w:tblCellMar>
        <w:tblLook w:val="04A0" w:firstRow="1" w:lastRow="0" w:firstColumn="1" w:lastColumn="0" w:noHBand="0" w:noVBand="1"/>
      </w:tblPr>
      <w:tblGrid>
        <w:gridCol w:w="1980"/>
        <w:gridCol w:w="1134"/>
        <w:gridCol w:w="1134"/>
        <w:gridCol w:w="956"/>
        <w:gridCol w:w="1455"/>
        <w:gridCol w:w="1089"/>
        <w:gridCol w:w="1268"/>
      </w:tblGrid>
      <w:tr w:rsidR="00133912" w:rsidRPr="000A03FD" w14:paraId="7DA37901" w14:textId="77777777" w:rsidTr="00415D4E">
        <w:trPr>
          <w:tblHeader/>
        </w:trPr>
        <w:tc>
          <w:tcPr>
            <w:tcW w:w="1098" w:type="pct"/>
            <w:tcBorders>
              <w:top w:val="single" w:sz="4" w:space="0" w:color="auto"/>
              <w:left w:val="single" w:sz="4" w:space="0" w:color="auto"/>
              <w:bottom w:val="single" w:sz="4" w:space="0" w:color="auto"/>
              <w:right w:val="single" w:sz="4" w:space="0" w:color="auto"/>
            </w:tcBorders>
          </w:tcPr>
          <w:p w14:paraId="599FC06D" w14:textId="77777777" w:rsidR="00925BA0" w:rsidRPr="000A03FD" w:rsidRDefault="00925BA0" w:rsidP="00415D4E">
            <w:pPr>
              <w:pStyle w:val="Tabletext"/>
              <w:keepNext/>
              <w:keepLines/>
              <w:rPr>
                <w:b/>
              </w:rPr>
            </w:pP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60A5F56E" w14:textId="77777777" w:rsidR="00925BA0" w:rsidRPr="000A03FD" w:rsidRDefault="00925BA0" w:rsidP="00415D4E">
            <w:pPr>
              <w:pStyle w:val="Tabletext"/>
              <w:keepNext/>
              <w:keepLines/>
              <w:jc w:val="center"/>
              <w:rPr>
                <w:b/>
              </w:rPr>
            </w:pPr>
            <w:r w:rsidRPr="000A03FD">
              <w:rPr>
                <w:b/>
                <w:bCs/>
                <w:szCs w:val="20"/>
              </w:rPr>
              <w:t>ITT</w:t>
            </w:r>
          </w:p>
        </w:tc>
        <w:tc>
          <w:tcPr>
            <w:tcW w:w="1337" w:type="pct"/>
            <w:gridSpan w:val="2"/>
            <w:tcBorders>
              <w:top w:val="single" w:sz="4" w:space="0" w:color="auto"/>
              <w:left w:val="single" w:sz="4" w:space="0" w:color="auto"/>
              <w:bottom w:val="single" w:sz="4" w:space="0" w:color="auto"/>
              <w:right w:val="single" w:sz="4" w:space="0" w:color="auto"/>
            </w:tcBorders>
            <w:vAlign w:val="center"/>
          </w:tcPr>
          <w:p w14:paraId="59C56303" w14:textId="77777777" w:rsidR="00925BA0" w:rsidRPr="000A03FD" w:rsidRDefault="00925BA0" w:rsidP="00415D4E">
            <w:pPr>
              <w:pStyle w:val="Tabletext"/>
              <w:keepNext/>
              <w:keepLines/>
              <w:jc w:val="center"/>
              <w:rPr>
                <w:b/>
              </w:rPr>
            </w:pPr>
            <w:r w:rsidRPr="000A03FD">
              <w:rPr>
                <w:b/>
                <w:szCs w:val="20"/>
              </w:rPr>
              <w:t>Baseline BEC &lt; 300cells/µL</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04745311" w14:textId="77777777" w:rsidR="00925BA0" w:rsidRPr="000A03FD" w:rsidRDefault="00925BA0" w:rsidP="00415D4E">
            <w:pPr>
              <w:pStyle w:val="Tabletext"/>
              <w:keepNext/>
              <w:keepLines/>
              <w:jc w:val="center"/>
              <w:rPr>
                <w:b/>
              </w:rPr>
            </w:pPr>
            <w:r w:rsidRPr="000A03FD">
              <w:rPr>
                <w:b/>
                <w:szCs w:val="20"/>
              </w:rPr>
              <w:t>Baseline BEC ≥300cells/µL</w:t>
            </w:r>
          </w:p>
        </w:tc>
      </w:tr>
      <w:tr w:rsidR="00133912" w:rsidRPr="000A03FD" w14:paraId="0EE9DD82" w14:textId="77777777" w:rsidTr="00415D4E">
        <w:trPr>
          <w:tblHeader/>
        </w:trPr>
        <w:tc>
          <w:tcPr>
            <w:tcW w:w="1098" w:type="pct"/>
            <w:tcBorders>
              <w:top w:val="single" w:sz="4" w:space="0" w:color="auto"/>
              <w:left w:val="single" w:sz="4" w:space="0" w:color="auto"/>
              <w:bottom w:val="single" w:sz="4" w:space="0" w:color="auto"/>
              <w:right w:val="single" w:sz="4" w:space="0" w:color="auto"/>
            </w:tcBorders>
            <w:vAlign w:val="center"/>
          </w:tcPr>
          <w:p w14:paraId="036626A9" w14:textId="77777777" w:rsidR="00925BA0" w:rsidRPr="000A03FD" w:rsidRDefault="00925BA0" w:rsidP="00415D4E">
            <w:pPr>
              <w:pStyle w:val="Tabletext"/>
              <w:keepNext/>
              <w:keepLines/>
              <w:rPr>
                <w:b/>
              </w:rPr>
            </w:pPr>
            <w:r w:rsidRPr="000A03FD">
              <w:rPr>
                <w:b/>
                <w:bCs/>
                <w:szCs w:val="20"/>
              </w:rPr>
              <w:t>Total Endoscopic Score</w:t>
            </w:r>
          </w:p>
        </w:tc>
        <w:tc>
          <w:tcPr>
            <w:tcW w:w="629" w:type="pct"/>
            <w:tcBorders>
              <w:top w:val="single" w:sz="4" w:space="0" w:color="auto"/>
              <w:left w:val="single" w:sz="4" w:space="0" w:color="auto"/>
              <w:bottom w:val="single" w:sz="4" w:space="0" w:color="auto"/>
              <w:right w:val="single" w:sz="4" w:space="0" w:color="auto"/>
            </w:tcBorders>
          </w:tcPr>
          <w:p w14:paraId="00E5C849" w14:textId="77777777" w:rsidR="00925BA0" w:rsidRPr="000A03FD" w:rsidRDefault="00925BA0" w:rsidP="00415D4E">
            <w:pPr>
              <w:keepNext/>
              <w:keepLines/>
              <w:jc w:val="center"/>
              <w:rPr>
                <w:rFonts w:ascii="Arial Narrow" w:hAnsi="Arial Narrow"/>
                <w:b/>
                <w:bCs/>
                <w:sz w:val="20"/>
                <w:szCs w:val="20"/>
              </w:rPr>
            </w:pPr>
            <w:r w:rsidRPr="000A03FD">
              <w:rPr>
                <w:rFonts w:ascii="Arial Narrow" w:hAnsi="Arial Narrow"/>
                <w:b/>
                <w:bCs/>
                <w:sz w:val="20"/>
                <w:szCs w:val="20"/>
              </w:rPr>
              <w:t>Placebo</w:t>
            </w:r>
          </w:p>
          <w:p w14:paraId="0A41566A" w14:textId="77777777" w:rsidR="00925BA0" w:rsidRPr="000A03FD" w:rsidRDefault="00925BA0" w:rsidP="00415D4E">
            <w:pPr>
              <w:pStyle w:val="Tabletext"/>
              <w:keepNext/>
              <w:keepLines/>
              <w:jc w:val="center"/>
              <w:rPr>
                <w:b/>
              </w:rPr>
            </w:pPr>
            <w:r w:rsidRPr="000A03FD">
              <w:rPr>
                <w:b/>
                <w:bCs/>
                <w:szCs w:val="20"/>
              </w:rPr>
              <w:t>(N=201)</w:t>
            </w:r>
          </w:p>
        </w:tc>
        <w:tc>
          <w:tcPr>
            <w:tcW w:w="629" w:type="pct"/>
            <w:tcBorders>
              <w:top w:val="single" w:sz="4" w:space="0" w:color="auto"/>
              <w:left w:val="single" w:sz="4" w:space="0" w:color="auto"/>
              <w:bottom w:val="single" w:sz="4" w:space="0" w:color="auto"/>
              <w:right w:val="single" w:sz="4" w:space="0" w:color="auto"/>
            </w:tcBorders>
            <w:vAlign w:val="center"/>
          </w:tcPr>
          <w:p w14:paraId="079CD556" w14:textId="77777777" w:rsidR="00925BA0" w:rsidRPr="000A03FD" w:rsidRDefault="00925BA0" w:rsidP="00415D4E">
            <w:pPr>
              <w:pStyle w:val="Tabletext"/>
              <w:keepNext/>
              <w:keepLines/>
              <w:jc w:val="center"/>
              <w:rPr>
                <w:b/>
              </w:rPr>
            </w:pPr>
            <w:r w:rsidRPr="000A03FD">
              <w:rPr>
                <w:b/>
                <w:bCs/>
                <w:szCs w:val="20"/>
              </w:rPr>
              <w:t>Mepolizumab (N=206)</w:t>
            </w:r>
          </w:p>
        </w:tc>
        <w:tc>
          <w:tcPr>
            <w:tcW w:w="530" w:type="pct"/>
            <w:tcBorders>
              <w:top w:val="single" w:sz="4" w:space="0" w:color="auto"/>
              <w:left w:val="single" w:sz="4" w:space="0" w:color="auto"/>
              <w:bottom w:val="single" w:sz="4" w:space="0" w:color="auto"/>
              <w:right w:val="single" w:sz="4" w:space="0" w:color="auto"/>
            </w:tcBorders>
            <w:vAlign w:val="center"/>
          </w:tcPr>
          <w:p w14:paraId="26B10565" w14:textId="77777777" w:rsidR="00925BA0" w:rsidRPr="000A03FD" w:rsidRDefault="00925BA0" w:rsidP="00415D4E">
            <w:pPr>
              <w:keepNext/>
              <w:keepLines/>
              <w:jc w:val="center"/>
              <w:rPr>
                <w:rFonts w:ascii="Arial Narrow" w:hAnsi="Arial Narrow"/>
                <w:b/>
                <w:sz w:val="20"/>
                <w:szCs w:val="20"/>
              </w:rPr>
            </w:pPr>
            <w:r w:rsidRPr="000A03FD">
              <w:rPr>
                <w:rFonts w:ascii="Arial Narrow" w:hAnsi="Arial Narrow"/>
                <w:b/>
                <w:sz w:val="20"/>
                <w:szCs w:val="20"/>
              </w:rPr>
              <w:t>Placebo</w:t>
            </w:r>
          </w:p>
          <w:p w14:paraId="7028B7E9" w14:textId="77777777" w:rsidR="00925BA0" w:rsidRPr="000A03FD" w:rsidRDefault="00925BA0" w:rsidP="00415D4E">
            <w:pPr>
              <w:pStyle w:val="Tabletext"/>
              <w:keepNext/>
              <w:keepLines/>
              <w:jc w:val="center"/>
              <w:rPr>
                <w:b/>
              </w:rPr>
            </w:pPr>
            <w:r w:rsidRPr="000A03FD">
              <w:rPr>
                <w:b/>
                <w:szCs w:val="20"/>
              </w:rPr>
              <w:t>(N=62)</w:t>
            </w:r>
          </w:p>
        </w:tc>
        <w:tc>
          <w:tcPr>
            <w:tcW w:w="807" w:type="pct"/>
            <w:tcBorders>
              <w:top w:val="single" w:sz="4" w:space="0" w:color="auto"/>
              <w:left w:val="single" w:sz="4" w:space="0" w:color="auto"/>
              <w:bottom w:val="single" w:sz="4" w:space="0" w:color="auto"/>
              <w:right w:val="single" w:sz="4" w:space="0" w:color="auto"/>
            </w:tcBorders>
            <w:vAlign w:val="center"/>
          </w:tcPr>
          <w:p w14:paraId="65246163" w14:textId="77777777" w:rsidR="00925BA0" w:rsidRPr="000A03FD" w:rsidRDefault="00925BA0" w:rsidP="00415D4E">
            <w:pPr>
              <w:pStyle w:val="Tabletext"/>
              <w:keepNext/>
              <w:keepLines/>
              <w:jc w:val="center"/>
              <w:rPr>
                <w:b/>
              </w:rPr>
            </w:pPr>
            <w:r w:rsidRPr="000A03FD">
              <w:rPr>
                <w:b/>
                <w:szCs w:val="20"/>
              </w:rPr>
              <w:t>Mepolizumab (N=67)</w:t>
            </w:r>
          </w:p>
        </w:tc>
        <w:tc>
          <w:tcPr>
            <w:tcW w:w="604" w:type="pct"/>
            <w:tcBorders>
              <w:top w:val="single" w:sz="4" w:space="0" w:color="auto"/>
              <w:left w:val="single" w:sz="4" w:space="0" w:color="auto"/>
              <w:bottom w:val="single" w:sz="4" w:space="0" w:color="auto"/>
              <w:right w:val="single" w:sz="4" w:space="0" w:color="auto"/>
            </w:tcBorders>
            <w:vAlign w:val="center"/>
          </w:tcPr>
          <w:p w14:paraId="3FB8FF3D" w14:textId="77777777" w:rsidR="00925BA0" w:rsidRPr="000A03FD" w:rsidRDefault="00925BA0" w:rsidP="00415D4E">
            <w:pPr>
              <w:keepNext/>
              <w:keepLines/>
              <w:jc w:val="center"/>
              <w:rPr>
                <w:rFonts w:ascii="Arial Narrow" w:hAnsi="Arial Narrow"/>
                <w:b/>
                <w:sz w:val="20"/>
                <w:szCs w:val="20"/>
              </w:rPr>
            </w:pPr>
            <w:r w:rsidRPr="000A03FD">
              <w:rPr>
                <w:rFonts w:ascii="Arial Narrow" w:hAnsi="Arial Narrow"/>
                <w:b/>
                <w:sz w:val="20"/>
                <w:szCs w:val="20"/>
              </w:rPr>
              <w:t>Placebo</w:t>
            </w:r>
          </w:p>
          <w:p w14:paraId="37248CB2" w14:textId="77777777" w:rsidR="00925BA0" w:rsidRPr="000A03FD" w:rsidRDefault="00925BA0" w:rsidP="00415D4E">
            <w:pPr>
              <w:pStyle w:val="Tabletext"/>
              <w:keepNext/>
              <w:keepLines/>
              <w:jc w:val="center"/>
              <w:rPr>
                <w:b/>
              </w:rPr>
            </w:pPr>
            <w:r w:rsidRPr="000A03FD">
              <w:rPr>
                <w:b/>
                <w:szCs w:val="20"/>
              </w:rPr>
              <w:t>(N=139)</w:t>
            </w:r>
          </w:p>
        </w:tc>
        <w:tc>
          <w:tcPr>
            <w:tcW w:w="703" w:type="pct"/>
            <w:tcBorders>
              <w:top w:val="single" w:sz="4" w:space="0" w:color="auto"/>
              <w:left w:val="single" w:sz="4" w:space="0" w:color="auto"/>
              <w:bottom w:val="single" w:sz="4" w:space="0" w:color="auto"/>
              <w:right w:val="single" w:sz="4" w:space="0" w:color="auto"/>
            </w:tcBorders>
            <w:vAlign w:val="center"/>
          </w:tcPr>
          <w:p w14:paraId="103651B9" w14:textId="77777777" w:rsidR="00925BA0" w:rsidRPr="000A03FD" w:rsidRDefault="00925BA0" w:rsidP="00415D4E">
            <w:pPr>
              <w:pStyle w:val="Tabletext"/>
              <w:keepNext/>
              <w:keepLines/>
              <w:jc w:val="center"/>
              <w:rPr>
                <w:b/>
              </w:rPr>
            </w:pPr>
            <w:r w:rsidRPr="000A03FD">
              <w:rPr>
                <w:b/>
                <w:szCs w:val="20"/>
              </w:rPr>
              <w:t>Mepolizumab (N=139)</w:t>
            </w:r>
          </w:p>
        </w:tc>
      </w:tr>
      <w:tr w:rsidR="00133912" w:rsidRPr="000A03FD" w14:paraId="34EFDD61" w14:textId="2E7ADFC1"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3BC2BFA" w14:textId="6938434D" w:rsidR="00925BA0" w:rsidRPr="000A03FD" w:rsidRDefault="00925BA0" w:rsidP="00415D4E">
            <w:pPr>
              <w:pStyle w:val="Tabletext"/>
              <w:keepNext/>
              <w:keepLines/>
              <w:rPr>
                <w:b/>
              </w:rPr>
            </w:pPr>
            <w:r w:rsidRPr="000A03FD">
              <w:rPr>
                <w:b/>
                <w:bCs/>
                <w:szCs w:val="20"/>
              </w:rPr>
              <w:t>Change from Baseline, n (%)</w:t>
            </w:r>
          </w:p>
        </w:tc>
      </w:tr>
      <w:tr w:rsidR="00133912" w:rsidRPr="000A03FD" w14:paraId="03C351F3" w14:textId="3ED0BAC2" w:rsidTr="00FA58DD">
        <w:trPr>
          <w:tblHeader/>
        </w:trPr>
        <w:tc>
          <w:tcPr>
            <w:tcW w:w="1098" w:type="pct"/>
            <w:tcBorders>
              <w:top w:val="single" w:sz="4" w:space="0" w:color="auto"/>
              <w:left w:val="single" w:sz="4" w:space="0" w:color="auto"/>
              <w:bottom w:val="single" w:sz="4" w:space="0" w:color="auto"/>
              <w:right w:val="single" w:sz="4" w:space="0" w:color="auto"/>
            </w:tcBorders>
          </w:tcPr>
          <w:p w14:paraId="710C979F" w14:textId="3EE6B649" w:rsidR="00925BA0" w:rsidRPr="000A03FD" w:rsidRDefault="00925BA0" w:rsidP="00415D4E">
            <w:pPr>
              <w:pStyle w:val="Tabletext"/>
              <w:keepNext/>
              <w:keepLines/>
              <w:rPr>
                <w:b/>
              </w:rPr>
            </w:pPr>
            <w:r w:rsidRPr="000A03FD">
              <w:rPr>
                <w:szCs w:val="20"/>
              </w:rPr>
              <w:t>≥5-point improvement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1903F" w14:textId="796F436C" w:rsidR="00925BA0" w:rsidRPr="000A03FD" w:rsidRDefault="00925BA0" w:rsidP="00415D4E">
            <w:pPr>
              <w:pStyle w:val="Tabletext"/>
              <w:keepNext/>
              <w:keepLines/>
              <w:jc w:val="center"/>
              <w:rPr>
                <w:b/>
              </w:rPr>
            </w:pPr>
            <w:r w:rsidRPr="000A03FD">
              <w:rPr>
                <w:szCs w:val="20"/>
              </w:rPr>
              <w:t>2 (&lt;1)</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A78081" w14:textId="429E52C8" w:rsidR="00925BA0" w:rsidRPr="000A03FD" w:rsidRDefault="00925BA0" w:rsidP="00415D4E">
            <w:pPr>
              <w:pStyle w:val="Tabletext"/>
              <w:keepNext/>
              <w:keepLines/>
              <w:jc w:val="center"/>
              <w:rPr>
                <w:b/>
              </w:rPr>
            </w:pPr>
            <w:r w:rsidRPr="000A03FD">
              <w:rPr>
                <w:szCs w:val="20"/>
              </w:rPr>
              <w:t>6 (3)</w:t>
            </w:r>
          </w:p>
        </w:tc>
        <w:tc>
          <w:tcPr>
            <w:tcW w:w="530" w:type="pct"/>
            <w:tcBorders>
              <w:top w:val="single" w:sz="4" w:space="0" w:color="auto"/>
              <w:left w:val="single" w:sz="4" w:space="0" w:color="auto"/>
              <w:bottom w:val="single" w:sz="4" w:space="0" w:color="auto"/>
              <w:right w:val="single" w:sz="4" w:space="0" w:color="auto"/>
            </w:tcBorders>
            <w:vAlign w:val="center"/>
          </w:tcPr>
          <w:p w14:paraId="31F99082" w14:textId="2E99EED8" w:rsidR="00925BA0" w:rsidRPr="000A03FD" w:rsidRDefault="00925BA0" w:rsidP="00415D4E">
            <w:pPr>
              <w:pStyle w:val="Tabletext"/>
              <w:keepNext/>
              <w:keepLines/>
              <w:jc w:val="center"/>
              <w:rPr>
                <w:b/>
              </w:rPr>
            </w:pPr>
            <w:r w:rsidRPr="000A03FD">
              <w:rPr>
                <w:szCs w:val="20"/>
              </w:rPr>
              <w:t>1 (2)</w:t>
            </w:r>
          </w:p>
        </w:tc>
        <w:tc>
          <w:tcPr>
            <w:tcW w:w="807" w:type="pct"/>
            <w:tcBorders>
              <w:top w:val="single" w:sz="4" w:space="0" w:color="auto"/>
              <w:left w:val="single" w:sz="4" w:space="0" w:color="auto"/>
              <w:bottom w:val="single" w:sz="4" w:space="0" w:color="auto"/>
              <w:right w:val="single" w:sz="4" w:space="0" w:color="auto"/>
            </w:tcBorders>
            <w:vAlign w:val="center"/>
          </w:tcPr>
          <w:p w14:paraId="4E29952E" w14:textId="626CA77D" w:rsidR="00925BA0" w:rsidRPr="000A03FD" w:rsidRDefault="00925BA0" w:rsidP="00415D4E">
            <w:pPr>
              <w:pStyle w:val="Tabletext"/>
              <w:keepNext/>
              <w:keepLines/>
              <w:jc w:val="center"/>
              <w:rPr>
                <w:b/>
              </w:rPr>
            </w:pPr>
            <w:r w:rsidRPr="000A03FD">
              <w:rPr>
                <w:szCs w:val="20"/>
              </w:rPr>
              <w:t>3 (4)</w:t>
            </w:r>
          </w:p>
        </w:tc>
        <w:tc>
          <w:tcPr>
            <w:tcW w:w="604" w:type="pct"/>
            <w:tcBorders>
              <w:top w:val="single" w:sz="4" w:space="0" w:color="auto"/>
              <w:left w:val="single" w:sz="4" w:space="0" w:color="auto"/>
              <w:bottom w:val="single" w:sz="4" w:space="0" w:color="auto"/>
              <w:right w:val="single" w:sz="4" w:space="0" w:color="auto"/>
            </w:tcBorders>
            <w:vAlign w:val="center"/>
          </w:tcPr>
          <w:p w14:paraId="2C4CEA44" w14:textId="7D624A23" w:rsidR="00925BA0" w:rsidRPr="000A03FD" w:rsidRDefault="00925BA0" w:rsidP="00415D4E">
            <w:pPr>
              <w:pStyle w:val="Tabletext"/>
              <w:keepNext/>
              <w:keepLines/>
              <w:jc w:val="center"/>
              <w:rPr>
                <w:b/>
              </w:rPr>
            </w:pPr>
            <w:r w:rsidRPr="000A03FD">
              <w:rPr>
                <w:szCs w:val="20"/>
              </w:rPr>
              <w:t>1 (&lt;1)</w:t>
            </w:r>
          </w:p>
        </w:tc>
        <w:tc>
          <w:tcPr>
            <w:tcW w:w="703" w:type="pct"/>
            <w:tcBorders>
              <w:top w:val="single" w:sz="4" w:space="0" w:color="auto"/>
              <w:left w:val="single" w:sz="4" w:space="0" w:color="auto"/>
              <w:bottom w:val="single" w:sz="4" w:space="0" w:color="auto"/>
              <w:right w:val="single" w:sz="4" w:space="0" w:color="auto"/>
            </w:tcBorders>
            <w:vAlign w:val="center"/>
          </w:tcPr>
          <w:p w14:paraId="1DC40367" w14:textId="3EC317DA" w:rsidR="00925BA0" w:rsidRPr="000A03FD" w:rsidRDefault="00925BA0" w:rsidP="00415D4E">
            <w:pPr>
              <w:pStyle w:val="Tabletext"/>
              <w:keepNext/>
              <w:keepLines/>
              <w:jc w:val="center"/>
              <w:rPr>
                <w:b/>
              </w:rPr>
            </w:pPr>
            <w:r w:rsidRPr="000A03FD">
              <w:rPr>
                <w:szCs w:val="20"/>
              </w:rPr>
              <w:t>3 (2)</w:t>
            </w:r>
          </w:p>
        </w:tc>
      </w:tr>
      <w:tr w:rsidR="00133912" w:rsidRPr="000A03FD" w14:paraId="7D91105B" w14:textId="7BB99C1A" w:rsidTr="00FA58DD">
        <w:trPr>
          <w:tblHeader/>
        </w:trPr>
        <w:tc>
          <w:tcPr>
            <w:tcW w:w="1098" w:type="pct"/>
            <w:tcBorders>
              <w:top w:val="single" w:sz="4" w:space="0" w:color="auto"/>
              <w:left w:val="single" w:sz="4" w:space="0" w:color="auto"/>
              <w:bottom w:val="single" w:sz="4" w:space="0" w:color="auto"/>
              <w:right w:val="single" w:sz="4" w:space="0" w:color="auto"/>
            </w:tcBorders>
          </w:tcPr>
          <w:p w14:paraId="772B8E59" w14:textId="7A7D3F50" w:rsidR="00925BA0" w:rsidRPr="000A03FD" w:rsidRDefault="00925BA0" w:rsidP="00415D4E">
            <w:pPr>
              <w:pStyle w:val="Tabletext"/>
              <w:keepNext/>
              <w:keepLines/>
              <w:rPr>
                <w:b/>
              </w:rPr>
            </w:pPr>
            <w:r w:rsidRPr="000A03FD">
              <w:rPr>
                <w:szCs w:val="20"/>
              </w:rPr>
              <w:t>4-point improvement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0D993" w14:textId="4DF6FDFF" w:rsidR="00925BA0" w:rsidRPr="000A03FD" w:rsidRDefault="00925BA0" w:rsidP="00415D4E">
            <w:pPr>
              <w:pStyle w:val="Tabletext"/>
              <w:keepNext/>
              <w:keepLines/>
              <w:jc w:val="center"/>
              <w:rPr>
                <w:b/>
              </w:rPr>
            </w:pPr>
            <w:r w:rsidRPr="000A03FD">
              <w:rPr>
                <w:szCs w:val="20"/>
              </w:rPr>
              <w:t>5 (2)</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A7D651" w14:textId="672887CE" w:rsidR="00925BA0" w:rsidRPr="000A03FD" w:rsidRDefault="00925BA0" w:rsidP="00415D4E">
            <w:pPr>
              <w:pStyle w:val="Tabletext"/>
              <w:keepNext/>
              <w:keepLines/>
              <w:jc w:val="center"/>
              <w:rPr>
                <w:b/>
              </w:rPr>
            </w:pPr>
            <w:r w:rsidRPr="000A03FD">
              <w:rPr>
                <w:szCs w:val="20"/>
              </w:rPr>
              <w:t>16 (8)</w:t>
            </w:r>
          </w:p>
        </w:tc>
        <w:tc>
          <w:tcPr>
            <w:tcW w:w="530" w:type="pct"/>
            <w:tcBorders>
              <w:top w:val="single" w:sz="4" w:space="0" w:color="auto"/>
              <w:left w:val="single" w:sz="4" w:space="0" w:color="auto"/>
              <w:bottom w:val="single" w:sz="4" w:space="0" w:color="auto"/>
              <w:right w:val="single" w:sz="4" w:space="0" w:color="auto"/>
            </w:tcBorders>
            <w:vAlign w:val="center"/>
          </w:tcPr>
          <w:p w14:paraId="35D582D8" w14:textId="5D76D8D7" w:rsidR="00925BA0" w:rsidRPr="000A03FD" w:rsidRDefault="00925BA0" w:rsidP="00415D4E">
            <w:pPr>
              <w:pStyle w:val="Tabletext"/>
              <w:keepNext/>
              <w:keepLines/>
              <w:jc w:val="center"/>
              <w:rPr>
                <w:b/>
              </w:rPr>
            </w:pPr>
            <w:r w:rsidRPr="000A03FD">
              <w:rPr>
                <w:szCs w:val="20"/>
              </w:rPr>
              <w:t>1 (2)</w:t>
            </w:r>
          </w:p>
        </w:tc>
        <w:tc>
          <w:tcPr>
            <w:tcW w:w="807" w:type="pct"/>
            <w:tcBorders>
              <w:top w:val="single" w:sz="4" w:space="0" w:color="auto"/>
              <w:left w:val="single" w:sz="4" w:space="0" w:color="auto"/>
              <w:bottom w:val="single" w:sz="4" w:space="0" w:color="auto"/>
              <w:right w:val="single" w:sz="4" w:space="0" w:color="auto"/>
            </w:tcBorders>
            <w:vAlign w:val="center"/>
          </w:tcPr>
          <w:p w14:paraId="5B0972C2" w14:textId="3369975C" w:rsidR="00925BA0" w:rsidRPr="000A03FD" w:rsidRDefault="00925BA0" w:rsidP="00415D4E">
            <w:pPr>
              <w:pStyle w:val="Tabletext"/>
              <w:keepNext/>
              <w:keepLines/>
              <w:jc w:val="center"/>
              <w:rPr>
                <w:b/>
              </w:rPr>
            </w:pPr>
            <w:r w:rsidRPr="000A03FD">
              <w:rPr>
                <w:szCs w:val="20"/>
              </w:rPr>
              <w:t>6 (9)</w:t>
            </w:r>
          </w:p>
        </w:tc>
        <w:tc>
          <w:tcPr>
            <w:tcW w:w="604" w:type="pct"/>
            <w:tcBorders>
              <w:top w:val="single" w:sz="4" w:space="0" w:color="auto"/>
              <w:left w:val="single" w:sz="4" w:space="0" w:color="auto"/>
              <w:bottom w:val="single" w:sz="4" w:space="0" w:color="auto"/>
              <w:right w:val="single" w:sz="4" w:space="0" w:color="auto"/>
            </w:tcBorders>
            <w:vAlign w:val="center"/>
          </w:tcPr>
          <w:p w14:paraId="14845199" w14:textId="74E0636F" w:rsidR="00925BA0" w:rsidRPr="000A03FD" w:rsidRDefault="00925BA0" w:rsidP="00415D4E">
            <w:pPr>
              <w:pStyle w:val="Tabletext"/>
              <w:keepNext/>
              <w:keepLines/>
              <w:jc w:val="center"/>
              <w:rPr>
                <w:b/>
              </w:rPr>
            </w:pPr>
            <w:r w:rsidRPr="000A03FD">
              <w:rPr>
                <w:szCs w:val="20"/>
              </w:rPr>
              <w:t>4 (3)</w:t>
            </w:r>
          </w:p>
        </w:tc>
        <w:tc>
          <w:tcPr>
            <w:tcW w:w="703" w:type="pct"/>
            <w:tcBorders>
              <w:top w:val="single" w:sz="4" w:space="0" w:color="auto"/>
              <w:left w:val="single" w:sz="4" w:space="0" w:color="auto"/>
              <w:bottom w:val="single" w:sz="4" w:space="0" w:color="auto"/>
              <w:right w:val="single" w:sz="4" w:space="0" w:color="auto"/>
            </w:tcBorders>
            <w:vAlign w:val="center"/>
          </w:tcPr>
          <w:p w14:paraId="333B1B3F" w14:textId="5F53904F" w:rsidR="00925BA0" w:rsidRPr="000A03FD" w:rsidRDefault="00925BA0" w:rsidP="00415D4E">
            <w:pPr>
              <w:pStyle w:val="Tabletext"/>
              <w:keepNext/>
              <w:keepLines/>
              <w:jc w:val="center"/>
              <w:rPr>
                <w:b/>
              </w:rPr>
            </w:pPr>
            <w:r w:rsidRPr="000A03FD">
              <w:rPr>
                <w:szCs w:val="20"/>
              </w:rPr>
              <w:t>10 (7)</w:t>
            </w:r>
          </w:p>
        </w:tc>
      </w:tr>
      <w:tr w:rsidR="00133912" w:rsidRPr="000A03FD" w14:paraId="64AFBE07" w14:textId="544B0614" w:rsidTr="00FA58DD">
        <w:trPr>
          <w:tblHeader/>
        </w:trPr>
        <w:tc>
          <w:tcPr>
            <w:tcW w:w="1098" w:type="pct"/>
            <w:tcBorders>
              <w:top w:val="single" w:sz="4" w:space="0" w:color="auto"/>
              <w:left w:val="single" w:sz="4" w:space="0" w:color="auto"/>
              <w:bottom w:val="single" w:sz="4" w:space="0" w:color="auto"/>
              <w:right w:val="single" w:sz="4" w:space="0" w:color="auto"/>
            </w:tcBorders>
          </w:tcPr>
          <w:p w14:paraId="412D7668" w14:textId="033CBE55" w:rsidR="00925BA0" w:rsidRPr="000A03FD" w:rsidRDefault="00925BA0" w:rsidP="00415D4E">
            <w:pPr>
              <w:pStyle w:val="Tabletext"/>
              <w:keepNext/>
              <w:keepLines/>
              <w:rPr>
                <w:b/>
              </w:rPr>
            </w:pPr>
            <w:r w:rsidRPr="000A03FD">
              <w:rPr>
                <w:szCs w:val="20"/>
              </w:rPr>
              <w:t>3-point improvement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5DA9" w14:textId="618754DB" w:rsidR="00925BA0" w:rsidRPr="000A03FD" w:rsidRDefault="00925BA0" w:rsidP="00415D4E">
            <w:pPr>
              <w:pStyle w:val="Tabletext"/>
              <w:keepNext/>
              <w:keepLines/>
              <w:jc w:val="center"/>
              <w:rPr>
                <w:b/>
              </w:rPr>
            </w:pPr>
            <w:r w:rsidRPr="000A03FD">
              <w:rPr>
                <w:szCs w:val="20"/>
              </w:rPr>
              <w:t>11 (5)</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29C2C1" w14:textId="6ECC7A83" w:rsidR="00925BA0" w:rsidRPr="000A03FD" w:rsidRDefault="00925BA0" w:rsidP="00415D4E">
            <w:pPr>
              <w:pStyle w:val="Tabletext"/>
              <w:keepNext/>
              <w:keepLines/>
              <w:jc w:val="center"/>
              <w:rPr>
                <w:b/>
              </w:rPr>
            </w:pPr>
            <w:r w:rsidRPr="000A03FD">
              <w:rPr>
                <w:szCs w:val="20"/>
              </w:rPr>
              <w:t>23 (11)</w:t>
            </w:r>
          </w:p>
        </w:tc>
        <w:tc>
          <w:tcPr>
            <w:tcW w:w="530" w:type="pct"/>
            <w:tcBorders>
              <w:top w:val="single" w:sz="4" w:space="0" w:color="auto"/>
              <w:left w:val="single" w:sz="4" w:space="0" w:color="auto"/>
              <w:bottom w:val="single" w:sz="4" w:space="0" w:color="auto"/>
              <w:right w:val="single" w:sz="4" w:space="0" w:color="auto"/>
            </w:tcBorders>
            <w:vAlign w:val="center"/>
          </w:tcPr>
          <w:p w14:paraId="3B216651" w14:textId="23D411A0" w:rsidR="00925BA0" w:rsidRPr="000A03FD" w:rsidRDefault="00925BA0" w:rsidP="00415D4E">
            <w:pPr>
              <w:pStyle w:val="Tabletext"/>
              <w:keepNext/>
              <w:keepLines/>
              <w:jc w:val="center"/>
              <w:rPr>
                <w:b/>
              </w:rPr>
            </w:pPr>
            <w:r w:rsidRPr="000A03FD">
              <w:rPr>
                <w:szCs w:val="20"/>
              </w:rPr>
              <w:t>3 (5)</w:t>
            </w:r>
          </w:p>
        </w:tc>
        <w:tc>
          <w:tcPr>
            <w:tcW w:w="807" w:type="pct"/>
            <w:tcBorders>
              <w:top w:val="single" w:sz="4" w:space="0" w:color="auto"/>
              <w:left w:val="single" w:sz="4" w:space="0" w:color="auto"/>
              <w:bottom w:val="single" w:sz="4" w:space="0" w:color="auto"/>
              <w:right w:val="single" w:sz="4" w:space="0" w:color="auto"/>
            </w:tcBorders>
            <w:vAlign w:val="center"/>
          </w:tcPr>
          <w:p w14:paraId="0B5F032D" w14:textId="19B4E252" w:rsidR="00925BA0" w:rsidRPr="000A03FD" w:rsidRDefault="00925BA0" w:rsidP="00415D4E">
            <w:pPr>
              <w:pStyle w:val="Tabletext"/>
              <w:keepNext/>
              <w:keepLines/>
              <w:jc w:val="center"/>
              <w:rPr>
                <w:b/>
              </w:rPr>
            </w:pPr>
            <w:r w:rsidRPr="000A03FD">
              <w:rPr>
                <w:szCs w:val="20"/>
              </w:rPr>
              <w:t>7 (10)</w:t>
            </w:r>
          </w:p>
        </w:tc>
        <w:tc>
          <w:tcPr>
            <w:tcW w:w="604" w:type="pct"/>
            <w:tcBorders>
              <w:top w:val="single" w:sz="4" w:space="0" w:color="auto"/>
              <w:left w:val="single" w:sz="4" w:space="0" w:color="auto"/>
              <w:bottom w:val="single" w:sz="4" w:space="0" w:color="auto"/>
              <w:right w:val="single" w:sz="4" w:space="0" w:color="auto"/>
            </w:tcBorders>
            <w:vAlign w:val="center"/>
          </w:tcPr>
          <w:p w14:paraId="57098F57" w14:textId="4B5B2A4C" w:rsidR="00925BA0" w:rsidRPr="000A03FD" w:rsidRDefault="00925BA0" w:rsidP="00415D4E">
            <w:pPr>
              <w:pStyle w:val="Tabletext"/>
              <w:keepNext/>
              <w:keepLines/>
              <w:jc w:val="center"/>
              <w:rPr>
                <w:b/>
              </w:rPr>
            </w:pPr>
            <w:r w:rsidRPr="000A03FD">
              <w:rPr>
                <w:szCs w:val="20"/>
              </w:rPr>
              <w:t>8 (6)</w:t>
            </w:r>
          </w:p>
        </w:tc>
        <w:tc>
          <w:tcPr>
            <w:tcW w:w="703" w:type="pct"/>
            <w:tcBorders>
              <w:top w:val="single" w:sz="4" w:space="0" w:color="auto"/>
              <w:left w:val="single" w:sz="4" w:space="0" w:color="auto"/>
              <w:bottom w:val="single" w:sz="4" w:space="0" w:color="auto"/>
              <w:right w:val="single" w:sz="4" w:space="0" w:color="auto"/>
            </w:tcBorders>
            <w:vAlign w:val="center"/>
          </w:tcPr>
          <w:p w14:paraId="24CCED13" w14:textId="03727C88" w:rsidR="00925BA0" w:rsidRPr="000A03FD" w:rsidRDefault="00925BA0" w:rsidP="00415D4E">
            <w:pPr>
              <w:pStyle w:val="Tabletext"/>
              <w:keepNext/>
              <w:keepLines/>
              <w:jc w:val="center"/>
              <w:rPr>
                <w:b/>
              </w:rPr>
            </w:pPr>
            <w:r w:rsidRPr="000A03FD">
              <w:rPr>
                <w:szCs w:val="20"/>
              </w:rPr>
              <w:t>16 (12)</w:t>
            </w:r>
          </w:p>
        </w:tc>
      </w:tr>
      <w:tr w:rsidR="00133912" w:rsidRPr="000A03FD" w14:paraId="6F6E5BCD" w14:textId="06D076FF" w:rsidTr="00FA58DD">
        <w:trPr>
          <w:tblHeader/>
        </w:trPr>
        <w:tc>
          <w:tcPr>
            <w:tcW w:w="1098" w:type="pct"/>
            <w:tcBorders>
              <w:top w:val="single" w:sz="4" w:space="0" w:color="auto"/>
              <w:left w:val="single" w:sz="4" w:space="0" w:color="auto"/>
              <w:bottom w:val="single" w:sz="4" w:space="0" w:color="auto"/>
              <w:right w:val="single" w:sz="4" w:space="0" w:color="auto"/>
            </w:tcBorders>
          </w:tcPr>
          <w:p w14:paraId="451A015D" w14:textId="59CE00E8" w:rsidR="00925BA0" w:rsidRPr="000A03FD" w:rsidRDefault="00925BA0" w:rsidP="00415D4E">
            <w:pPr>
              <w:pStyle w:val="Tabletext"/>
              <w:keepNext/>
              <w:keepLines/>
            </w:pPr>
            <w:r w:rsidRPr="000A03FD">
              <w:rPr>
                <w:szCs w:val="20"/>
              </w:rPr>
              <w:t>2-point improvement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B31911" w14:textId="263C552D" w:rsidR="00925BA0" w:rsidRPr="000A03FD" w:rsidRDefault="00925BA0" w:rsidP="00415D4E">
            <w:pPr>
              <w:pStyle w:val="Tabletext"/>
              <w:keepNext/>
              <w:keepLines/>
              <w:jc w:val="center"/>
            </w:pPr>
            <w:r w:rsidRPr="000A03FD">
              <w:rPr>
                <w:szCs w:val="20"/>
              </w:rPr>
              <w:t>8 (4)</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D55135" w14:textId="5241565F" w:rsidR="00925BA0" w:rsidRPr="000A03FD" w:rsidRDefault="00925BA0" w:rsidP="00415D4E">
            <w:pPr>
              <w:pStyle w:val="Tabletext"/>
              <w:keepNext/>
              <w:keepLines/>
              <w:jc w:val="center"/>
            </w:pPr>
            <w:r w:rsidRPr="000A03FD">
              <w:rPr>
                <w:szCs w:val="20"/>
              </w:rPr>
              <w:t>29 (14)</w:t>
            </w:r>
          </w:p>
        </w:tc>
        <w:tc>
          <w:tcPr>
            <w:tcW w:w="530" w:type="pct"/>
            <w:tcBorders>
              <w:top w:val="single" w:sz="4" w:space="0" w:color="auto"/>
              <w:left w:val="single" w:sz="4" w:space="0" w:color="auto"/>
              <w:bottom w:val="single" w:sz="4" w:space="0" w:color="auto"/>
              <w:right w:val="single" w:sz="4" w:space="0" w:color="auto"/>
            </w:tcBorders>
            <w:vAlign w:val="center"/>
          </w:tcPr>
          <w:p w14:paraId="78992249" w14:textId="5A20157E" w:rsidR="00925BA0" w:rsidRPr="000A03FD" w:rsidRDefault="00925BA0" w:rsidP="00415D4E">
            <w:pPr>
              <w:pStyle w:val="Tabletext"/>
              <w:keepNext/>
              <w:keepLines/>
              <w:jc w:val="center"/>
            </w:pPr>
            <w:r w:rsidRPr="000A03FD">
              <w:rPr>
                <w:szCs w:val="20"/>
              </w:rPr>
              <w:t>4 (6)</w:t>
            </w:r>
          </w:p>
        </w:tc>
        <w:tc>
          <w:tcPr>
            <w:tcW w:w="807" w:type="pct"/>
            <w:tcBorders>
              <w:top w:val="single" w:sz="4" w:space="0" w:color="auto"/>
              <w:left w:val="single" w:sz="4" w:space="0" w:color="auto"/>
              <w:bottom w:val="single" w:sz="4" w:space="0" w:color="auto"/>
              <w:right w:val="single" w:sz="4" w:space="0" w:color="auto"/>
            </w:tcBorders>
            <w:vAlign w:val="center"/>
          </w:tcPr>
          <w:p w14:paraId="25C54807" w14:textId="1BE5636F" w:rsidR="00925BA0" w:rsidRPr="000A03FD" w:rsidRDefault="00925BA0" w:rsidP="00415D4E">
            <w:pPr>
              <w:pStyle w:val="Tabletext"/>
              <w:keepNext/>
              <w:keepLines/>
              <w:jc w:val="center"/>
            </w:pPr>
            <w:r w:rsidRPr="000A03FD">
              <w:rPr>
                <w:szCs w:val="20"/>
              </w:rPr>
              <w:t>8 (12)</w:t>
            </w:r>
          </w:p>
        </w:tc>
        <w:tc>
          <w:tcPr>
            <w:tcW w:w="604" w:type="pct"/>
            <w:tcBorders>
              <w:top w:val="single" w:sz="4" w:space="0" w:color="auto"/>
              <w:left w:val="single" w:sz="4" w:space="0" w:color="auto"/>
              <w:bottom w:val="single" w:sz="4" w:space="0" w:color="auto"/>
              <w:right w:val="single" w:sz="4" w:space="0" w:color="auto"/>
            </w:tcBorders>
            <w:vAlign w:val="center"/>
          </w:tcPr>
          <w:p w14:paraId="1C68F19D" w14:textId="4A2458F0" w:rsidR="00925BA0" w:rsidRPr="000A03FD" w:rsidRDefault="00925BA0" w:rsidP="00415D4E">
            <w:pPr>
              <w:pStyle w:val="Tabletext"/>
              <w:keepNext/>
              <w:keepLines/>
              <w:jc w:val="center"/>
            </w:pPr>
            <w:r w:rsidRPr="000A03FD">
              <w:rPr>
                <w:szCs w:val="20"/>
              </w:rPr>
              <w:t>4 (3)</w:t>
            </w:r>
          </w:p>
        </w:tc>
        <w:tc>
          <w:tcPr>
            <w:tcW w:w="703" w:type="pct"/>
            <w:tcBorders>
              <w:top w:val="single" w:sz="4" w:space="0" w:color="auto"/>
              <w:left w:val="single" w:sz="4" w:space="0" w:color="auto"/>
              <w:bottom w:val="single" w:sz="4" w:space="0" w:color="auto"/>
              <w:right w:val="single" w:sz="4" w:space="0" w:color="auto"/>
            </w:tcBorders>
            <w:vAlign w:val="center"/>
          </w:tcPr>
          <w:p w14:paraId="0109C8F0" w14:textId="6F74D131" w:rsidR="00925BA0" w:rsidRPr="000A03FD" w:rsidRDefault="00925BA0" w:rsidP="00415D4E">
            <w:pPr>
              <w:pStyle w:val="Tabletext"/>
              <w:keepNext/>
              <w:keepLines/>
              <w:jc w:val="center"/>
            </w:pPr>
            <w:r w:rsidRPr="000A03FD">
              <w:rPr>
                <w:szCs w:val="20"/>
              </w:rPr>
              <w:t>21 (15)</w:t>
            </w:r>
          </w:p>
        </w:tc>
      </w:tr>
      <w:tr w:rsidR="00133912" w:rsidRPr="000A03FD" w14:paraId="5A6D8F5D" w14:textId="40868BE7" w:rsidTr="00FA58DD">
        <w:trPr>
          <w:tblHeader/>
        </w:trPr>
        <w:tc>
          <w:tcPr>
            <w:tcW w:w="1098" w:type="pct"/>
            <w:tcBorders>
              <w:top w:val="single" w:sz="4" w:space="0" w:color="auto"/>
              <w:left w:val="single" w:sz="4" w:space="0" w:color="auto"/>
              <w:bottom w:val="single" w:sz="4" w:space="0" w:color="auto"/>
              <w:right w:val="single" w:sz="4" w:space="0" w:color="auto"/>
            </w:tcBorders>
          </w:tcPr>
          <w:p w14:paraId="77C4C5A6" w14:textId="57C03F11" w:rsidR="00925BA0" w:rsidRPr="000A03FD" w:rsidRDefault="00925BA0" w:rsidP="00415D4E">
            <w:pPr>
              <w:pStyle w:val="Tabletext"/>
              <w:keepNext/>
              <w:keepLines/>
            </w:pPr>
            <w:r w:rsidRPr="000A03FD">
              <w:rPr>
                <w:szCs w:val="20"/>
              </w:rPr>
              <w:t>1-point improvement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DF788D" w14:textId="0EC22A2E" w:rsidR="00925BA0" w:rsidRPr="000A03FD" w:rsidRDefault="00925BA0" w:rsidP="00415D4E">
            <w:pPr>
              <w:pStyle w:val="Tabletext"/>
              <w:keepNext/>
              <w:keepLines/>
              <w:jc w:val="center"/>
            </w:pPr>
            <w:r w:rsidRPr="000A03FD">
              <w:rPr>
                <w:szCs w:val="20"/>
              </w:rPr>
              <w:t>31 (15)</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208DD1" w14:textId="1F7C3202" w:rsidR="00925BA0" w:rsidRPr="000A03FD" w:rsidRDefault="00925BA0" w:rsidP="00415D4E">
            <w:pPr>
              <w:pStyle w:val="Tabletext"/>
              <w:keepNext/>
              <w:keepLines/>
              <w:jc w:val="center"/>
            </w:pPr>
            <w:r w:rsidRPr="000A03FD">
              <w:rPr>
                <w:szCs w:val="20"/>
              </w:rPr>
              <w:t>30 (15)</w:t>
            </w:r>
          </w:p>
        </w:tc>
        <w:tc>
          <w:tcPr>
            <w:tcW w:w="530" w:type="pct"/>
            <w:tcBorders>
              <w:top w:val="single" w:sz="4" w:space="0" w:color="auto"/>
              <w:left w:val="single" w:sz="4" w:space="0" w:color="auto"/>
              <w:bottom w:val="single" w:sz="4" w:space="0" w:color="auto"/>
              <w:right w:val="single" w:sz="4" w:space="0" w:color="auto"/>
            </w:tcBorders>
            <w:vAlign w:val="center"/>
          </w:tcPr>
          <w:p w14:paraId="15ED678A" w14:textId="6F8A351E" w:rsidR="00925BA0" w:rsidRPr="000A03FD" w:rsidRDefault="00925BA0" w:rsidP="00415D4E">
            <w:pPr>
              <w:pStyle w:val="Tabletext"/>
              <w:keepNext/>
              <w:keepLines/>
              <w:jc w:val="center"/>
            </w:pPr>
            <w:r w:rsidRPr="000A03FD">
              <w:rPr>
                <w:szCs w:val="20"/>
              </w:rPr>
              <w:t>9 (15)</w:t>
            </w:r>
          </w:p>
        </w:tc>
        <w:tc>
          <w:tcPr>
            <w:tcW w:w="807" w:type="pct"/>
            <w:tcBorders>
              <w:top w:val="single" w:sz="4" w:space="0" w:color="auto"/>
              <w:left w:val="single" w:sz="4" w:space="0" w:color="auto"/>
              <w:bottom w:val="single" w:sz="4" w:space="0" w:color="auto"/>
              <w:right w:val="single" w:sz="4" w:space="0" w:color="auto"/>
            </w:tcBorders>
            <w:vAlign w:val="center"/>
          </w:tcPr>
          <w:p w14:paraId="4FA9E017" w14:textId="2424A487" w:rsidR="00925BA0" w:rsidRPr="000A03FD" w:rsidRDefault="00925BA0" w:rsidP="00415D4E">
            <w:pPr>
              <w:pStyle w:val="Tabletext"/>
              <w:keepNext/>
              <w:keepLines/>
              <w:jc w:val="center"/>
            </w:pPr>
            <w:r w:rsidRPr="000A03FD">
              <w:rPr>
                <w:szCs w:val="20"/>
              </w:rPr>
              <w:t>10 (15)</w:t>
            </w:r>
          </w:p>
        </w:tc>
        <w:tc>
          <w:tcPr>
            <w:tcW w:w="604" w:type="pct"/>
            <w:tcBorders>
              <w:top w:val="single" w:sz="4" w:space="0" w:color="auto"/>
              <w:left w:val="single" w:sz="4" w:space="0" w:color="auto"/>
              <w:bottom w:val="single" w:sz="4" w:space="0" w:color="auto"/>
              <w:right w:val="single" w:sz="4" w:space="0" w:color="auto"/>
            </w:tcBorders>
            <w:vAlign w:val="center"/>
          </w:tcPr>
          <w:p w14:paraId="4306ACB8" w14:textId="2CC8A6C9" w:rsidR="00925BA0" w:rsidRPr="000A03FD" w:rsidRDefault="00925BA0" w:rsidP="00415D4E">
            <w:pPr>
              <w:pStyle w:val="Tabletext"/>
              <w:keepNext/>
              <w:keepLines/>
              <w:jc w:val="center"/>
            </w:pPr>
            <w:r w:rsidRPr="000A03FD">
              <w:rPr>
                <w:szCs w:val="20"/>
              </w:rPr>
              <w:t>22 (16)</w:t>
            </w:r>
          </w:p>
        </w:tc>
        <w:tc>
          <w:tcPr>
            <w:tcW w:w="703" w:type="pct"/>
            <w:tcBorders>
              <w:top w:val="single" w:sz="4" w:space="0" w:color="auto"/>
              <w:left w:val="single" w:sz="4" w:space="0" w:color="auto"/>
              <w:bottom w:val="single" w:sz="4" w:space="0" w:color="auto"/>
              <w:right w:val="single" w:sz="4" w:space="0" w:color="auto"/>
            </w:tcBorders>
            <w:vAlign w:val="center"/>
          </w:tcPr>
          <w:p w14:paraId="721CEAEE" w14:textId="28B33B65" w:rsidR="00925BA0" w:rsidRPr="000A03FD" w:rsidRDefault="00925BA0" w:rsidP="00415D4E">
            <w:pPr>
              <w:pStyle w:val="Tabletext"/>
              <w:keepNext/>
              <w:keepLines/>
              <w:jc w:val="center"/>
            </w:pPr>
            <w:r w:rsidRPr="000A03FD">
              <w:rPr>
                <w:szCs w:val="20"/>
              </w:rPr>
              <w:t>20 (14)</w:t>
            </w:r>
          </w:p>
        </w:tc>
      </w:tr>
      <w:tr w:rsidR="00133912" w:rsidRPr="000A03FD" w14:paraId="3DEAD063" w14:textId="21643F7E" w:rsidTr="00FA58DD">
        <w:trPr>
          <w:tblHeader/>
        </w:trPr>
        <w:tc>
          <w:tcPr>
            <w:tcW w:w="1098" w:type="pct"/>
            <w:tcBorders>
              <w:top w:val="single" w:sz="4" w:space="0" w:color="auto"/>
              <w:left w:val="single" w:sz="4" w:space="0" w:color="auto"/>
              <w:bottom w:val="single" w:sz="4" w:space="0" w:color="auto"/>
              <w:right w:val="single" w:sz="4" w:space="0" w:color="auto"/>
            </w:tcBorders>
          </w:tcPr>
          <w:p w14:paraId="3821D9FF" w14:textId="3ABBBD7E" w:rsidR="00925BA0" w:rsidRPr="000A03FD" w:rsidRDefault="00925BA0" w:rsidP="00415D4E">
            <w:pPr>
              <w:pStyle w:val="Tabletext"/>
              <w:keepNext/>
              <w:keepLines/>
            </w:pPr>
            <w:r w:rsidRPr="000A03FD">
              <w:rPr>
                <w:szCs w:val="20"/>
              </w:rPr>
              <w:t>No change</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4E51B" w14:textId="670FE4B0" w:rsidR="00925BA0" w:rsidRPr="000A03FD" w:rsidRDefault="00925BA0" w:rsidP="00415D4E">
            <w:pPr>
              <w:pStyle w:val="Tabletext"/>
              <w:keepNext/>
              <w:keepLines/>
              <w:jc w:val="center"/>
            </w:pPr>
            <w:r w:rsidRPr="000A03FD">
              <w:rPr>
                <w:szCs w:val="20"/>
              </w:rPr>
              <w:t>83 (41)</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C5EBA4" w14:textId="0F91473E" w:rsidR="00925BA0" w:rsidRPr="000A03FD" w:rsidRDefault="00925BA0" w:rsidP="00415D4E">
            <w:pPr>
              <w:pStyle w:val="Tabletext"/>
              <w:keepNext/>
              <w:keepLines/>
              <w:jc w:val="center"/>
            </w:pPr>
            <w:r w:rsidRPr="000A03FD">
              <w:rPr>
                <w:szCs w:val="20"/>
              </w:rPr>
              <w:t>57 (28)</w:t>
            </w:r>
          </w:p>
        </w:tc>
        <w:tc>
          <w:tcPr>
            <w:tcW w:w="530" w:type="pct"/>
            <w:tcBorders>
              <w:top w:val="single" w:sz="4" w:space="0" w:color="auto"/>
              <w:left w:val="single" w:sz="4" w:space="0" w:color="auto"/>
              <w:bottom w:val="single" w:sz="4" w:space="0" w:color="auto"/>
              <w:right w:val="single" w:sz="4" w:space="0" w:color="auto"/>
            </w:tcBorders>
            <w:vAlign w:val="center"/>
          </w:tcPr>
          <w:p w14:paraId="4EEDBA36" w14:textId="7EFA6B61" w:rsidR="00925BA0" w:rsidRPr="000A03FD" w:rsidRDefault="00925BA0" w:rsidP="00415D4E">
            <w:pPr>
              <w:pStyle w:val="Tabletext"/>
              <w:keepNext/>
              <w:keepLines/>
              <w:jc w:val="center"/>
            </w:pPr>
            <w:r w:rsidRPr="000A03FD">
              <w:rPr>
                <w:szCs w:val="20"/>
              </w:rPr>
              <w:t>24 (39)</w:t>
            </w:r>
          </w:p>
        </w:tc>
        <w:tc>
          <w:tcPr>
            <w:tcW w:w="807" w:type="pct"/>
            <w:tcBorders>
              <w:top w:val="single" w:sz="4" w:space="0" w:color="auto"/>
              <w:left w:val="single" w:sz="4" w:space="0" w:color="auto"/>
              <w:bottom w:val="single" w:sz="4" w:space="0" w:color="auto"/>
              <w:right w:val="single" w:sz="4" w:space="0" w:color="auto"/>
            </w:tcBorders>
            <w:vAlign w:val="center"/>
          </w:tcPr>
          <w:p w14:paraId="110D75F9" w14:textId="67F65256" w:rsidR="00925BA0" w:rsidRPr="000A03FD" w:rsidRDefault="00925BA0" w:rsidP="00415D4E">
            <w:pPr>
              <w:pStyle w:val="Tabletext"/>
              <w:keepNext/>
              <w:keepLines/>
              <w:jc w:val="center"/>
            </w:pPr>
            <w:r w:rsidRPr="000A03FD">
              <w:rPr>
                <w:szCs w:val="20"/>
              </w:rPr>
              <w:t>19 (28)</w:t>
            </w:r>
          </w:p>
        </w:tc>
        <w:tc>
          <w:tcPr>
            <w:tcW w:w="604" w:type="pct"/>
            <w:tcBorders>
              <w:top w:val="single" w:sz="4" w:space="0" w:color="auto"/>
              <w:left w:val="single" w:sz="4" w:space="0" w:color="auto"/>
              <w:bottom w:val="single" w:sz="4" w:space="0" w:color="auto"/>
              <w:right w:val="single" w:sz="4" w:space="0" w:color="auto"/>
            </w:tcBorders>
            <w:vAlign w:val="center"/>
          </w:tcPr>
          <w:p w14:paraId="4C738874" w14:textId="6FC18EDF" w:rsidR="00925BA0" w:rsidRPr="000A03FD" w:rsidRDefault="00925BA0" w:rsidP="00415D4E">
            <w:pPr>
              <w:pStyle w:val="Tabletext"/>
              <w:keepNext/>
              <w:keepLines/>
              <w:jc w:val="center"/>
            </w:pPr>
            <w:r w:rsidRPr="000A03FD">
              <w:rPr>
                <w:szCs w:val="20"/>
              </w:rPr>
              <w:t>59 (42)</w:t>
            </w:r>
          </w:p>
        </w:tc>
        <w:tc>
          <w:tcPr>
            <w:tcW w:w="703" w:type="pct"/>
            <w:tcBorders>
              <w:top w:val="single" w:sz="4" w:space="0" w:color="auto"/>
              <w:left w:val="single" w:sz="4" w:space="0" w:color="auto"/>
              <w:bottom w:val="single" w:sz="4" w:space="0" w:color="auto"/>
              <w:right w:val="single" w:sz="4" w:space="0" w:color="auto"/>
            </w:tcBorders>
            <w:vAlign w:val="center"/>
          </w:tcPr>
          <w:p w14:paraId="0746B06C" w14:textId="6F92F4D9" w:rsidR="00925BA0" w:rsidRPr="000A03FD" w:rsidRDefault="00925BA0" w:rsidP="00415D4E">
            <w:pPr>
              <w:pStyle w:val="Tabletext"/>
              <w:keepNext/>
              <w:keepLines/>
              <w:jc w:val="center"/>
            </w:pPr>
            <w:r w:rsidRPr="000A03FD">
              <w:rPr>
                <w:szCs w:val="20"/>
              </w:rPr>
              <w:t>38 (27)</w:t>
            </w:r>
          </w:p>
        </w:tc>
      </w:tr>
      <w:tr w:rsidR="00133912" w:rsidRPr="000A03FD" w14:paraId="69558AF7" w14:textId="2F2377AD" w:rsidTr="00FA58DD">
        <w:trPr>
          <w:tblHeader/>
        </w:trPr>
        <w:tc>
          <w:tcPr>
            <w:tcW w:w="1098" w:type="pct"/>
            <w:tcBorders>
              <w:top w:val="single" w:sz="4" w:space="0" w:color="auto"/>
              <w:left w:val="single" w:sz="4" w:space="0" w:color="auto"/>
              <w:bottom w:val="single" w:sz="4" w:space="0" w:color="auto"/>
              <w:right w:val="single" w:sz="4" w:space="0" w:color="auto"/>
            </w:tcBorders>
          </w:tcPr>
          <w:p w14:paraId="744945CC" w14:textId="62924DA7" w:rsidR="00925BA0" w:rsidRPr="000A03FD" w:rsidRDefault="00925BA0" w:rsidP="00415D4E">
            <w:pPr>
              <w:pStyle w:val="Tabletext"/>
              <w:keepNext/>
              <w:keepLines/>
            </w:pPr>
            <w:r w:rsidRPr="000A03FD">
              <w:rPr>
                <w:szCs w:val="20"/>
              </w:rPr>
              <w:t>Worsening</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07892A" w14:textId="71C0430F" w:rsidR="00925BA0" w:rsidRPr="000A03FD" w:rsidRDefault="00925BA0" w:rsidP="00415D4E">
            <w:pPr>
              <w:pStyle w:val="Tabletext"/>
              <w:keepNext/>
              <w:keepLines/>
              <w:jc w:val="center"/>
            </w:pPr>
            <w:r w:rsidRPr="000A03FD">
              <w:rPr>
                <w:szCs w:val="20"/>
              </w:rPr>
              <w:t>61 (30)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25D305" w14:textId="71333950" w:rsidR="00925BA0" w:rsidRPr="000A03FD" w:rsidRDefault="00925BA0" w:rsidP="00415D4E">
            <w:pPr>
              <w:pStyle w:val="Tabletext"/>
              <w:keepNext/>
              <w:keepLines/>
              <w:jc w:val="center"/>
            </w:pPr>
            <w:r w:rsidRPr="000A03FD">
              <w:rPr>
                <w:szCs w:val="20"/>
              </w:rPr>
              <w:t>45 (22)</w:t>
            </w:r>
          </w:p>
        </w:tc>
        <w:tc>
          <w:tcPr>
            <w:tcW w:w="530" w:type="pct"/>
            <w:tcBorders>
              <w:top w:val="single" w:sz="4" w:space="0" w:color="auto"/>
              <w:left w:val="single" w:sz="4" w:space="0" w:color="auto"/>
              <w:bottom w:val="single" w:sz="4" w:space="0" w:color="auto"/>
              <w:right w:val="single" w:sz="4" w:space="0" w:color="auto"/>
            </w:tcBorders>
            <w:vAlign w:val="center"/>
          </w:tcPr>
          <w:p w14:paraId="1C1D3A97" w14:textId="73C82223" w:rsidR="00925BA0" w:rsidRPr="000A03FD" w:rsidRDefault="00925BA0" w:rsidP="00415D4E">
            <w:pPr>
              <w:pStyle w:val="Tabletext"/>
              <w:keepNext/>
              <w:keepLines/>
              <w:jc w:val="center"/>
            </w:pPr>
            <w:r w:rsidRPr="000A03FD">
              <w:rPr>
                <w:szCs w:val="20"/>
              </w:rPr>
              <w:t>20 (32)</w:t>
            </w:r>
          </w:p>
        </w:tc>
        <w:tc>
          <w:tcPr>
            <w:tcW w:w="807" w:type="pct"/>
            <w:tcBorders>
              <w:top w:val="single" w:sz="4" w:space="0" w:color="auto"/>
              <w:left w:val="single" w:sz="4" w:space="0" w:color="auto"/>
              <w:bottom w:val="single" w:sz="4" w:space="0" w:color="auto"/>
              <w:right w:val="single" w:sz="4" w:space="0" w:color="auto"/>
            </w:tcBorders>
            <w:vAlign w:val="center"/>
          </w:tcPr>
          <w:p w14:paraId="285D692E" w14:textId="5FD29BEA" w:rsidR="00925BA0" w:rsidRPr="000A03FD" w:rsidRDefault="00925BA0" w:rsidP="00415D4E">
            <w:pPr>
              <w:pStyle w:val="Tabletext"/>
              <w:keepNext/>
              <w:keepLines/>
              <w:jc w:val="center"/>
            </w:pPr>
            <w:r w:rsidRPr="000A03FD">
              <w:rPr>
                <w:szCs w:val="20"/>
              </w:rPr>
              <w:t>14 (21)</w:t>
            </w:r>
          </w:p>
        </w:tc>
        <w:tc>
          <w:tcPr>
            <w:tcW w:w="604" w:type="pct"/>
            <w:tcBorders>
              <w:top w:val="single" w:sz="4" w:space="0" w:color="auto"/>
              <w:left w:val="single" w:sz="4" w:space="0" w:color="auto"/>
              <w:bottom w:val="single" w:sz="4" w:space="0" w:color="auto"/>
              <w:right w:val="single" w:sz="4" w:space="0" w:color="auto"/>
            </w:tcBorders>
            <w:vAlign w:val="center"/>
          </w:tcPr>
          <w:p w14:paraId="2298D7A3" w14:textId="2DB43BF2" w:rsidR="00925BA0" w:rsidRPr="000A03FD" w:rsidRDefault="00925BA0" w:rsidP="00415D4E">
            <w:pPr>
              <w:pStyle w:val="Tabletext"/>
              <w:keepNext/>
              <w:keepLines/>
              <w:jc w:val="center"/>
            </w:pPr>
            <w:r w:rsidRPr="000A03FD">
              <w:rPr>
                <w:szCs w:val="20"/>
              </w:rPr>
              <w:t>41 (29)</w:t>
            </w:r>
          </w:p>
        </w:tc>
        <w:tc>
          <w:tcPr>
            <w:tcW w:w="703" w:type="pct"/>
            <w:tcBorders>
              <w:top w:val="single" w:sz="4" w:space="0" w:color="auto"/>
              <w:left w:val="single" w:sz="4" w:space="0" w:color="auto"/>
              <w:bottom w:val="single" w:sz="4" w:space="0" w:color="auto"/>
              <w:right w:val="single" w:sz="4" w:space="0" w:color="auto"/>
            </w:tcBorders>
            <w:vAlign w:val="center"/>
          </w:tcPr>
          <w:p w14:paraId="5C955E75" w14:textId="766C87E1" w:rsidR="00925BA0" w:rsidRPr="000A03FD" w:rsidRDefault="00925BA0" w:rsidP="00415D4E">
            <w:pPr>
              <w:pStyle w:val="Tabletext"/>
              <w:keepNext/>
              <w:keepLines/>
              <w:jc w:val="center"/>
            </w:pPr>
            <w:r w:rsidRPr="000A03FD">
              <w:rPr>
                <w:szCs w:val="20"/>
              </w:rPr>
              <w:t>31 (22)</w:t>
            </w:r>
          </w:p>
        </w:tc>
      </w:tr>
      <w:tr w:rsidR="00133912" w:rsidRPr="000A03FD" w14:paraId="34EE0C24" w14:textId="77777777"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1C1051E" w14:textId="77777777" w:rsidR="00925BA0" w:rsidRPr="000A03FD" w:rsidRDefault="00925BA0" w:rsidP="00415D4E">
            <w:pPr>
              <w:pStyle w:val="Tabletext"/>
              <w:keepNext/>
              <w:keepLines/>
            </w:pPr>
            <w:r w:rsidRPr="000A03FD">
              <w:rPr>
                <w:b/>
                <w:bCs/>
                <w:szCs w:val="20"/>
              </w:rPr>
              <w:t>Analysis of change from Baseline</w:t>
            </w:r>
          </w:p>
        </w:tc>
      </w:tr>
      <w:tr w:rsidR="00133912" w:rsidRPr="000A03FD" w14:paraId="7968EA24" w14:textId="77777777" w:rsidTr="00FA58DD">
        <w:trPr>
          <w:tblHeader/>
        </w:trPr>
        <w:tc>
          <w:tcPr>
            <w:tcW w:w="1098" w:type="pct"/>
            <w:tcBorders>
              <w:top w:val="single" w:sz="4" w:space="0" w:color="auto"/>
              <w:left w:val="single" w:sz="4" w:space="0" w:color="auto"/>
              <w:bottom w:val="single" w:sz="4" w:space="0" w:color="auto"/>
              <w:right w:val="single" w:sz="4" w:space="0" w:color="auto"/>
            </w:tcBorders>
          </w:tcPr>
          <w:p w14:paraId="2B549C6B" w14:textId="3CACEDC8" w:rsidR="00925BA0" w:rsidRPr="000A03FD" w:rsidRDefault="00925BA0" w:rsidP="00415D4E">
            <w:pPr>
              <w:pStyle w:val="Tabletext"/>
              <w:keepNext/>
              <w:keepLines/>
            </w:pPr>
            <w:r w:rsidRPr="000A03FD">
              <w:rPr>
                <w:szCs w:val="20"/>
              </w:rPr>
              <w:t>Median change from baseline</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017874" w14:textId="77777777" w:rsidR="00925BA0" w:rsidRPr="000A03FD" w:rsidRDefault="00925BA0" w:rsidP="00415D4E">
            <w:pPr>
              <w:pStyle w:val="Tabletext"/>
              <w:keepNext/>
              <w:keepLines/>
              <w:jc w:val="center"/>
            </w:pPr>
            <w:r w:rsidRPr="000A03FD">
              <w:rPr>
                <w:szCs w:val="20"/>
              </w:rPr>
              <w:t>0.0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76F434" w14:textId="77777777" w:rsidR="00925BA0" w:rsidRPr="000A03FD" w:rsidRDefault="00925BA0" w:rsidP="00415D4E">
            <w:pPr>
              <w:pStyle w:val="Tabletext"/>
              <w:keepNext/>
              <w:keepLines/>
              <w:jc w:val="center"/>
            </w:pPr>
            <w:r w:rsidRPr="000A03FD">
              <w:rPr>
                <w:szCs w:val="20"/>
              </w:rPr>
              <w:t>-1.0</w:t>
            </w:r>
          </w:p>
        </w:tc>
        <w:tc>
          <w:tcPr>
            <w:tcW w:w="53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831E3F" w14:textId="77777777" w:rsidR="00925BA0" w:rsidRPr="000A03FD" w:rsidRDefault="00925BA0" w:rsidP="00415D4E">
            <w:pPr>
              <w:pStyle w:val="Tabletext"/>
              <w:keepNext/>
              <w:keepLines/>
              <w:jc w:val="center"/>
            </w:pPr>
            <w:r w:rsidRPr="000A03FD">
              <w:rPr>
                <w:szCs w:val="20"/>
              </w:rPr>
              <w:t>0.0</w:t>
            </w:r>
          </w:p>
        </w:tc>
        <w:tc>
          <w:tcPr>
            <w:tcW w:w="80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2C28EE" w14:textId="77777777" w:rsidR="00925BA0" w:rsidRPr="000A03FD" w:rsidRDefault="00925BA0" w:rsidP="00415D4E">
            <w:pPr>
              <w:pStyle w:val="Tabletext"/>
              <w:keepNext/>
              <w:keepLines/>
              <w:jc w:val="center"/>
            </w:pPr>
            <w:r w:rsidRPr="000A03FD">
              <w:rPr>
                <w:szCs w:val="20"/>
              </w:rPr>
              <w:t>-1.0</w:t>
            </w: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2B2EB1" w14:textId="77777777" w:rsidR="00925BA0" w:rsidRPr="000A03FD" w:rsidRDefault="00925BA0" w:rsidP="00415D4E">
            <w:pPr>
              <w:pStyle w:val="Tabletext"/>
              <w:keepNext/>
              <w:keepLines/>
              <w:jc w:val="center"/>
            </w:pPr>
            <w:r w:rsidRPr="000A03FD">
              <w:rPr>
                <w:szCs w:val="20"/>
              </w:rPr>
              <w:t>0.0</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AB1C4A" w14:textId="77777777" w:rsidR="00925BA0" w:rsidRPr="000A03FD" w:rsidRDefault="00925BA0" w:rsidP="00415D4E">
            <w:pPr>
              <w:pStyle w:val="Tabletext"/>
              <w:keepNext/>
              <w:keepLines/>
              <w:jc w:val="center"/>
            </w:pPr>
            <w:r w:rsidRPr="000A03FD">
              <w:rPr>
                <w:szCs w:val="20"/>
              </w:rPr>
              <w:t>-1.0</w:t>
            </w:r>
          </w:p>
        </w:tc>
      </w:tr>
      <w:tr w:rsidR="00133912" w:rsidRPr="000A03FD" w14:paraId="3CEFD9DD" w14:textId="77777777" w:rsidTr="00FA58DD">
        <w:trPr>
          <w:tblHeader/>
        </w:trPr>
        <w:tc>
          <w:tcPr>
            <w:tcW w:w="1098" w:type="pct"/>
            <w:tcBorders>
              <w:top w:val="single" w:sz="4" w:space="0" w:color="auto"/>
              <w:left w:val="single" w:sz="4" w:space="0" w:color="auto"/>
              <w:bottom w:val="single" w:sz="4" w:space="0" w:color="auto"/>
              <w:right w:val="single" w:sz="4" w:space="0" w:color="auto"/>
            </w:tcBorders>
          </w:tcPr>
          <w:p w14:paraId="48EB6E2D" w14:textId="77777777" w:rsidR="00925BA0" w:rsidRPr="000A03FD" w:rsidRDefault="00925BA0" w:rsidP="00415D4E">
            <w:pPr>
              <w:pStyle w:val="Tabletext"/>
              <w:keepNext/>
              <w:keepLines/>
            </w:pPr>
            <w:r w:rsidRPr="000A03FD">
              <w:rPr>
                <w:szCs w:val="20"/>
              </w:rPr>
              <w:t xml:space="preserve">p-value </w:t>
            </w:r>
            <w:r w:rsidRPr="000A03FD">
              <w:rPr>
                <w:szCs w:val="20"/>
                <w:vertAlign w:val="superscript"/>
              </w:rPr>
              <w:t>d</w:t>
            </w:r>
          </w:p>
        </w:tc>
        <w:tc>
          <w:tcPr>
            <w:tcW w:w="629" w:type="pct"/>
            <w:tcBorders>
              <w:top w:val="single" w:sz="4" w:space="0" w:color="auto"/>
              <w:left w:val="single" w:sz="4" w:space="0" w:color="auto"/>
              <w:bottom w:val="single" w:sz="4" w:space="0" w:color="auto"/>
              <w:right w:val="single" w:sz="4" w:space="0" w:color="auto"/>
            </w:tcBorders>
          </w:tcPr>
          <w:p w14:paraId="0AEE91F0" w14:textId="77777777" w:rsidR="00925BA0" w:rsidRPr="000A03FD" w:rsidRDefault="00925BA0" w:rsidP="00415D4E">
            <w:pPr>
              <w:pStyle w:val="Tabletext"/>
              <w:keepNext/>
              <w:keepLines/>
              <w:jc w:val="center"/>
              <w:rPr>
                <w:highlight w:val="cyan"/>
              </w:rPr>
            </w:pP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152A4" w14:textId="77777777" w:rsidR="00925BA0" w:rsidRPr="000A03FD" w:rsidRDefault="00925BA0" w:rsidP="00415D4E">
            <w:pPr>
              <w:pStyle w:val="Tabletext"/>
              <w:keepNext/>
              <w:keepLines/>
              <w:jc w:val="center"/>
              <w:rPr>
                <w:highlight w:val="cyan"/>
              </w:rPr>
            </w:pPr>
            <w:r w:rsidRPr="000A03FD">
              <w:rPr>
                <w:szCs w:val="20"/>
              </w:rPr>
              <w:t>&lt;0.001</w:t>
            </w:r>
          </w:p>
        </w:tc>
        <w:tc>
          <w:tcPr>
            <w:tcW w:w="530" w:type="pct"/>
            <w:tcBorders>
              <w:top w:val="single" w:sz="4" w:space="0" w:color="auto"/>
              <w:left w:val="single" w:sz="4" w:space="0" w:color="auto"/>
              <w:bottom w:val="single" w:sz="4" w:space="0" w:color="auto"/>
              <w:right w:val="single" w:sz="4" w:space="0" w:color="auto"/>
            </w:tcBorders>
            <w:vAlign w:val="center"/>
          </w:tcPr>
          <w:p w14:paraId="19AC4F19" w14:textId="77777777" w:rsidR="00925BA0" w:rsidRPr="000A03FD" w:rsidRDefault="00925BA0" w:rsidP="00415D4E">
            <w:pPr>
              <w:pStyle w:val="Tabletext"/>
              <w:keepNext/>
              <w:keepLines/>
              <w:jc w:val="center"/>
            </w:pPr>
          </w:p>
        </w:tc>
        <w:tc>
          <w:tcPr>
            <w:tcW w:w="807" w:type="pct"/>
            <w:tcBorders>
              <w:top w:val="single" w:sz="4" w:space="0" w:color="auto"/>
              <w:left w:val="single" w:sz="4" w:space="0" w:color="auto"/>
              <w:bottom w:val="single" w:sz="4" w:space="0" w:color="auto"/>
              <w:right w:val="single" w:sz="4" w:space="0" w:color="auto"/>
            </w:tcBorders>
            <w:vAlign w:val="center"/>
          </w:tcPr>
          <w:p w14:paraId="02632CC1" w14:textId="77777777" w:rsidR="00925BA0" w:rsidRPr="000A03FD" w:rsidRDefault="00925BA0" w:rsidP="00415D4E">
            <w:pPr>
              <w:pStyle w:val="Tabletext"/>
              <w:keepNext/>
              <w:keepLines/>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31B8A435" w14:textId="77777777" w:rsidR="00925BA0" w:rsidRPr="000A03FD" w:rsidRDefault="00925BA0" w:rsidP="00415D4E">
            <w:pPr>
              <w:pStyle w:val="Tabletext"/>
              <w:keepNext/>
              <w:keepLines/>
              <w:jc w:val="center"/>
            </w:pPr>
          </w:p>
        </w:tc>
        <w:tc>
          <w:tcPr>
            <w:tcW w:w="703" w:type="pct"/>
            <w:tcBorders>
              <w:top w:val="single" w:sz="4" w:space="0" w:color="auto"/>
              <w:left w:val="single" w:sz="4" w:space="0" w:color="auto"/>
              <w:bottom w:val="single" w:sz="4" w:space="0" w:color="auto"/>
              <w:right w:val="single" w:sz="4" w:space="0" w:color="auto"/>
            </w:tcBorders>
            <w:vAlign w:val="center"/>
          </w:tcPr>
          <w:p w14:paraId="138052A9" w14:textId="77777777" w:rsidR="00925BA0" w:rsidRPr="000A03FD" w:rsidRDefault="00925BA0" w:rsidP="00415D4E">
            <w:pPr>
              <w:pStyle w:val="Tabletext"/>
              <w:keepNext/>
              <w:keepLines/>
              <w:jc w:val="center"/>
            </w:pPr>
          </w:p>
        </w:tc>
      </w:tr>
      <w:tr w:rsidR="00133912" w:rsidRPr="000A03FD" w14:paraId="1DB6D1D8" w14:textId="77777777"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885BD2A" w14:textId="77777777" w:rsidR="00925BA0" w:rsidRPr="000A03FD" w:rsidRDefault="00925BA0" w:rsidP="00415D4E">
            <w:pPr>
              <w:pStyle w:val="Tabletext"/>
              <w:keepNext/>
              <w:keepLines/>
            </w:pPr>
            <w:r w:rsidRPr="000A03FD">
              <w:rPr>
                <w:b/>
                <w:bCs/>
                <w:szCs w:val="20"/>
              </w:rPr>
              <w:t>Adjusted treatment difference</w:t>
            </w:r>
          </w:p>
        </w:tc>
      </w:tr>
      <w:tr w:rsidR="00133912" w:rsidRPr="000A03FD" w14:paraId="39D3182E" w14:textId="77777777" w:rsidTr="00FA58DD">
        <w:trPr>
          <w:tblHeader/>
        </w:trPr>
        <w:tc>
          <w:tcPr>
            <w:tcW w:w="1098" w:type="pct"/>
            <w:tcBorders>
              <w:top w:val="single" w:sz="4" w:space="0" w:color="auto"/>
              <w:left w:val="single" w:sz="4" w:space="0" w:color="auto"/>
              <w:bottom w:val="single" w:sz="4" w:space="0" w:color="auto"/>
              <w:right w:val="single" w:sz="4" w:space="0" w:color="auto"/>
            </w:tcBorders>
          </w:tcPr>
          <w:p w14:paraId="099D204B" w14:textId="77777777" w:rsidR="00925BA0" w:rsidRPr="000A03FD" w:rsidRDefault="00925BA0" w:rsidP="00415D4E">
            <w:pPr>
              <w:keepNext/>
              <w:keepLines/>
              <w:jc w:val="left"/>
              <w:rPr>
                <w:rFonts w:ascii="Arial Narrow" w:hAnsi="Arial Narrow"/>
                <w:sz w:val="20"/>
                <w:szCs w:val="20"/>
              </w:rPr>
            </w:pPr>
            <w:r w:rsidRPr="000A03FD">
              <w:rPr>
                <w:rFonts w:ascii="Arial Narrow" w:hAnsi="Arial Narrow"/>
                <w:sz w:val="20"/>
                <w:szCs w:val="20"/>
              </w:rPr>
              <w:t xml:space="preserve">Difference in medians (95% CI) </w:t>
            </w:r>
            <w:r w:rsidRPr="000A03FD">
              <w:rPr>
                <w:rFonts w:ascii="Arial Narrow" w:hAnsi="Arial Narrow"/>
                <w:sz w:val="20"/>
                <w:szCs w:val="20"/>
                <w:vertAlign w:val="superscript"/>
              </w:rPr>
              <w:t>e</w:t>
            </w:r>
          </w:p>
          <w:p w14:paraId="6BEC8209" w14:textId="77777777" w:rsidR="00925BA0" w:rsidRPr="000A03FD" w:rsidRDefault="00925BA0" w:rsidP="00415D4E">
            <w:pPr>
              <w:pStyle w:val="Tabletext"/>
              <w:keepNext/>
              <w:keepLines/>
            </w:pPr>
            <w:r w:rsidRPr="000A03FD">
              <w:rPr>
                <w:szCs w:val="20"/>
              </w:rPr>
              <w:t>p-value-</w:t>
            </w:r>
          </w:p>
        </w:tc>
        <w:tc>
          <w:tcPr>
            <w:tcW w:w="629" w:type="pct"/>
            <w:tcBorders>
              <w:top w:val="single" w:sz="4" w:space="0" w:color="auto"/>
              <w:left w:val="single" w:sz="4" w:space="0" w:color="auto"/>
              <w:bottom w:val="single" w:sz="4" w:space="0" w:color="auto"/>
              <w:right w:val="single" w:sz="4" w:space="0" w:color="auto"/>
            </w:tcBorders>
          </w:tcPr>
          <w:p w14:paraId="6B457439" w14:textId="77777777" w:rsidR="00925BA0" w:rsidRPr="000A03FD" w:rsidRDefault="00925BA0" w:rsidP="00415D4E">
            <w:pPr>
              <w:pStyle w:val="Tabletext"/>
              <w:keepNext/>
              <w:keepLines/>
              <w:jc w:val="center"/>
            </w:pP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88B0B5" w14:textId="77777777" w:rsidR="00925BA0" w:rsidRPr="000A03FD" w:rsidRDefault="00925BA0" w:rsidP="00415D4E">
            <w:pPr>
              <w:keepNext/>
              <w:keepLines/>
              <w:jc w:val="center"/>
              <w:rPr>
                <w:rFonts w:ascii="Arial Narrow" w:hAnsi="Arial Narrow"/>
                <w:sz w:val="20"/>
                <w:szCs w:val="20"/>
              </w:rPr>
            </w:pPr>
            <w:r w:rsidRPr="000A03FD">
              <w:rPr>
                <w:rFonts w:ascii="Arial Narrow" w:hAnsi="Arial Narrow"/>
                <w:sz w:val="20"/>
                <w:szCs w:val="20"/>
              </w:rPr>
              <w:t>-0.73 (-1.11, -0.34)</w:t>
            </w:r>
          </w:p>
          <w:p w14:paraId="30EFEF4A" w14:textId="77777777" w:rsidR="00925BA0" w:rsidRPr="000A03FD" w:rsidRDefault="00925BA0" w:rsidP="00415D4E">
            <w:pPr>
              <w:pStyle w:val="Tabletext"/>
              <w:keepNext/>
              <w:keepLines/>
              <w:jc w:val="center"/>
            </w:pPr>
            <w:r w:rsidRPr="000A03FD">
              <w:rPr>
                <w:szCs w:val="20"/>
              </w:rPr>
              <w:t>p&lt;0·0001</w:t>
            </w:r>
          </w:p>
        </w:tc>
        <w:tc>
          <w:tcPr>
            <w:tcW w:w="530" w:type="pct"/>
            <w:tcBorders>
              <w:top w:val="single" w:sz="4" w:space="0" w:color="auto"/>
              <w:left w:val="single" w:sz="4" w:space="0" w:color="auto"/>
              <w:bottom w:val="single" w:sz="4" w:space="0" w:color="auto"/>
              <w:right w:val="single" w:sz="4" w:space="0" w:color="auto"/>
            </w:tcBorders>
            <w:vAlign w:val="center"/>
          </w:tcPr>
          <w:p w14:paraId="7FBBB40F" w14:textId="77777777" w:rsidR="00925BA0" w:rsidRPr="000A03FD" w:rsidRDefault="00925BA0" w:rsidP="00415D4E">
            <w:pPr>
              <w:pStyle w:val="Tabletext"/>
              <w:keepNext/>
              <w:keepLines/>
              <w:jc w:val="center"/>
            </w:pPr>
          </w:p>
        </w:tc>
        <w:tc>
          <w:tcPr>
            <w:tcW w:w="80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F79CE8" w14:textId="77777777" w:rsidR="00925BA0" w:rsidRPr="000A03FD" w:rsidRDefault="00925BA0" w:rsidP="00415D4E">
            <w:pPr>
              <w:keepNext/>
              <w:keepLines/>
              <w:jc w:val="center"/>
              <w:rPr>
                <w:rFonts w:ascii="Arial Narrow" w:hAnsi="Arial Narrow"/>
                <w:sz w:val="20"/>
                <w:szCs w:val="20"/>
              </w:rPr>
            </w:pPr>
            <w:r w:rsidRPr="000A03FD">
              <w:rPr>
                <w:rFonts w:ascii="Arial Narrow" w:hAnsi="Arial Narrow"/>
                <w:sz w:val="20"/>
                <w:szCs w:val="20"/>
              </w:rPr>
              <w:t>-0.80</w:t>
            </w:r>
          </w:p>
          <w:p w14:paraId="5C4B5B0D" w14:textId="77777777" w:rsidR="00925BA0" w:rsidRPr="000A03FD" w:rsidRDefault="00925BA0" w:rsidP="00415D4E">
            <w:pPr>
              <w:keepNext/>
              <w:keepLines/>
              <w:jc w:val="center"/>
              <w:rPr>
                <w:rFonts w:ascii="Arial Narrow" w:hAnsi="Arial Narrow"/>
                <w:sz w:val="20"/>
                <w:szCs w:val="20"/>
              </w:rPr>
            </w:pPr>
            <w:r w:rsidRPr="000A03FD">
              <w:rPr>
                <w:rFonts w:ascii="Arial Narrow" w:hAnsi="Arial Narrow"/>
                <w:sz w:val="20"/>
                <w:szCs w:val="20"/>
              </w:rPr>
              <w:t>(-1.44, -0.16)</w:t>
            </w:r>
          </w:p>
          <w:p w14:paraId="51F0FBB5" w14:textId="77777777" w:rsidR="00925BA0" w:rsidRPr="000A03FD" w:rsidRDefault="00925BA0" w:rsidP="00415D4E">
            <w:pPr>
              <w:pStyle w:val="Tabletext"/>
              <w:keepNext/>
              <w:keepLines/>
              <w:jc w:val="center"/>
              <w:rPr>
                <w:highlight w:val="cyan"/>
              </w:rPr>
            </w:pPr>
            <w:r w:rsidRPr="000A03FD">
              <w:rPr>
                <w:szCs w:val="20"/>
              </w:rPr>
              <w:t>p = NR</w:t>
            </w:r>
          </w:p>
        </w:tc>
        <w:tc>
          <w:tcPr>
            <w:tcW w:w="604" w:type="pct"/>
            <w:tcBorders>
              <w:top w:val="single" w:sz="4" w:space="0" w:color="auto"/>
              <w:left w:val="single" w:sz="4" w:space="0" w:color="auto"/>
              <w:bottom w:val="single" w:sz="4" w:space="0" w:color="auto"/>
              <w:right w:val="single" w:sz="4" w:space="0" w:color="auto"/>
            </w:tcBorders>
            <w:vAlign w:val="center"/>
          </w:tcPr>
          <w:p w14:paraId="24F51D81" w14:textId="77777777" w:rsidR="00925BA0" w:rsidRPr="000A03FD" w:rsidRDefault="00925BA0" w:rsidP="00415D4E">
            <w:pPr>
              <w:pStyle w:val="Tabletext"/>
              <w:keepNext/>
              <w:keepLines/>
              <w:jc w:val="center"/>
            </w:pP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79B407" w14:textId="77777777" w:rsidR="00925BA0" w:rsidRPr="000A03FD" w:rsidRDefault="00925BA0" w:rsidP="00415D4E">
            <w:pPr>
              <w:keepNext/>
              <w:keepLines/>
              <w:jc w:val="center"/>
              <w:rPr>
                <w:rFonts w:ascii="Arial Narrow" w:hAnsi="Arial Narrow"/>
                <w:sz w:val="20"/>
                <w:szCs w:val="20"/>
              </w:rPr>
            </w:pPr>
            <w:r w:rsidRPr="000A03FD">
              <w:rPr>
                <w:rFonts w:ascii="Arial Narrow" w:hAnsi="Arial Narrow"/>
                <w:sz w:val="20"/>
                <w:szCs w:val="20"/>
              </w:rPr>
              <w:t>-1.00</w:t>
            </w:r>
          </w:p>
          <w:p w14:paraId="59FC6C66" w14:textId="77777777" w:rsidR="00925BA0" w:rsidRPr="000A03FD" w:rsidRDefault="00925BA0" w:rsidP="00415D4E">
            <w:pPr>
              <w:keepNext/>
              <w:keepLines/>
              <w:jc w:val="center"/>
              <w:rPr>
                <w:rFonts w:ascii="Arial Narrow" w:hAnsi="Arial Narrow"/>
                <w:sz w:val="20"/>
                <w:szCs w:val="20"/>
              </w:rPr>
            </w:pPr>
            <w:r w:rsidRPr="000A03FD">
              <w:rPr>
                <w:rFonts w:ascii="Arial Narrow" w:hAnsi="Arial Narrow"/>
                <w:sz w:val="20"/>
                <w:szCs w:val="20"/>
              </w:rPr>
              <w:t>(-1.50, -0.50)</w:t>
            </w:r>
          </w:p>
          <w:p w14:paraId="43D7688F" w14:textId="3934968D" w:rsidR="00925BA0" w:rsidRPr="000A03FD" w:rsidRDefault="00925BA0" w:rsidP="00415D4E">
            <w:pPr>
              <w:pStyle w:val="Tabletext"/>
              <w:keepNext/>
              <w:keepLines/>
              <w:jc w:val="center"/>
            </w:pPr>
            <w:r w:rsidRPr="000A03FD">
              <w:rPr>
                <w:szCs w:val="20"/>
              </w:rPr>
              <w:t>p = NR</w:t>
            </w:r>
          </w:p>
        </w:tc>
      </w:tr>
    </w:tbl>
    <w:p w14:paraId="72537B91" w14:textId="77777777" w:rsidR="00925BA0" w:rsidRPr="000A03FD" w:rsidRDefault="00925BA0" w:rsidP="00415D4E">
      <w:pPr>
        <w:pStyle w:val="TableFooter"/>
        <w:keepNext/>
        <w:keepLines/>
      </w:pPr>
      <w:r w:rsidRPr="000A03FD">
        <w:t>Source: Table 2-20 (p76) of the resubmission</w:t>
      </w:r>
    </w:p>
    <w:p w14:paraId="07B8683C" w14:textId="77777777" w:rsidR="00925BA0" w:rsidRPr="000A03FD" w:rsidRDefault="00925BA0" w:rsidP="00415D4E">
      <w:pPr>
        <w:keepNext/>
        <w:keepLines/>
        <w:rPr>
          <w:rFonts w:ascii="Arial Narrow" w:hAnsi="Arial Narrow"/>
          <w:sz w:val="18"/>
          <w:szCs w:val="18"/>
        </w:rPr>
      </w:pPr>
      <w:r w:rsidRPr="000A03FD">
        <w:rPr>
          <w:rFonts w:ascii="Arial Narrow" w:hAnsi="Arial Narrow"/>
          <w:sz w:val="18"/>
          <w:szCs w:val="18"/>
        </w:rPr>
        <w:t>a. Participants with nasal surgery/sinuplasty prior to visit were assigned their worst observed score prior to nasal surgery/sinuplasty.</w:t>
      </w:r>
    </w:p>
    <w:p w14:paraId="48837154" w14:textId="77777777" w:rsidR="00925BA0" w:rsidRPr="000A03FD" w:rsidRDefault="00925BA0" w:rsidP="00415D4E">
      <w:pPr>
        <w:keepNext/>
        <w:keepLines/>
        <w:rPr>
          <w:rFonts w:ascii="Arial Narrow" w:hAnsi="Arial Narrow"/>
          <w:sz w:val="18"/>
          <w:szCs w:val="18"/>
        </w:rPr>
      </w:pPr>
      <w:r w:rsidRPr="000A03FD">
        <w:rPr>
          <w:rFonts w:ascii="Arial Narrow" w:hAnsi="Arial Narrow"/>
          <w:sz w:val="18"/>
          <w:szCs w:val="18"/>
        </w:rPr>
        <w:t>b. Participants with no nasal surgery/sinuplasty who withdrew from study prior to visit were assigned their worst observed score prior to study withdrawal.</w:t>
      </w:r>
    </w:p>
    <w:p w14:paraId="759F91CF" w14:textId="77777777" w:rsidR="00925BA0" w:rsidRPr="000A03FD" w:rsidRDefault="00925BA0" w:rsidP="00415D4E">
      <w:pPr>
        <w:keepNext/>
        <w:keepLines/>
        <w:rPr>
          <w:rFonts w:ascii="Arial Narrow" w:hAnsi="Arial Narrow"/>
          <w:sz w:val="18"/>
          <w:szCs w:val="18"/>
        </w:rPr>
      </w:pPr>
      <w:r w:rsidRPr="000A03FD">
        <w:rPr>
          <w:rFonts w:ascii="Arial Narrow" w:hAnsi="Arial Narrow"/>
          <w:sz w:val="18"/>
          <w:szCs w:val="18"/>
        </w:rPr>
        <w:t>c. Participants with missing visit data were assigned their worst observed score prior to the missing visit.</w:t>
      </w:r>
    </w:p>
    <w:p w14:paraId="05A99A6E" w14:textId="77777777" w:rsidR="00925BA0" w:rsidRPr="000A03FD" w:rsidRDefault="00925BA0" w:rsidP="00415D4E">
      <w:pPr>
        <w:keepNext/>
        <w:keepLines/>
        <w:rPr>
          <w:rFonts w:ascii="Arial Narrow" w:hAnsi="Arial Narrow"/>
          <w:sz w:val="18"/>
          <w:szCs w:val="18"/>
        </w:rPr>
      </w:pPr>
      <w:r w:rsidRPr="000A03FD">
        <w:rPr>
          <w:rFonts w:ascii="Arial Narrow" w:hAnsi="Arial Narrow"/>
          <w:sz w:val="18"/>
          <w:szCs w:val="18"/>
        </w:rPr>
        <w:t>d. Based on Wilcoxon rank-sum test.</w:t>
      </w:r>
    </w:p>
    <w:p w14:paraId="5696148C" w14:textId="77777777" w:rsidR="00925BA0" w:rsidRPr="000A03FD" w:rsidRDefault="00925BA0" w:rsidP="00415D4E">
      <w:pPr>
        <w:keepNext/>
        <w:keepLines/>
        <w:rPr>
          <w:rFonts w:ascii="Arial Narrow" w:hAnsi="Arial Narrow"/>
          <w:sz w:val="18"/>
          <w:szCs w:val="18"/>
        </w:rPr>
      </w:pPr>
      <w:r w:rsidRPr="000A03FD">
        <w:rPr>
          <w:rFonts w:ascii="Arial Narrow" w:hAnsi="Arial Narrow"/>
          <w:sz w:val="18"/>
          <w:szCs w:val="18"/>
        </w:rPr>
        <w:t xml:space="preserve">e. Quantile regression with covariates of treatment group, geographic region, baseline score and log(e) baseline blood eosinophil count. </w:t>
      </w:r>
    </w:p>
    <w:p w14:paraId="0FC3B8A7" w14:textId="4FD68AD0" w:rsidR="003A5A14" w:rsidRPr="000A03FD" w:rsidRDefault="00925BA0" w:rsidP="00415D4E">
      <w:pPr>
        <w:pStyle w:val="TableFooter"/>
        <w:keepNext/>
        <w:keepLines/>
      </w:pPr>
      <w:r w:rsidRPr="000A03FD">
        <w:t>BEC = blood eosinophil count; CI = confidence interval; ENP = e</w:t>
      </w:r>
      <w:r w:rsidR="00072B99" w:rsidRPr="000A03FD">
        <w:t>ndoscopic nasal polyp</w:t>
      </w:r>
    </w:p>
    <w:p w14:paraId="22C8326E" w14:textId="1EB36158" w:rsidR="003A5A14" w:rsidRDefault="003A5A14" w:rsidP="00D8040B">
      <w:pPr>
        <w:pStyle w:val="TableFooter"/>
        <w:keepNext/>
        <w:keepLines/>
        <w:rPr>
          <w:rFonts w:eastAsia="Calibri"/>
        </w:rPr>
      </w:pPr>
      <w:r w:rsidRPr="000A03FD">
        <w:rPr>
          <w:rFonts w:eastAsia="Calibri"/>
        </w:rPr>
        <w:t>Blue shaded cells indicate information presented in previous submission</w:t>
      </w:r>
    </w:p>
    <w:p w14:paraId="4F1A9DE5" w14:textId="644386C7" w:rsidR="00053156" w:rsidRDefault="00D8040B" w:rsidP="00BC517D">
      <w:pPr>
        <w:pStyle w:val="TableFooter"/>
        <w:keepNext/>
        <w:keepLines/>
        <w:spacing w:after="120"/>
        <w:rPr>
          <w:i/>
          <w:iCs/>
        </w:rPr>
      </w:pPr>
      <w:r w:rsidRPr="00D8040B">
        <w:rPr>
          <w:i/>
          <w:iCs/>
        </w:rPr>
        <w:t>Note that the results presented in Table 5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p w14:paraId="0D9673D6" w14:textId="77777777" w:rsidR="00053156" w:rsidRDefault="00053156">
      <w:pPr>
        <w:jc w:val="left"/>
        <w:rPr>
          <w:rFonts w:ascii="Arial Narrow" w:hAnsi="Arial Narrow"/>
          <w:i/>
          <w:iCs/>
          <w:sz w:val="18"/>
        </w:rPr>
      </w:pPr>
      <w:r>
        <w:rPr>
          <w:i/>
          <w:iCs/>
        </w:rPr>
        <w:br w:type="page"/>
      </w:r>
    </w:p>
    <w:p w14:paraId="6D0F492D" w14:textId="03CE2B68" w:rsidR="00F573EA" w:rsidRPr="000A03FD" w:rsidRDefault="00257F52" w:rsidP="00257F52">
      <w:pPr>
        <w:pStyle w:val="Caption"/>
        <w:rPr>
          <w:b w:val="0"/>
        </w:rPr>
      </w:pPr>
      <w:bookmarkStart w:id="39" w:name="_Ref111517972"/>
      <w:r w:rsidRPr="000A03FD">
        <w:lastRenderedPageBreak/>
        <w:t xml:space="preserve">Table </w:t>
      </w:r>
      <w:fldSimple w:instr=" SEQ Table \* ARABIC " w:fldLock="1">
        <w:r w:rsidR="00A0401C" w:rsidRPr="000A03FD">
          <w:t>6</w:t>
        </w:r>
      </w:fldSimple>
      <w:bookmarkEnd w:id="39"/>
      <w:r w:rsidR="00F573EA" w:rsidRPr="000A03FD">
        <w:t>: Analysis of change from baseline NO-VAS score during weeks 49-52</w:t>
      </w:r>
    </w:p>
    <w:tbl>
      <w:tblPr>
        <w:tblStyle w:val="TableGrid"/>
        <w:tblW w:w="5000" w:type="pct"/>
        <w:tblCellMar>
          <w:left w:w="28" w:type="dxa"/>
          <w:right w:w="28" w:type="dxa"/>
        </w:tblCellMar>
        <w:tblLook w:val="04A0" w:firstRow="1" w:lastRow="0" w:firstColumn="1" w:lastColumn="0" w:noHBand="0" w:noVBand="1"/>
      </w:tblPr>
      <w:tblGrid>
        <w:gridCol w:w="1838"/>
        <w:gridCol w:w="817"/>
        <w:gridCol w:w="1273"/>
        <w:gridCol w:w="1273"/>
        <w:gridCol w:w="1273"/>
        <w:gridCol w:w="1273"/>
        <w:gridCol w:w="1269"/>
      </w:tblGrid>
      <w:tr w:rsidR="00133912" w:rsidRPr="000A03FD" w14:paraId="74F67F3A" w14:textId="77777777" w:rsidTr="00113672">
        <w:trPr>
          <w:tblHeader/>
        </w:trPr>
        <w:tc>
          <w:tcPr>
            <w:tcW w:w="1019" w:type="pct"/>
            <w:tcBorders>
              <w:top w:val="single" w:sz="4" w:space="0" w:color="auto"/>
              <w:left w:val="single" w:sz="4" w:space="0" w:color="auto"/>
              <w:bottom w:val="single" w:sz="4" w:space="0" w:color="auto"/>
              <w:right w:val="single" w:sz="4" w:space="0" w:color="auto"/>
            </w:tcBorders>
          </w:tcPr>
          <w:p w14:paraId="7E772FEA" w14:textId="77777777" w:rsidR="00F573EA" w:rsidRPr="000A03FD" w:rsidRDefault="00F573EA" w:rsidP="00113672">
            <w:pPr>
              <w:pStyle w:val="Tabletext"/>
              <w:rPr>
                <w:b/>
              </w:rPr>
            </w:pPr>
          </w:p>
        </w:tc>
        <w:tc>
          <w:tcPr>
            <w:tcW w:w="1159" w:type="pct"/>
            <w:gridSpan w:val="2"/>
            <w:tcBorders>
              <w:top w:val="single" w:sz="4" w:space="0" w:color="auto"/>
              <w:left w:val="single" w:sz="4" w:space="0" w:color="auto"/>
              <w:bottom w:val="single" w:sz="4" w:space="0" w:color="auto"/>
              <w:right w:val="single" w:sz="4" w:space="0" w:color="auto"/>
            </w:tcBorders>
            <w:vAlign w:val="center"/>
          </w:tcPr>
          <w:p w14:paraId="3D762BDA" w14:textId="77777777" w:rsidR="00F573EA" w:rsidRPr="000A03FD" w:rsidRDefault="00F573EA" w:rsidP="00113672">
            <w:pPr>
              <w:pStyle w:val="Tabletext"/>
              <w:jc w:val="center"/>
              <w:rPr>
                <w:b/>
              </w:rPr>
            </w:pPr>
            <w:r w:rsidRPr="000A03FD">
              <w:rPr>
                <w:b/>
                <w:bCs/>
                <w:szCs w:val="20"/>
              </w:rPr>
              <w:t>ITT</w:t>
            </w:r>
          </w:p>
        </w:tc>
        <w:tc>
          <w:tcPr>
            <w:tcW w:w="1412" w:type="pct"/>
            <w:gridSpan w:val="2"/>
            <w:tcBorders>
              <w:top w:val="single" w:sz="4" w:space="0" w:color="auto"/>
              <w:left w:val="single" w:sz="4" w:space="0" w:color="auto"/>
              <w:bottom w:val="single" w:sz="4" w:space="0" w:color="auto"/>
              <w:right w:val="single" w:sz="4" w:space="0" w:color="auto"/>
            </w:tcBorders>
            <w:vAlign w:val="center"/>
          </w:tcPr>
          <w:p w14:paraId="797D302B" w14:textId="77777777" w:rsidR="00F573EA" w:rsidRPr="000A03FD" w:rsidRDefault="00F573EA" w:rsidP="00113672">
            <w:pPr>
              <w:pStyle w:val="Tabletext"/>
              <w:jc w:val="center"/>
              <w:rPr>
                <w:b/>
              </w:rPr>
            </w:pPr>
            <w:r w:rsidRPr="000A03FD">
              <w:rPr>
                <w:b/>
                <w:szCs w:val="20"/>
              </w:rPr>
              <w:t>Baseline BEC &lt; 300cells/µL</w:t>
            </w:r>
          </w:p>
        </w:tc>
        <w:tc>
          <w:tcPr>
            <w:tcW w:w="1410" w:type="pct"/>
            <w:gridSpan w:val="2"/>
            <w:tcBorders>
              <w:top w:val="single" w:sz="4" w:space="0" w:color="auto"/>
              <w:left w:val="single" w:sz="4" w:space="0" w:color="auto"/>
              <w:bottom w:val="single" w:sz="4" w:space="0" w:color="auto"/>
              <w:right w:val="single" w:sz="4" w:space="0" w:color="auto"/>
            </w:tcBorders>
            <w:vAlign w:val="center"/>
          </w:tcPr>
          <w:p w14:paraId="52ADE9FD" w14:textId="77777777" w:rsidR="00F573EA" w:rsidRPr="000A03FD" w:rsidRDefault="00F573EA" w:rsidP="00113672">
            <w:pPr>
              <w:pStyle w:val="Tabletext"/>
              <w:jc w:val="center"/>
              <w:rPr>
                <w:b/>
              </w:rPr>
            </w:pPr>
            <w:r w:rsidRPr="000A03FD">
              <w:rPr>
                <w:b/>
                <w:szCs w:val="20"/>
              </w:rPr>
              <w:t>Baseline BEC ≥300cells/µL</w:t>
            </w:r>
          </w:p>
        </w:tc>
      </w:tr>
      <w:tr w:rsidR="00133912" w:rsidRPr="000A03FD" w14:paraId="0041EF1D" w14:textId="77777777" w:rsidTr="00113672">
        <w:trPr>
          <w:tblHeader/>
        </w:trPr>
        <w:tc>
          <w:tcPr>
            <w:tcW w:w="1019" w:type="pct"/>
            <w:tcBorders>
              <w:top w:val="single" w:sz="4" w:space="0" w:color="auto"/>
              <w:left w:val="single" w:sz="4" w:space="0" w:color="auto"/>
              <w:bottom w:val="single" w:sz="4" w:space="0" w:color="auto"/>
              <w:right w:val="single" w:sz="4" w:space="0" w:color="auto"/>
            </w:tcBorders>
          </w:tcPr>
          <w:p w14:paraId="2F7BB8A0" w14:textId="77777777" w:rsidR="00F573EA" w:rsidRPr="000A03FD" w:rsidRDefault="00F573EA" w:rsidP="00113672">
            <w:pPr>
              <w:pStyle w:val="Tabletext"/>
              <w:rPr>
                <w:b/>
              </w:rPr>
            </w:pPr>
            <w:r w:rsidRPr="000A03FD">
              <w:rPr>
                <w:b/>
                <w:bCs/>
                <w:szCs w:val="20"/>
              </w:rPr>
              <w:t>Nasal Obstruction VAS Score</w:t>
            </w:r>
            <w:r w:rsidRPr="000A03FD">
              <w:rPr>
                <w:b/>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3866A2F9" w14:textId="77777777" w:rsidR="00F573EA" w:rsidRPr="000A03FD" w:rsidRDefault="00F573EA" w:rsidP="00113672">
            <w:pPr>
              <w:jc w:val="center"/>
              <w:rPr>
                <w:rFonts w:ascii="Arial Narrow" w:hAnsi="Arial Narrow"/>
                <w:b/>
                <w:bCs/>
                <w:sz w:val="20"/>
                <w:szCs w:val="20"/>
              </w:rPr>
            </w:pPr>
            <w:r w:rsidRPr="000A03FD">
              <w:rPr>
                <w:rFonts w:ascii="Arial Narrow" w:hAnsi="Arial Narrow"/>
                <w:b/>
                <w:bCs/>
                <w:sz w:val="20"/>
                <w:szCs w:val="20"/>
              </w:rPr>
              <w:t>Placebo</w:t>
            </w:r>
          </w:p>
          <w:p w14:paraId="548703EC" w14:textId="77777777" w:rsidR="00F573EA" w:rsidRPr="000A03FD" w:rsidRDefault="00F573EA" w:rsidP="00113672">
            <w:pPr>
              <w:pStyle w:val="Tabletext"/>
              <w:jc w:val="center"/>
              <w:rPr>
                <w:b/>
              </w:rPr>
            </w:pPr>
            <w:r w:rsidRPr="000A03FD">
              <w:rPr>
                <w:b/>
                <w:bCs/>
                <w:szCs w:val="20"/>
              </w:rPr>
              <w:t>(N=201)</w:t>
            </w:r>
          </w:p>
        </w:tc>
        <w:tc>
          <w:tcPr>
            <w:tcW w:w="706" w:type="pct"/>
            <w:tcBorders>
              <w:top w:val="single" w:sz="4" w:space="0" w:color="auto"/>
              <w:left w:val="single" w:sz="4" w:space="0" w:color="auto"/>
              <w:bottom w:val="single" w:sz="4" w:space="0" w:color="auto"/>
              <w:right w:val="single" w:sz="4" w:space="0" w:color="auto"/>
            </w:tcBorders>
            <w:vAlign w:val="center"/>
          </w:tcPr>
          <w:p w14:paraId="5AAE49ED" w14:textId="77777777" w:rsidR="00F573EA" w:rsidRPr="000A03FD" w:rsidRDefault="00F573EA" w:rsidP="00113672">
            <w:pPr>
              <w:pStyle w:val="Tabletext"/>
              <w:jc w:val="center"/>
              <w:rPr>
                <w:b/>
              </w:rPr>
            </w:pPr>
            <w:r w:rsidRPr="000A03FD">
              <w:rPr>
                <w:b/>
                <w:bCs/>
                <w:szCs w:val="20"/>
              </w:rPr>
              <w:t>Mepolizumab (N=206)</w:t>
            </w:r>
          </w:p>
        </w:tc>
        <w:tc>
          <w:tcPr>
            <w:tcW w:w="706" w:type="pct"/>
            <w:tcBorders>
              <w:top w:val="single" w:sz="4" w:space="0" w:color="auto"/>
              <w:left w:val="single" w:sz="4" w:space="0" w:color="auto"/>
              <w:bottom w:val="single" w:sz="4" w:space="0" w:color="auto"/>
              <w:right w:val="single" w:sz="4" w:space="0" w:color="auto"/>
            </w:tcBorders>
            <w:vAlign w:val="center"/>
          </w:tcPr>
          <w:p w14:paraId="6B56F717" w14:textId="77777777" w:rsidR="00F573EA" w:rsidRPr="000A03FD" w:rsidRDefault="00F573EA" w:rsidP="00113672">
            <w:pPr>
              <w:jc w:val="center"/>
              <w:rPr>
                <w:rFonts w:ascii="Arial Narrow" w:hAnsi="Arial Narrow"/>
                <w:b/>
                <w:sz w:val="20"/>
                <w:szCs w:val="20"/>
              </w:rPr>
            </w:pPr>
            <w:r w:rsidRPr="000A03FD">
              <w:rPr>
                <w:rFonts w:ascii="Arial Narrow" w:hAnsi="Arial Narrow"/>
                <w:b/>
                <w:sz w:val="20"/>
                <w:szCs w:val="20"/>
              </w:rPr>
              <w:t>Placebo</w:t>
            </w:r>
          </w:p>
          <w:p w14:paraId="02522013" w14:textId="77777777" w:rsidR="00F573EA" w:rsidRPr="000A03FD" w:rsidRDefault="00F573EA" w:rsidP="00113672">
            <w:pPr>
              <w:pStyle w:val="Tabletext"/>
              <w:jc w:val="center"/>
              <w:rPr>
                <w:b/>
              </w:rPr>
            </w:pPr>
            <w:r w:rsidRPr="000A03FD">
              <w:rPr>
                <w:b/>
                <w:szCs w:val="20"/>
              </w:rPr>
              <w:t>(N=62)</w:t>
            </w:r>
          </w:p>
        </w:tc>
        <w:tc>
          <w:tcPr>
            <w:tcW w:w="706" w:type="pct"/>
            <w:tcBorders>
              <w:top w:val="single" w:sz="4" w:space="0" w:color="auto"/>
              <w:left w:val="single" w:sz="4" w:space="0" w:color="auto"/>
              <w:bottom w:val="single" w:sz="4" w:space="0" w:color="auto"/>
              <w:right w:val="single" w:sz="4" w:space="0" w:color="auto"/>
            </w:tcBorders>
            <w:vAlign w:val="center"/>
          </w:tcPr>
          <w:p w14:paraId="23A52FFA" w14:textId="77777777" w:rsidR="00F573EA" w:rsidRPr="000A03FD" w:rsidRDefault="00F573EA" w:rsidP="00113672">
            <w:pPr>
              <w:pStyle w:val="Tabletext"/>
              <w:jc w:val="center"/>
              <w:rPr>
                <w:b/>
              </w:rPr>
            </w:pPr>
            <w:r w:rsidRPr="000A03FD">
              <w:rPr>
                <w:b/>
                <w:szCs w:val="20"/>
              </w:rPr>
              <w:t>Mepolizumab (N=67)</w:t>
            </w:r>
          </w:p>
        </w:tc>
        <w:tc>
          <w:tcPr>
            <w:tcW w:w="706" w:type="pct"/>
            <w:tcBorders>
              <w:top w:val="single" w:sz="4" w:space="0" w:color="auto"/>
              <w:left w:val="single" w:sz="4" w:space="0" w:color="auto"/>
              <w:bottom w:val="single" w:sz="4" w:space="0" w:color="auto"/>
              <w:right w:val="single" w:sz="4" w:space="0" w:color="auto"/>
            </w:tcBorders>
            <w:vAlign w:val="center"/>
          </w:tcPr>
          <w:p w14:paraId="132E50B5" w14:textId="77777777" w:rsidR="00F573EA" w:rsidRPr="000A03FD" w:rsidRDefault="00F573EA" w:rsidP="00113672">
            <w:pPr>
              <w:jc w:val="center"/>
              <w:rPr>
                <w:rFonts w:ascii="Arial Narrow" w:hAnsi="Arial Narrow"/>
                <w:b/>
                <w:sz w:val="20"/>
                <w:szCs w:val="20"/>
              </w:rPr>
            </w:pPr>
            <w:r w:rsidRPr="000A03FD">
              <w:rPr>
                <w:rFonts w:ascii="Arial Narrow" w:hAnsi="Arial Narrow"/>
                <w:b/>
                <w:sz w:val="20"/>
                <w:szCs w:val="20"/>
              </w:rPr>
              <w:t>Placebo</w:t>
            </w:r>
          </w:p>
          <w:p w14:paraId="72DAF3C9" w14:textId="77777777" w:rsidR="00F573EA" w:rsidRPr="000A03FD" w:rsidRDefault="00F573EA" w:rsidP="00113672">
            <w:pPr>
              <w:pStyle w:val="Tabletext"/>
              <w:jc w:val="center"/>
              <w:rPr>
                <w:b/>
              </w:rPr>
            </w:pPr>
            <w:r w:rsidRPr="000A03FD">
              <w:rPr>
                <w:b/>
                <w:szCs w:val="20"/>
              </w:rPr>
              <w:t>(N=139)</w:t>
            </w:r>
          </w:p>
        </w:tc>
        <w:tc>
          <w:tcPr>
            <w:tcW w:w="704" w:type="pct"/>
            <w:tcBorders>
              <w:top w:val="single" w:sz="4" w:space="0" w:color="auto"/>
              <w:left w:val="single" w:sz="4" w:space="0" w:color="auto"/>
              <w:bottom w:val="single" w:sz="4" w:space="0" w:color="auto"/>
              <w:right w:val="single" w:sz="4" w:space="0" w:color="auto"/>
            </w:tcBorders>
            <w:vAlign w:val="center"/>
          </w:tcPr>
          <w:p w14:paraId="54C76386" w14:textId="77777777" w:rsidR="00F573EA" w:rsidRPr="000A03FD" w:rsidRDefault="00F573EA" w:rsidP="00113672">
            <w:pPr>
              <w:pStyle w:val="Tabletext"/>
              <w:jc w:val="center"/>
              <w:rPr>
                <w:b/>
              </w:rPr>
            </w:pPr>
            <w:r w:rsidRPr="000A03FD">
              <w:rPr>
                <w:b/>
                <w:szCs w:val="20"/>
              </w:rPr>
              <w:t>Mepolizumab (N=139)</w:t>
            </w:r>
          </w:p>
        </w:tc>
      </w:tr>
      <w:tr w:rsidR="00133912" w:rsidRPr="000A03FD" w14:paraId="55A4A737" w14:textId="520E183C"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6BB9735" w14:textId="4DFF312B" w:rsidR="00F573EA" w:rsidRPr="000A03FD" w:rsidRDefault="00F573EA" w:rsidP="00113672">
            <w:pPr>
              <w:pStyle w:val="Tabletext"/>
              <w:rPr>
                <w:b/>
              </w:rPr>
            </w:pPr>
            <w:r w:rsidRPr="000A03FD">
              <w:rPr>
                <w:b/>
                <w:bCs/>
                <w:szCs w:val="20"/>
              </w:rPr>
              <w:t>Change from Baseline, n (%)</w:t>
            </w:r>
          </w:p>
        </w:tc>
      </w:tr>
      <w:tr w:rsidR="00133912" w:rsidRPr="000A03FD" w14:paraId="5125C7DB" w14:textId="7943695A" w:rsidTr="00FA58DD">
        <w:trPr>
          <w:tblHeader/>
        </w:trPr>
        <w:tc>
          <w:tcPr>
            <w:tcW w:w="1019" w:type="pct"/>
            <w:tcBorders>
              <w:top w:val="single" w:sz="4" w:space="0" w:color="auto"/>
              <w:left w:val="single" w:sz="4" w:space="0" w:color="auto"/>
              <w:bottom w:val="single" w:sz="4" w:space="0" w:color="auto"/>
              <w:right w:val="single" w:sz="4" w:space="0" w:color="auto"/>
            </w:tcBorders>
          </w:tcPr>
          <w:p w14:paraId="28AFD674" w14:textId="6E2BA1D9" w:rsidR="00F573EA" w:rsidRPr="000A03FD" w:rsidRDefault="00F573EA" w:rsidP="00113672">
            <w:pPr>
              <w:pStyle w:val="Tabletext"/>
              <w:rPr>
                <w:b/>
              </w:rPr>
            </w:pPr>
            <w:r w:rsidRPr="000A03FD">
              <w:rPr>
                <w:szCs w:val="20"/>
              </w:rPr>
              <w:t xml:space="preserve">&gt;5-point improvement </w:t>
            </w:r>
          </w:p>
        </w:tc>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C2E213" w14:textId="0F8B51EF" w:rsidR="00F573EA" w:rsidRPr="000A03FD" w:rsidRDefault="00F573EA" w:rsidP="00113672">
            <w:pPr>
              <w:pStyle w:val="Tabletext"/>
              <w:jc w:val="center"/>
              <w:rPr>
                <w:b/>
              </w:rPr>
            </w:pPr>
            <w:r w:rsidRPr="000A03FD">
              <w:rPr>
                <w:szCs w:val="20"/>
              </w:rPr>
              <w:t>46 (23)</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67ED1C" w14:textId="2D9407BE" w:rsidR="00F573EA" w:rsidRPr="000A03FD" w:rsidRDefault="00F573EA" w:rsidP="00113672">
            <w:pPr>
              <w:pStyle w:val="Tabletext"/>
              <w:jc w:val="center"/>
              <w:rPr>
                <w:b/>
              </w:rPr>
            </w:pPr>
            <w:r w:rsidRPr="000A03FD">
              <w:rPr>
                <w:szCs w:val="20"/>
              </w:rPr>
              <w:t>91 (44)</w:t>
            </w:r>
          </w:p>
        </w:tc>
        <w:tc>
          <w:tcPr>
            <w:tcW w:w="706" w:type="pct"/>
            <w:tcBorders>
              <w:top w:val="single" w:sz="4" w:space="0" w:color="auto"/>
              <w:left w:val="single" w:sz="4" w:space="0" w:color="auto"/>
              <w:bottom w:val="single" w:sz="4" w:space="0" w:color="auto"/>
              <w:right w:val="single" w:sz="4" w:space="0" w:color="auto"/>
            </w:tcBorders>
            <w:vAlign w:val="center"/>
          </w:tcPr>
          <w:p w14:paraId="3D002EE7" w14:textId="1332A325" w:rsidR="00F573EA" w:rsidRPr="000A03FD" w:rsidRDefault="00F573EA" w:rsidP="00113672">
            <w:pPr>
              <w:pStyle w:val="Tabletext"/>
              <w:jc w:val="center"/>
              <w:rPr>
                <w:b/>
              </w:rPr>
            </w:pPr>
            <w:r w:rsidRPr="000A03FD">
              <w:rPr>
                <w:szCs w:val="20"/>
              </w:rPr>
              <w:t>19 (31)</w:t>
            </w:r>
          </w:p>
        </w:tc>
        <w:tc>
          <w:tcPr>
            <w:tcW w:w="706" w:type="pct"/>
            <w:tcBorders>
              <w:top w:val="single" w:sz="4" w:space="0" w:color="auto"/>
              <w:left w:val="single" w:sz="4" w:space="0" w:color="auto"/>
              <w:bottom w:val="single" w:sz="4" w:space="0" w:color="auto"/>
              <w:right w:val="single" w:sz="4" w:space="0" w:color="auto"/>
            </w:tcBorders>
            <w:vAlign w:val="center"/>
          </w:tcPr>
          <w:p w14:paraId="4B1424B1" w14:textId="18A9891A" w:rsidR="00F573EA" w:rsidRPr="000A03FD" w:rsidRDefault="00F573EA" w:rsidP="00113672">
            <w:pPr>
              <w:pStyle w:val="Tabletext"/>
              <w:jc w:val="center"/>
              <w:rPr>
                <w:b/>
              </w:rPr>
            </w:pPr>
            <w:r w:rsidRPr="000A03FD">
              <w:rPr>
                <w:szCs w:val="20"/>
              </w:rPr>
              <w:t>29 (43)</w:t>
            </w:r>
          </w:p>
        </w:tc>
        <w:tc>
          <w:tcPr>
            <w:tcW w:w="706" w:type="pct"/>
            <w:tcBorders>
              <w:top w:val="single" w:sz="4" w:space="0" w:color="auto"/>
              <w:left w:val="single" w:sz="4" w:space="0" w:color="auto"/>
              <w:bottom w:val="single" w:sz="4" w:space="0" w:color="auto"/>
              <w:right w:val="single" w:sz="4" w:space="0" w:color="auto"/>
            </w:tcBorders>
            <w:vAlign w:val="center"/>
          </w:tcPr>
          <w:p w14:paraId="5ED06CCC" w14:textId="3AFD68F0" w:rsidR="00F573EA" w:rsidRPr="000A03FD" w:rsidRDefault="00F573EA" w:rsidP="00113672">
            <w:pPr>
              <w:pStyle w:val="Tabletext"/>
              <w:jc w:val="center"/>
              <w:rPr>
                <w:b/>
              </w:rPr>
            </w:pPr>
            <w:r w:rsidRPr="000A03FD">
              <w:rPr>
                <w:szCs w:val="20"/>
              </w:rPr>
              <w:t>27 (19)</w:t>
            </w:r>
          </w:p>
        </w:tc>
        <w:tc>
          <w:tcPr>
            <w:tcW w:w="704" w:type="pct"/>
            <w:tcBorders>
              <w:top w:val="single" w:sz="4" w:space="0" w:color="auto"/>
              <w:left w:val="single" w:sz="4" w:space="0" w:color="auto"/>
              <w:bottom w:val="single" w:sz="4" w:space="0" w:color="auto"/>
              <w:right w:val="single" w:sz="4" w:space="0" w:color="auto"/>
            </w:tcBorders>
            <w:vAlign w:val="center"/>
          </w:tcPr>
          <w:p w14:paraId="7CEAA76C" w14:textId="26AF8566" w:rsidR="00F573EA" w:rsidRPr="000A03FD" w:rsidRDefault="00F573EA" w:rsidP="00113672">
            <w:pPr>
              <w:pStyle w:val="Tabletext"/>
              <w:jc w:val="center"/>
              <w:rPr>
                <w:b/>
              </w:rPr>
            </w:pPr>
            <w:r w:rsidRPr="000A03FD">
              <w:rPr>
                <w:szCs w:val="20"/>
              </w:rPr>
              <w:t>62 (45)</w:t>
            </w:r>
          </w:p>
        </w:tc>
      </w:tr>
      <w:tr w:rsidR="00133912" w:rsidRPr="000A03FD" w14:paraId="1928B3ED" w14:textId="641B0C3E" w:rsidTr="00FA58DD">
        <w:trPr>
          <w:tblHeader/>
        </w:trPr>
        <w:tc>
          <w:tcPr>
            <w:tcW w:w="1019" w:type="pct"/>
            <w:tcBorders>
              <w:top w:val="single" w:sz="4" w:space="0" w:color="auto"/>
              <w:left w:val="single" w:sz="4" w:space="0" w:color="auto"/>
              <w:bottom w:val="single" w:sz="4" w:space="0" w:color="auto"/>
              <w:right w:val="single" w:sz="4" w:space="0" w:color="auto"/>
            </w:tcBorders>
          </w:tcPr>
          <w:p w14:paraId="3170EC82" w14:textId="2FBD9383" w:rsidR="00F573EA" w:rsidRPr="000A03FD" w:rsidRDefault="00F573EA" w:rsidP="00113672">
            <w:pPr>
              <w:pStyle w:val="Tabletext"/>
              <w:rPr>
                <w:b/>
              </w:rPr>
            </w:pPr>
            <w:r w:rsidRPr="000A03FD">
              <w:rPr>
                <w:szCs w:val="20"/>
              </w:rPr>
              <w:t xml:space="preserve">&gt;3 to 5-point improvement </w:t>
            </w:r>
          </w:p>
        </w:tc>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2E09CC" w14:textId="65A2921B" w:rsidR="00F573EA" w:rsidRPr="000A03FD" w:rsidRDefault="00F573EA" w:rsidP="00113672">
            <w:pPr>
              <w:pStyle w:val="Tabletext"/>
              <w:jc w:val="center"/>
              <w:rPr>
                <w:b/>
              </w:rPr>
            </w:pPr>
            <w:r w:rsidRPr="000A03FD">
              <w:rPr>
                <w:szCs w:val="20"/>
              </w:rPr>
              <w:t>27 (13)</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AB765" w14:textId="36AC3753" w:rsidR="00F573EA" w:rsidRPr="000A03FD" w:rsidRDefault="00F573EA" w:rsidP="00113672">
            <w:pPr>
              <w:pStyle w:val="Tabletext"/>
              <w:jc w:val="center"/>
              <w:rPr>
                <w:b/>
              </w:rPr>
            </w:pPr>
            <w:r w:rsidRPr="000A03FD">
              <w:rPr>
                <w:szCs w:val="20"/>
              </w:rPr>
              <w:t>33 (16)</w:t>
            </w:r>
          </w:p>
        </w:tc>
        <w:tc>
          <w:tcPr>
            <w:tcW w:w="706" w:type="pct"/>
            <w:tcBorders>
              <w:top w:val="single" w:sz="4" w:space="0" w:color="auto"/>
              <w:left w:val="single" w:sz="4" w:space="0" w:color="auto"/>
              <w:bottom w:val="single" w:sz="4" w:space="0" w:color="auto"/>
              <w:right w:val="single" w:sz="4" w:space="0" w:color="auto"/>
            </w:tcBorders>
            <w:vAlign w:val="center"/>
          </w:tcPr>
          <w:p w14:paraId="389A60D4" w14:textId="369D5519" w:rsidR="00F573EA" w:rsidRPr="000A03FD" w:rsidRDefault="00F573EA" w:rsidP="00113672">
            <w:pPr>
              <w:pStyle w:val="Tabletext"/>
              <w:jc w:val="center"/>
              <w:rPr>
                <w:b/>
              </w:rPr>
            </w:pPr>
            <w:r w:rsidRPr="000A03FD">
              <w:rPr>
                <w:szCs w:val="20"/>
              </w:rPr>
              <w:t>9 (15)</w:t>
            </w:r>
          </w:p>
        </w:tc>
        <w:tc>
          <w:tcPr>
            <w:tcW w:w="706" w:type="pct"/>
            <w:tcBorders>
              <w:top w:val="single" w:sz="4" w:space="0" w:color="auto"/>
              <w:left w:val="single" w:sz="4" w:space="0" w:color="auto"/>
              <w:bottom w:val="single" w:sz="4" w:space="0" w:color="auto"/>
              <w:right w:val="single" w:sz="4" w:space="0" w:color="auto"/>
            </w:tcBorders>
            <w:vAlign w:val="center"/>
          </w:tcPr>
          <w:p w14:paraId="15817544" w14:textId="4CD67F04" w:rsidR="00F573EA" w:rsidRPr="000A03FD" w:rsidRDefault="00F573EA" w:rsidP="00113672">
            <w:pPr>
              <w:pStyle w:val="Tabletext"/>
              <w:jc w:val="center"/>
              <w:rPr>
                <w:b/>
              </w:rPr>
            </w:pPr>
            <w:r w:rsidRPr="000A03FD">
              <w:rPr>
                <w:szCs w:val="20"/>
              </w:rPr>
              <w:t>13 (19)</w:t>
            </w:r>
          </w:p>
        </w:tc>
        <w:tc>
          <w:tcPr>
            <w:tcW w:w="706" w:type="pct"/>
            <w:tcBorders>
              <w:top w:val="single" w:sz="4" w:space="0" w:color="auto"/>
              <w:left w:val="single" w:sz="4" w:space="0" w:color="auto"/>
              <w:bottom w:val="single" w:sz="4" w:space="0" w:color="auto"/>
              <w:right w:val="single" w:sz="4" w:space="0" w:color="auto"/>
            </w:tcBorders>
            <w:vAlign w:val="center"/>
          </w:tcPr>
          <w:p w14:paraId="227C79C9" w14:textId="5BD39B9C" w:rsidR="00F573EA" w:rsidRPr="000A03FD" w:rsidRDefault="00F573EA" w:rsidP="00113672">
            <w:pPr>
              <w:pStyle w:val="Tabletext"/>
              <w:jc w:val="center"/>
              <w:rPr>
                <w:b/>
              </w:rPr>
            </w:pPr>
            <w:r w:rsidRPr="000A03FD">
              <w:rPr>
                <w:szCs w:val="20"/>
              </w:rPr>
              <w:t>18 (13)</w:t>
            </w:r>
          </w:p>
        </w:tc>
        <w:tc>
          <w:tcPr>
            <w:tcW w:w="704" w:type="pct"/>
            <w:tcBorders>
              <w:top w:val="single" w:sz="4" w:space="0" w:color="auto"/>
              <w:left w:val="single" w:sz="4" w:space="0" w:color="auto"/>
              <w:bottom w:val="single" w:sz="4" w:space="0" w:color="auto"/>
              <w:right w:val="single" w:sz="4" w:space="0" w:color="auto"/>
            </w:tcBorders>
            <w:vAlign w:val="center"/>
          </w:tcPr>
          <w:p w14:paraId="1C58E3D2" w14:textId="6005A3BC" w:rsidR="00F573EA" w:rsidRPr="000A03FD" w:rsidRDefault="00F573EA" w:rsidP="00113672">
            <w:pPr>
              <w:pStyle w:val="Tabletext"/>
              <w:jc w:val="center"/>
              <w:rPr>
                <w:b/>
              </w:rPr>
            </w:pPr>
            <w:r w:rsidRPr="000A03FD">
              <w:rPr>
                <w:szCs w:val="20"/>
              </w:rPr>
              <w:t>20 (14)</w:t>
            </w:r>
          </w:p>
        </w:tc>
      </w:tr>
      <w:tr w:rsidR="00133912" w:rsidRPr="000A03FD" w14:paraId="20683854" w14:textId="24EA7673" w:rsidTr="00FA58DD">
        <w:trPr>
          <w:tblHeader/>
        </w:trPr>
        <w:tc>
          <w:tcPr>
            <w:tcW w:w="1019" w:type="pct"/>
            <w:tcBorders>
              <w:top w:val="single" w:sz="4" w:space="0" w:color="auto"/>
              <w:left w:val="single" w:sz="4" w:space="0" w:color="auto"/>
              <w:bottom w:val="single" w:sz="4" w:space="0" w:color="auto"/>
              <w:right w:val="single" w:sz="4" w:space="0" w:color="auto"/>
            </w:tcBorders>
          </w:tcPr>
          <w:p w14:paraId="498B4D42" w14:textId="44C95117" w:rsidR="00F573EA" w:rsidRPr="000A03FD" w:rsidRDefault="00F573EA" w:rsidP="00113672">
            <w:pPr>
              <w:pStyle w:val="Tabletext"/>
              <w:rPr>
                <w:b/>
              </w:rPr>
            </w:pPr>
            <w:r w:rsidRPr="000A03FD">
              <w:rPr>
                <w:szCs w:val="20"/>
              </w:rPr>
              <w:t xml:space="preserve">&gt;1 to 3-point improvement </w:t>
            </w:r>
          </w:p>
        </w:tc>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1FC5BB" w14:textId="6C119140" w:rsidR="00F573EA" w:rsidRPr="000A03FD" w:rsidRDefault="00F573EA" w:rsidP="00113672">
            <w:pPr>
              <w:pStyle w:val="Tabletext"/>
              <w:jc w:val="center"/>
              <w:rPr>
                <w:b/>
              </w:rPr>
            </w:pPr>
            <w:r w:rsidRPr="000A03FD">
              <w:rPr>
                <w:szCs w:val="20"/>
              </w:rPr>
              <w:t>27 (13)</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F147DC" w14:textId="499595ED" w:rsidR="00F573EA" w:rsidRPr="000A03FD" w:rsidRDefault="00F573EA" w:rsidP="00113672">
            <w:pPr>
              <w:pStyle w:val="Tabletext"/>
              <w:jc w:val="center"/>
              <w:rPr>
                <w:b/>
              </w:rPr>
            </w:pPr>
            <w:r w:rsidRPr="000A03FD">
              <w:rPr>
                <w:szCs w:val="20"/>
              </w:rPr>
              <w:t>22 (11)</w:t>
            </w:r>
          </w:p>
        </w:tc>
        <w:tc>
          <w:tcPr>
            <w:tcW w:w="706" w:type="pct"/>
            <w:tcBorders>
              <w:top w:val="single" w:sz="4" w:space="0" w:color="auto"/>
              <w:left w:val="single" w:sz="4" w:space="0" w:color="auto"/>
              <w:bottom w:val="single" w:sz="4" w:space="0" w:color="auto"/>
              <w:right w:val="single" w:sz="4" w:space="0" w:color="auto"/>
            </w:tcBorders>
            <w:vAlign w:val="center"/>
          </w:tcPr>
          <w:p w14:paraId="0C5EB438" w14:textId="53674AFF" w:rsidR="00F573EA" w:rsidRPr="000A03FD" w:rsidRDefault="00F573EA" w:rsidP="00113672">
            <w:pPr>
              <w:pStyle w:val="Tabletext"/>
              <w:jc w:val="center"/>
              <w:rPr>
                <w:b/>
              </w:rPr>
            </w:pPr>
            <w:r w:rsidRPr="000A03FD">
              <w:rPr>
                <w:szCs w:val="20"/>
              </w:rPr>
              <w:t>10 (16)</w:t>
            </w:r>
          </w:p>
        </w:tc>
        <w:tc>
          <w:tcPr>
            <w:tcW w:w="706" w:type="pct"/>
            <w:tcBorders>
              <w:top w:val="single" w:sz="4" w:space="0" w:color="auto"/>
              <w:left w:val="single" w:sz="4" w:space="0" w:color="auto"/>
              <w:bottom w:val="single" w:sz="4" w:space="0" w:color="auto"/>
              <w:right w:val="single" w:sz="4" w:space="0" w:color="auto"/>
            </w:tcBorders>
            <w:vAlign w:val="center"/>
          </w:tcPr>
          <w:p w14:paraId="28347C6C" w14:textId="3CB50176" w:rsidR="00F573EA" w:rsidRPr="000A03FD" w:rsidRDefault="00F573EA" w:rsidP="00113672">
            <w:pPr>
              <w:pStyle w:val="Tabletext"/>
              <w:jc w:val="center"/>
              <w:rPr>
                <w:b/>
              </w:rPr>
            </w:pPr>
            <w:r w:rsidRPr="000A03FD">
              <w:rPr>
                <w:szCs w:val="20"/>
              </w:rPr>
              <w:t>5 (7)</w:t>
            </w:r>
          </w:p>
        </w:tc>
        <w:tc>
          <w:tcPr>
            <w:tcW w:w="706" w:type="pct"/>
            <w:tcBorders>
              <w:top w:val="single" w:sz="4" w:space="0" w:color="auto"/>
              <w:left w:val="single" w:sz="4" w:space="0" w:color="auto"/>
              <w:bottom w:val="single" w:sz="4" w:space="0" w:color="auto"/>
              <w:right w:val="single" w:sz="4" w:space="0" w:color="auto"/>
            </w:tcBorders>
            <w:vAlign w:val="center"/>
          </w:tcPr>
          <w:p w14:paraId="0095F7EE" w14:textId="0705EA21" w:rsidR="00F573EA" w:rsidRPr="000A03FD" w:rsidRDefault="00F573EA" w:rsidP="00113672">
            <w:pPr>
              <w:pStyle w:val="Tabletext"/>
              <w:jc w:val="center"/>
              <w:rPr>
                <w:b/>
              </w:rPr>
            </w:pPr>
            <w:r w:rsidRPr="000A03FD">
              <w:rPr>
                <w:szCs w:val="20"/>
              </w:rPr>
              <w:t>17 (12)</w:t>
            </w:r>
          </w:p>
        </w:tc>
        <w:tc>
          <w:tcPr>
            <w:tcW w:w="704" w:type="pct"/>
            <w:tcBorders>
              <w:top w:val="single" w:sz="4" w:space="0" w:color="auto"/>
              <w:left w:val="single" w:sz="4" w:space="0" w:color="auto"/>
              <w:bottom w:val="single" w:sz="4" w:space="0" w:color="auto"/>
              <w:right w:val="single" w:sz="4" w:space="0" w:color="auto"/>
            </w:tcBorders>
            <w:vAlign w:val="center"/>
          </w:tcPr>
          <w:p w14:paraId="14551DE3" w14:textId="08F3BACD" w:rsidR="00F573EA" w:rsidRPr="000A03FD" w:rsidRDefault="00F573EA" w:rsidP="00113672">
            <w:pPr>
              <w:pStyle w:val="Tabletext"/>
              <w:jc w:val="center"/>
              <w:rPr>
                <w:b/>
              </w:rPr>
            </w:pPr>
            <w:r w:rsidRPr="000A03FD">
              <w:rPr>
                <w:szCs w:val="20"/>
              </w:rPr>
              <w:t>17 (12)</w:t>
            </w:r>
          </w:p>
        </w:tc>
      </w:tr>
      <w:tr w:rsidR="00133912" w:rsidRPr="000A03FD" w14:paraId="352AA75B" w14:textId="4006921F" w:rsidTr="00FA58DD">
        <w:trPr>
          <w:tblHeader/>
        </w:trPr>
        <w:tc>
          <w:tcPr>
            <w:tcW w:w="1019" w:type="pct"/>
            <w:tcBorders>
              <w:top w:val="single" w:sz="4" w:space="0" w:color="auto"/>
              <w:left w:val="single" w:sz="4" w:space="0" w:color="auto"/>
              <w:bottom w:val="single" w:sz="4" w:space="0" w:color="auto"/>
              <w:right w:val="single" w:sz="4" w:space="0" w:color="auto"/>
            </w:tcBorders>
          </w:tcPr>
          <w:p w14:paraId="5945A998" w14:textId="0606C3E4" w:rsidR="00F573EA" w:rsidRPr="000A03FD" w:rsidRDefault="00F573EA" w:rsidP="00113672">
            <w:pPr>
              <w:pStyle w:val="Tabletext"/>
            </w:pPr>
            <w:r w:rsidRPr="000A03FD">
              <w:rPr>
                <w:szCs w:val="20"/>
              </w:rPr>
              <w:t xml:space="preserve">≤1-point improvement to ≤1-point worsening </w:t>
            </w:r>
          </w:p>
        </w:tc>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8821D1" w14:textId="2847ACC4" w:rsidR="00F573EA" w:rsidRPr="000A03FD" w:rsidRDefault="00F573EA" w:rsidP="00113672">
            <w:pPr>
              <w:pStyle w:val="Tabletext"/>
              <w:jc w:val="center"/>
            </w:pPr>
            <w:r w:rsidRPr="000A03FD">
              <w:rPr>
                <w:szCs w:val="20"/>
              </w:rPr>
              <w:t>95 (47)</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863F2B" w14:textId="194E9901" w:rsidR="00F573EA" w:rsidRPr="000A03FD" w:rsidRDefault="00F573EA" w:rsidP="00113672">
            <w:pPr>
              <w:pStyle w:val="Tabletext"/>
              <w:jc w:val="center"/>
            </w:pPr>
            <w:r w:rsidRPr="000A03FD">
              <w:rPr>
                <w:szCs w:val="20"/>
              </w:rPr>
              <w:t>57 (28)</w:t>
            </w:r>
          </w:p>
        </w:tc>
        <w:tc>
          <w:tcPr>
            <w:tcW w:w="706" w:type="pct"/>
            <w:tcBorders>
              <w:top w:val="single" w:sz="4" w:space="0" w:color="auto"/>
              <w:left w:val="single" w:sz="4" w:space="0" w:color="auto"/>
              <w:bottom w:val="single" w:sz="4" w:space="0" w:color="auto"/>
              <w:right w:val="single" w:sz="4" w:space="0" w:color="auto"/>
            </w:tcBorders>
            <w:vAlign w:val="center"/>
          </w:tcPr>
          <w:p w14:paraId="76323234" w14:textId="0951F08A" w:rsidR="00F573EA" w:rsidRPr="000A03FD" w:rsidRDefault="00F573EA" w:rsidP="00113672">
            <w:pPr>
              <w:pStyle w:val="Tabletext"/>
              <w:jc w:val="center"/>
            </w:pPr>
            <w:r w:rsidRPr="000A03FD">
              <w:rPr>
                <w:szCs w:val="20"/>
              </w:rPr>
              <w:t>21 (34)</w:t>
            </w:r>
          </w:p>
        </w:tc>
        <w:tc>
          <w:tcPr>
            <w:tcW w:w="706" w:type="pct"/>
            <w:tcBorders>
              <w:top w:val="single" w:sz="4" w:space="0" w:color="auto"/>
              <w:left w:val="single" w:sz="4" w:space="0" w:color="auto"/>
              <w:bottom w:val="single" w:sz="4" w:space="0" w:color="auto"/>
              <w:right w:val="single" w:sz="4" w:space="0" w:color="auto"/>
            </w:tcBorders>
            <w:vAlign w:val="center"/>
          </w:tcPr>
          <w:p w14:paraId="7EBCF012" w14:textId="27859C1A" w:rsidR="00F573EA" w:rsidRPr="000A03FD" w:rsidRDefault="00F573EA" w:rsidP="00113672">
            <w:pPr>
              <w:pStyle w:val="Tabletext"/>
              <w:jc w:val="center"/>
            </w:pPr>
            <w:r w:rsidRPr="000A03FD">
              <w:rPr>
                <w:szCs w:val="20"/>
              </w:rPr>
              <w:t>20 (30)</w:t>
            </w:r>
          </w:p>
        </w:tc>
        <w:tc>
          <w:tcPr>
            <w:tcW w:w="706" w:type="pct"/>
            <w:tcBorders>
              <w:top w:val="single" w:sz="4" w:space="0" w:color="auto"/>
              <w:left w:val="single" w:sz="4" w:space="0" w:color="auto"/>
              <w:bottom w:val="single" w:sz="4" w:space="0" w:color="auto"/>
              <w:right w:val="single" w:sz="4" w:space="0" w:color="auto"/>
            </w:tcBorders>
            <w:vAlign w:val="center"/>
          </w:tcPr>
          <w:p w14:paraId="3152D40F" w14:textId="4BC24D3D" w:rsidR="00F573EA" w:rsidRPr="000A03FD" w:rsidRDefault="00F573EA" w:rsidP="00113672">
            <w:pPr>
              <w:pStyle w:val="Tabletext"/>
              <w:jc w:val="center"/>
            </w:pPr>
            <w:r w:rsidRPr="000A03FD">
              <w:rPr>
                <w:szCs w:val="20"/>
              </w:rPr>
              <w:t>74 (53)</w:t>
            </w:r>
          </w:p>
        </w:tc>
        <w:tc>
          <w:tcPr>
            <w:tcW w:w="704" w:type="pct"/>
            <w:tcBorders>
              <w:top w:val="single" w:sz="4" w:space="0" w:color="auto"/>
              <w:left w:val="single" w:sz="4" w:space="0" w:color="auto"/>
              <w:bottom w:val="single" w:sz="4" w:space="0" w:color="auto"/>
              <w:right w:val="single" w:sz="4" w:space="0" w:color="auto"/>
            </w:tcBorders>
            <w:vAlign w:val="center"/>
          </w:tcPr>
          <w:p w14:paraId="519DFE1E" w14:textId="7819F50C" w:rsidR="00F573EA" w:rsidRPr="000A03FD" w:rsidRDefault="00F573EA" w:rsidP="00113672">
            <w:pPr>
              <w:pStyle w:val="Tabletext"/>
              <w:jc w:val="center"/>
            </w:pPr>
            <w:r w:rsidRPr="000A03FD">
              <w:rPr>
                <w:szCs w:val="20"/>
              </w:rPr>
              <w:t>37 (27)</w:t>
            </w:r>
          </w:p>
        </w:tc>
      </w:tr>
      <w:tr w:rsidR="00133912" w:rsidRPr="000A03FD" w14:paraId="58384C09" w14:textId="554C2F56" w:rsidTr="00FA58DD">
        <w:trPr>
          <w:tblHeader/>
        </w:trPr>
        <w:tc>
          <w:tcPr>
            <w:tcW w:w="1019" w:type="pct"/>
            <w:tcBorders>
              <w:top w:val="single" w:sz="4" w:space="0" w:color="auto"/>
              <w:left w:val="single" w:sz="4" w:space="0" w:color="auto"/>
              <w:bottom w:val="single" w:sz="4" w:space="0" w:color="auto"/>
              <w:right w:val="single" w:sz="4" w:space="0" w:color="auto"/>
            </w:tcBorders>
          </w:tcPr>
          <w:p w14:paraId="40631B76" w14:textId="172FB0FF" w:rsidR="00F573EA" w:rsidRPr="000A03FD" w:rsidRDefault="00F573EA" w:rsidP="00113672">
            <w:pPr>
              <w:pStyle w:val="Tabletext"/>
            </w:pPr>
            <w:r w:rsidRPr="000A03FD">
              <w:rPr>
                <w:szCs w:val="20"/>
              </w:rPr>
              <w:t xml:space="preserve">&gt;1-point worsening </w:t>
            </w:r>
          </w:p>
        </w:tc>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2149B2" w14:textId="48FD2A8C" w:rsidR="00F573EA" w:rsidRPr="000A03FD" w:rsidRDefault="00F573EA" w:rsidP="00113672">
            <w:pPr>
              <w:pStyle w:val="Tabletext"/>
              <w:jc w:val="center"/>
            </w:pPr>
            <w:r w:rsidRPr="000A03FD">
              <w:rPr>
                <w:szCs w:val="20"/>
              </w:rPr>
              <w:t>6 (3)</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15049C" w14:textId="07307408" w:rsidR="00F573EA" w:rsidRPr="000A03FD" w:rsidRDefault="00F573EA" w:rsidP="00113672">
            <w:pPr>
              <w:pStyle w:val="Tabletext"/>
              <w:jc w:val="center"/>
            </w:pPr>
            <w:r w:rsidRPr="000A03FD">
              <w:rPr>
                <w:szCs w:val="20"/>
              </w:rPr>
              <w:t>3 (1)</w:t>
            </w:r>
          </w:p>
        </w:tc>
        <w:tc>
          <w:tcPr>
            <w:tcW w:w="706" w:type="pct"/>
            <w:tcBorders>
              <w:top w:val="single" w:sz="4" w:space="0" w:color="auto"/>
              <w:left w:val="single" w:sz="4" w:space="0" w:color="auto"/>
              <w:bottom w:val="single" w:sz="4" w:space="0" w:color="auto"/>
              <w:right w:val="single" w:sz="4" w:space="0" w:color="auto"/>
            </w:tcBorders>
            <w:vAlign w:val="center"/>
          </w:tcPr>
          <w:p w14:paraId="165EB170" w14:textId="16DAD00A" w:rsidR="00F573EA" w:rsidRPr="000A03FD" w:rsidRDefault="00F573EA" w:rsidP="00113672">
            <w:pPr>
              <w:pStyle w:val="Tabletext"/>
              <w:jc w:val="center"/>
            </w:pPr>
            <w:r w:rsidRPr="000A03FD">
              <w:rPr>
                <w:szCs w:val="20"/>
              </w:rPr>
              <w:t>3 (5)</w:t>
            </w:r>
          </w:p>
        </w:tc>
        <w:tc>
          <w:tcPr>
            <w:tcW w:w="706" w:type="pct"/>
            <w:tcBorders>
              <w:top w:val="single" w:sz="4" w:space="0" w:color="auto"/>
              <w:left w:val="single" w:sz="4" w:space="0" w:color="auto"/>
              <w:bottom w:val="single" w:sz="4" w:space="0" w:color="auto"/>
              <w:right w:val="single" w:sz="4" w:space="0" w:color="auto"/>
            </w:tcBorders>
            <w:vAlign w:val="center"/>
          </w:tcPr>
          <w:p w14:paraId="49C9C438" w14:textId="17DD6756" w:rsidR="00F573EA" w:rsidRPr="000A03FD" w:rsidRDefault="00F573EA" w:rsidP="00113672">
            <w:pPr>
              <w:pStyle w:val="Tabletext"/>
              <w:jc w:val="center"/>
            </w:pPr>
            <w:r w:rsidRPr="000A03FD">
              <w:rPr>
                <w:szCs w:val="20"/>
              </w:rPr>
              <w:t>0</w:t>
            </w:r>
          </w:p>
        </w:tc>
        <w:tc>
          <w:tcPr>
            <w:tcW w:w="706" w:type="pct"/>
            <w:tcBorders>
              <w:top w:val="single" w:sz="4" w:space="0" w:color="auto"/>
              <w:left w:val="single" w:sz="4" w:space="0" w:color="auto"/>
              <w:bottom w:val="single" w:sz="4" w:space="0" w:color="auto"/>
              <w:right w:val="single" w:sz="4" w:space="0" w:color="auto"/>
            </w:tcBorders>
            <w:vAlign w:val="center"/>
          </w:tcPr>
          <w:p w14:paraId="5C796A77" w14:textId="636BBAB7" w:rsidR="00F573EA" w:rsidRPr="000A03FD" w:rsidRDefault="00F573EA" w:rsidP="00113672">
            <w:pPr>
              <w:pStyle w:val="Tabletext"/>
              <w:jc w:val="center"/>
            </w:pPr>
            <w:r w:rsidRPr="000A03FD">
              <w:rPr>
                <w:szCs w:val="20"/>
              </w:rPr>
              <w:t>3 (2)</w:t>
            </w:r>
          </w:p>
        </w:tc>
        <w:tc>
          <w:tcPr>
            <w:tcW w:w="704" w:type="pct"/>
            <w:tcBorders>
              <w:top w:val="single" w:sz="4" w:space="0" w:color="auto"/>
              <w:left w:val="single" w:sz="4" w:space="0" w:color="auto"/>
              <w:bottom w:val="single" w:sz="4" w:space="0" w:color="auto"/>
              <w:right w:val="single" w:sz="4" w:space="0" w:color="auto"/>
            </w:tcBorders>
            <w:vAlign w:val="center"/>
          </w:tcPr>
          <w:p w14:paraId="38F63411" w14:textId="36E6E954" w:rsidR="00F573EA" w:rsidRPr="000A03FD" w:rsidRDefault="00F573EA" w:rsidP="00113672">
            <w:pPr>
              <w:pStyle w:val="Tabletext"/>
              <w:jc w:val="center"/>
            </w:pPr>
            <w:r w:rsidRPr="000A03FD">
              <w:rPr>
                <w:szCs w:val="20"/>
              </w:rPr>
              <w:t>3 (2)</w:t>
            </w:r>
          </w:p>
        </w:tc>
      </w:tr>
      <w:tr w:rsidR="00133912" w:rsidRPr="000A03FD" w14:paraId="1714C911" w14:textId="77777777"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2C9E9A3" w14:textId="77777777" w:rsidR="00F573EA" w:rsidRPr="000A03FD" w:rsidRDefault="00F573EA" w:rsidP="00113672">
            <w:pPr>
              <w:pStyle w:val="Tabletext"/>
            </w:pPr>
            <w:r w:rsidRPr="000A03FD">
              <w:rPr>
                <w:b/>
                <w:bCs/>
                <w:szCs w:val="20"/>
              </w:rPr>
              <w:t>Analysis of change from Baseline</w:t>
            </w:r>
          </w:p>
        </w:tc>
      </w:tr>
      <w:tr w:rsidR="00133912" w:rsidRPr="000A03FD" w14:paraId="04AB24F0" w14:textId="77777777" w:rsidTr="00FA58DD">
        <w:trPr>
          <w:tblHeader/>
        </w:trPr>
        <w:tc>
          <w:tcPr>
            <w:tcW w:w="1019" w:type="pct"/>
            <w:tcBorders>
              <w:top w:val="single" w:sz="4" w:space="0" w:color="auto"/>
              <w:left w:val="single" w:sz="4" w:space="0" w:color="auto"/>
              <w:bottom w:val="single" w:sz="4" w:space="0" w:color="auto"/>
              <w:right w:val="single" w:sz="4" w:space="0" w:color="auto"/>
            </w:tcBorders>
          </w:tcPr>
          <w:p w14:paraId="13724329" w14:textId="77777777" w:rsidR="00F573EA" w:rsidRPr="000A03FD" w:rsidRDefault="00F573EA" w:rsidP="00113672">
            <w:pPr>
              <w:pStyle w:val="Tabletext"/>
            </w:pPr>
            <w:r w:rsidRPr="000A03FD">
              <w:rPr>
                <w:szCs w:val="20"/>
              </w:rPr>
              <w:t xml:space="preserve">Median change from baseline </w:t>
            </w:r>
          </w:p>
        </w:tc>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725EE" w14:textId="77777777" w:rsidR="00F573EA" w:rsidRPr="000A03FD" w:rsidRDefault="00F573EA" w:rsidP="00113672">
            <w:pPr>
              <w:pStyle w:val="Tabletext"/>
              <w:jc w:val="center"/>
            </w:pPr>
            <w:r w:rsidRPr="000A03FD">
              <w:rPr>
                <w:szCs w:val="20"/>
              </w:rPr>
              <w:t>-0.82</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C6F17A" w14:textId="77777777" w:rsidR="00F573EA" w:rsidRPr="000A03FD" w:rsidRDefault="00F573EA" w:rsidP="00113672">
            <w:pPr>
              <w:pStyle w:val="Tabletext"/>
              <w:jc w:val="center"/>
            </w:pPr>
            <w:r w:rsidRPr="000A03FD">
              <w:rPr>
                <w:szCs w:val="20"/>
              </w:rPr>
              <w:t>-4.41</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2AC33D" w14:textId="77777777" w:rsidR="00F573EA" w:rsidRPr="000A03FD" w:rsidRDefault="00F573EA" w:rsidP="00113672">
            <w:pPr>
              <w:pStyle w:val="Tabletext"/>
              <w:jc w:val="center"/>
            </w:pPr>
            <w:r w:rsidRPr="000A03FD">
              <w:rPr>
                <w:szCs w:val="20"/>
              </w:rPr>
              <w:t>-1.93</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0E6E7" w14:textId="77777777" w:rsidR="00F573EA" w:rsidRPr="000A03FD" w:rsidRDefault="00F573EA" w:rsidP="00113672">
            <w:pPr>
              <w:pStyle w:val="Tabletext"/>
              <w:jc w:val="center"/>
            </w:pPr>
            <w:r w:rsidRPr="000A03FD">
              <w:rPr>
                <w:szCs w:val="20"/>
              </w:rPr>
              <w:t>-4.32</w:t>
            </w: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F733C4" w14:textId="77777777" w:rsidR="00F573EA" w:rsidRPr="000A03FD" w:rsidRDefault="00F573EA" w:rsidP="00113672">
            <w:pPr>
              <w:pStyle w:val="Tabletext"/>
              <w:jc w:val="center"/>
            </w:pPr>
            <w:r w:rsidRPr="000A03FD">
              <w:rPr>
                <w:szCs w:val="20"/>
              </w:rPr>
              <w:t>-0.33</w:t>
            </w:r>
          </w:p>
        </w:tc>
        <w:tc>
          <w:tcPr>
            <w:tcW w:w="7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89A5D1" w14:textId="77777777" w:rsidR="00F573EA" w:rsidRPr="000A03FD" w:rsidRDefault="00F573EA" w:rsidP="00113672">
            <w:pPr>
              <w:pStyle w:val="Tabletext"/>
              <w:jc w:val="center"/>
            </w:pPr>
            <w:r w:rsidRPr="000A03FD">
              <w:rPr>
                <w:szCs w:val="20"/>
              </w:rPr>
              <w:t>-4.41</w:t>
            </w:r>
          </w:p>
        </w:tc>
      </w:tr>
      <w:tr w:rsidR="00133912" w:rsidRPr="000A03FD" w14:paraId="47E85D6A" w14:textId="77777777" w:rsidTr="00113672">
        <w:trPr>
          <w:tblHeader/>
        </w:trPr>
        <w:tc>
          <w:tcPr>
            <w:tcW w:w="1019" w:type="pct"/>
            <w:tcBorders>
              <w:top w:val="single" w:sz="4" w:space="0" w:color="auto"/>
              <w:left w:val="single" w:sz="4" w:space="0" w:color="auto"/>
              <w:bottom w:val="single" w:sz="4" w:space="0" w:color="auto"/>
              <w:right w:val="single" w:sz="4" w:space="0" w:color="auto"/>
            </w:tcBorders>
          </w:tcPr>
          <w:p w14:paraId="34B4AEC8" w14:textId="77777777" w:rsidR="00F573EA" w:rsidRPr="000A03FD" w:rsidRDefault="00F573EA" w:rsidP="00113672">
            <w:pPr>
              <w:pStyle w:val="Tabletext"/>
            </w:pPr>
            <w:r w:rsidRPr="000A03FD">
              <w:rPr>
                <w:szCs w:val="20"/>
              </w:rPr>
              <w:t xml:space="preserve">p-value </w:t>
            </w:r>
            <w:r w:rsidRPr="000A03FD">
              <w:rPr>
                <w:szCs w:val="20"/>
                <w:vertAlign w:val="superscript"/>
              </w:rPr>
              <w:t xml:space="preserve">d </w:t>
            </w:r>
          </w:p>
        </w:tc>
        <w:tc>
          <w:tcPr>
            <w:tcW w:w="453" w:type="pct"/>
            <w:tcBorders>
              <w:top w:val="single" w:sz="4" w:space="0" w:color="auto"/>
              <w:left w:val="single" w:sz="4" w:space="0" w:color="auto"/>
              <w:bottom w:val="single" w:sz="4" w:space="0" w:color="auto"/>
              <w:right w:val="single" w:sz="4" w:space="0" w:color="auto"/>
            </w:tcBorders>
            <w:vAlign w:val="center"/>
          </w:tcPr>
          <w:p w14:paraId="12A1ECDA" w14:textId="77777777" w:rsidR="00F573EA" w:rsidRPr="000A03FD" w:rsidRDefault="00F573EA" w:rsidP="00113672">
            <w:pPr>
              <w:pStyle w:val="Tabletext"/>
              <w:jc w:val="center"/>
            </w:pPr>
          </w:p>
        </w:tc>
        <w:tc>
          <w:tcPr>
            <w:tcW w:w="706" w:type="pct"/>
            <w:tcBorders>
              <w:top w:val="single" w:sz="4" w:space="0" w:color="auto"/>
              <w:left w:val="single" w:sz="4" w:space="0" w:color="auto"/>
              <w:bottom w:val="single" w:sz="4" w:space="0" w:color="auto"/>
              <w:right w:val="single" w:sz="4" w:space="0" w:color="auto"/>
            </w:tcBorders>
            <w:vAlign w:val="center"/>
          </w:tcPr>
          <w:p w14:paraId="69081187" w14:textId="77777777" w:rsidR="00F573EA" w:rsidRPr="000A03FD" w:rsidRDefault="00F573EA" w:rsidP="00113672">
            <w:pPr>
              <w:pStyle w:val="Tabletext"/>
              <w:jc w:val="center"/>
            </w:pPr>
            <w:r w:rsidRPr="000A03FD">
              <w:rPr>
                <w:szCs w:val="20"/>
              </w:rPr>
              <w:t>&lt;0.001</w:t>
            </w:r>
          </w:p>
        </w:tc>
        <w:tc>
          <w:tcPr>
            <w:tcW w:w="706" w:type="pct"/>
            <w:tcBorders>
              <w:top w:val="single" w:sz="4" w:space="0" w:color="auto"/>
              <w:left w:val="single" w:sz="4" w:space="0" w:color="auto"/>
              <w:bottom w:val="single" w:sz="4" w:space="0" w:color="auto"/>
              <w:right w:val="single" w:sz="4" w:space="0" w:color="auto"/>
            </w:tcBorders>
            <w:vAlign w:val="center"/>
          </w:tcPr>
          <w:p w14:paraId="759559EE" w14:textId="77777777" w:rsidR="00F573EA" w:rsidRPr="000A03FD" w:rsidRDefault="00F573EA" w:rsidP="00113672">
            <w:pPr>
              <w:pStyle w:val="Tabletext"/>
              <w:jc w:val="center"/>
            </w:pPr>
          </w:p>
        </w:tc>
        <w:tc>
          <w:tcPr>
            <w:tcW w:w="706" w:type="pct"/>
            <w:tcBorders>
              <w:top w:val="single" w:sz="4" w:space="0" w:color="auto"/>
              <w:left w:val="single" w:sz="4" w:space="0" w:color="auto"/>
              <w:bottom w:val="single" w:sz="4" w:space="0" w:color="auto"/>
              <w:right w:val="single" w:sz="4" w:space="0" w:color="auto"/>
            </w:tcBorders>
            <w:vAlign w:val="center"/>
          </w:tcPr>
          <w:p w14:paraId="7DA80342" w14:textId="77777777" w:rsidR="00F573EA" w:rsidRPr="000A03FD" w:rsidRDefault="00F573EA" w:rsidP="00113672">
            <w:pPr>
              <w:pStyle w:val="Tabletext"/>
              <w:jc w:val="center"/>
            </w:pPr>
            <w:r w:rsidRPr="000A03FD">
              <w:rPr>
                <w:szCs w:val="20"/>
              </w:rPr>
              <w:t>NR</w:t>
            </w:r>
          </w:p>
        </w:tc>
        <w:tc>
          <w:tcPr>
            <w:tcW w:w="706" w:type="pct"/>
            <w:tcBorders>
              <w:top w:val="single" w:sz="4" w:space="0" w:color="auto"/>
              <w:left w:val="single" w:sz="4" w:space="0" w:color="auto"/>
              <w:bottom w:val="single" w:sz="4" w:space="0" w:color="auto"/>
              <w:right w:val="single" w:sz="4" w:space="0" w:color="auto"/>
            </w:tcBorders>
            <w:vAlign w:val="center"/>
          </w:tcPr>
          <w:p w14:paraId="3191E84C" w14:textId="77777777" w:rsidR="00F573EA" w:rsidRPr="000A03FD" w:rsidRDefault="00F573EA" w:rsidP="00113672">
            <w:pPr>
              <w:pStyle w:val="Tabletext"/>
              <w:jc w:val="center"/>
            </w:pPr>
          </w:p>
        </w:tc>
        <w:tc>
          <w:tcPr>
            <w:tcW w:w="704" w:type="pct"/>
            <w:tcBorders>
              <w:top w:val="single" w:sz="4" w:space="0" w:color="auto"/>
              <w:left w:val="single" w:sz="4" w:space="0" w:color="auto"/>
              <w:bottom w:val="single" w:sz="4" w:space="0" w:color="auto"/>
              <w:right w:val="single" w:sz="4" w:space="0" w:color="auto"/>
            </w:tcBorders>
            <w:vAlign w:val="center"/>
          </w:tcPr>
          <w:p w14:paraId="4589860C" w14:textId="77777777" w:rsidR="00F573EA" w:rsidRPr="000A03FD" w:rsidRDefault="00F573EA" w:rsidP="00113672">
            <w:pPr>
              <w:pStyle w:val="Tabletext"/>
              <w:jc w:val="center"/>
            </w:pPr>
            <w:r w:rsidRPr="000A03FD">
              <w:rPr>
                <w:szCs w:val="20"/>
              </w:rPr>
              <w:t>NR</w:t>
            </w:r>
          </w:p>
        </w:tc>
      </w:tr>
      <w:tr w:rsidR="00133912" w:rsidRPr="000A03FD" w14:paraId="1E4A3079" w14:textId="77777777"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8548A4B" w14:textId="77777777" w:rsidR="00F573EA" w:rsidRPr="000A03FD" w:rsidRDefault="00F573EA" w:rsidP="00113672">
            <w:pPr>
              <w:pStyle w:val="Tabletext"/>
            </w:pPr>
            <w:r w:rsidRPr="000A03FD">
              <w:rPr>
                <w:b/>
                <w:bCs/>
                <w:szCs w:val="20"/>
              </w:rPr>
              <w:t>Adjusted treatment difference</w:t>
            </w:r>
          </w:p>
        </w:tc>
      </w:tr>
      <w:tr w:rsidR="00133912" w:rsidRPr="000A03FD" w14:paraId="3FFF2E95" w14:textId="77777777" w:rsidTr="00FA58DD">
        <w:trPr>
          <w:tblHeader/>
        </w:trPr>
        <w:tc>
          <w:tcPr>
            <w:tcW w:w="1019" w:type="pct"/>
            <w:tcBorders>
              <w:top w:val="single" w:sz="4" w:space="0" w:color="auto"/>
              <w:left w:val="single" w:sz="4" w:space="0" w:color="auto"/>
              <w:bottom w:val="single" w:sz="4" w:space="0" w:color="auto"/>
              <w:right w:val="single" w:sz="4" w:space="0" w:color="auto"/>
            </w:tcBorders>
          </w:tcPr>
          <w:p w14:paraId="1F32418A" w14:textId="77777777" w:rsidR="00F573EA" w:rsidRPr="000A03FD" w:rsidRDefault="00F573EA" w:rsidP="00113672">
            <w:pPr>
              <w:rPr>
                <w:rFonts w:ascii="Arial Narrow" w:hAnsi="Arial Narrow"/>
                <w:sz w:val="20"/>
                <w:szCs w:val="20"/>
              </w:rPr>
            </w:pPr>
            <w:r w:rsidRPr="000A03FD">
              <w:rPr>
                <w:rFonts w:ascii="Arial Narrow" w:hAnsi="Arial Narrow"/>
                <w:sz w:val="20"/>
                <w:szCs w:val="20"/>
              </w:rPr>
              <w:t>Difference in medians</w:t>
            </w:r>
          </w:p>
          <w:p w14:paraId="66090BB8" w14:textId="77777777" w:rsidR="00F573EA" w:rsidRPr="000A03FD" w:rsidRDefault="00F573EA" w:rsidP="00113672">
            <w:pPr>
              <w:rPr>
                <w:rFonts w:ascii="Arial Narrow" w:hAnsi="Arial Narrow"/>
                <w:sz w:val="20"/>
                <w:szCs w:val="20"/>
                <w:vertAlign w:val="superscript"/>
              </w:rPr>
            </w:pPr>
            <w:r w:rsidRPr="000A03FD">
              <w:rPr>
                <w:rFonts w:ascii="Arial Narrow" w:hAnsi="Arial Narrow"/>
                <w:sz w:val="20"/>
                <w:szCs w:val="20"/>
              </w:rPr>
              <w:t xml:space="preserve"> (95% CI) </w:t>
            </w:r>
            <w:r w:rsidRPr="000A03FD">
              <w:rPr>
                <w:rFonts w:ascii="Arial Narrow" w:hAnsi="Arial Narrow"/>
                <w:sz w:val="20"/>
                <w:szCs w:val="20"/>
                <w:vertAlign w:val="superscript"/>
              </w:rPr>
              <w:t xml:space="preserve">e </w:t>
            </w:r>
          </w:p>
          <w:p w14:paraId="041381B7" w14:textId="77777777" w:rsidR="00F573EA" w:rsidRPr="000A03FD" w:rsidRDefault="00F573EA" w:rsidP="00113672">
            <w:pPr>
              <w:pStyle w:val="Tabletext"/>
            </w:pPr>
            <w:r w:rsidRPr="000A03FD">
              <w:rPr>
                <w:szCs w:val="20"/>
                <w:vertAlign w:val="superscript"/>
              </w:rPr>
              <w:t xml:space="preserve"> </w:t>
            </w:r>
            <w:r w:rsidRPr="000A03FD">
              <w:rPr>
                <w:szCs w:val="20"/>
              </w:rPr>
              <w:t>p-value</w:t>
            </w:r>
          </w:p>
        </w:tc>
        <w:tc>
          <w:tcPr>
            <w:tcW w:w="453" w:type="pct"/>
            <w:tcBorders>
              <w:top w:val="single" w:sz="4" w:space="0" w:color="auto"/>
              <w:left w:val="single" w:sz="4" w:space="0" w:color="auto"/>
              <w:bottom w:val="single" w:sz="4" w:space="0" w:color="auto"/>
              <w:right w:val="single" w:sz="4" w:space="0" w:color="auto"/>
            </w:tcBorders>
            <w:vAlign w:val="center"/>
          </w:tcPr>
          <w:p w14:paraId="7B640439" w14:textId="77777777" w:rsidR="00F573EA" w:rsidRPr="000A03FD" w:rsidRDefault="00F573EA" w:rsidP="00113672">
            <w:pPr>
              <w:pStyle w:val="Tabletext"/>
              <w:jc w:val="center"/>
            </w:pPr>
          </w:p>
        </w:tc>
        <w:tc>
          <w:tcPr>
            <w:tcW w:w="70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02E822" w14:textId="77777777" w:rsidR="00F573EA" w:rsidRPr="000A03FD" w:rsidRDefault="00F573EA" w:rsidP="00113672">
            <w:pPr>
              <w:jc w:val="center"/>
              <w:rPr>
                <w:rFonts w:ascii="Arial Narrow" w:hAnsi="Arial Narrow"/>
                <w:sz w:val="20"/>
                <w:szCs w:val="20"/>
              </w:rPr>
            </w:pPr>
            <w:r w:rsidRPr="000A03FD">
              <w:rPr>
                <w:rFonts w:ascii="Arial Narrow" w:hAnsi="Arial Narrow"/>
                <w:sz w:val="20"/>
                <w:szCs w:val="20"/>
              </w:rPr>
              <w:t>-3.14</w:t>
            </w:r>
          </w:p>
          <w:p w14:paraId="559029B5" w14:textId="77777777" w:rsidR="00F573EA" w:rsidRPr="000A03FD" w:rsidRDefault="00F573EA" w:rsidP="00113672">
            <w:pPr>
              <w:jc w:val="center"/>
              <w:rPr>
                <w:rFonts w:ascii="Arial Narrow" w:hAnsi="Arial Narrow"/>
                <w:sz w:val="20"/>
                <w:szCs w:val="20"/>
              </w:rPr>
            </w:pPr>
            <w:r w:rsidRPr="000A03FD">
              <w:rPr>
                <w:rFonts w:ascii="Arial Narrow" w:hAnsi="Arial Narrow"/>
                <w:sz w:val="20"/>
                <w:szCs w:val="20"/>
              </w:rPr>
              <w:t>(-4.09, -2.18)</w:t>
            </w:r>
          </w:p>
          <w:p w14:paraId="169CD7ED" w14:textId="77777777" w:rsidR="00F573EA" w:rsidRPr="000A03FD" w:rsidRDefault="00F573EA" w:rsidP="00113672">
            <w:pPr>
              <w:pStyle w:val="Tabletext"/>
              <w:jc w:val="center"/>
            </w:pPr>
            <w:r w:rsidRPr="000A03FD">
              <w:rPr>
                <w:szCs w:val="20"/>
              </w:rPr>
              <w:t>p&lt;0·0001</w:t>
            </w:r>
          </w:p>
        </w:tc>
        <w:tc>
          <w:tcPr>
            <w:tcW w:w="706" w:type="pct"/>
            <w:tcBorders>
              <w:top w:val="single" w:sz="4" w:space="0" w:color="auto"/>
              <w:left w:val="single" w:sz="4" w:space="0" w:color="auto"/>
              <w:bottom w:val="single" w:sz="4" w:space="0" w:color="auto"/>
              <w:right w:val="single" w:sz="4" w:space="0" w:color="auto"/>
            </w:tcBorders>
            <w:vAlign w:val="center"/>
          </w:tcPr>
          <w:p w14:paraId="1A146A67" w14:textId="77777777" w:rsidR="00F573EA" w:rsidRPr="000A03FD" w:rsidRDefault="00F573EA" w:rsidP="00113672">
            <w:pPr>
              <w:pStyle w:val="Tabletext"/>
              <w:jc w:val="center"/>
            </w:pPr>
          </w:p>
        </w:tc>
        <w:tc>
          <w:tcPr>
            <w:tcW w:w="70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42B9F3" w14:textId="77777777" w:rsidR="00F573EA" w:rsidRPr="000A03FD" w:rsidRDefault="00F573EA" w:rsidP="00113672">
            <w:pPr>
              <w:jc w:val="center"/>
              <w:rPr>
                <w:rFonts w:ascii="Arial Narrow" w:hAnsi="Arial Narrow"/>
                <w:sz w:val="20"/>
                <w:szCs w:val="20"/>
              </w:rPr>
            </w:pPr>
            <w:r w:rsidRPr="000A03FD">
              <w:rPr>
                <w:rFonts w:ascii="Arial Narrow" w:hAnsi="Arial Narrow"/>
                <w:sz w:val="20"/>
                <w:szCs w:val="20"/>
              </w:rPr>
              <w:t>-2.10</w:t>
            </w:r>
          </w:p>
          <w:p w14:paraId="46E47286" w14:textId="77777777" w:rsidR="00F573EA" w:rsidRPr="000A03FD" w:rsidRDefault="00F573EA" w:rsidP="00113672">
            <w:pPr>
              <w:jc w:val="center"/>
              <w:rPr>
                <w:rFonts w:ascii="Arial Narrow" w:hAnsi="Arial Narrow"/>
                <w:sz w:val="20"/>
                <w:szCs w:val="20"/>
              </w:rPr>
            </w:pPr>
            <w:r w:rsidRPr="000A03FD">
              <w:rPr>
                <w:rFonts w:ascii="Arial Narrow" w:hAnsi="Arial Narrow"/>
                <w:sz w:val="20"/>
                <w:szCs w:val="20"/>
              </w:rPr>
              <w:t>(-4.12, -0.07)</w:t>
            </w:r>
          </w:p>
          <w:p w14:paraId="450A50F3" w14:textId="77777777" w:rsidR="00F573EA" w:rsidRPr="000A03FD" w:rsidRDefault="00F573EA" w:rsidP="00113672">
            <w:pPr>
              <w:pStyle w:val="Tabletext"/>
              <w:jc w:val="center"/>
            </w:pPr>
            <w:r w:rsidRPr="000A03FD">
              <w:rPr>
                <w:szCs w:val="20"/>
              </w:rPr>
              <w:t>NR</w:t>
            </w:r>
          </w:p>
        </w:tc>
        <w:tc>
          <w:tcPr>
            <w:tcW w:w="706" w:type="pct"/>
            <w:tcBorders>
              <w:top w:val="single" w:sz="4" w:space="0" w:color="auto"/>
              <w:left w:val="single" w:sz="4" w:space="0" w:color="auto"/>
              <w:bottom w:val="single" w:sz="4" w:space="0" w:color="auto"/>
              <w:right w:val="single" w:sz="4" w:space="0" w:color="auto"/>
            </w:tcBorders>
            <w:vAlign w:val="center"/>
          </w:tcPr>
          <w:p w14:paraId="37D0650D" w14:textId="77777777" w:rsidR="00F573EA" w:rsidRPr="000A03FD" w:rsidRDefault="00F573EA" w:rsidP="00113672">
            <w:pPr>
              <w:pStyle w:val="Tabletext"/>
              <w:jc w:val="center"/>
            </w:pPr>
          </w:p>
        </w:tc>
        <w:tc>
          <w:tcPr>
            <w:tcW w:w="7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C17758" w14:textId="77777777" w:rsidR="00F573EA" w:rsidRPr="000A03FD" w:rsidRDefault="00F573EA" w:rsidP="00113672">
            <w:pPr>
              <w:jc w:val="center"/>
              <w:rPr>
                <w:rFonts w:ascii="Arial Narrow" w:hAnsi="Arial Narrow"/>
                <w:sz w:val="20"/>
                <w:szCs w:val="20"/>
              </w:rPr>
            </w:pPr>
            <w:r w:rsidRPr="000A03FD">
              <w:rPr>
                <w:rFonts w:ascii="Arial Narrow" w:hAnsi="Arial Narrow"/>
                <w:sz w:val="20"/>
                <w:szCs w:val="20"/>
              </w:rPr>
              <w:t>-3.71</w:t>
            </w:r>
          </w:p>
          <w:p w14:paraId="290C39B8" w14:textId="77777777" w:rsidR="00F573EA" w:rsidRPr="000A03FD" w:rsidRDefault="00F573EA" w:rsidP="00113672">
            <w:pPr>
              <w:jc w:val="center"/>
              <w:rPr>
                <w:rFonts w:ascii="Arial Narrow" w:hAnsi="Arial Narrow"/>
                <w:sz w:val="20"/>
                <w:szCs w:val="20"/>
              </w:rPr>
            </w:pPr>
            <w:r w:rsidRPr="000A03FD">
              <w:rPr>
                <w:rFonts w:ascii="Arial Narrow" w:hAnsi="Arial Narrow"/>
                <w:sz w:val="20"/>
                <w:szCs w:val="20"/>
              </w:rPr>
              <w:t>-4.79, -2.62</w:t>
            </w:r>
          </w:p>
          <w:p w14:paraId="550F1E03" w14:textId="77777777" w:rsidR="00F573EA" w:rsidRPr="000A03FD" w:rsidRDefault="00F573EA" w:rsidP="00113672">
            <w:pPr>
              <w:pStyle w:val="Tabletext"/>
              <w:jc w:val="center"/>
            </w:pPr>
            <w:r w:rsidRPr="000A03FD">
              <w:rPr>
                <w:szCs w:val="20"/>
              </w:rPr>
              <w:t>NR</w:t>
            </w:r>
          </w:p>
        </w:tc>
      </w:tr>
    </w:tbl>
    <w:p w14:paraId="3BAAEDA2" w14:textId="77777777" w:rsidR="00F573EA" w:rsidRPr="000A03FD" w:rsidRDefault="00F573EA" w:rsidP="00F573EA">
      <w:pPr>
        <w:pStyle w:val="TableFooter"/>
      </w:pPr>
      <w:r w:rsidRPr="000A03FD">
        <w:t>Source: Table 2-23 (p73) of the resubmission</w:t>
      </w:r>
    </w:p>
    <w:p w14:paraId="276B4216" w14:textId="77777777" w:rsidR="00F573EA" w:rsidRPr="000A03FD" w:rsidRDefault="00F573EA" w:rsidP="00F573EA">
      <w:pPr>
        <w:rPr>
          <w:rFonts w:ascii="Arial Narrow" w:hAnsi="Arial Narrow"/>
          <w:sz w:val="18"/>
          <w:szCs w:val="18"/>
        </w:rPr>
      </w:pPr>
      <w:r w:rsidRPr="000A03FD">
        <w:rPr>
          <w:rFonts w:ascii="Arial Narrow" w:hAnsi="Arial Narrow"/>
          <w:sz w:val="18"/>
          <w:szCs w:val="18"/>
        </w:rPr>
        <w:t>a. Participants with nasal surgery/sinuplasty prior to time period were assigned their worst observed score prior to nasal surgery/sinuplasty.</w:t>
      </w:r>
    </w:p>
    <w:p w14:paraId="58D2FE7D" w14:textId="77777777" w:rsidR="00F573EA" w:rsidRPr="000A03FD" w:rsidRDefault="00F573EA" w:rsidP="00F573EA">
      <w:pPr>
        <w:rPr>
          <w:rFonts w:ascii="Arial Narrow" w:hAnsi="Arial Narrow"/>
          <w:sz w:val="18"/>
          <w:szCs w:val="18"/>
        </w:rPr>
      </w:pPr>
      <w:r w:rsidRPr="000A03FD">
        <w:rPr>
          <w:rFonts w:ascii="Arial Narrow" w:hAnsi="Arial Narrow"/>
          <w:sz w:val="18"/>
          <w:szCs w:val="18"/>
        </w:rPr>
        <w:t>b. Participants with no nasal surgery/sinuplasty who withdrew from study prior to time period were assigned their worst observed score prior to study withdrawal.</w:t>
      </w:r>
    </w:p>
    <w:p w14:paraId="3179D99A" w14:textId="77777777" w:rsidR="00F573EA" w:rsidRPr="000A03FD" w:rsidRDefault="00F573EA" w:rsidP="00F573EA">
      <w:pPr>
        <w:rPr>
          <w:rFonts w:ascii="Arial Narrow" w:hAnsi="Arial Narrow"/>
          <w:sz w:val="18"/>
          <w:szCs w:val="18"/>
        </w:rPr>
      </w:pPr>
      <w:r w:rsidRPr="000A03FD">
        <w:rPr>
          <w:rFonts w:ascii="Arial Narrow" w:hAnsi="Arial Narrow"/>
          <w:sz w:val="18"/>
          <w:szCs w:val="18"/>
        </w:rPr>
        <w:t>c. Participants with missing time period data were assigned their worst observed score prior to the missing time period.</w:t>
      </w:r>
    </w:p>
    <w:p w14:paraId="2A9DBAC5" w14:textId="77777777" w:rsidR="00F573EA" w:rsidRPr="000A03FD" w:rsidRDefault="00F573EA" w:rsidP="00F573EA">
      <w:pPr>
        <w:rPr>
          <w:rFonts w:ascii="Arial Narrow" w:hAnsi="Arial Narrow"/>
          <w:sz w:val="18"/>
          <w:szCs w:val="18"/>
        </w:rPr>
      </w:pPr>
      <w:r w:rsidRPr="000A03FD">
        <w:rPr>
          <w:rFonts w:ascii="Arial Narrow" w:hAnsi="Arial Narrow"/>
          <w:sz w:val="18"/>
          <w:szCs w:val="18"/>
        </w:rPr>
        <w:t>d. Based on Wilcoxon rank-sum test.</w:t>
      </w:r>
    </w:p>
    <w:p w14:paraId="0012D889" w14:textId="77777777" w:rsidR="00F573EA" w:rsidRPr="000A03FD" w:rsidRDefault="00F573EA" w:rsidP="00F573EA">
      <w:pPr>
        <w:rPr>
          <w:rFonts w:ascii="Arial Narrow" w:hAnsi="Arial Narrow"/>
          <w:sz w:val="18"/>
          <w:szCs w:val="18"/>
        </w:rPr>
      </w:pPr>
      <w:r w:rsidRPr="000A03FD">
        <w:rPr>
          <w:rFonts w:ascii="Arial Narrow" w:hAnsi="Arial Narrow"/>
          <w:sz w:val="18"/>
          <w:szCs w:val="18"/>
        </w:rPr>
        <w:t>e. (ITT) Quantile regression with covariates of treatment group, geographic region, baseline score and log(e) baseline blood eosinophil count.(BEC);</w:t>
      </w:r>
      <w:r w:rsidRPr="000A03FD">
        <w:t xml:space="preserve"> </w:t>
      </w:r>
      <w:r w:rsidRPr="000A03FD">
        <w:rPr>
          <w:rFonts w:ascii="Arial Narrow" w:hAnsi="Arial Narrow"/>
          <w:sz w:val="18"/>
          <w:szCs w:val="18"/>
        </w:rPr>
        <w:t xml:space="preserve">Quantile regression with covariates of treatment group, geographic region and baseline score. </w:t>
      </w:r>
    </w:p>
    <w:p w14:paraId="6E099F63" w14:textId="7EC07EEB" w:rsidR="00F573EA" w:rsidRPr="000A03FD" w:rsidRDefault="00F573EA" w:rsidP="00F573EA">
      <w:pPr>
        <w:pStyle w:val="TableFooter"/>
      </w:pPr>
      <w:r w:rsidRPr="000A03FD">
        <w:t>BEC = blood eosinophil count; CI = confidence interval; nasal obstruction visual analogue scale; SD = standard deviation; NO-VAS = nasal obstruction visual analogue score</w:t>
      </w:r>
    </w:p>
    <w:p w14:paraId="38A9E42E" w14:textId="26FE2FB8" w:rsidR="007B2C14" w:rsidRDefault="003A5A14" w:rsidP="00D8040B">
      <w:pPr>
        <w:pStyle w:val="TableFooter"/>
        <w:rPr>
          <w:rFonts w:eastAsia="Calibri"/>
        </w:rPr>
      </w:pPr>
      <w:r w:rsidRPr="000A03FD">
        <w:rPr>
          <w:rFonts w:eastAsia="Calibri"/>
        </w:rPr>
        <w:t>Blue shaded cells indicate information presented in previous submission</w:t>
      </w:r>
    </w:p>
    <w:p w14:paraId="00796144" w14:textId="7B68E4BA" w:rsidR="00D8040B" w:rsidRPr="000A03FD" w:rsidRDefault="00D8040B" w:rsidP="003A5A14">
      <w:pPr>
        <w:pStyle w:val="TableFooter"/>
        <w:spacing w:after="120"/>
      </w:pPr>
      <w:r w:rsidRPr="00D8040B">
        <w:rPr>
          <w:i/>
          <w:iCs/>
        </w:rPr>
        <w:t>Note that the results presented in Table 6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r>
        <w:rPr>
          <w:i/>
          <w:iCs/>
        </w:rPr>
        <w:t>.</w:t>
      </w:r>
    </w:p>
    <w:p w14:paraId="57913C4E" w14:textId="7AC6B6B3" w:rsidR="00545109" w:rsidRPr="000A03FD" w:rsidRDefault="00A17B08" w:rsidP="006849E6">
      <w:pPr>
        <w:pStyle w:val="3-BodyText"/>
      </w:pPr>
      <w:bookmarkStart w:id="40" w:name="_Ref119502376"/>
      <w:r w:rsidRPr="000A03FD">
        <w:rPr>
          <w:iCs/>
        </w:rPr>
        <w:t xml:space="preserve">In the BEC </w:t>
      </w:r>
      <w:r w:rsidRPr="000A03FD">
        <w:rPr>
          <w:rFonts w:cs="Calibri"/>
          <w:iCs/>
        </w:rPr>
        <w:t>≥</w:t>
      </w:r>
      <w:r w:rsidRPr="000A03FD">
        <w:rPr>
          <w:iCs/>
        </w:rPr>
        <w:t>300</w:t>
      </w:r>
      <w:r w:rsidR="00D8040B">
        <w:rPr>
          <w:iCs/>
        </w:rPr>
        <w:t> </w:t>
      </w:r>
      <w:r w:rsidRPr="000A03FD">
        <w:rPr>
          <w:iCs/>
        </w:rPr>
        <w:t>cells/</w:t>
      </w:r>
      <w:r w:rsidRPr="000A03FD">
        <w:rPr>
          <w:rFonts w:cs="Calibri"/>
          <w:iCs/>
        </w:rPr>
        <w:t>µ</w:t>
      </w:r>
      <w:r w:rsidRPr="000A03FD">
        <w:rPr>
          <w:iCs/>
        </w:rPr>
        <w:t xml:space="preserve">L </w:t>
      </w:r>
      <w:r w:rsidR="002774D1" w:rsidRPr="000A03FD">
        <w:rPr>
          <w:iCs/>
        </w:rPr>
        <w:t>subgroup</w:t>
      </w:r>
      <w:r w:rsidRPr="000A03FD">
        <w:rPr>
          <w:iCs/>
        </w:rPr>
        <w:t xml:space="preserve"> </w:t>
      </w:r>
      <w:r w:rsidRPr="000A03FD">
        <w:t xml:space="preserve">a greater proportion of </w:t>
      </w:r>
      <w:r w:rsidR="00415D4E" w:rsidRPr="000A03FD">
        <w:t xml:space="preserve">patients </w:t>
      </w:r>
      <w:r w:rsidRPr="000A03FD">
        <w:t xml:space="preserve">in the mepolizumab group than the placebo group demonstrated a ≥1-point improvement </w:t>
      </w:r>
      <w:r w:rsidR="00815D42" w:rsidRPr="000A03FD">
        <w:t xml:space="preserve">in ENP score </w:t>
      </w:r>
      <w:r w:rsidRPr="000A03FD">
        <w:t xml:space="preserve">(50% (70/139) compared with 28% (39/139), respectively). </w:t>
      </w:r>
      <w:r w:rsidR="00815D42" w:rsidRPr="000A03FD">
        <w:t>T</w:t>
      </w:r>
      <w:r w:rsidRPr="000A03FD">
        <w:t xml:space="preserve">he unadjusted difference in median change in ENP score at week 52 between patients randomised to mepolizumab and SoC in the BEC </w:t>
      </w:r>
      <w:r w:rsidRPr="000A03FD">
        <w:rPr>
          <w:rFonts w:cs="Calibri"/>
        </w:rPr>
        <w:t>≥</w:t>
      </w:r>
      <w:r w:rsidR="00D8040B" w:rsidRPr="000A03FD">
        <w:t>300</w:t>
      </w:r>
      <w:r w:rsidR="00D8040B">
        <w:t> </w:t>
      </w:r>
      <w:r w:rsidRPr="000A03FD">
        <w:t>cells/</w:t>
      </w:r>
      <w:r w:rsidRPr="000A03FD">
        <w:rPr>
          <w:rFonts w:cs="Calibri"/>
        </w:rPr>
        <w:t>µ</w:t>
      </w:r>
      <w:r w:rsidRPr="000A03FD">
        <w:t>L subgroup was -1.0 and therefore met the MCID</w:t>
      </w:r>
      <w:r w:rsidRPr="000A03FD">
        <w:rPr>
          <w:i/>
          <w:iCs/>
        </w:rPr>
        <w:t xml:space="preserve">. </w:t>
      </w:r>
      <w:r w:rsidRPr="000A03FD">
        <w:t xml:space="preserve">The resubmission reasonably considered the odds of being a responder in the mepolizumab arm of the BEC </w:t>
      </w:r>
      <w:r w:rsidRPr="000A03FD">
        <w:rPr>
          <w:rFonts w:cs="Calibri"/>
        </w:rPr>
        <w:t>≥</w:t>
      </w:r>
      <w:r w:rsidRPr="000A03FD">
        <w:t xml:space="preserve">300 </w:t>
      </w:r>
      <w:r w:rsidR="002774D1" w:rsidRPr="000A03FD">
        <w:t>subgroup</w:t>
      </w:r>
      <w:r w:rsidRPr="000A03FD">
        <w:t xml:space="preserve"> (OR 2.82; 95% CI 1.69, 4.70) was consistent with the ITT population which demonstrated statistical significance. However, as </w:t>
      </w:r>
      <w:r w:rsidR="002774D1" w:rsidRPr="000A03FD">
        <w:t>subgroup</w:t>
      </w:r>
      <w:r w:rsidRPr="000A03FD">
        <w:t xml:space="preserve"> results were not formally tested, no p-values were reported for any differences in the </w:t>
      </w:r>
      <w:r w:rsidR="002774D1" w:rsidRPr="000A03FD">
        <w:t>subgroup</w:t>
      </w:r>
      <w:r w:rsidRPr="000A03FD">
        <w:t>s and all results may be considered exploratory</w:t>
      </w:r>
      <w:r w:rsidR="00545109" w:rsidRPr="000A03FD">
        <w:t>.</w:t>
      </w:r>
      <w:r w:rsidR="006849E6" w:rsidRPr="000A03FD">
        <w:t xml:space="preserve"> </w:t>
      </w:r>
      <w:r w:rsidR="00545109" w:rsidRPr="000A03FD">
        <w:t>Comparatively, while the unadjusted difference in median change in ENP score at week 52 between patients randomised to mepolizumab and SoC in the BEC &lt;300</w:t>
      </w:r>
      <w:r w:rsidR="00D8040B">
        <w:t> </w:t>
      </w:r>
      <w:r w:rsidR="00545109" w:rsidRPr="000A03FD">
        <w:t xml:space="preserve">cells/µL subgroup was -1.0 and therefore met the MCID, the adjusted difference </w:t>
      </w:r>
      <w:r w:rsidR="00545109" w:rsidRPr="000A03FD">
        <w:lastRenderedPageBreak/>
        <w:t>of -0.80 (95%CI -1.44, 0.16) would not have met the MCID, which may support the decision to restrict use of mepolizumab in patients with BEC ≥300</w:t>
      </w:r>
      <w:r w:rsidR="00D8040B">
        <w:t> </w:t>
      </w:r>
      <w:r w:rsidR="00545109" w:rsidRPr="000A03FD">
        <w:t>cells/µL only</w:t>
      </w:r>
      <w:r w:rsidR="00BC517D">
        <w:rPr>
          <w:rStyle w:val="FootnoteReference"/>
        </w:rPr>
        <w:footnoteReference w:id="2"/>
      </w:r>
      <w:r w:rsidR="00545109" w:rsidRPr="000A03FD">
        <w:t>.</w:t>
      </w:r>
      <w:bookmarkEnd w:id="40"/>
    </w:p>
    <w:p w14:paraId="50DBB7EB" w14:textId="09F3151E" w:rsidR="008B3CCA" w:rsidRPr="000A03FD" w:rsidRDefault="00ED6226" w:rsidP="00545109">
      <w:pPr>
        <w:pStyle w:val="3-BodyText"/>
      </w:pPr>
      <w:bookmarkStart w:id="41" w:name="_Ref119502430"/>
      <w:r w:rsidRPr="000A03FD">
        <w:t xml:space="preserve">In the BEC </w:t>
      </w:r>
      <w:r w:rsidRPr="000A03FD">
        <w:rPr>
          <w:rFonts w:cs="Calibri"/>
        </w:rPr>
        <w:t>≥</w:t>
      </w:r>
      <w:r w:rsidR="00D8040B" w:rsidRPr="000A03FD">
        <w:t>300</w:t>
      </w:r>
      <w:r w:rsidR="00D8040B">
        <w:t> </w:t>
      </w:r>
      <w:r w:rsidRPr="000A03FD">
        <w:t xml:space="preserve">cells/µL </w:t>
      </w:r>
      <w:r w:rsidR="002774D1" w:rsidRPr="000A03FD">
        <w:t>subgroup</w:t>
      </w:r>
      <w:r w:rsidRPr="000A03FD">
        <w:t>, 59% (82/139) and 32% (45/139) of mepolizumab and SoC patients respectively demonstrated a &gt;3-point improvement from baseline (decrease) in their NO-VAS score, which was consistent with the ITT results.</w:t>
      </w:r>
      <w:r w:rsidR="004B6C5D" w:rsidRPr="000A03FD">
        <w:t xml:space="preserve"> The absolute median change from baseline during weeks 49-52 NO-VAS score in the BEC </w:t>
      </w:r>
      <w:r w:rsidR="004B6C5D" w:rsidRPr="000A03FD">
        <w:rPr>
          <w:rFonts w:cs="Calibri"/>
        </w:rPr>
        <w:t>≥300</w:t>
      </w:r>
      <w:r w:rsidR="00D8040B">
        <w:rPr>
          <w:rFonts w:cs="Calibri"/>
        </w:rPr>
        <w:t> </w:t>
      </w:r>
      <w:bookmarkStart w:id="42" w:name="_Hlk110847752"/>
      <w:r w:rsidR="004B6C5D" w:rsidRPr="000A03FD">
        <w:t>cells/</w:t>
      </w:r>
      <w:r w:rsidR="004B6C5D" w:rsidRPr="000A03FD">
        <w:rPr>
          <w:rFonts w:cs="Calibri"/>
        </w:rPr>
        <w:t>µ</w:t>
      </w:r>
      <w:r w:rsidR="004B6C5D" w:rsidRPr="000A03FD">
        <w:t xml:space="preserve">L </w:t>
      </w:r>
      <w:bookmarkEnd w:id="42"/>
      <w:r w:rsidR="002774D1" w:rsidRPr="000A03FD">
        <w:rPr>
          <w:rFonts w:cs="Calibri"/>
        </w:rPr>
        <w:t>subgroup</w:t>
      </w:r>
      <w:r w:rsidR="004B6C5D" w:rsidRPr="000A03FD">
        <w:t xml:space="preserve"> and randomised to mepolizumab was also -4.41, and the point estimate for the adjusted median difference between treatment arms was -3.71 (95% CI -4.79, -2.62), which met the specified MCID and was consistent with the ITT population, though no </w:t>
      </w:r>
      <w:r w:rsidR="002774D1" w:rsidRPr="000A03FD">
        <w:t>subgroup</w:t>
      </w:r>
      <w:r w:rsidR="004B6C5D" w:rsidRPr="000A03FD">
        <w:t xml:space="preserve"> results from SYNAPSE were formally tested and should be considered exploratory.</w:t>
      </w:r>
      <w:r w:rsidR="005F01E1" w:rsidRPr="000A03FD">
        <w:t xml:space="preserve"> </w:t>
      </w:r>
      <w:r w:rsidR="005F01E1" w:rsidRPr="000A03FD">
        <w:rPr>
          <w:rFonts w:cs="Calibri"/>
        </w:rPr>
        <w:t xml:space="preserve">Comparatively, </w:t>
      </w:r>
      <w:r w:rsidR="005F01E1" w:rsidRPr="000A03FD">
        <w:t xml:space="preserve">the adjusted median difference between treatment arms in the BEC </w:t>
      </w:r>
      <w:r w:rsidR="005F01E1" w:rsidRPr="000A03FD">
        <w:rPr>
          <w:rFonts w:cs="Calibri"/>
        </w:rPr>
        <w:t xml:space="preserve">&lt;300 </w:t>
      </w:r>
      <w:r w:rsidR="005F01E1" w:rsidRPr="000A03FD">
        <w:t>cells/</w:t>
      </w:r>
      <w:bookmarkStart w:id="43" w:name="_Hlk111474657"/>
      <w:r w:rsidR="005F01E1" w:rsidRPr="000A03FD">
        <w:rPr>
          <w:rFonts w:cs="Calibri"/>
        </w:rPr>
        <w:t>µ</w:t>
      </w:r>
      <w:r w:rsidR="005F01E1" w:rsidRPr="000A03FD">
        <w:t>L</w:t>
      </w:r>
      <w:bookmarkEnd w:id="43"/>
      <w:r w:rsidR="005F01E1" w:rsidRPr="000A03FD">
        <w:t xml:space="preserve"> </w:t>
      </w:r>
      <w:r w:rsidR="002774D1" w:rsidRPr="000A03FD">
        <w:rPr>
          <w:rFonts w:cs="Calibri"/>
        </w:rPr>
        <w:t>subgroup</w:t>
      </w:r>
      <w:r w:rsidR="005F01E1" w:rsidRPr="000A03FD">
        <w:t xml:space="preserve"> was -2.10 (95% CI -4.12, </w:t>
      </w:r>
      <w:r w:rsidR="00246FD8">
        <w:br/>
      </w:r>
      <w:r w:rsidR="005F01E1" w:rsidRPr="000A03FD">
        <w:t xml:space="preserve">-0.07), which did not meet the nominated MCID, which may further support the requested restriction of limiting mepolizumab use to patients with a baseline of BEC </w:t>
      </w:r>
      <w:r w:rsidR="005F01E1" w:rsidRPr="000A03FD">
        <w:rPr>
          <w:rFonts w:cs="Calibri"/>
        </w:rPr>
        <w:t>≥</w:t>
      </w:r>
      <w:r w:rsidR="00D8040B" w:rsidRPr="000A03FD">
        <w:rPr>
          <w:rFonts w:cs="Calibri"/>
        </w:rPr>
        <w:t>300</w:t>
      </w:r>
      <w:r w:rsidR="00D8040B">
        <w:rPr>
          <w:rFonts w:cs="Calibri"/>
        </w:rPr>
        <w:t> </w:t>
      </w:r>
      <w:r w:rsidR="005F01E1" w:rsidRPr="000A03FD">
        <w:t>cells/</w:t>
      </w:r>
      <w:r w:rsidR="005F01E1" w:rsidRPr="000A03FD">
        <w:rPr>
          <w:rFonts w:cs="Calibri"/>
        </w:rPr>
        <w:t>µ</w:t>
      </w:r>
      <w:r w:rsidR="005F01E1" w:rsidRPr="000A03FD">
        <w:t>L only</w:t>
      </w:r>
      <w:r w:rsidR="00BC517D">
        <w:rPr>
          <w:rStyle w:val="FootnoteReference"/>
        </w:rPr>
        <w:footnoteReference w:id="3"/>
      </w:r>
      <w:r w:rsidR="005F01E1" w:rsidRPr="000A03FD">
        <w:t>.</w:t>
      </w:r>
      <w:bookmarkEnd w:id="41"/>
    </w:p>
    <w:p w14:paraId="39524BBD" w14:textId="6C44EF8E" w:rsidR="000178C5" w:rsidRPr="000A03FD" w:rsidRDefault="000178C5" w:rsidP="000178C5">
      <w:pPr>
        <w:pStyle w:val="3-BodyText"/>
      </w:pPr>
      <w:r w:rsidRPr="000A03FD">
        <w:fldChar w:fldCharType="begin" w:fldLock="1"/>
      </w:r>
      <w:r w:rsidRPr="000A03FD">
        <w:instrText xml:space="preserve"> REF _Ref111517913 \h  \* MERGEFORMAT </w:instrText>
      </w:r>
      <w:r w:rsidRPr="000A03FD">
        <w:fldChar w:fldCharType="separate"/>
      </w:r>
      <w:r w:rsidR="00625A18" w:rsidRPr="000A03FD">
        <w:t>Table 7</w:t>
      </w:r>
      <w:r w:rsidRPr="000A03FD">
        <w:fldChar w:fldCharType="end"/>
      </w:r>
      <w:r w:rsidRPr="000A03FD">
        <w:t xml:space="preserve"> summarises the results for response defined as </w:t>
      </w:r>
      <w:r w:rsidRPr="000A03FD">
        <w:rPr>
          <w:rFonts w:cs="Calibri"/>
        </w:rPr>
        <w:t>ENP score change ≥1 OR NO-VAS score change ≥3 for the ITT and BEC subgroups in SYNAPSE. This definition of response aligned with the requested restrictions and data from the BEC ≥</w:t>
      </w:r>
      <w:r w:rsidR="00BC517D" w:rsidRPr="000A03FD">
        <w:rPr>
          <w:rFonts w:cs="Calibri"/>
        </w:rPr>
        <w:t>300</w:t>
      </w:r>
      <w:r w:rsidR="00BC517D">
        <w:rPr>
          <w:rFonts w:cs="Calibri"/>
        </w:rPr>
        <w:t> </w:t>
      </w:r>
      <w:r w:rsidRPr="000A03FD">
        <w:rPr>
          <w:rFonts w:cs="Calibri"/>
        </w:rPr>
        <w:t>cells/µL sub-group was used to inform the economic model.</w:t>
      </w:r>
    </w:p>
    <w:p w14:paraId="253069ED" w14:textId="3DFF32F0" w:rsidR="000178C5" w:rsidRPr="000A03FD" w:rsidRDefault="000178C5" w:rsidP="000178C5">
      <w:pPr>
        <w:keepNext/>
        <w:keepLines/>
        <w:rPr>
          <w:rStyle w:val="CommentReference"/>
          <w:b w:val="0"/>
        </w:rPr>
      </w:pPr>
      <w:bookmarkStart w:id="44" w:name="_Ref111517913"/>
      <w:r w:rsidRPr="000A03FD">
        <w:rPr>
          <w:rStyle w:val="CommentReference"/>
        </w:rPr>
        <w:lastRenderedPageBreak/>
        <w:t xml:space="preserve">Table </w:t>
      </w:r>
      <w:r w:rsidRPr="000A03FD">
        <w:rPr>
          <w:rStyle w:val="CommentReference"/>
        </w:rPr>
        <w:fldChar w:fldCharType="begin" w:fldLock="1"/>
      </w:r>
      <w:r w:rsidRPr="000A03FD">
        <w:rPr>
          <w:rStyle w:val="CommentReference"/>
        </w:rPr>
        <w:instrText xml:space="preserve"> SEQ Table \* ARABIC </w:instrText>
      </w:r>
      <w:r w:rsidRPr="000A03FD">
        <w:rPr>
          <w:rStyle w:val="CommentReference"/>
        </w:rPr>
        <w:fldChar w:fldCharType="separate"/>
      </w:r>
      <w:r w:rsidR="00A0401C" w:rsidRPr="000A03FD">
        <w:rPr>
          <w:rStyle w:val="CommentReference"/>
        </w:rPr>
        <w:t>7</w:t>
      </w:r>
      <w:r w:rsidRPr="000A03FD">
        <w:rPr>
          <w:rStyle w:val="CommentReference"/>
        </w:rPr>
        <w:fldChar w:fldCharType="end"/>
      </w:r>
      <w:bookmarkEnd w:id="44"/>
      <w:r w:rsidRPr="000A03FD">
        <w:rPr>
          <w:rStyle w:val="CommentReference"/>
        </w:rPr>
        <w:t>: Summary of ENP and/or NO-VAS responders in SYNAPSE (ITT and subgroups)</w:t>
      </w:r>
    </w:p>
    <w:tbl>
      <w:tblPr>
        <w:tblStyle w:val="TableGrid"/>
        <w:tblW w:w="0" w:type="auto"/>
        <w:tblLook w:val="04A0" w:firstRow="1" w:lastRow="0" w:firstColumn="1" w:lastColumn="0" w:noHBand="0" w:noVBand="1"/>
      </w:tblPr>
      <w:tblGrid>
        <w:gridCol w:w="2074"/>
        <w:gridCol w:w="1255"/>
        <w:gridCol w:w="919"/>
        <w:gridCol w:w="1276"/>
        <w:gridCol w:w="1134"/>
        <w:gridCol w:w="1275"/>
        <w:gridCol w:w="1083"/>
      </w:tblGrid>
      <w:tr w:rsidR="000178C5" w:rsidRPr="000A03FD" w14:paraId="7AC0DD56" w14:textId="77777777" w:rsidTr="00BC07C1">
        <w:trPr>
          <w:trHeight w:val="20"/>
        </w:trPr>
        <w:tc>
          <w:tcPr>
            <w:tcW w:w="2074" w:type="dxa"/>
            <w:vAlign w:val="center"/>
          </w:tcPr>
          <w:p w14:paraId="4D5C81E3" w14:textId="77777777" w:rsidR="000178C5" w:rsidRPr="000A03FD" w:rsidRDefault="000178C5" w:rsidP="00BC07C1">
            <w:pPr>
              <w:keepNext/>
              <w:keepLines/>
              <w:jc w:val="left"/>
              <w:rPr>
                <w:rFonts w:ascii="Arial Narrow" w:hAnsi="Arial Narrow"/>
                <w:i/>
                <w:sz w:val="20"/>
                <w:szCs w:val="20"/>
              </w:rPr>
            </w:pPr>
          </w:p>
        </w:tc>
        <w:tc>
          <w:tcPr>
            <w:tcW w:w="2174" w:type="dxa"/>
            <w:gridSpan w:val="2"/>
            <w:vAlign w:val="center"/>
          </w:tcPr>
          <w:p w14:paraId="70EFC4AB"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ITT</w:t>
            </w:r>
          </w:p>
        </w:tc>
        <w:tc>
          <w:tcPr>
            <w:tcW w:w="2410" w:type="dxa"/>
            <w:gridSpan w:val="2"/>
            <w:vAlign w:val="center"/>
          </w:tcPr>
          <w:p w14:paraId="3958C0D8" w14:textId="77777777" w:rsidR="000178C5" w:rsidRPr="000A03FD" w:rsidRDefault="000178C5" w:rsidP="00BC07C1">
            <w:pPr>
              <w:keepNext/>
              <w:keepLines/>
              <w:jc w:val="center"/>
              <w:rPr>
                <w:rStyle w:val="CommentReference"/>
                <w:szCs w:val="20"/>
              </w:rPr>
            </w:pPr>
            <w:r w:rsidRPr="000A03FD">
              <w:rPr>
                <w:rStyle w:val="CommentReference"/>
                <w:szCs w:val="20"/>
              </w:rPr>
              <w:t>BEC ≥ 150 cells/µL</w:t>
            </w:r>
          </w:p>
        </w:tc>
        <w:tc>
          <w:tcPr>
            <w:tcW w:w="2358" w:type="dxa"/>
            <w:gridSpan w:val="2"/>
            <w:vAlign w:val="center"/>
          </w:tcPr>
          <w:p w14:paraId="1CEAE787" w14:textId="77777777" w:rsidR="000178C5" w:rsidRPr="000A03FD" w:rsidRDefault="000178C5" w:rsidP="00BC07C1">
            <w:pPr>
              <w:keepNext/>
              <w:keepLines/>
              <w:jc w:val="center"/>
              <w:rPr>
                <w:rFonts w:ascii="Arial Narrow" w:hAnsi="Arial Narrow"/>
                <w:b/>
                <w:bCs/>
                <w:i/>
                <w:sz w:val="20"/>
                <w:szCs w:val="20"/>
              </w:rPr>
            </w:pPr>
            <w:r w:rsidRPr="000A03FD">
              <w:rPr>
                <w:rStyle w:val="CommentReference"/>
                <w:szCs w:val="20"/>
              </w:rPr>
              <w:t>BEC ≥ 300 cells/µL</w:t>
            </w:r>
          </w:p>
        </w:tc>
      </w:tr>
      <w:tr w:rsidR="000178C5" w:rsidRPr="000A03FD" w14:paraId="68AF50E9" w14:textId="77777777" w:rsidTr="00BC07C1">
        <w:trPr>
          <w:trHeight w:val="20"/>
        </w:trPr>
        <w:tc>
          <w:tcPr>
            <w:tcW w:w="2074" w:type="dxa"/>
            <w:vAlign w:val="center"/>
          </w:tcPr>
          <w:p w14:paraId="53F82E64" w14:textId="77777777" w:rsidR="000178C5" w:rsidRPr="000A03FD" w:rsidRDefault="000178C5" w:rsidP="00BC07C1">
            <w:pPr>
              <w:keepNext/>
              <w:keepLines/>
              <w:jc w:val="left"/>
              <w:rPr>
                <w:rFonts w:ascii="Arial Narrow" w:hAnsi="Arial Narrow"/>
                <w:i/>
                <w:sz w:val="20"/>
                <w:szCs w:val="20"/>
              </w:rPr>
            </w:pPr>
          </w:p>
        </w:tc>
        <w:tc>
          <w:tcPr>
            <w:tcW w:w="1255" w:type="dxa"/>
            <w:vAlign w:val="center"/>
          </w:tcPr>
          <w:p w14:paraId="73189FCC"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Mepolizumab (N=206)</w:t>
            </w:r>
          </w:p>
        </w:tc>
        <w:tc>
          <w:tcPr>
            <w:tcW w:w="919" w:type="dxa"/>
            <w:vAlign w:val="center"/>
          </w:tcPr>
          <w:p w14:paraId="12B73D6A"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Placebo (N=201)</w:t>
            </w:r>
          </w:p>
        </w:tc>
        <w:tc>
          <w:tcPr>
            <w:tcW w:w="1276" w:type="dxa"/>
            <w:vAlign w:val="center"/>
          </w:tcPr>
          <w:p w14:paraId="1ABBB8FE"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Mepolizumab (N=186)</w:t>
            </w:r>
          </w:p>
        </w:tc>
        <w:tc>
          <w:tcPr>
            <w:tcW w:w="1134" w:type="dxa"/>
            <w:vAlign w:val="center"/>
          </w:tcPr>
          <w:p w14:paraId="2EB4A591"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Placebo (N=185)</w:t>
            </w:r>
          </w:p>
        </w:tc>
        <w:tc>
          <w:tcPr>
            <w:tcW w:w="1275" w:type="dxa"/>
            <w:vAlign w:val="center"/>
          </w:tcPr>
          <w:p w14:paraId="6340757A"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Mepolizumab (N=139)</w:t>
            </w:r>
          </w:p>
        </w:tc>
        <w:tc>
          <w:tcPr>
            <w:tcW w:w="1083" w:type="dxa"/>
            <w:vAlign w:val="center"/>
          </w:tcPr>
          <w:p w14:paraId="3AE7C64D" w14:textId="77777777" w:rsidR="000178C5" w:rsidRPr="000A03FD" w:rsidRDefault="000178C5" w:rsidP="00BC07C1">
            <w:pPr>
              <w:keepNext/>
              <w:keepLines/>
              <w:jc w:val="center"/>
              <w:rPr>
                <w:rFonts w:ascii="Arial Narrow" w:hAnsi="Arial Narrow"/>
                <w:b/>
                <w:bCs/>
                <w:iCs/>
                <w:sz w:val="20"/>
                <w:szCs w:val="20"/>
              </w:rPr>
            </w:pPr>
            <w:r w:rsidRPr="000A03FD">
              <w:rPr>
                <w:rFonts w:ascii="Arial Narrow" w:hAnsi="Arial Narrow"/>
                <w:b/>
                <w:bCs/>
                <w:iCs/>
                <w:sz w:val="20"/>
                <w:szCs w:val="20"/>
              </w:rPr>
              <w:t>Placebo (N=139)</w:t>
            </w:r>
          </w:p>
        </w:tc>
      </w:tr>
      <w:tr w:rsidR="000178C5" w:rsidRPr="000A03FD" w14:paraId="0AD6C673" w14:textId="77777777" w:rsidTr="00BC07C1">
        <w:trPr>
          <w:trHeight w:val="20"/>
        </w:trPr>
        <w:tc>
          <w:tcPr>
            <w:tcW w:w="2074" w:type="dxa"/>
            <w:vAlign w:val="center"/>
          </w:tcPr>
          <w:p w14:paraId="28BFEBCA" w14:textId="77777777" w:rsidR="000178C5" w:rsidRPr="000A03FD" w:rsidRDefault="000178C5" w:rsidP="00BC07C1">
            <w:pPr>
              <w:keepNext/>
              <w:keepLines/>
              <w:jc w:val="left"/>
              <w:rPr>
                <w:rFonts w:ascii="Arial Narrow" w:hAnsi="Arial Narrow"/>
                <w:iCs/>
                <w:sz w:val="20"/>
                <w:szCs w:val="20"/>
              </w:rPr>
            </w:pPr>
            <w:r w:rsidRPr="000A03FD">
              <w:rPr>
                <w:rFonts w:ascii="Arial Narrow" w:hAnsi="Arial Narrow"/>
                <w:iCs/>
                <w:sz w:val="20"/>
                <w:szCs w:val="20"/>
              </w:rPr>
              <w:t>Total responder at Week 24, n (%)</w:t>
            </w:r>
          </w:p>
        </w:tc>
        <w:tc>
          <w:tcPr>
            <w:tcW w:w="1255" w:type="dxa"/>
            <w:shd w:val="clear" w:color="auto" w:fill="C6D9F1" w:themeFill="text2" w:themeFillTint="33"/>
            <w:vAlign w:val="center"/>
          </w:tcPr>
          <w:p w14:paraId="65C5627F"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144 (70)</w:t>
            </w:r>
          </w:p>
        </w:tc>
        <w:tc>
          <w:tcPr>
            <w:tcW w:w="919" w:type="dxa"/>
            <w:shd w:val="clear" w:color="auto" w:fill="C6D9F1" w:themeFill="text2" w:themeFillTint="33"/>
            <w:vAlign w:val="center"/>
          </w:tcPr>
          <w:p w14:paraId="6060923A"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95 (47)</w:t>
            </w:r>
          </w:p>
        </w:tc>
        <w:tc>
          <w:tcPr>
            <w:tcW w:w="1276" w:type="dxa"/>
            <w:shd w:val="clear" w:color="auto" w:fill="C6D9F1" w:themeFill="text2" w:themeFillTint="33"/>
            <w:vAlign w:val="center"/>
          </w:tcPr>
          <w:p w14:paraId="73D6B114"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129 (69.4)</w:t>
            </w:r>
          </w:p>
        </w:tc>
        <w:tc>
          <w:tcPr>
            <w:tcW w:w="1134" w:type="dxa"/>
            <w:shd w:val="clear" w:color="auto" w:fill="C6D9F1" w:themeFill="text2" w:themeFillTint="33"/>
            <w:vAlign w:val="center"/>
          </w:tcPr>
          <w:p w14:paraId="0E544FB1"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86 (46.5)</w:t>
            </w:r>
          </w:p>
        </w:tc>
        <w:tc>
          <w:tcPr>
            <w:tcW w:w="1275" w:type="dxa"/>
            <w:vAlign w:val="center"/>
          </w:tcPr>
          <w:p w14:paraId="538203DB"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101 (72.7)</w:t>
            </w:r>
          </w:p>
        </w:tc>
        <w:tc>
          <w:tcPr>
            <w:tcW w:w="1083" w:type="dxa"/>
            <w:vAlign w:val="center"/>
          </w:tcPr>
          <w:p w14:paraId="3DDAB822"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66 (47.5)</w:t>
            </w:r>
          </w:p>
        </w:tc>
      </w:tr>
      <w:tr w:rsidR="000178C5" w:rsidRPr="000A03FD" w14:paraId="318DCBD1" w14:textId="77777777" w:rsidTr="00BC07C1">
        <w:trPr>
          <w:trHeight w:val="20"/>
        </w:trPr>
        <w:tc>
          <w:tcPr>
            <w:tcW w:w="9016" w:type="dxa"/>
            <w:gridSpan w:val="7"/>
            <w:vAlign w:val="center"/>
          </w:tcPr>
          <w:p w14:paraId="6C87D1F0" w14:textId="77777777" w:rsidR="000178C5" w:rsidRPr="000A03FD" w:rsidRDefault="000178C5" w:rsidP="00BC07C1">
            <w:pPr>
              <w:keepNext/>
              <w:keepLines/>
              <w:jc w:val="left"/>
              <w:rPr>
                <w:rFonts w:ascii="Arial Narrow" w:hAnsi="Arial Narrow"/>
                <w:sz w:val="20"/>
                <w:szCs w:val="20"/>
              </w:rPr>
            </w:pPr>
            <w:r w:rsidRPr="000A03FD">
              <w:rPr>
                <w:rFonts w:ascii="Arial Narrow" w:hAnsi="Arial Narrow"/>
                <w:sz w:val="20"/>
                <w:szCs w:val="20"/>
              </w:rPr>
              <w:t>Responders at Week 52</w:t>
            </w:r>
          </w:p>
        </w:tc>
      </w:tr>
      <w:tr w:rsidR="000178C5" w:rsidRPr="000A03FD" w14:paraId="67C9068C" w14:textId="77777777" w:rsidTr="00BC07C1">
        <w:trPr>
          <w:trHeight w:val="20"/>
        </w:trPr>
        <w:tc>
          <w:tcPr>
            <w:tcW w:w="2074" w:type="dxa"/>
            <w:vAlign w:val="center"/>
          </w:tcPr>
          <w:p w14:paraId="27D0CC7F" w14:textId="77777777" w:rsidR="000178C5" w:rsidRPr="000A03FD" w:rsidRDefault="000178C5" w:rsidP="00BC07C1">
            <w:pPr>
              <w:keepNext/>
              <w:keepLines/>
              <w:ind w:left="175"/>
              <w:jc w:val="left"/>
              <w:rPr>
                <w:rFonts w:ascii="Arial Narrow" w:hAnsi="Arial Narrow"/>
                <w:iCs/>
                <w:sz w:val="20"/>
                <w:szCs w:val="20"/>
              </w:rPr>
            </w:pPr>
            <w:r w:rsidRPr="000A03FD">
              <w:rPr>
                <w:rFonts w:ascii="Arial Narrow" w:hAnsi="Arial Narrow"/>
                <w:iCs/>
                <w:sz w:val="20"/>
                <w:szCs w:val="20"/>
              </w:rPr>
              <w:t>ENP only, n (%)</w:t>
            </w:r>
          </w:p>
        </w:tc>
        <w:tc>
          <w:tcPr>
            <w:tcW w:w="1255" w:type="dxa"/>
            <w:shd w:val="clear" w:color="auto" w:fill="C6D9F1" w:themeFill="text2" w:themeFillTint="33"/>
            <w:vAlign w:val="center"/>
          </w:tcPr>
          <w:p w14:paraId="1041E720"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22 (11)</w:t>
            </w:r>
          </w:p>
        </w:tc>
        <w:tc>
          <w:tcPr>
            <w:tcW w:w="919" w:type="dxa"/>
            <w:shd w:val="clear" w:color="auto" w:fill="C6D9F1" w:themeFill="text2" w:themeFillTint="33"/>
            <w:vAlign w:val="center"/>
          </w:tcPr>
          <w:p w14:paraId="4B4C78F0"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22 (11)</w:t>
            </w:r>
          </w:p>
        </w:tc>
        <w:tc>
          <w:tcPr>
            <w:tcW w:w="1276" w:type="dxa"/>
            <w:shd w:val="clear" w:color="auto" w:fill="C6D9F1" w:themeFill="text2" w:themeFillTint="33"/>
            <w:vAlign w:val="center"/>
          </w:tcPr>
          <w:p w14:paraId="4FC85F83"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134" w:type="dxa"/>
            <w:shd w:val="clear" w:color="auto" w:fill="C6D9F1" w:themeFill="text2" w:themeFillTint="33"/>
            <w:vAlign w:val="center"/>
          </w:tcPr>
          <w:p w14:paraId="5504F3A3"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275" w:type="dxa"/>
            <w:vAlign w:val="center"/>
          </w:tcPr>
          <w:p w14:paraId="3A03A642"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19 (13.7)</w:t>
            </w:r>
          </w:p>
        </w:tc>
        <w:tc>
          <w:tcPr>
            <w:tcW w:w="1083" w:type="dxa"/>
            <w:vAlign w:val="center"/>
          </w:tcPr>
          <w:p w14:paraId="390DF6FC"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21 (15.1)</w:t>
            </w:r>
          </w:p>
        </w:tc>
      </w:tr>
      <w:tr w:rsidR="000178C5" w:rsidRPr="000A03FD" w14:paraId="464F8F74" w14:textId="77777777" w:rsidTr="00BC07C1">
        <w:trPr>
          <w:trHeight w:val="20"/>
        </w:trPr>
        <w:tc>
          <w:tcPr>
            <w:tcW w:w="2074" w:type="dxa"/>
            <w:vAlign w:val="center"/>
          </w:tcPr>
          <w:p w14:paraId="260D235E" w14:textId="77777777" w:rsidR="000178C5" w:rsidRPr="000A03FD" w:rsidRDefault="000178C5" w:rsidP="00BC07C1">
            <w:pPr>
              <w:keepNext/>
              <w:keepLines/>
              <w:ind w:left="175"/>
              <w:jc w:val="left"/>
              <w:rPr>
                <w:rFonts w:ascii="Arial Narrow" w:hAnsi="Arial Narrow"/>
                <w:iCs/>
                <w:sz w:val="20"/>
                <w:szCs w:val="20"/>
                <w:vertAlign w:val="superscript"/>
              </w:rPr>
            </w:pPr>
            <w:r w:rsidRPr="000A03FD">
              <w:rPr>
                <w:rFonts w:ascii="Arial Narrow" w:hAnsi="Arial Narrow"/>
                <w:iCs/>
                <w:sz w:val="20"/>
                <w:szCs w:val="20"/>
              </w:rPr>
              <w:t xml:space="preserve">NO-VAS only, n (%) </w:t>
            </w:r>
            <w:r w:rsidRPr="000A03FD">
              <w:rPr>
                <w:rFonts w:ascii="Arial Narrow" w:hAnsi="Arial Narrow"/>
                <w:iCs/>
                <w:sz w:val="20"/>
                <w:szCs w:val="20"/>
                <w:vertAlign w:val="superscript"/>
              </w:rPr>
              <w:t>a</w:t>
            </w:r>
          </w:p>
        </w:tc>
        <w:tc>
          <w:tcPr>
            <w:tcW w:w="1255" w:type="dxa"/>
            <w:shd w:val="clear" w:color="auto" w:fill="C6D9F1" w:themeFill="text2" w:themeFillTint="33"/>
            <w:vAlign w:val="center"/>
          </w:tcPr>
          <w:p w14:paraId="6112A650"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42 (20)</w:t>
            </w:r>
          </w:p>
        </w:tc>
        <w:tc>
          <w:tcPr>
            <w:tcW w:w="919" w:type="dxa"/>
            <w:shd w:val="clear" w:color="auto" w:fill="C6D9F1" w:themeFill="text2" w:themeFillTint="33"/>
            <w:vAlign w:val="center"/>
          </w:tcPr>
          <w:p w14:paraId="23832ABF"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38 (19)</w:t>
            </w:r>
          </w:p>
        </w:tc>
        <w:tc>
          <w:tcPr>
            <w:tcW w:w="1276" w:type="dxa"/>
            <w:shd w:val="clear" w:color="auto" w:fill="C6D9F1" w:themeFill="text2" w:themeFillTint="33"/>
            <w:vAlign w:val="center"/>
          </w:tcPr>
          <w:p w14:paraId="7A0BB980"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134" w:type="dxa"/>
            <w:shd w:val="clear" w:color="auto" w:fill="C6D9F1" w:themeFill="text2" w:themeFillTint="33"/>
            <w:vAlign w:val="center"/>
          </w:tcPr>
          <w:p w14:paraId="2ED854B8"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275" w:type="dxa"/>
            <w:vAlign w:val="center"/>
          </w:tcPr>
          <w:p w14:paraId="3C36DC01"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31 (22.3)</w:t>
            </w:r>
          </w:p>
        </w:tc>
        <w:tc>
          <w:tcPr>
            <w:tcW w:w="1083" w:type="dxa"/>
            <w:vAlign w:val="center"/>
          </w:tcPr>
          <w:p w14:paraId="1FA2DEF1"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27 (19.4)</w:t>
            </w:r>
          </w:p>
        </w:tc>
      </w:tr>
      <w:tr w:rsidR="000178C5" w:rsidRPr="000A03FD" w14:paraId="3073771F" w14:textId="77777777" w:rsidTr="00BC07C1">
        <w:trPr>
          <w:trHeight w:val="20"/>
        </w:trPr>
        <w:tc>
          <w:tcPr>
            <w:tcW w:w="2074" w:type="dxa"/>
            <w:vAlign w:val="center"/>
          </w:tcPr>
          <w:p w14:paraId="753F2F0D" w14:textId="77777777" w:rsidR="000178C5" w:rsidRPr="000A03FD" w:rsidRDefault="000178C5" w:rsidP="00BC07C1">
            <w:pPr>
              <w:keepNext/>
              <w:keepLines/>
              <w:ind w:left="175"/>
              <w:jc w:val="left"/>
              <w:rPr>
                <w:rFonts w:ascii="Arial Narrow" w:hAnsi="Arial Narrow"/>
                <w:iCs/>
                <w:sz w:val="20"/>
                <w:szCs w:val="20"/>
              </w:rPr>
            </w:pPr>
            <w:r w:rsidRPr="000A03FD">
              <w:rPr>
                <w:rFonts w:ascii="Arial Narrow" w:hAnsi="Arial Narrow"/>
                <w:iCs/>
                <w:sz w:val="20"/>
                <w:szCs w:val="20"/>
              </w:rPr>
              <w:t>Both responder, n (%)</w:t>
            </w:r>
          </w:p>
        </w:tc>
        <w:tc>
          <w:tcPr>
            <w:tcW w:w="1255" w:type="dxa"/>
            <w:shd w:val="clear" w:color="auto" w:fill="C6D9F1" w:themeFill="text2" w:themeFillTint="33"/>
            <w:vAlign w:val="center"/>
          </w:tcPr>
          <w:p w14:paraId="13FD04BB"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82 (40)</w:t>
            </w:r>
          </w:p>
        </w:tc>
        <w:tc>
          <w:tcPr>
            <w:tcW w:w="919" w:type="dxa"/>
            <w:shd w:val="clear" w:color="auto" w:fill="C6D9F1" w:themeFill="text2" w:themeFillTint="33"/>
            <w:vAlign w:val="center"/>
          </w:tcPr>
          <w:p w14:paraId="6CAB28E9"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35 (17)</w:t>
            </w:r>
          </w:p>
        </w:tc>
        <w:tc>
          <w:tcPr>
            <w:tcW w:w="1276" w:type="dxa"/>
            <w:shd w:val="clear" w:color="auto" w:fill="C6D9F1" w:themeFill="text2" w:themeFillTint="33"/>
            <w:vAlign w:val="center"/>
          </w:tcPr>
          <w:p w14:paraId="7D4D6E93"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134" w:type="dxa"/>
            <w:shd w:val="clear" w:color="auto" w:fill="C6D9F1" w:themeFill="text2" w:themeFillTint="33"/>
            <w:vAlign w:val="center"/>
          </w:tcPr>
          <w:p w14:paraId="1E97E807"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275" w:type="dxa"/>
            <w:vAlign w:val="center"/>
          </w:tcPr>
          <w:p w14:paraId="44AD1A4D"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51 (36.7)</w:t>
            </w:r>
          </w:p>
        </w:tc>
        <w:tc>
          <w:tcPr>
            <w:tcW w:w="1083" w:type="dxa"/>
            <w:vAlign w:val="center"/>
          </w:tcPr>
          <w:p w14:paraId="3FD6D9EF"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18 (12.9)</w:t>
            </w:r>
          </w:p>
        </w:tc>
      </w:tr>
      <w:tr w:rsidR="000178C5" w:rsidRPr="000A03FD" w14:paraId="79212962" w14:textId="77777777" w:rsidTr="00BC07C1">
        <w:trPr>
          <w:trHeight w:val="20"/>
        </w:trPr>
        <w:tc>
          <w:tcPr>
            <w:tcW w:w="2074" w:type="dxa"/>
            <w:vAlign w:val="center"/>
          </w:tcPr>
          <w:p w14:paraId="58ADBD2C" w14:textId="77777777" w:rsidR="000178C5" w:rsidRPr="000A03FD" w:rsidRDefault="000178C5" w:rsidP="00BC07C1">
            <w:pPr>
              <w:keepNext/>
              <w:keepLines/>
              <w:ind w:left="175"/>
              <w:jc w:val="left"/>
              <w:rPr>
                <w:rFonts w:ascii="Arial Narrow" w:hAnsi="Arial Narrow"/>
                <w:iCs/>
                <w:sz w:val="20"/>
                <w:szCs w:val="20"/>
              </w:rPr>
            </w:pPr>
            <w:r w:rsidRPr="000A03FD">
              <w:rPr>
                <w:rFonts w:ascii="Arial Narrow" w:hAnsi="Arial Narrow"/>
                <w:iCs/>
                <w:sz w:val="20"/>
                <w:szCs w:val="20"/>
              </w:rPr>
              <w:t>Total responder, n (%)</w:t>
            </w:r>
          </w:p>
        </w:tc>
        <w:tc>
          <w:tcPr>
            <w:tcW w:w="1255" w:type="dxa"/>
            <w:shd w:val="clear" w:color="auto" w:fill="C6D9F1" w:themeFill="text2" w:themeFillTint="33"/>
            <w:vAlign w:val="center"/>
          </w:tcPr>
          <w:p w14:paraId="1C3F23D1"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146 (71)</w:t>
            </w:r>
          </w:p>
        </w:tc>
        <w:tc>
          <w:tcPr>
            <w:tcW w:w="919" w:type="dxa"/>
            <w:shd w:val="clear" w:color="auto" w:fill="C6D9F1" w:themeFill="text2" w:themeFillTint="33"/>
            <w:vAlign w:val="center"/>
          </w:tcPr>
          <w:p w14:paraId="3D4DD2CE"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95 (47)</w:t>
            </w:r>
          </w:p>
        </w:tc>
        <w:tc>
          <w:tcPr>
            <w:tcW w:w="1276" w:type="dxa"/>
            <w:shd w:val="clear" w:color="auto" w:fill="C6D9F1" w:themeFill="text2" w:themeFillTint="33"/>
            <w:vAlign w:val="center"/>
          </w:tcPr>
          <w:p w14:paraId="6D9D066B"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134" w:type="dxa"/>
            <w:shd w:val="clear" w:color="auto" w:fill="C6D9F1" w:themeFill="text2" w:themeFillTint="33"/>
            <w:vAlign w:val="center"/>
          </w:tcPr>
          <w:p w14:paraId="3C0C320E"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NE</w:t>
            </w:r>
          </w:p>
        </w:tc>
        <w:tc>
          <w:tcPr>
            <w:tcW w:w="1275" w:type="dxa"/>
            <w:vAlign w:val="center"/>
          </w:tcPr>
          <w:p w14:paraId="3AE90E3D"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101 (72.7)</w:t>
            </w:r>
          </w:p>
        </w:tc>
        <w:tc>
          <w:tcPr>
            <w:tcW w:w="1083" w:type="dxa"/>
            <w:vAlign w:val="center"/>
          </w:tcPr>
          <w:p w14:paraId="19D41B1F" w14:textId="77777777" w:rsidR="000178C5" w:rsidRPr="000A03FD" w:rsidRDefault="000178C5" w:rsidP="00BC07C1">
            <w:pPr>
              <w:keepNext/>
              <w:keepLines/>
              <w:jc w:val="center"/>
              <w:rPr>
                <w:rFonts w:ascii="Arial Narrow" w:hAnsi="Arial Narrow"/>
                <w:sz w:val="20"/>
                <w:szCs w:val="20"/>
                <w:vertAlign w:val="superscript"/>
              </w:rPr>
            </w:pPr>
            <w:r w:rsidRPr="000A03FD">
              <w:rPr>
                <w:rFonts w:ascii="Arial Narrow" w:hAnsi="Arial Narrow"/>
                <w:sz w:val="20"/>
                <w:szCs w:val="20"/>
              </w:rPr>
              <w:t>66 (47.5)</w:t>
            </w:r>
          </w:p>
        </w:tc>
      </w:tr>
      <w:tr w:rsidR="000178C5" w:rsidRPr="000A03FD" w14:paraId="71C41FE1" w14:textId="77777777" w:rsidTr="00BC07C1">
        <w:trPr>
          <w:trHeight w:val="20"/>
        </w:trPr>
        <w:tc>
          <w:tcPr>
            <w:tcW w:w="2074" w:type="dxa"/>
            <w:vAlign w:val="center"/>
          </w:tcPr>
          <w:p w14:paraId="083D8C7E" w14:textId="77777777" w:rsidR="000178C5" w:rsidRPr="000A03FD" w:rsidRDefault="000178C5" w:rsidP="00BC07C1">
            <w:pPr>
              <w:keepNext/>
              <w:keepLines/>
              <w:ind w:left="175"/>
              <w:jc w:val="left"/>
              <w:rPr>
                <w:rFonts w:ascii="Arial Narrow" w:hAnsi="Arial Narrow"/>
                <w:iCs/>
                <w:sz w:val="20"/>
                <w:szCs w:val="20"/>
              </w:rPr>
            </w:pPr>
            <w:r w:rsidRPr="000A03FD">
              <w:rPr>
                <w:rFonts w:ascii="Arial Narrow" w:hAnsi="Arial Narrow"/>
                <w:iCs/>
                <w:sz w:val="20"/>
                <w:szCs w:val="20"/>
              </w:rPr>
              <w:t>Maintained response from Week 24, n/N (%)</w:t>
            </w:r>
          </w:p>
        </w:tc>
        <w:tc>
          <w:tcPr>
            <w:tcW w:w="1255" w:type="dxa"/>
            <w:shd w:val="clear" w:color="auto" w:fill="C6D9F1" w:themeFill="text2" w:themeFillTint="33"/>
            <w:vAlign w:val="center"/>
          </w:tcPr>
          <w:p w14:paraId="3C4362DD"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125/144</w:t>
            </w:r>
          </w:p>
          <w:p w14:paraId="00348EC2"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(87)</w:t>
            </w:r>
          </w:p>
        </w:tc>
        <w:tc>
          <w:tcPr>
            <w:tcW w:w="919" w:type="dxa"/>
            <w:shd w:val="clear" w:color="auto" w:fill="C6D9F1" w:themeFill="text2" w:themeFillTint="33"/>
            <w:vAlign w:val="center"/>
          </w:tcPr>
          <w:p w14:paraId="7B554D1D"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65/95</w:t>
            </w:r>
          </w:p>
          <w:p w14:paraId="127C4AEC"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(68)</w:t>
            </w:r>
          </w:p>
        </w:tc>
        <w:tc>
          <w:tcPr>
            <w:tcW w:w="1276" w:type="dxa"/>
            <w:shd w:val="clear" w:color="auto" w:fill="C6D9F1" w:themeFill="text2" w:themeFillTint="33"/>
            <w:vAlign w:val="center"/>
          </w:tcPr>
          <w:p w14:paraId="45530B7D"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112/129</w:t>
            </w:r>
          </w:p>
          <w:p w14:paraId="1DEC8664"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(86.8)</w:t>
            </w:r>
          </w:p>
        </w:tc>
        <w:tc>
          <w:tcPr>
            <w:tcW w:w="1134" w:type="dxa"/>
            <w:shd w:val="clear" w:color="auto" w:fill="C6D9F1" w:themeFill="text2" w:themeFillTint="33"/>
            <w:vAlign w:val="center"/>
          </w:tcPr>
          <w:p w14:paraId="15EC64DA"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58/86</w:t>
            </w:r>
          </w:p>
          <w:p w14:paraId="28E5AD5A"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(67.4)</w:t>
            </w:r>
          </w:p>
        </w:tc>
        <w:tc>
          <w:tcPr>
            <w:tcW w:w="1275" w:type="dxa"/>
            <w:vAlign w:val="center"/>
          </w:tcPr>
          <w:p w14:paraId="0E382B57"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86/101</w:t>
            </w:r>
          </w:p>
          <w:p w14:paraId="1BE373B0"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(85.1)</w:t>
            </w:r>
          </w:p>
        </w:tc>
        <w:tc>
          <w:tcPr>
            <w:tcW w:w="1083" w:type="dxa"/>
            <w:vAlign w:val="center"/>
          </w:tcPr>
          <w:p w14:paraId="7FD9DA8F"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44/66</w:t>
            </w:r>
          </w:p>
          <w:p w14:paraId="63A2A5EB" w14:textId="77777777" w:rsidR="000178C5" w:rsidRPr="000A03FD" w:rsidRDefault="000178C5" w:rsidP="00BC07C1">
            <w:pPr>
              <w:keepNext/>
              <w:keepLines/>
              <w:jc w:val="center"/>
              <w:rPr>
                <w:rFonts w:ascii="Arial Narrow" w:hAnsi="Arial Narrow"/>
                <w:sz w:val="20"/>
                <w:szCs w:val="20"/>
              </w:rPr>
            </w:pPr>
            <w:r w:rsidRPr="000A03FD">
              <w:rPr>
                <w:rFonts w:ascii="Arial Narrow" w:hAnsi="Arial Narrow"/>
                <w:sz w:val="20"/>
                <w:szCs w:val="20"/>
              </w:rPr>
              <w:t>(66.7)</w:t>
            </w:r>
          </w:p>
        </w:tc>
      </w:tr>
    </w:tbl>
    <w:p w14:paraId="0C07F014" w14:textId="77777777" w:rsidR="000178C5" w:rsidRPr="000A03FD" w:rsidRDefault="000178C5" w:rsidP="000178C5">
      <w:pPr>
        <w:pStyle w:val="TableFooter"/>
        <w:keepNext/>
        <w:keepLines/>
      </w:pPr>
      <w:r w:rsidRPr="000A03FD">
        <w:t>Source: Calculated during evaluation using information from Table 2-22 (p72), Table 2-23 (p73) and ‘variables’ sheet economic model spreadsheet of resubmission, Table 2.5.7, 6.03.COM.74 November 2021 and Table 2.6.3, 6.03.COM.83 November 2021</w:t>
      </w:r>
    </w:p>
    <w:p w14:paraId="2791F420" w14:textId="77777777" w:rsidR="000178C5" w:rsidRPr="000A03FD" w:rsidRDefault="000178C5" w:rsidP="000178C5">
      <w:pPr>
        <w:pStyle w:val="TableFooter"/>
        <w:keepNext/>
        <w:keepLines/>
        <w:rPr>
          <w:rFonts w:eastAsia="Calibri"/>
        </w:rPr>
      </w:pPr>
      <w:r w:rsidRPr="000A03FD">
        <w:t xml:space="preserve">ENP= endoscopic nasal polyp; NO-VAS= nasal obstruction visual analogue scale; </w:t>
      </w:r>
      <w:r w:rsidRPr="000A03FD">
        <w:rPr>
          <w:rFonts w:eastAsia="Calibri"/>
        </w:rPr>
        <w:t>n= number of participants with event; N= total participants in group, NE = not estimable</w:t>
      </w:r>
    </w:p>
    <w:p w14:paraId="254F46B2" w14:textId="704A4992" w:rsidR="000178C5" w:rsidRPr="000A03FD" w:rsidRDefault="000178C5" w:rsidP="000178C5">
      <w:pPr>
        <w:pStyle w:val="TableFooter"/>
        <w:keepNext/>
        <w:keepLines/>
        <w:rPr>
          <w:rFonts w:eastAsia="Calibri"/>
        </w:rPr>
      </w:pPr>
      <w:r w:rsidRPr="000A03FD">
        <w:rPr>
          <w:rFonts w:eastAsia="Calibri"/>
        </w:rPr>
        <w:t>a</w:t>
      </w:r>
      <w:r w:rsidR="00194DC0" w:rsidRPr="000A03FD">
        <w:rPr>
          <w:rFonts w:eastAsia="Calibri"/>
        </w:rPr>
        <w:t>.</w:t>
      </w:r>
      <w:r w:rsidRPr="000A03FD">
        <w:rPr>
          <w:rFonts w:eastAsia="Calibri"/>
        </w:rPr>
        <w:t xml:space="preserve"> assume responder is number of patients with &gt;3 point improvement as number of patients with ≥3 point improvement not reported</w:t>
      </w:r>
    </w:p>
    <w:p w14:paraId="6D57D0AF" w14:textId="6E59A27B" w:rsidR="000178C5" w:rsidRDefault="000178C5" w:rsidP="00BC517D">
      <w:pPr>
        <w:pStyle w:val="TableFooter"/>
        <w:keepNext/>
        <w:keepLines/>
        <w:rPr>
          <w:rFonts w:eastAsia="Calibri"/>
        </w:rPr>
      </w:pPr>
      <w:r w:rsidRPr="000A03FD">
        <w:rPr>
          <w:rFonts w:eastAsia="Calibri"/>
        </w:rPr>
        <w:t>Blue shaded cells indicate information presented in previous submission</w:t>
      </w:r>
    </w:p>
    <w:p w14:paraId="7FBB3FBE" w14:textId="4A0B145A" w:rsidR="00BC517D" w:rsidRPr="00BC517D" w:rsidRDefault="00BC517D" w:rsidP="00150D67">
      <w:pPr>
        <w:pStyle w:val="TableFooter"/>
        <w:keepNext/>
        <w:keepLines/>
        <w:spacing w:after="120"/>
        <w:rPr>
          <w:rFonts w:eastAsia="Calibri"/>
        </w:rPr>
      </w:pPr>
      <w:r w:rsidRPr="00BC517D">
        <w:rPr>
          <w:rFonts w:eastAsia="Calibri"/>
          <w:i/>
          <w:iCs/>
        </w:rPr>
        <w:t>Note that the results presented in Table 7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p w14:paraId="2F5A6144" w14:textId="29BEFFA7" w:rsidR="000178C5" w:rsidRPr="000A03FD" w:rsidRDefault="000178C5" w:rsidP="000178C5">
      <w:pPr>
        <w:pStyle w:val="3-BodyText"/>
        <w:rPr>
          <w:iCs/>
        </w:rPr>
      </w:pPr>
      <w:r w:rsidRPr="000A03FD">
        <w:rPr>
          <w:rFonts w:cs="Calibri"/>
          <w:iCs/>
        </w:rPr>
        <w:t>The proportion of patients who were responders at week 24, and those who maintained response at week 52 from week 24, was higher in mepolizumab arm patients compared to patients treated with placebo, with a similar magnitude of difference across the ITT, BEC ≥</w:t>
      </w:r>
      <w:r w:rsidR="00BC517D" w:rsidRPr="000A03FD">
        <w:rPr>
          <w:rFonts w:cs="Calibri"/>
          <w:iCs/>
        </w:rPr>
        <w:t>150</w:t>
      </w:r>
      <w:r w:rsidR="00BC517D">
        <w:rPr>
          <w:rFonts w:cs="Calibri"/>
          <w:iCs/>
        </w:rPr>
        <w:t> </w:t>
      </w:r>
      <w:r w:rsidRPr="000A03FD">
        <w:rPr>
          <w:rFonts w:cs="Calibri"/>
          <w:iCs/>
        </w:rPr>
        <w:t>cells/µL and BEC ≥300</w:t>
      </w:r>
      <w:r w:rsidR="00BC517D">
        <w:rPr>
          <w:rFonts w:cs="Calibri"/>
          <w:iCs/>
        </w:rPr>
        <w:t> </w:t>
      </w:r>
      <w:r w:rsidRPr="000A03FD">
        <w:rPr>
          <w:rFonts w:cs="Calibri"/>
          <w:iCs/>
        </w:rPr>
        <w:t>cells/</w:t>
      </w:r>
      <w:r w:rsidRPr="000A03FD">
        <w:rPr>
          <w:iCs/>
        </w:rPr>
        <w:t xml:space="preserve"> </w:t>
      </w:r>
      <w:r w:rsidRPr="000A03FD">
        <w:rPr>
          <w:rFonts w:cs="Calibri"/>
          <w:iCs/>
        </w:rPr>
        <w:t>µL populations.</w:t>
      </w:r>
    </w:p>
    <w:p w14:paraId="06CD49A6" w14:textId="5DCD03D0" w:rsidR="00053156" w:rsidRDefault="00257F52" w:rsidP="00257F52">
      <w:pPr>
        <w:pStyle w:val="3-BodyText"/>
        <w:rPr>
          <w:iCs/>
        </w:rPr>
      </w:pPr>
      <w:r w:rsidRPr="000A03FD">
        <w:rPr>
          <w:iCs/>
        </w:rPr>
        <w:fldChar w:fldCharType="begin" w:fldLock="1"/>
      </w:r>
      <w:r w:rsidRPr="000A03FD">
        <w:rPr>
          <w:iCs/>
        </w:rPr>
        <w:instrText xml:space="preserve"> REF _Ref111518005 \h </w:instrText>
      </w:r>
      <w:r w:rsidR="00F518C5" w:rsidRPr="000A03FD">
        <w:rPr>
          <w:iCs/>
        </w:rPr>
        <w:instrText xml:space="preserve"> \* MERGEFORMAT </w:instrText>
      </w:r>
      <w:r w:rsidRPr="000A03FD">
        <w:rPr>
          <w:iCs/>
        </w:rPr>
      </w:r>
      <w:r w:rsidRPr="000A03FD">
        <w:rPr>
          <w:iCs/>
        </w:rPr>
        <w:fldChar w:fldCharType="separate"/>
      </w:r>
      <w:r w:rsidR="00625A18" w:rsidRPr="000A03FD">
        <w:rPr>
          <w:iCs/>
        </w:rPr>
        <w:t>Table 8</w:t>
      </w:r>
      <w:r w:rsidRPr="000A03FD">
        <w:rPr>
          <w:iCs/>
        </w:rPr>
        <w:fldChar w:fldCharType="end"/>
      </w:r>
      <w:r w:rsidR="001333E8" w:rsidRPr="000A03FD">
        <w:rPr>
          <w:iCs/>
        </w:rPr>
        <w:t xml:space="preserve"> </w:t>
      </w:r>
      <w:r w:rsidR="00E15E3C" w:rsidRPr="000A03FD">
        <w:rPr>
          <w:iCs/>
        </w:rPr>
        <w:t xml:space="preserve">summarises the time to first nasal surgery. </w:t>
      </w:r>
      <w:r w:rsidR="00DA1C89" w:rsidRPr="000A03FD">
        <w:rPr>
          <w:iCs/>
        </w:rPr>
        <w:t>The percentage of patients with surgery at Week 24</w:t>
      </w:r>
      <w:r w:rsidR="00A53975" w:rsidRPr="000A03FD">
        <w:rPr>
          <w:iCs/>
        </w:rPr>
        <w:t xml:space="preserve"> was used in the economic model.</w:t>
      </w:r>
    </w:p>
    <w:p w14:paraId="1D182206" w14:textId="77777777" w:rsidR="00053156" w:rsidRDefault="00053156">
      <w:pPr>
        <w:jc w:val="left"/>
        <w:rPr>
          <w:rFonts w:asciiTheme="minorHAnsi" w:hAnsiTheme="minorHAnsi"/>
          <w:iCs/>
          <w:snapToGrid w:val="0"/>
        </w:rPr>
      </w:pPr>
      <w:r>
        <w:rPr>
          <w:iCs/>
        </w:rPr>
        <w:br w:type="page"/>
      </w:r>
    </w:p>
    <w:p w14:paraId="09A56583" w14:textId="64D2C5F5" w:rsidR="00FA0E3A" w:rsidRPr="000A03FD" w:rsidRDefault="00257F52" w:rsidP="00257F52">
      <w:pPr>
        <w:pStyle w:val="Caption"/>
        <w:rPr>
          <w:b w:val="0"/>
        </w:rPr>
      </w:pPr>
      <w:bookmarkStart w:id="45" w:name="_Ref111518005"/>
      <w:r w:rsidRPr="000A03FD">
        <w:lastRenderedPageBreak/>
        <w:t xml:space="preserve">Table </w:t>
      </w:r>
      <w:fldSimple w:instr=" SEQ Table \* ARABIC " w:fldLock="1">
        <w:r w:rsidR="00A0401C" w:rsidRPr="000A03FD">
          <w:t>8</w:t>
        </w:r>
      </w:fldSimple>
      <w:bookmarkEnd w:id="45"/>
      <w:r w:rsidR="00FA0E3A" w:rsidRPr="000A03FD">
        <w:t>: Analysis of time to first nasal surgery</w:t>
      </w:r>
    </w:p>
    <w:tbl>
      <w:tblPr>
        <w:tblStyle w:val="TableGrid"/>
        <w:tblW w:w="5000" w:type="pct"/>
        <w:tblCellMar>
          <w:left w:w="28" w:type="dxa"/>
          <w:right w:w="28" w:type="dxa"/>
        </w:tblCellMar>
        <w:tblLook w:val="04A0" w:firstRow="1" w:lastRow="0" w:firstColumn="1" w:lastColumn="0" w:noHBand="0" w:noVBand="1"/>
      </w:tblPr>
      <w:tblGrid>
        <w:gridCol w:w="2118"/>
        <w:gridCol w:w="988"/>
        <w:gridCol w:w="1096"/>
        <w:gridCol w:w="1203"/>
        <w:gridCol w:w="1205"/>
        <w:gridCol w:w="1205"/>
        <w:gridCol w:w="1201"/>
      </w:tblGrid>
      <w:tr w:rsidR="00133912" w:rsidRPr="000A03FD" w14:paraId="142077CC"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29341487" w14:textId="77777777" w:rsidR="00FA0E3A" w:rsidRPr="000A03FD" w:rsidRDefault="00FA0E3A" w:rsidP="00113672">
            <w:pPr>
              <w:pStyle w:val="Tabletext"/>
              <w:rPr>
                <w:b/>
              </w:rPr>
            </w:pPr>
          </w:p>
        </w:tc>
        <w:tc>
          <w:tcPr>
            <w:tcW w:w="1156" w:type="pct"/>
            <w:gridSpan w:val="2"/>
            <w:tcBorders>
              <w:top w:val="single" w:sz="4" w:space="0" w:color="auto"/>
              <w:left w:val="single" w:sz="4" w:space="0" w:color="auto"/>
              <w:bottom w:val="single" w:sz="4" w:space="0" w:color="auto"/>
              <w:right w:val="single" w:sz="4" w:space="0" w:color="auto"/>
            </w:tcBorders>
            <w:vAlign w:val="center"/>
          </w:tcPr>
          <w:p w14:paraId="4E0452E3" w14:textId="77777777" w:rsidR="00FA0E3A" w:rsidRPr="000A03FD" w:rsidRDefault="00FA0E3A" w:rsidP="00113672">
            <w:pPr>
              <w:pStyle w:val="Tabletext"/>
              <w:jc w:val="center"/>
              <w:rPr>
                <w:b/>
              </w:rPr>
            </w:pPr>
            <w:r w:rsidRPr="000A03FD">
              <w:rPr>
                <w:b/>
                <w:bCs/>
                <w:szCs w:val="20"/>
              </w:rPr>
              <w:t>ITT</w:t>
            </w:r>
          </w:p>
        </w:tc>
        <w:tc>
          <w:tcPr>
            <w:tcW w:w="1335" w:type="pct"/>
            <w:gridSpan w:val="2"/>
            <w:tcBorders>
              <w:top w:val="single" w:sz="4" w:space="0" w:color="auto"/>
              <w:left w:val="single" w:sz="4" w:space="0" w:color="auto"/>
              <w:bottom w:val="single" w:sz="4" w:space="0" w:color="auto"/>
              <w:right w:val="single" w:sz="4" w:space="0" w:color="auto"/>
            </w:tcBorders>
            <w:vAlign w:val="center"/>
          </w:tcPr>
          <w:p w14:paraId="16ECB21F" w14:textId="77777777" w:rsidR="00FA0E3A" w:rsidRPr="000A03FD" w:rsidRDefault="00FA0E3A" w:rsidP="00113672">
            <w:pPr>
              <w:pStyle w:val="Tabletext"/>
              <w:jc w:val="center"/>
              <w:rPr>
                <w:b/>
              </w:rPr>
            </w:pPr>
            <w:r w:rsidRPr="000A03FD">
              <w:rPr>
                <w:b/>
                <w:szCs w:val="20"/>
              </w:rPr>
              <w:t>Baseline BEC &lt; 300cells/µL</w:t>
            </w:r>
          </w:p>
        </w:tc>
        <w:tc>
          <w:tcPr>
            <w:tcW w:w="1334" w:type="pct"/>
            <w:gridSpan w:val="2"/>
            <w:tcBorders>
              <w:top w:val="single" w:sz="4" w:space="0" w:color="auto"/>
              <w:left w:val="single" w:sz="4" w:space="0" w:color="auto"/>
              <w:bottom w:val="single" w:sz="4" w:space="0" w:color="auto"/>
              <w:right w:val="single" w:sz="4" w:space="0" w:color="auto"/>
            </w:tcBorders>
            <w:vAlign w:val="center"/>
          </w:tcPr>
          <w:p w14:paraId="117A1912" w14:textId="77777777" w:rsidR="00FA0E3A" w:rsidRPr="000A03FD" w:rsidRDefault="00FA0E3A" w:rsidP="00113672">
            <w:pPr>
              <w:pStyle w:val="Tabletext"/>
              <w:jc w:val="center"/>
              <w:rPr>
                <w:b/>
              </w:rPr>
            </w:pPr>
            <w:r w:rsidRPr="000A03FD">
              <w:rPr>
                <w:b/>
                <w:szCs w:val="20"/>
              </w:rPr>
              <w:t>Baseline BEC ≥300cells/µL</w:t>
            </w:r>
          </w:p>
        </w:tc>
      </w:tr>
      <w:tr w:rsidR="00133912" w:rsidRPr="000A03FD" w14:paraId="1C3DEB49"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3CA07FB0" w14:textId="77777777" w:rsidR="00FA0E3A" w:rsidRPr="000A03FD" w:rsidRDefault="00FA0E3A" w:rsidP="00113672">
            <w:pPr>
              <w:pStyle w:val="Tabletext"/>
              <w:rPr>
                <w:b/>
              </w:rPr>
            </w:pPr>
          </w:p>
        </w:tc>
        <w:tc>
          <w:tcPr>
            <w:tcW w:w="548" w:type="pct"/>
            <w:tcBorders>
              <w:top w:val="single" w:sz="4" w:space="0" w:color="auto"/>
              <w:left w:val="single" w:sz="4" w:space="0" w:color="auto"/>
              <w:bottom w:val="single" w:sz="4" w:space="0" w:color="auto"/>
              <w:right w:val="single" w:sz="4" w:space="0" w:color="auto"/>
            </w:tcBorders>
            <w:vAlign w:val="center"/>
          </w:tcPr>
          <w:p w14:paraId="744F4DB7" w14:textId="77777777" w:rsidR="00FA0E3A" w:rsidRPr="000A03FD" w:rsidRDefault="00FA0E3A" w:rsidP="00113672">
            <w:pPr>
              <w:jc w:val="center"/>
              <w:rPr>
                <w:rFonts w:ascii="Arial Narrow" w:hAnsi="Arial Narrow"/>
                <w:b/>
                <w:bCs/>
                <w:sz w:val="20"/>
                <w:szCs w:val="20"/>
              </w:rPr>
            </w:pPr>
            <w:r w:rsidRPr="000A03FD">
              <w:rPr>
                <w:rFonts w:ascii="Arial Narrow" w:hAnsi="Arial Narrow"/>
                <w:b/>
                <w:bCs/>
                <w:sz w:val="20"/>
                <w:szCs w:val="20"/>
              </w:rPr>
              <w:t>Placebo</w:t>
            </w:r>
          </w:p>
          <w:p w14:paraId="216549F6" w14:textId="77777777" w:rsidR="00FA0E3A" w:rsidRPr="000A03FD" w:rsidRDefault="00FA0E3A" w:rsidP="00113672">
            <w:pPr>
              <w:pStyle w:val="Tabletext"/>
              <w:jc w:val="center"/>
              <w:rPr>
                <w:b/>
              </w:rPr>
            </w:pPr>
            <w:r w:rsidRPr="000A03FD">
              <w:rPr>
                <w:b/>
                <w:bCs/>
                <w:szCs w:val="20"/>
              </w:rPr>
              <w:t>(N=201)</w:t>
            </w:r>
          </w:p>
        </w:tc>
        <w:tc>
          <w:tcPr>
            <w:tcW w:w="608" w:type="pct"/>
            <w:tcBorders>
              <w:top w:val="single" w:sz="4" w:space="0" w:color="auto"/>
              <w:left w:val="single" w:sz="4" w:space="0" w:color="auto"/>
              <w:bottom w:val="single" w:sz="4" w:space="0" w:color="auto"/>
              <w:right w:val="single" w:sz="4" w:space="0" w:color="auto"/>
            </w:tcBorders>
            <w:vAlign w:val="center"/>
          </w:tcPr>
          <w:p w14:paraId="45D32C2C" w14:textId="77777777" w:rsidR="00FA0E3A" w:rsidRPr="000A03FD" w:rsidRDefault="00FA0E3A" w:rsidP="00113672">
            <w:pPr>
              <w:pStyle w:val="Tabletext"/>
              <w:jc w:val="center"/>
              <w:rPr>
                <w:b/>
              </w:rPr>
            </w:pPr>
            <w:r w:rsidRPr="000A03FD">
              <w:rPr>
                <w:b/>
                <w:bCs/>
                <w:szCs w:val="20"/>
              </w:rPr>
              <w:t>Mepolizumab (N=206)</w:t>
            </w:r>
          </w:p>
        </w:tc>
        <w:tc>
          <w:tcPr>
            <w:tcW w:w="667" w:type="pct"/>
            <w:tcBorders>
              <w:top w:val="single" w:sz="4" w:space="0" w:color="auto"/>
              <w:left w:val="single" w:sz="4" w:space="0" w:color="auto"/>
              <w:bottom w:val="single" w:sz="4" w:space="0" w:color="auto"/>
              <w:right w:val="single" w:sz="4" w:space="0" w:color="auto"/>
            </w:tcBorders>
            <w:vAlign w:val="center"/>
          </w:tcPr>
          <w:p w14:paraId="51526A9A" w14:textId="77777777" w:rsidR="00FA0E3A" w:rsidRPr="000A03FD" w:rsidRDefault="00FA0E3A" w:rsidP="00113672">
            <w:pPr>
              <w:jc w:val="center"/>
              <w:rPr>
                <w:rFonts w:ascii="Arial Narrow" w:hAnsi="Arial Narrow"/>
                <w:b/>
                <w:sz w:val="20"/>
                <w:szCs w:val="20"/>
              </w:rPr>
            </w:pPr>
            <w:r w:rsidRPr="000A03FD">
              <w:rPr>
                <w:rFonts w:ascii="Arial Narrow" w:hAnsi="Arial Narrow"/>
                <w:b/>
                <w:sz w:val="20"/>
                <w:szCs w:val="20"/>
              </w:rPr>
              <w:t>Placebo</w:t>
            </w:r>
          </w:p>
          <w:p w14:paraId="61D06EE2" w14:textId="77777777" w:rsidR="00FA0E3A" w:rsidRPr="000A03FD" w:rsidRDefault="00FA0E3A" w:rsidP="00113672">
            <w:pPr>
              <w:pStyle w:val="Tabletext"/>
              <w:jc w:val="center"/>
              <w:rPr>
                <w:b/>
              </w:rPr>
            </w:pPr>
            <w:r w:rsidRPr="000A03FD">
              <w:rPr>
                <w:b/>
                <w:szCs w:val="20"/>
              </w:rPr>
              <w:t>(N=62)</w:t>
            </w:r>
          </w:p>
        </w:tc>
        <w:tc>
          <w:tcPr>
            <w:tcW w:w="668" w:type="pct"/>
            <w:tcBorders>
              <w:top w:val="single" w:sz="4" w:space="0" w:color="auto"/>
              <w:left w:val="single" w:sz="4" w:space="0" w:color="auto"/>
              <w:bottom w:val="single" w:sz="4" w:space="0" w:color="auto"/>
              <w:right w:val="single" w:sz="4" w:space="0" w:color="auto"/>
            </w:tcBorders>
            <w:vAlign w:val="center"/>
          </w:tcPr>
          <w:p w14:paraId="143AC53F" w14:textId="77777777" w:rsidR="00FA0E3A" w:rsidRPr="000A03FD" w:rsidRDefault="00FA0E3A" w:rsidP="00113672">
            <w:pPr>
              <w:pStyle w:val="Tabletext"/>
              <w:jc w:val="center"/>
              <w:rPr>
                <w:b/>
              </w:rPr>
            </w:pPr>
            <w:r w:rsidRPr="000A03FD">
              <w:rPr>
                <w:b/>
                <w:szCs w:val="20"/>
              </w:rPr>
              <w:t>Mepolizumab (N=67)</w:t>
            </w:r>
          </w:p>
        </w:tc>
        <w:tc>
          <w:tcPr>
            <w:tcW w:w="668" w:type="pct"/>
            <w:tcBorders>
              <w:top w:val="single" w:sz="4" w:space="0" w:color="auto"/>
              <w:left w:val="single" w:sz="4" w:space="0" w:color="auto"/>
              <w:bottom w:val="single" w:sz="4" w:space="0" w:color="auto"/>
              <w:right w:val="single" w:sz="4" w:space="0" w:color="auto"/>
            </w:tcBorders>
            <w:vAlign w:val="center"/>
          </w:tcPr>
          <w:p w14:paraId="2DADC001" w14:textId="77777777" w:rsidR="00FA0E3A" w:rsidRPr="000A03FD" w:rsidRDefault="00FA0E3A" w:rsidP="00113672">
            <w:pPr>
              <w:jc w:val="center"/>
              <w:rPr>
                <w:rFonts w:ascii="Arial Narrow" w:hAnsi="Arial Narrow"/>
                <w:b/>
                <w:sz w:val="20"/>
                <w:szCs w:val="20"/>
              </w:rPr>
            </w:pPr>
            <w:r w:rsidRPr="000A03FD">
              <w:rPr>
                <w:rFonts w:ascii="Arial Narrow" w:hAnsi="Arial Narrow"/>
                <w:b/>
                <w:sz w:val="20"/>
                <w:szCs w:val="20"/>
              </w:rPr>
              <w:t>Placebo</w:t>
            </w:r>
          </w:p>
          <w:p w14:paraId="7DABB017" w14:textId="77777777" w:rsidR="00FA0E3A" w:rsidRPr="000A03FD" w:rsidRDefault="00FA0E3A" w:rsidP="00113672">
            <w:pPr>
              <w:pStyle w:val="Tabletext"/>
              <w:jc w:val="center"/>
              <w:rPr>
                <w:b/>
              </w:rPr>
            </w:pPr>
            <w:r w:rsidRPr="000A03FD">
              <w:rPr>
                <w:b/>
                <w:szCs w:val="20"/>
              </w:rPr>
              <w:t>(N=139)</w:t>
            </w:r>
          </w:p>
        </w:tc>
        <w:tc>
          <w:tcPr>
            <w:tcW w:w="666" w:type="pct"/>
            <w:tcBorders>
              <w:top w:val="single" w:sz="4" w:space="0" w:color="auto"/>
              <w:left w:val="single" w:sz="4" w:space="0" w:color="auto"/>
              <w:bottom w:val="single" w:sz="4" w:space="0" w:color="auto"/>
              <w:right w:val="single" w:sz="4" w:space="0" w:color="auto"/>
            </w:tcBorders>
            <w:vAlign w:val="center"/>
          </w:tcPr>
          <w:p w14:paraId="3E8F585E" w14:textId="77777777" w:rsidR="00FA0E3A" w:rsidRPr="000A03FD" w:rsidRDefault="00FA0E3A" w:rsidP="00113672">
            <w:pPr>
              <w:pStyle w:val="Tabletext"/>
              <w:jc w:val="center"/>
              <w:rPr>
                <w:b/>
              </w:rPr>
            </w:pPr>
            <w:r w:rsidRPr="000A03FD">
              <w:rPr>
                <w:b/>
                <w:szCs w:val="20"/>
              </w:rPr>
              <w:t>Mepolizumab (N=139)</w:t>
            </w:r>
          </w:p>
        </w:tc>
      </w:tr>
      <w:tr w:rsidR="00133912" w:rsidRPr="000A03FD" w14:paraId="1BBD3D3C"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70F0D1B0" w14:textId="34B5DEFA" w:rsidR="00FA0E3A" w:rsidRPr="000A03FD" w:rsidRDefault="00FA0E3A" w:rsidP="00113672">
            <w:pPr>
              <w:pStyle w:val="Tabletext"/>
            </w:pPr>
            <w:r w:rsidRPr="000A03FD">
              <w:rPr>
                <w:szCs w:val="20"/>
              </w:rPr>
              <w:t>Probability of surgery</w:t>
            </w:r>
            <w:r w:rsidR="00DF31D2" w:rsidRPr="000A03FD">
              <w:rPr>
                <w:szCs w:val="20"/>
              </w:rPr>
              <w:t xml:space="preserve"> by Week 24</w:t>
            </w:r>
            <w:r w:rsidR="00182B44">
              <w:rPr>
                <w:szCs w:val="20"/>
              </w:rPr>
              <w:t>, %</w:t>
            </w:r>
            <w:r w:rsidRPr="000A03FD">
              <w:rPr>
                <w:szCs w:val="20"/>
              </w:rPr>
              <w:t xml:space="preserve"> (95% CI)</w:t>
            </w:r>
            <w:r w:rsidRPr="000A03FD">
              <w:rPr>
                <w:szCs w:val="20"/>
                <w:vertAlign w:val="superscript"/>
              </w:rPr>
              <w:t xml:space="preserve"> a</w:t>
            </w:r>
          </w:p>
        </w:tc>
        <w:tc>
          <w:tcPr>
            <w:tcW w:w="54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A93D1A" w14:textId="77777777" w:rsidR="00FA0E3A" w:rsidRPr="000A03FD" w:rsidRDefault="00FA0E3A" w:rsidP="00113672">
            <w:pPr>
              <w:jc w:val="center"/>
              <w:rPr>
                <w:rFonts w:ascii="Arial Narrow" w:hAnsi="Arial Narrow"/>
                <w:sz w:val="20"/>
                <w:szCs w:val="20"/>
              </w:rPr>
            </w:pPr>
            <w:r w:rsidRPr="000A03FD">
              <w:rPr>
                <w:rFonts w:ascii="Arial Narrow" w:hAnsi="Arial Narrow"/>
                <w:sz w:val="20"/>
                <w:szCs w:val="20"/>
              </w:rPr>
              <w:t>9.1</w:t>
            </w:r>
          </w:p>
          <w:p w14:paraId="349A0B80" w14:textId="77777777" w:rsidR="00FA0E3A" w:rsidRPr="000A03FD" w:rsidRDefault="00FA0E3A" w:rsidP="00113672">
            <w:pPr>
              <w:pStyle w:val="Tabletext"/>
              <w:jc w:val="center"/>
            </w:pPr>
            <w:r w:rsidRPr="000A03FD">
              <w:rPr>
                <w:szCs w:val="20"/>
              </w:rPr>
              <w:t>(5.8, 14.0)</w:t>
            </w:r>
          </w:p>
        </w:tc>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B80D69" w14:textId="77777777" w:rsidR="00FA0E3A" w:rsidRPr="000A03FD" w:rsidRDefault="00FA0E3A" w:rsidP="00113672">
            <w:pPr>
              <w:jc w:val="center"/>
              <w:rPr>
                <w:rFonts w:ascii="Arial Narrow" w:hAnsi="Arial Narrow"/>
                <w:sz w:val="20"/>
                <w:szCs w:val="20"/>
              </w:rPr>
            </w:pPr>
            <w:r w:rsidRPr="000A03FD">
              <w:rPr>
                <w:rFonts w:ascii="Arial Narrow" w:hAnsi="Arial Narrow"/>
                <w:sz w:val="20"/>
                <w:szCs w:val="20"/>
              </w:rPr>
              <w:t>4.0</w:t>
            </w:r>
          </w:p>
          <w:p w14:paraId="73E73BCD" w14:textId="77777777" w:rsidR="00FA0E3A" w:rsidRPr="000A03FD" w:rsidRDefault="00FA0E3A" w:rsidP="00113672">
            <w:pPr>
              <w:pStyle w:val="Tabletext"/>
              <w:jc w:val="center"/>
            </w:pPr>
            <w:r w:rsidRPr="000A03FD">
              <w:rPr>
                <w:szCs w:val="20"/>
              </w:rPr>
              <w:t>(2.0, 7.8)</w:t>
            </w:r>
          </w:p>
        </w:tc>
        <w:tc>
          <w:tcPr>
            <w:tcW w:w="667" w:type="pct"/>
            <w:tcBorders>
              <w:top w:val="single" w:sz="4" w:space="0" w:color="auto"/>
              <w:left w:val="single" w:sz="4" w:space="0" w:color="auto"/>
              <w:bottom w:val="single" w:sz="4" w:space="0" w:color="auto"/>
              <w:right w:val="single" w:sz="4" w:space="0" w:color="auto"/>
            </w:tcBorders>
            <w:vAlign w:val="center"/>
          </w:tcPr>
          <w:p w14:paraId="08EE0C54" w14:textId="0F82450B" w:rsidR="00FA0E3A" w:rsidRPr="000A03FD" w:rsidRDefault="00FA0E3A" w:rsidP="00113672">
            <w:pPr>
              <w:jc w:val="center"/>
              <w:rPr>
                <w:rFonts w:ascii="Arial Narrow" w:hAnsi="Arial Narrow"/>
                <w:sz w:val="20"/>
                <w:szCs w:val="20"/>
              </w:rPr>
            </w:pPr>
            <w:r w:rsidRPr="000A03FD">
              <w:rPr>
                <w:rFonts w:ascii="Arial Narrow" w:hAnsi="Arial Narrow"/>
                <w:sz w:val="20"/>
                <w:szCs w:val="20"/>
              </w:rPr>
              <w:t>8.1</w:t>
            </w:r>
          </w:p>
          <w:p w14:paraId="2F5BB8E0" w14:textId="64268840" w:rsidR="00FA0E3A" w:rsidRPr="000A03FD" w:rsidRDefault="00FA0E3A" w:rsidP="00113672">
            <w:pPr>
              <w:pStyle w:val="Tabletext"/>
              <w:jc w:val="center"/>
            </w:pPr>
            <w:r w:rsidRPr="000A03FD">
              <w:rPr>
                <w:szCs w:val="20"/>
              </w:rPr>
              <w:t>(3.4, 18.3)</w:t>
            </w:r>
          </w:p>
        </w:tc>
        <w:tc>
          <w:tcPr>
            <w:tcW w:w="668" w:type="pct"/>
            <w:tcBorders>
              <w:top w:val="single" w:sz="4" w:space="0" w:color="auto"/>
              <w:left w:val="single" w:sz="4" w:space="0" w:color="auto"/>
              <w:bottom w:val="single" w:sz="4" w:space="0" w:color="auto"/>
              <w:right w:val="single" w:sz="4" w:space="0" w:color="auto"/>
            </w:tcBorders>
            <w:vAlign w:val="center"/>
          </w:tcPr>
          <w:p w14:paraId="6CD0325A" w14:textId="3545EAA0" w:rsidR="00FA0E3A" w:rsidRPr="000A03FD" w:rsidRDefault="00FA0E3A" w:rsidP="00113672">
            <w:pPr>
              <w:jc w:val="center"/>
              <w:rPr>
                <w:rFonts w:ascii="Arial Narrow" w:hAnsi="Arial Narrow"/>
                <w:sz w:val="20"/>
                <w:szCs w:val="20"/>
              </w:rPr>
            </w:pPr>
            <w:r w:rsidRPr="000A03FD">
              <w:rPr>
                <w:rFonts w:ascii="Arial Narrow" w:hAnsi="Arial Narrow"/>
                <w:sz w:val="20"/>
                <w:szCs w:val="20"/>
              </w:rPr>
              <w:t>6.2</w:t>
            </w:r>
          </w:p>
          <w:p w14:paraId="0A28A3C1" w14:textId="7277C558" w:rsidR="00FA0E3A" w:rsidRPr="000A03FD" w:rsidRDefault="00FA0E3A" w:rsidP="00113672">
            <w:pPr>
              <w:pStyle w:val="Tabletext"/>
              <w:jc w:val="center"/>
            </w:pPr>
            <w:r w:rsidRPr="000A03FD">
              <w:rPr>
                <w:szCs w:val="20"/>
              </w:rPr>
              <w:t>(2.4, 15.6)</w:t>
            </w:r>
          </w:p>
        </w:tc>
        <w:tc>
          <w:tcPr>
            <w:tcW w:w="668" w:type="pct"/>
            <w:tcBorders>
              <w:top w:val="single" w:sz="4" w:space="0" w:color="auto"/>
              <w:left w:val="single" w:sz="4" w:space="0" w:color="auto"/>
              <w:bottom w:val="single" w:sz="4" w:space="0" w:color="auto"/>
              <w:right w:val="single" w:sz="4" w:space="0" w:color="auto"/>
            </w:tcBorders>
            <w:vAlign w:val="center"/>
          </w:tcPr>
          <w:p w14:paraId="541EDCBB" w14:textId="77DAC07E" w:rsidR="00FA0E3A" w:rsidRPr="000A03FD" w:rsidRDefault="00FA0E3A" w:rsidP="00113672">
            <w:pPr>
              <w:jc w:val="center"/>
              <w:rPr>
                <w:rFonts w:ascii="Arial Narrow" w:hAnsi="Arial Narrow"/>
                <w:sz w:val="20"/>
                <w:szCs w:val="20"/>
              </w:rPr>
            </w:pPr>
            <w:r w:rsidRPr="000A03FD">
              <w:rPr>
                <w:rFonts w:ascii="Arial Narrow" w:hAnsi="Arial Narrow"/>
                <w:sz w:val="20"/>
                <w:szCs w:val="20"/>
              </w:rPr>
              <w:t>9.5</w:t>
            </w:r>
          </w:p>
          <w:p w14:paraId="3F06E5EC" w14:textId="0C93BB39" w:rsidR="00FA0E3A" w:rsidRPr="000A03FD" w:rsidRDefault="00FA0E3A" w:rsidP="00113672">
            <w:pPr>
              <w:pStyle w:val="Tabletext"/>
              <w:jc w:val="center"/>
            </w:pPr>
            <w:r w:rsidRPr="000A03FD">
              <w:rPr>
                <w:szCs w:val="20"/>
              </w:rPr>
              <w:t>(5.6, 15.8)</w:t>
            </w:r>
          </w:p>
        </w:tc>
        <w:tc>
          <w:tcPr>
            <w:tcW w:w="666" w:type="pct"/>
            <w:tcBorders>
              <w:top w:val="single" w:sz="4" w:space="0" w:color="auto"/>
              <w:left w:val="single" w:sz="4" w:space="0" w:color="auto"/>
              <w:bottom w:val="single" w:sz="4" w:space="0" w:color="auto"/>
              <w:right w:val="single" w:sz="4" w:space="0" w:color="auto"/>
            </w:tcBorders>
            <w:vAlign w:val="center"/>
          </w:tcPr>
          <w:p w14:paraId="06AF6F78" w14:textId="1A82434A" w:rsidR="00FA0E3A" w:rsidRPr="000A03FD" w:rsidRDefault="00FA0E3A" w:rsidP="00113672">
            <w:pPr>
              <w:jc w:val="center"/>
              <w:rPr>
                <w:rFonts w:ascii="Arial Narrow" w:hAnsi="Arial Narrow"/>
                <w:sz w:val="20"/>
                <w:szCs w:val="20"/>
              </w:rPr>
            </w:pPr>
            <w:r w:rsidRPr="000A03FD">
              <w:rPr>
                <w:rFonts w:ascii="Arial Narrow" w:hAnsi="Arial Narrow"/>
                <w:sz w:val="20"/>
                <w:szCs w:val="20"/>
              </w:rPr>
              <w:t>2.9</w:t>
            </w:r>
          </w:p>
          <w:p w14:paraId="1354152E" w14:textId="759ABF85" w:rsidR="00FA0E3A" w:rsidRPr="000A03FD" w:rsidRDefault="00FA0E3A" w:rsidP="00113672">
            <w:pPr>
              <w:pStyle w:val="Tabletext"/>
              <w:jc w:val="center"/>
            </w:pPr>
            <w:r w:rsidRPr="000A03FD">
              <w:rPr>
                <w:szCs w:val="20"/>
              </w:rPr>
              <w:t>(1.1, 7.7)</w:t>
            </w:r>
          </w:p>
        </w:tc>
      </w:tr>
      <w:tr w:rsidR="00133912" w:rsidRPr="000A03FD" w14:paraId="0F861531"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339C4E6C" w14:textId="6BE3E1CC" w:rsidR="00FA0E3A" w:rsidRPr="000A03FD" w:rsidRDefault="00FA0E3A" w:rsidP="00113672">
            <w:pPr>
              <w:pStyle w:val="Tabletext"/>
            </w:pPr>
            <w:r w:rsidRPr="000A03FD">
              <w:rPr>
                <w:szCs w:val="20"/>
              </w:rPr>
              <w:t>Probability of surgery</w:t>
            </w:r>
            <w:r w:rsidR="00DF31D2" w:rsidRPr="000A03FD">
              <w:rPr>
                <w:szCs w:val="20"/>
              </w:rPr>
              <w:t xml:space="preserve"> by Week 52</w:t>
            </w:r>
            <w:r w:rsidR="00182B44">
              <w:rPr>
                <w:szCs w:val="20"/>
              </w:rPr>
              <w:t>, %</w:t>
            </w:r>
            <w:r w:rsidRPr="000A03FD">
              <w:rPr>
                <w:szCs w:val="20"/>
              </w:rPr>
              <w:t xml:space="preserve"> (95% CI)</w:t>
            </w:r>
            <w:r w:rsidRPr="000A03FD">
              <w:rPr>
                <w:szCs w:val="20"/>
                <w:vertAlign w:val="superscript"/>
              </w:rPr>
              <w:t xml:space="preserve"> a</w:t>
            </w:r>
          </w:p>
        </w:tc>
        <w:tc>
          <w:tcPr>
            <w:tcW w:w="54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79533D" w14:textId="77777777" w:rsidR="00FA0E3A" w:rsidRPr="000A03FD" w:rsidRDefault="00FA0E3A" w:rsidP="00113672">
            <w:pPr>
              <w:jc w:val="center"/>
              <w:rPr>
                <w:rFonts w:ascii="Arial Narrow" w:hAnsi="Arial Narrow"/>
                <w:sz w:val="20"/>
                <w:szCs w:val="20"/>
              </w:rPr>
            </w:pPr>
            <w:r w:rsidRPr="000A03FD">
              <w:rPr>
                <w:rFonts w:ascii="Arial Narrow" w:hAnsi="Arial Narrow"/>
                <w:sz w:val="20"/>
                <w:szCs w:val="20"/>
              </w:rPr>
              <w:t>23.6</w:t>
            </w:r>
          </w:p>
          <w:p w14:paraId="5F7B0202" w14:textId="77777777" w:rsidR="00FA0E3A" w:rsidRPr="000A03FD" w:rsidRDefault="00FA0E3A" w:rsidP="00113672">
            <w:pPr>
              <w:pStyle w:val="Tabletext"/>
              <w:jc w:val="center"/>
            </w:pPr>
            <w:r w:rsidRPr="000A03FD">
              <w:rPr>
                <w:szCs w:val="20"/>
              </w:rPr>
              <w:t>(18.3, 30.3)</w:t>
            </w:r>
          </w:p>
        </w:tc>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08DF12" w14:textId="77777777" w:rsidR="00FA0E3A" w:rsidRPr="000A03FD" w:rsidRDefault="00FA0E3A" w:rsidP="00113672">
            <w:pPr>
              <w:jc w:val="center"/>
              <w:rPr>
                <w:rFonts w:ascii="Arial Narrow" w:hAnsi="Arial Narrow"/>
                <w:sz w:val="20"/>
                <w:szCs w:val="20"/>
              </w:rPr>
            </w:pPr>
            <w:r w:rsidRPr="000A03FD">
              <w:rPr>
                <w:rFonts w:ascii="Arial Narrow" w:hAnsi="Arial Narrow"/>
                <w:sz w:val="20"/>
                <w:szCs w:val="20"/>
              </w:rPr>
              <w:t>9.2</w:t>
            </w:r>
          </w:p>
          <w:p w14:paraId="28626EF0" w14:textId="77777777" w:rsidR="00FA0E3A" w:rsidRPr="000A03FD" w:rsidRDefault="00FA0E3A" w:rsidP="00113672">
            <w:pPr>
              <w:pStyle w:val="Tabletext"/>
              <w:jc w:val="center"/>
            </w:pPr>
            <w:r w:rsidRPr="000A03FD">
              <w:rPr>
                <w:szCs w:val="20"/>
              </w:rPr>
              <w:t>(5.9, 14.2)</w:t>
            </w:r>
          </w:p>
        </w:tc>
        <w:tc>
          <w:tcPr>
            <w:tcW w:w="667" w:type="pct"/>
            <w:tcBorders>
              <w:top w:val="single" w:sz="4" w:space="0" w:color="auto"/>
              <w:left w:val="single" w:sz="4" w:space="0" w:color="auto"/>
              <w:bottom w:val="single" w:sz="4" w:space="0" w:color="auto"/>
              <w:right w:val="single" w:sz="4" w:space="0" w:color="auto"/>
            </w:tcBorders>
            <w:vAlign w:val="center"/>
          </w:tcPr>
          <w:p w14:paraId="6346A5E8" w14:textId="5371B785" w:rsidR="00FA0E3A" w:rsidRPr="000A03FD" w:rsidRDefault="00FA0E3A" w:rsidP="00113672">
            <w:pPr>
              <w:jc w:val="center"/>
              <w:rPr>
                <w:rFonts w:ascii="Arial Narrow" w:hAnsi="Arial Narrow"/>
                <w:sz w:val="20"/>
                <w:szCs w:val="20"/>
              </w:rPr>
            </w:pPr>
            <w:r w:rsidRPr="000A03FD">
              <w:rPr>
                <w:rFonts w:ascii="Arial Narrow" w:hAnsi="Arial Narrow"/>
                <w:sz w:val="20"/>
                <w:szCs w:val="20"/>
              </w:rPr>
              <w:t>17.8</w:t>
            </w:r>
          </w:p>
          <w:p w14:paraId="2857A261" w14:textId="570ED02F" w:rsidR="00FA0E3A" w:rsidRPr="000A03FD" w:rsidRDefault="00FA0E3A" w:rsidP="00113672">
            <w:pPr>
              <w:pStyle w:val="Tabletext"/>
              <w:jc w:val="center"/>
            </w:pPr>
            <w:r w:rsidRPr="00BC517D">
              <w:rPr>
                <w:szCs w:val="20"/>
              </w:rPr>
              <w:t>(10.3, 29.8)</w:t>
            </w:r>
          </w:p>
        </w:tc>
        <w:tc>
          <w:tcPr>
            <w:tcW w:w="668" w:type="pct"/>
            <w:tcBorders>
              <w:top w:val="single" w:sz="4" w:space="0" w:color="auto"/>
              <w:left w:val="single" w:sz="4" w:space="0" w:color="auto"/>
              <w:bottom w:val="single" w:sz="4" w:space="0" w:color="auto"/>
              <w:right w:val="single" w:sz="4" w:space="0" w:color="auto"/>
            </w:tcBorders>
            <w:vAlign w:val="center"/>
          </w:tcPr>
          <w:p w14:paraId="44FD28B2" w14:textId="6E556FD1" w:rsidR="00FA0E3A" w:rsidRPr="000A03FD" w:rsidRDefault="00FA0E3A" w:rsidP="00113672">
            <w:pPr>
              <w:jc w:val="center"/>
              <w:rPr>
                <w:rFonts w:ascii="Arial Narrow" w:hAnsi="Arial Narrow"/>
                <w:sz w:val="20"/>
                <w:szCs w:val="20"/>
              </w:rPr>
            </w:pPr>
            <w:r w:rsidRPr="000A03FD">
              <w:rPr>
                <w:rFonts w:ascii="Arial Narrow" w:hAnsi="Arial Narrow"/>
                <w:sz w:val="20"/>
                <w:szCs w:val="20"/>
              </w:rPr>
              <w:t>12.5</w:t>
            </w:r>
          </w:p>
          <w:p w14:paraId="3F0F1D1D" w14:textId="101FFA30" w:rsidR="00FA0E3A" w:rsidRPr="000A03FD" w:rsidRDefault="00FA0E3A" w:rsidP="00113672">
            <w:pPr>
              <w:pStyle w:val="Tabletext"/>
              <w:jc w:val="center"/>
            </w:pPr>
            <w:r w:rsidRPr="000A03FD">
              <w:rPr>
                <w:szCs w:val="20"/>
              </w:rPr>
              <w:t>(6.5, 23.5)</w:t>
            </w:r>
          </w:p>
        </w:tc>
        <w:tc>
          <w:tcPr>
            <w:tcW w:w="668" w:type="pct"/>
            <w:tcBorders>
              <w:top w:val="single" w:sz="4" w:space="0" w:color="auto"/>
              <w:left w:val="single" w:sz="4" w:space="0" w:color="auto"/>
              <w:bottom w:val="single" w:sz="4" w:space="0" w:color="auto"/>
              <w:right w:val="single" w:sz="4" w:space="0" w:color="auto"/>
            </w:tcBorders>
            <w:vAlign w:val="center"/>
          </w:tcPr>
          <w:p w14:paraId="41DCC351" w14:textId="35CDC620" w:rsidR="00FA0E3A" w:rsidRPr="000A03FD" w:rsidRDefault="00FA0E3A" w:rsidP="00113672">
            <w:pPr>
              <w:jc w:val="center"/>
              <w:rPr>
                <w:rFonts w:ascii="Arial Narrow" w:hAnsi="Arial Narrow"/>
                <w:sz w:val="20"/>
                <w:szCs w:val="20"/>
              </w:rPr>
            </w:pPr>
            <w:r w:rsidRPr="000A03FD">
              <w:rPr>
                <w:rFonts w:ascii="Arial Narrow" w:hAnsi="Arial Narrow"/>
                <w:sz w:val="20"/>
                <w:szCs w:val="20"/>
              </w:rPr>
              <w:t>26.4</w:t>
            </w:r>
          </w:p>
          <w:p w14:paraId="4D3DD5D6" w14:textId="70CFE467" w:rsidR="00FA0E3A" w:rsidRPr="000A03FD" w:rsidRDefault="00FA0E3A" w:rsidP="00113672">
            <w:pPr>
              <w:pStyle w:val="Tabletext"/>
              <w:jc w:val="center"/>
            </w:pPr>
            <w:r w:rsidRPr="000A03FD">
              <w:rPr>
                <w:szCs w:val="20"/>
              </w:rPr>
              <w:t>(19.7, 34.8)</w:t>
            </w:r>
          </w:p>
        </w:tc>
        <w:tc>
          <w:tcPr>
            <w:tcW w:w="666" w:type="pct"/>
            <w:tcBorders>
              <w:top w:val="single" w:sz="4" w:space="0" w:color="auto"/>
              <w:left w:val="single" w:sz="4" w:space="0" w:color="auto"/>
              <w:bottom w:val="single" w:sz="4" w:space="0" w:color="auto"/>
              <w:right w:val="single" w:sz="4" w:space="0" w:color="auto"/>
            </w:tcBorders>
            <w:vAlign w:val="center"/>
          </w:tcPr>
          <w:p w14:paraId="584163A8" w14:textId="727A3754" w:rsidR="00FA0E3A" w:rsidRPr="000A03FD" w:rsidRDefault="00FA0E3A" w:rsidP="00113672">
            <w:pPr>
              <w:jc w:val="center"/>
              <w:rPr>
                <w:rFonts w:ascii="Arial Narrow" w:hAnsi="Arial Narrow"/>
                <w:sz w:val="20"/>
                <w:szCs w:val="20"/>
              </w:rPr>
            </w:pPr>
            <w:r w:rsidRPr="000A03FD">
              <w:rPr>
                <w:rFonts w:ascii="Arial Narrow" w:hAnsi="Arial Narrow"/>
                <w:sz w:val="20"/>
                <w:szCs w:val="20"/>
              </w:rPr>
              <w:t>7.6</w:t>
            </w:r>
          </w:p>
          <w:p w14:paraId="5F9919F7" w14:textId="65481197" w:rsidR="00FA0E3A" w:rsidRPr="000A03FD" w:rsidRDefault="00FA0E3A" w:rsidP="00113672">
            <w:pPr>
              <w:pStyle w:val="Tabletext"/>
              <w:jc w:val="center"/>
            </w:pPr>
            <w:r w:rsidRPr="000A03FD">
              <w:rPr>
                <w:szCs w:val="20"/>
              </w:rPr>
              <w:t>(4.1, 13.6)</w:t>
            </w:r>
          </w:p>
        </w:tc>
      </w:tr>
      <w:tr w:rsidR="00133912" w:rsidRPr="000A03FD" w14:paraId="4216E4FE" w14:textId="77777777" w:rsidTr="00113672">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5E7A0F7" w14:textId="77777777" w:rsidR="00FA0E3A" w:rsidRPr="000A03FD" w:rsidRDefault="00FA0E3A" w:rsidP="00113672">
            <w:pPr>
              <w:pStyle w:val="Tabletext"/>
              <w:rPr>
                <w:b/>
                <w:bCs/>
              </w:rPr>
            </w:pPr>
            <w:r w:rsidRPr="000A03FD">
              <w:rPr>
                <w:b/>
                <w:bCs/>
                <w:szCs w:val="20"/>
              </w:rPr>
              <w:t>Time to First Nasal Surgery</w:t>
            </w:r>
          </w:p>
        </w:tc>
      </w:tr>
      <w:tr w:rsidR="00133912" w:rsidRPr="000A03FD" w14:paraId="06A177DC"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035BC622" w14:textId="38436054" w:rsidR="00FA0E3A" w:rsidRPr="000A03FD" w:rsidRDefault="00FA0E3A" w:rsidP="00113672">
            <w:pPr>
              <w:pStyle w:val="Tabletext"/>
            </w:pPr>
            <w:r w:rsidRPr="000A03FD">
              <w:rPr>
                <w:szCs w:val="20"/>
              </w:rPr>
              <w:t>Nasal surgery prior to Week 52</w:t>
            </w:r>
            <w:r w:rsidR="00182B44">
              <w:rPr>
                <w:szCs w:val="20"/>
              </w:rPr>
              <w:t>, n (%)</w:t>
            </w:r>
            <w:r w:rsidRPr="000A03FD">
              <w:rPr>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CCC25E" w14:textId="77777777" w:rsidR="00FA0E3A" w:rsidRPr="000A03FD" w:rsidRDefault="00FA0E3A" w:rsidP="00113672">
            <w:pPr>
              <w:pStyle w:val="Tabletext"/>
              <w:jc w:val="center"/>
            </w:pPr>
            <w:r w:rsidRPr="000A03FD">
              <w:rPr>
                <w:szCs w:val="20"/>
              </w:rPr>
              <w:t>46 (23)</w:t>
            </w:r>
          </w:p>
        </w:tc>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97CF2" w14:textId="77777777" w:rsidR="00FA0E3A" w:rsidRPr="000A03FD" w:rsidRDefault="00FA0E3A" w:rsidP="00113672">
            <w:pPr>
              <w:pStyle w:val="Tabletext"/>
              <w:jc w:val="center"/>
            </w:pPr>
            <w:r w:rsidRPr="000A03FD">
              <w:rPr>
                <w:szCs w:val="20"/>
              </w:rPr>
              <w:t>18 (9)</w:t>
            </w:r>
          </w:p>
        </w:tc>
        <w:tc>
          <w:tcPr>
            <w:tcW w:w="667" w:type="pct"/>
            <w:tcBorders>
              <w:top w:val="single" w:sz="4" w:space="0" w:color="auto"/>
              <w:left w:val="single" w:sz="4" w:space="0" w:color="auto"/>
              <w:bottom w:val="single" w:sz="4" w:space="0" w:color="auto"/>
              <w:right w:val="single" w:sz="4" w:space="0" w:color="auto"/>
            </w:tcBorders>
            <w:vAlign w:val="center"/>
          </w:tcPr>
          <w:p w14:paraId="024B1FDE" w14:textId="6CC6061E" w:rsidR="00FA0E3A" w:rsidRPr="000A03FD" w:rsidRDefault="00FA0E3A" w:rsidP="00113672">
            <w:pPr>
              <w:pStyle w:val="Tabletext"/>
              <w:jc w:val="center"/>
            </w:pPr>
            <w:r w:rsidRPr="000A03FD">
              <w:rPr>
                <w:szCs w:val="20"/>
              </w:rPr>
              <w:t>11 (18)</w:t>
            </w:r>
          </w:p>
        </w:tc>
        <w:tc>
          <w:tcPr>
            <w:tcW w:w="668" w:type="pct"/>
            <w:tcBorders>
              <w:top w:val="single" w:sz="4" w:space="0" w:color="auto"/>
              <w:left w:val="single" w:sz="4" w:space="0" w:color="auto"/>
              <w:bottom w:val="single" w:sz="4" w:space="0" w:color="auto"/>
              <w:right w:val="single" w:sz="4" w:space="0" w:color="auto"/>
            </w:tcBorders>
            <w:vAlign w:val="center"/>
          </w:tcPr>
          <w:p w14:paraId="171233DC" w14:textId="03E5A9CF" w:rsidR="00FA0E3A" w:rsidRPr="000A03FD" w:rsidRDefault="00FA0E3A" w:rsidP="00113672">
            <w:pPr>
              <w:pStyle w:val="Tabletext"/>
              <w:jc w:val="center"/>
            </w:pPr>
            <w:r w:rsidRPr="000A03FD">
              <w:rPr>
                <w:szCs w:val="20"/>
              </w:rPr>
              <w:t>8 (12)</w:t>
            </w:r>
          </w:p>
        </w:tc>
        <w:tc>
          <w:tcPr>
            <w:tcW w:w="668" w:type="pct"/>
            <w:tcBorders>
              <w:top w:val="single" w:sz="4" w:space="0" w:color="auto"/>
              <w:left w:val="single" w:sz="4" w:space="0" w:color="auto"/>
              <w:bottom w:val="single" w:sz="4" w:space="0" w:color="auto"/>
              <w:right w:val="single" w:sz="4" w:space="0" w:color="auto"/>
            </w:tcBorders>
            <w:vAlign w:val="center"/>
          </w:tcPr>
          <w:p w14:paraId="305C38D8" w14:textId="1CB015E3" w:rsidR="00FA0E3A" w:rsidRPr="000A03FD" w:rsidRDefault="00FA0E3A" w:rsidP="00113672">
            <w:pPr>
              <w:pStyle w:val="Tabletext"/>
              <w:jc w:val="center"/>
            </w:pPr>
            <w:r w:rsidRPr="000A03FD">
              <w:rPr>
                <w:szCs w:val="20"/>
              </w:rPr>
              <w:t>35 (25)</w:t>
            </w:r>
          </w:p>
        </w:tc>
        <w:tc>
          <w:tcPr>
            <w:tcW w:w="666" w:type="pct"/>
            <w:tcBorders>
              <w:top w:val="single" w:sz="4" w:space="0" w:color="auto"/>
              <w:left w:val="single" w:sz="4" w:space="0" w:color="auto"/>
              <w:bottom w:val="single" w:sz="4" w:space="0" w:color="auto"/>
              <w:right w:val="single" w:sz="4" w:space="0" w:color="auto"/>
            </w:tcBorders>
            <w:vAlign w:val="center"/>
          </w:tcPr>
          <w:p w14:paraId="5CFD909B" w14:textId="2A4454F9" w:rsidR="00FA0E3A" w:rsidRPr="000A03FD" w:rsidRDefault="00FA0E3A" w:rsidP="00113672">
            <w:pPr>
              <w:pStyle w:val="Tabletext"/>
              <w:jc w:val="center"/>
            </w:pPr>
            <w:r w:rsidRPr="000A03FD">
              <w:rPr>
                <w:szCs w:val="20"/>
              </w:rPr>
              <w:t>10 (7)</w:t>
            </w:r>
          </w:p>
        </w:tc>
      </w:tr>
      <w:tr w:rsidR="00133912" w:rsidRPr="000A03FD" w14:paraId="1BDE904E"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7B7FD576" w14:textId="3297B56B" w:rsidR="00FA0E3A" w:rsidRPr="000A03FD" w:rsidRDefault="00FA0E3A" w:rsidP="00113672">
            <w:pPr>
              <w:pStyle w:val="Tabletext"/>
            </w:pPr>
            <w:r w:rsidRPr="000A03FD">
              <w:rPr>
                <w:szCs w:val="20"/>
              </w:rPr>
              <w:t>No surgery prior to Week 52</w:t>
            </w:r>
            <w:r w:rsidR="00182B44">
              <w:rPr>
                <w:szCs w:val="20"/>
              </w:rPr>
              <w:t>, n (%)</w:t>
            </w:r>
            <w:r w:rsidRPr="000A03FD">
              <w:rPr>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2D05F4" w14:textId="77777777" w:rsidR="00FA0E3A" w:rsidRPr="000A03FD" w:rsidRDefault="00FA0E3A" w:rsidP="00113672">
            <w:pPr>
              <w:pStyle w:val="Tabletext"/>
              <w:jc w:val="center"/>
            </w:pPr>
            <w:r w:rsidRPr="000A03FD">
              <w:rPr>
                <w:szCs w:val="20"/>
              </w:rPr>
              <w:t>155 (77)</w:t>
            </w:r>
          </w:p>
        </w:tc>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4A45AC" w14:textId="77777777" w:rsidR="00FA0E3A" w:rsidRPr="000A03FD" w:rsidRDefault="00FA0E3A" w:rsidP="00113672">
            <w:pPr>
              <w:pStyle w:val="Tabletext"/>
              <w:jc w:val="center"/>
            </w:pPr>
            <w:r w:rsidRPr="000A03FD">
              <w:rPr>
                <w:szCs w:val="20"/>
              </w:rPr>
              <w:t>188 (91)</w:t>
            </w:r>
          </w:p>
        </w:tc>
        <w:tc>
          <w:tcPr>
            <w:tcW w:w="667" w:type="pct"/>
            <w:tcBorders>
              <w:top w:val="single" w:sz="4" w:space="0" w:color="auto"/>
              <w:left w:val="single" w:sz="4" w:space="0" w:color="auto"/>
              <w:bottom w:val="single" w:sz="4" w:space="0" w:color="auto"/>
              <w:right w:val="single" w:sz="4" w:space="0" w:color="auto"/>
            </w:tcBorders>
            <w:vAlign w:val="center"/>
          </w:tcPr>
          <w:p w14:paraId="705F9DD7" w14:textId="1A7C8E14" w:rsidR="00FA0E3A" w:rsidRPr="000A03FD" w:rsidRDefault="00FA0E3A" w:rsidP="00113672">
            <w:pPr>
              <w:pStyle w:val="Tabletext"/>
              <w:jc w:val="center"/>
            </w:pPr>
            <w:r w:rsidRPr="000A03FD">
              <w:rPr>
                <w:szCs w:val="20"/>
              </w:rPr>
              <w:t>51 (82)</w:t>
            </w:r>
          </w:p>
        </w:tc>
        <w:tc>
          <w:tcPr>
            <w:tcW w:w="668" w:type="pct"/>
            <w:tcBorders>
              <w:top w:val="single" w:sz="4" w:space="0" w:color="auto"/>
              <w:left w:val="single" w:sz="4" w:space="0" w:color="auto"/>
              <w:bottom w:val="single" w:sz="4" w:space="0" w:color="auto"/>
              <w:right w:val="single" w:sz="4" w:space="0" w:color="auto"/>
            </w:tcBorders>
            <w:vAlign w:val="center"/>
          </w:tcPr>
          <w:p w14:paraId="1F373074" w14:textId="376362E4" w:rsidR="00FA0E3A" w:rsidRPr="000A03FD" w:rsidRDefault="00FA0E3A" w:rsidP="00113672">
            <w:pPr>
              <w:pStyle w:val="Tabletext"/>
              <w:jc w:val="center"/>
            </w:pPr>
            <w:r w:rsidRPr="000A03FD">
              <w:rPr>
                <w:szCs w:val="20"/>
              </w:rPr>
              <w:t>59 (88)</w:t>
            </w:r>
          </w:p>
        </w:tc>
        <w:tc>
          <w:tcPr>
            <w:tcW w:w="668" w:type="pct"/>
            <w:tcBorders>
              <w:top w:val="single" w:sz="4" w:space="0" w:color="auto"/>
              <w:left w:val="single" w:sz="4" w:space="0" w:color="auto"/>
              <w:bottom w:val="single" w:sz="4" w:space="0" w:color="auto"/>
              <w:right w:val="single" w:sz="4" w:space="0" w:color="auto"/>
            </w:tcBorders>
            <w:vAlign w:val="center"/>
          </w:tcPr>
          <w:p w14:paraId="234A829F" w14:textId="7AD5A58F" w:rsidR="00FA0E3A" w:rsidRPr="000A03FD" w:rsidRDefault="00FA0E3A" w:rsidP="00113672">
            <w:pPr>
              <w:pStyle w:val="Tabletext"/>
              <w:jc w:val="center"/>
            </w:pPr>
            <w:r w:rsidRPr="000A03FD">
              <w:rPr>
                <w:szCs w:val="20"/>
              </w:rPr>
              <w:t>104 (75)</w:t>
            </w:r>
          </w:p>
        </w:tc>
        <w:tc>
          <w:tcPr>
            <w:tcW w:w="666" w:type="pct"/>
            <w:tcBorders>
              <w:top w:val="single" w:sz="4" w:space="0" w:color="auto"/>
              <w:left w:val="single" w:sz="4" w:space="0" w:color="auto"/>
              <w:bottom w:val="single" w:sz="4" w:space="0" w:color="auto"/>
              <w:right w:val="single" w:sz="4" w:space="0" w:color="auto"/>
            </w:tcBorders>
            <w:vAlign w:val="center"/>
          </w:tcPr>
          <w:p w14:paraId="7C81D53D" w14:textId="713D4BE4" w:rsidR="00FA0E3A" w:rsidRPr="000A03FD" w:rsidRDefault="00FA0E3A" w:rsidP="00113672">
            <w:pPr>
              <w:pStyle w:val="Tabletext"/>
              <w:jc w:val="center"/>
            </w:pPr>
            <w:r w:rsidRPr="000A03FD">
              <w:rPr>
                <w:szCs w:val="20"/>
              </w:rPr>
              <w:t>129 (93)</w:t>
            </w:r>
          </w:p>
        </w:tc>
      </w:tr>
      <w:tr w:rsidR="00133912" w:rsidRPr="000A03FD" w14:paraId="24006D48"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5E352F9F" w14:textId="3039B33A" w:rsidR="00FA0E3A" w:rsidRPr="000A03FD" w:rsidRDefault="00FA0E3A" w:rsidP="00113672">
            <w:pPr>
              <w:pStyle w:val="Tabletext"/>
            </w:pPr>
            <w:r w:rsidRPr="000A03FD">
              <w:rPr>
                <w:szCs w:val="20"/>
              </w:rPr>
              <w:t xml:space="preserve">Hazard ratio (Mepolizumab/Placebo) (95% CI) </w:t>
            </w:r>
            <w:r w:rsidR="005E7BA9" w:rsidRPr="000A03FD">
              <w:rPr>
                <w:szCs w:val="20"/>
                <w:vertAlign w:val="superscript"/>
              </w:rPr>
              <w:t>b</w:t>
            </w:r>
          </w:p>
        </w:tc>
        <w:tc>
          <w:tcPr>
            <w:tcW w:w="548" w:type="pct"/>
            <w:tcBorders>
              <w:top w:val="single" w:sz="4" w:space="0" w:color="auto"/>
              <w:left w:val="single" w:sz="4" w:space="0" w:color="auto"/>
              <w:bottom w:val="single" w:sz="4" w:space="0" w:color="auto"/>
              <w:right w:val="single" w:sz="4" w:space="0" w:color="auto"/>
            </w:tcBorders>
            <w:vAlign w:val="center"/>
          </w:tcPr>
          <w:p w14:paraId="3970CB8A" w14:textId="77777777" w:rsidR="00FA0E3A" w:rsidRPr="000A03FD" w:rsidRDefault="00FA0E3A" w:rsidP="00113672">
            <w:pPr>
              <w:pStyle w:val="Tabletext"/>
              <w:jc w:val="center"/>
              <w:rPr>
                <w:highlight w:val="cyan"/>
              </w:rPr>
            </w:pPr>
          </w:p>
        </w:tc>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3D52BD" w14:textId="77777777" w:rsidR="00FA0E3A" w:rsidRPr="000A03FD" w:rsidRDefault="00FA0E3A" w:rsidP="00113672">
            <w:pPr>
              <w:jc w:val="center"/>
              <w:rPr>
                <w:rFonts w:ascii="Arial Narrow" w:eastAsia="ArialNarrow" w:hAnsi="Arial Narrow" w:cs="ArialNarrow"/>
                <w:sz w:val="20"/>
                <w:szCs w:val="20"/>
              </w:rPr>
            </w:pPr>
            <w:r w:rsidRPr="000A03FD">
              <w:rPr>
                <w:rFonts w:ascii="Arial Narrow" w:eastAsia="ArialNarrow" w:hAnsi="Arial Narrow" w:cs="ArialNarrow"/>
                <w:sz w:val="20"/>
                <w:szCs w:val="20"/>
              </w:rPr>
              <w:t>0.43</w:t>
            </w:r>
          </w:p>
          <w:p w14:paraId="469BDBD3" w14:textId="77777777" w:rsidR="00FA0E3A" w:rsidRPr="000A03FD" w:rsidRDefault="00FA0E3A" w:rsidP="00113672">
            <w:pPr>
              <w:pStyle w:val="Tabletext"/>
              <w:jc w:val="center"/>
            </w:pPr>
            <w:r w:rsidRPr="000A03FD">
              <w:rPr>
                <w:rFonts w:eastAsia="ArialNarrow" w:cs="ArialNarrow"/>
                <w:szCs w:val="20"/>
              </w:rPr>
              <w:t>(0.25, 0.76)</w:t>
            </w:r>
          </w:p>
        </w:tc>
        <w:tc>
          <w:tcPr>
            <w:tcW w:w="667" w:type="pct"/>
            <w:tcBorders>
              <w:top w:val="single" w:sz="4" w:space="0" w:color="auto"/>
              <w:left w:val="single" w:sz="4" w:space="0" w:color="auto"/>
              <w:bottom w:val="single" w:sz="4" w:space="0" w:color="auto"/>
              <w:right w:val="single" w:sz="4" w:space="0" w:color="auto"/>
            </w:tcBorders>
            <w:vAlign w:val="center"/>
          </w:tcPr>
          <w:p w14:paraId="644D0C36" w14:textId="77777777" w:rsidR="00FA0E3A" w:rsidRPr="000A03FD" w:rsidRDefault="00FA0E3A" w:rsidP="00113672">
            <w:pPr>
              <w:pStyle w:val="Tabletext"/>
              <w:jc w:val="center"/>
            </w:pPr>
          </w:p>
        </w:tc>
        <w:tc>
          <w:tcPr>
            <w:tcW w:w="668" w:type="pct"/>
            <w:tcBorders>
              <w:top w:val="single" w:sz="4" w:space="0" w:color="auto"/>
              <w:left w:val="single" w:sz="4" w:space="0" w:color="auto"/>
              <w:bottom w:val="single" w:sz="4" w:space="0" w:color="auto"/>
              <w:right w:val="single" w:sz="4" w:space="0" w:color="auto"/>
            </w:tcBorders>
            <w:vAlign w:val="center"/>
          </w:tcPr>
          <w:p w14:paraId="7ADA564B" w14:textId="77777777" w:rsidR="00FA0E3A" w:rsidRPr="000A03FD" w:rsidRDefault="00FA0E3A" w:rsidP="00113672">
            <w:pPr>
              <w:jc w:val="center"/>
              <w:rPr>
                <w:rFonts w:ascii="Arial Narrow" w:eastAsia="ArialNarrow" w:hAnsi="Arial Narrow" w:cs="ArialNarrow"/>
                <w:sz w:val="20"/>
                <w:szCs w:val="20"/>
              </w:rPr>
            </w:pPr>
            <w:r w:rsidRPr="000A03FD">
              <w:rPr>
                <w:rFonts w:ascii="Arial Narrow" w:eastAsia="ArialNarrow" w:hAnsi="Arial Narrow" w:cs="ArialNarrow"/>
                <w:sz w:val="20"/>
                <w:szCs w:val="20"/>
              </w:rPr>
              <w:t>0.83</w:t>
            </w:r>
          </w:p>
          <w:p w14:paraId="252D83EB" w14:textId="77777777" w:rsidR="00FA0E3A" w:rsidRPr="000A03FD" w:rsidRDefault="00FA0E3A" w:rsidP="00113672">
            <w:pPr>
              <w:pStyle w:val="Tabletext"/>
              <w:jc w:val="center"/>
            </w:pPr>
            <w:r w:rsidRPr="000A03FD">
              <w:rPr>
                <w:rFonts w:eastAsia="ArialNarrow" w:cs="ArialNarrow"/>
                <w:szCs w:val="20"/>
              </w:rPr>
              <w:t>(0.33, 2.09)</w:t>
            </w:r>
          </w:p>
        </w:tc>
        <w:tc>
          <w:tcPr>
            <w:tcW w:w="668" w:type="pct"/>
            <w:tcBorders>
              <w:top w:val="single" w:sz="4" w:space="0" w:color="auto"/>
              <w:left w:val="single" w:sz="4" w:space="0" w:color="auto"/>
              <w:bottom w:val="single" w:sz="4" w:space="0" w:color="auto"/>
              <w:right w:val="single" w:sz="4" w:space="0" w:color="auto"/>
            </w:tcBorders>
            <w:vAlign w:val="center"/>
          </w:tcPr>
          <w:p w14:paraId="5E2A8DD5" w14:textId="77777777" w:rsidR="00FA0E3A" w:rsidRPr="000A03FD" w:rsidRDefault="00FA0E3A" w:rsidP="00113672">
            <w:pPr>
              <w:pStyle w:val="Tabletext"/>
              <w:jc w:val="center"/>
            </w:pPr>
          </w:p>
        </w:tc>
        <w:tc>
          <w:tcPr>
            <w:tcW w:w="666" w:type="pct"/>
            <w:tcBorders>
              <w:top w:val="single" w:sz="4" w:space="0" w:color="auto"/>
              <w:left w:val="single" w:sz="4" w:space="0" w:color="auto"/>
              <w:bottom w:val="single" w:sz="4" w:space="0" w:color="auto"/>
              <w:right w:val="single" w:sz="4" w:space="0" w:color="auto"/>
            </w:tcBorders>
            <w:vAlign w:val="center"/>
          </w:tcPr>
          <w:p w14:paraId="21901ED0" w14:textId="77777777" w:rsidR="00FA0E3A" w:rsidRPr="000A03FD" w:rsidRDefault="00FA0E3A" w:rsidP="00113672">
            <w:pPr>
              <w:jc w:val="center"/>
              <w:rPr>
                <w:rFonts w:ascii="Arial Narrow" w:eastAsia="ArialNarrow" w:hAnsi="Arial Narrow" w:cs="ArialNarrow"/>
                <w:sz w:val="20"/>
                <w:szCs w:val="20"/>
              </w:rPr>
            </w:pPr>
            <w:r w:rsidRPr="000A03FD">
              <w:rPr>
                <w:rFonts w:ascii="Arial Narrow" w:eastAsia="ArialNarrow" w:hAnsi="Arial Narrow" w:cs="ArialNarrow"/>
                <w:sz w:val="20"/>
                <w:szCs w:val="20"/>
              </w:rPr>
              <w:t>0.31</w:t>
            </w:r>
          </w:p>
          <w:p w14:paraId="30FAE3C3" w14:textId="77777777" w:rsidR="00FA0E3A" w:rsidRPr="000A03FD" w:rsidRDefault="00FA0E3A" w:rsidP="00113672">
            <w:pPr>
              <w:pStyle w:val="Tabletext"/>
              <w:jc w:val="center"/>
            </w:pPr>
            <w:r w:rsidRPr="000A03FD">
              <w:rPr>
                <w:rFonts w:eastAsia="ArialNarrow" w:cs="ArialNarrow"/>
                <w:szCs w:val="20"/>
              </w:rPr>
              <w:t>(0.15, 0.64)</w:t>
            </w:r>
          </w:p>
        </w:tc>
      </w:tr>
      <w:tr w:rsidR="00133912" w:rsidRPr="000A03FD" w14:paraId="6481F57A" w14:textId="77777777" w:rsidTr="00DF31D2">
        <w:trPr>
          <w:tblHeader/>
        </w:trPr>
        <w:tc>
          <w:tcPr>
            <w:tcW w:w="1175" w:type="pct"/>
            <w:tcBorders>
              <w:top w:val="single" w:sz="4" w:space="0" w:color="auto"/>
              <w:left w:val="single" w:sz="4" w:space="0" w:color="auto"/>
              <w:bottom w:val="single" w:sz="4" w:space="0" w:color="auto"/>
              <w:right w:val="single" w:sz="4" w:space="0" w:color="auto"/>
            </w:tcBorders>
          </w:tcPr>
          <w:p w14:paraId="3F6D3AE6" w14:textId="77777777" w:rsidR="00FA0E3A" w:rsidRPr="000A03FD" w:rsidRDefault="00FA0E3A" w:rsidP="00113672">
            <w:pPr>
              <w:pStyle w:val="Tabletext"/>
            </w:pPr>
            <w:r w:rsidRPr="000A03FD">
              <w:rPr>
                <w:szCs w:val="20"/>
              </w:rPr>
              <w:t>p-value</w:t>
            </w:r>
          </w:p>
        </w:tc>
        <w:tc>
          <w:tcPr>
            <w:tcW w:w="548" w:type="pct"/>
            <w:tcBorders>
              <w:top w:val="single" w:sz="4" w:space="0" w:color="auto"/>
              <w:left w:val="single" w:sz="4" w:space="0" w:color="auto"/>
              <w:bottom w:val="single" w:sz="4" w:space="0" w:color="auto"/>
              <w:right w:val="single" w:sz="4" w:space="0" w:color="auto"/>
            </w:tcBorders>
            <w:vAlign w:val="center"/>
          </w:tcPr>
          <w:p w14:paraId="5C7957EE" w14:textId="77777777" w:rsidR="00FA0E3A" w:rsidRPr="000A03FD" w:rsidRDefault="00FA0E3A" w:rsidP="00113672">
            <w:pPr>
              <w:pStyle w:val="Tabletext"/>
              <w:jc w:val="center"/>
              <w:rPr>
                <w:highlight w:val="cyan"/>
              </w:rPr>
            </w:pPr>
          </w:p>
        </w:tc>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2F1F27" w14:textId="77777777" w:rsidR="00FA0E3A" w:rsidRPr="000A03FD" w:rsidRDefault="00FA0E3A" w:rsidP="00113672">
            <w:pPr>
              <w:pStyle w:val="Tabletext"/>
              <w:jc w:val="center"/>
            </w:pPr>
            <w:r w:rsidRPr="000A03FD">
              <w:rPr>
                <w:rFonts w:eastAsia="ArialNarrow" w:cs="ArialNarrow"/>
                <w:szCs w:val="20"/>
              </w:rPr>
              <w:t>0.003</w:t>
            </w:r>
          </w:p>
        </w:tc>
        <w:tc>
          <w:tcPr>
            <w:tcW w:w="667" w:type="pct"/>
            <w:tcBorders>
              <w:top w:val="single" w:sz="4" w:space="0" w:color="auto"/>
              <w:left w:val="single" w:sz="4" w:space="0" w:color="auto"/>
              <w:bottom w:val="single" w:sz="4" w:space="0" w:color="auto"/>
              <w:right w:val="single" w:sz="4" w:space="0" w:color="auto"/>
            </w:tcBorders>
            <w:vAlign w:val="center"/>
          </w:tcPr>
          <w:p w14:paraId="48CADEE7" w14:textId="77777777" w:rsidR="00FA0E3A" w:rsidRPr="000A03FD" w:rsidRDefault="00FA0E3A" w:rsidP="00113672">
            <w:pPr>
              <w:pStyle w:val="Tabletext"/>
              <w:jc w:val="center"/>
            </w:pPr>
          </w:p>
        </w:tc>
        <w:tc>
          <w:tcPr>
            <w:tcW w:w="668" w:type="pct"/>
            <w:tcBorders>
              <w:top w:val="single" w:sz="4" w:space="0" w:color="auto"/>
              <w:left w:val="single" w:sz="4" w:space="0" w:color="auto"/>
              <w:bottom w:val="single" w:sz="4" w:space="0" w:color="auto"/>
              <w:right w:val="single" w:sz="4" w:space="0" w:color="auto"/>
            </w:tcBorders>
            <w:vAlign w:val="center"/>
          </w:tcPr>
          <w:p w14:paraId="29D6258D" w14:textId="77777777" w:rsidR="00FA0E3A" w:rsidRPr="000A03FD" w:rsidRDefault="00FA0E3A" w:rsidP="00113672">
            <w:pPr>
              <w:pStyle w:val="Tabletext"/>
              <w:jc w:val="center"/>
            </w:pPr>
            <w:r w:rsidRPr="000A03FD">
              <w:rPr>
                <w:rFonts w:eastAsia="ArialNarrow" w:cs="ArialNarrow"/>
                <w:szCs w:val="20"/>
              </w:rPr>
              <w:t>NR</w:t>
            </w:r>
          </w:p>
        </w:tc>
        <w:tc>
          <w:tcPr>
            <w:tcW w:w="668" w:type="pct"/>
            <w:tcBorders>
              <w:top w:val="single" w:sz="4" w:space="0" w:color="auto"/>
              <w:left w:val="single" w:sz="4" w:space="0" w:color="auto"/>
              <w:bottom w:val="single" w:sz="4" w:space="0" w:color="auto"/>
              <w:right w:val="single" w:sz="4" w:space="0" w:color="auto"/>
            </w:tcBorders>
            <w:vAlign w:val="center"/>
          </w:tcPr>
          <w:p w14:paraId="176B5FB4" w14:textId="77777777" w:rsidR="00FA0E3A" w:rsidRPr="000A03FD" w:rsidRDefault="00FA0E3A" w:rsidP="00113672">
            <w:pPr>
              <w:pStyle w:val="Tabletext"/>
              <w:jc w:val="center"/>
            </w:pPr>
          </w:p>
        </w:tc>
        <w:tc>
          <w:tcPr>
            <w:tcW w:w="666" w:type="pct"/>
            <w:tcBorders>
              <w:top w:val="single" w:sz="4" w:space="0" w:color="auto"/>
              <w:left w:val="single" w:sz="4" w:space="0" w:color="auto"/>
              <w:bottom w:val="single" w:sz="4" w:space="0" w:color="auto"/>
              <w:right w:val="single" w:sz="4" w:space="0" w:color="auto"/>
            </w:tcBorders>
            <w:vAlign w:val="center"/>
          </w:tcPr>
          <w:p w14:paraId="0D4328D4" w14:textId="77777777" w:rsidR="00FA0E3A" w:rsidRPr="000A03FD" w:rsidRDefault="00FA0E3A" w:rsidP="00113672">
            <w:pPr>
              <w:pStyle w:val="Tabletext"/>
              <w:jc w:val="center"/>
            </w:pPr>
            <w:r w:rsidRPr="000A03FD">
              <w:t>NR</w:t>
            </w:r>
          </w:p>
        </w:tc>
      </w:tr>
    </w:tbl>
    <w:p w14:paraId="68B32674" w14:textId="77777777" w:rsidR="00FA0E3A" w:rsidRPr="000A03FD" w:rsidRDefault="00FA0E3A" w:rsidP="00FA0E3A">
      <w:pPr>
        <w:pStyle w:val="TableFooter"/>
      </w:pPr>
      <w:r w:rsidRPr="000A03FD">
        <w:t>Source: Table 2-28 (p80-1) of the resubmission</w:t>
      </w:r>
    </w:p>
    <w:p w14:paraId="0B3819DA" w14:textId="6D13D7EA" w:rsidR="005E7BA9" w:rsidRPr="000A03FD" w:rsidRDefault="00FA0E3A" w:rsidP="005E7BA9">
      <w:pPr>
        <w:rPr>
          <w:rFonts w:ascii="Arial Narrow" w:hAnsi="Arial Narrow"/>
          <w:sz w:val="18"/>
          <w:szCs w:val="18"/>
        </w:rPr>
      </w:pPr>
      <w:r w:rsidRPr="000A03FD">
        <w:rPr>
          <w:rFonts w:ascii="Arial Narrow" w:hAnsi="Arial Narrow"/>
          <w:sz w:val="18"/>
          <w:szCs w:val="18"/>
        </w:rPr>
        <w:t>a. Kaplan-Meier estimate.</w:t>
      </w:r>
      <w:r w:rsidR="005E7BA9" w:rsidRPr="000A03FD">
        <w:rPr>
          <w:rFonts w:ascii="Arial Narrow" w:hAnsi="Arial Narrow"/>
          <w:sz w:val="18"/>
          <w:szCs w:val="18"/>
        </w:rPr>
        <w:t xml:space="preserve"> </w:t>
      </w:r>
    </w:p>
    <w:p w14:paraId="4D0DBC52" w14:textId="77777777" w:rsidR="00FA0E3A" w:rsidRPr="000A03FD" w:rsidRDefault="00FA0E3A" w:rsidP="005E7BA9">
      <w:pPr>
        <w:rPr>
          <w:rFonts w:ascii="Arial Narrow" w:hAnsi="Arial Narrow"/>
          <w:sz w:val="18"/>
          <w:szCs w:val="18"/>
        </w:rPr>
      </w:pPr>
      <w:r w:rsidRPr="000A03FD">
        <w:rPr>
          <w:rFonts w:ascii="Arial Narrow" w:hAnsi="Arial Narrow"/>
          <w:sz w:val="18"/>
          <w:szCs w:val="18"/>
        </w:rPr>
        <w:t>b. Estimated from a Cox Proportional Hazards Model with covariates of treatment group, geographic region, baseline total endoscopic score (centrally read), baseline nasal obstruction VAS, log(e) baseline blood eosinophil count and number of previous surgeries (1, 2, &gt;2 as ordinal).</w:t>
      </w:r>
    </w:p>
    <w:p w14:paraId="22FE8669" w14:textId="77777777" w:rsidR="00FA0E3A" w:rsidRPr="000A03FD" w:rsidRDefault="00FA0E3A" w:rsidP="00FA0E3A">
      <w:pPr>
        <w:rPr>
          <w:rFonts w:ascii="Arial Narrow" w:hAnsi="Arial Narrow"/>
          <w:sz w:val="18"/>
          <w:szCs w:val="18"/>
        </w:rPr>
      </w:pPr>
      <w:r w:rsidRPr="000A03FD">
        <w:rPr>
          <w:rFonts w:ascii="Arial Narrow" w:hAnsi="Arial Narrow"/>
          <w:sz w:val="18"/>
          <w:szCs w:val="18"/>
        </w:rPr>
        <w:t>Note: Includes data reported up to Week 52.</w:t>
      </w:r>
    </w:p>
    <w:p w14:paraId="19771DD9" w14:textId="7F451B65" w:rsidR="00FA0E3A" w:rsidRPr="000A03FD" w:rsidRDefault="00FA0E3A" w:rsidP="003A5A14">
      <w:pPr>
        <w:pStyle w:val="TableFooter"/>
      </w:pPr>
      <w:r w:rsidRPr="000A03FD">
        <w:t>BEC = blood eosinophil count; CI = confidence interval</w:t>
      </w:r>
    </w:p>
    <w:p w14:paraId="1939000F" w14:textId="224D89B3" w:rsidR="003A5A14" w:rsidRDefault="003A5A14" w:rsidP="00BC517D">
      <w:pPr>
        <w:pStyle w:val="TableFooter"/>
        <w:keepNext/>
        <w:keepLines/>
        <w:rPr>
          <w:rFonts w:eastAsia="Calibri"/>
        </w:rPr>
      </w:pPr>
      <w:bookmarkStart w:id="46" w:name="_Hlk116228689"/>
      <w:r w:rsidRPr="000A03FD">
        <w:rPr>
          <w:rFonts w:eastAsia="Calibri"/>
        </w:rPr>
        <w:t>Blue shaded cells indicate information presented in previous submission</w:t>
      </w:r>
    </w:p>
    <w:p w14:paraId="13A862E2" w14:textId="6379AA24" w:rsidR="00BC517D" w:rsidRPr="000A03FD" w:rsidRDefault="00BC517D" w:rsidP="003A5A14">
      <w:pPr>
        <w:pStyle w:val="TableFooter"/>
        <w:keepNext/>
        <w:keepLines/>
        <w:spacing w:after="120"/>
      </w:pPr>
      <w:r w:rsidRPr="00BC517D">
        <w:rPr>
          <w:i/>
          <w:iCs/>
        </w:rPr>
        <w:t>Note that the results presented in Table 8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p w14:paraId="1A24D1E3" w14:textId="498C616E" w:rsidR="003409D8" w:rsidRPr="000A03FD" w:rsidRDefault="003409D8" w:rsidP="00EC5836">
      <w:pPr>
        <w:pStyle w:val="3-BodyText"/>
        <w:rPr>
          <w:iCs/>
        </w:rPr>
      </w:pPr>
      <w:bookmarkStart w:id="47" w:name="_Ref119502525"/>
      <w:bookmarkEnd w:id="46"/>
      <w:r w:rsidRPr="000A03FD">
        <w:rPr>
          <w:iCs/>
        </w:rPr>
        <w:t xml:space="preserve">The BEC </w:t>
      </w:r>
      <w:r w:rsidRPr="000A03FD">
        <w:rPr>
          <w:rFonts w:cs="Calibri"/>
          <w:iCs/>
        </w:rPr>
        <w:t>≥</w:t>
      </w:r>
      <w:r w:rsidR="00BC517D" w:rsidRPr="000A03FD">
        <w:rPr>
          <w:rFonts w:cs="Calibri"/>
          <w:iCs/>
        </w:rPr>
        <w:t>300</w:t>
      </w:r>
      <w:r w:rsidR="00BC517D">
        <w:rPr>
          <w:rFonts w:cs="Calibri"/>
          <w:iCs/>
        </w:rPr>
        <w:t> </w:t>
      </w:r>
      <w:r w:rsidRPr="000A03FD">
        <w:rPr>
          <w:iCs/>
        </w:rPr>
        <w:t xml:space="preserve">cells/µL </w:t>
      </w:r>
      <w:r w:rsidR="002774D1" w:rsidRPr="000A03FD">
        <w:rPr>
          <w:rFonts w:cs="Calibri"/>
          <w:iCs/>
        </w:rPr>
        <w:t>subgroup</w:t>
      </w:r>
      <w:r w:rsidRPr="000A03FD">
        <w:rPr>
          <w:rFonts w:cs="Calibri"/>
          <w:iCs/>
        </w:rPr>
        <w:t xml:space="preserve"> results</w:t>
      </w:r>
      <w:r w:rsidR="00B638EF" w:rsidRPr="000A03FD">
        <w:rPr>
          <w:rFonts w:cs="Calibri"/>
          <w:iCs/>
        </w:rPr>
        <w:t xml:space="preserve"> (hazard ratio: 0.31; 95% CI 0.15, 0.64)</w:t>
      </w:r>
      <w:r w:rsidRPr="000A03FD">
        <w:rPr>
          <w:rFonts w:cs="Calibri"/>
          <w:iCs/>
        </w:rPr>
        <w:t xml:space="preserve"> for </w:t>
      </w:r>
      <w:r w:rsidR="00081BEF" w:rsidRPr="000A03FD">
        <w:rPr>
          <w:rFonts w:cs="Calibri"/>
          <w:iCs/>
        </w:rPr>
        <w:t>time to first surgery</w:t>
      </w:r>
      <w:r w:rsidRPr="000A03FD">
        <w:rPr>
          <w:rFonts w:cs="Calibri"/>
          <w:iCs/>
        </w:rPr>
        <w:t xml:space="preserve"> were consistent with the ITT population, but the results were not statistically significant (i.e. 95% CI includes 1.00) in the complement </w:t>
      </w:r>
      <w:r w:rsidR="002774D1" w:rsidRPr="000A03FD">
        <w:rPr>
          <w:rFonts w:cs="Calibri"/>
          <w:iCs/>
        </w:rPr>
        <w:t>subgroup</w:t>
      </w:r>
      <w:r w:rsidRPr="000A03FD">
        <w:rPr>
          <w:rFonts w:cs="Calibri"/>
          <w:iCs/>
        </w:rPr>
        <w:t xml:space="preserve"> of </w:t>
      </w:r>
      <w:r w:rsidRPr="000A03FD">
        <w:rPr>
          <w:iCs/>
        </w:rPr>
        <w:t xml:space="preserve">BEC </w:t>
      </w:r>
      <w:r w:rsidRPr="000A03FD">
        <w:rPr>
          <w:rFonts w:cs="Calibri"/>
          <w:iCs/>
        </w:rPr>
        <w:t>&lt;</w:t>
      </w:r>
      <w:r w:rsidR="00BC517D" w:rsidRPr="000A03FD">
        <w:rPr>
          <w:rFonts w:cs="Calibri"/>
          <w:iCs/>
        </w:rPr>
        <w:t>300</w:t>
      </w:r>
      <w:r w:rsidR="00BC517D">
        <w:rPr>
          <w:rFonts w:cs="Calibri"/>
          <w:iCs/>
        </w:rPr>
        <w:t> </w:t>
      </w:r>
      <w:r w:rsidRPr="000A03FD">
        <w:rPr>
          <w:iCs/>
        </w:rPr>
        <w:t>cells/µL (hazard ratio: 0.83, 0.33, 2.09)</w:t>
      </w:r>
      <w:r w:rsidRPr="000A03FD">
        <w:rPr>
          <w:rFonts w:cs="Calibri"/>
          <w:iCs/>
        </w:rPr>
        <w:t>.</w:t>
      </w:r>
      <w:bookmarkEnd w:id="47"/>
      <w:r w:rsidRPr="000A03FD">
        <w:rPr>
          <w:iCs/>
        </w:rPr>
        <w:t xml:space="preserve"> </w:t>
      </w:r>
    </w:p>
    <w:p w14:paraId="1042489C" w14:textId="401023CD" w:rsidR="00046B0D" w:rsidRPr="000A03FD" w:rsidRDefault="00BA3075" w:rsidP="00BA3075">
      <w:pPr>
        <w:pStyle w:val="3-BodyText"/>
      </w:pPr>
      <w:r w:rsidRPr="000A03FD">
        <w:t xml:space="preserve">A higher proportion of placebo arm patients (58/139, 42%) required </w:t>
      </w:r>
      <w:r w:rsidRPr="000A03FD">
        <w:rPr>
          <w:rFonts w:cstheme="minorHAnsi"/>
        </w:rPr>
        <w:t>≥</w:t>
      </w:r>
      <w:r w:rsidRPr="000A03FD">
        <w:t xml:space="preserve">1 course of systemic steroids up to week 52 than mepolizumab arm patients (37/139, 27%) in the BEC </w:t>
      </w:r>
      <w:r w:rsidRPr="000A03FD">
        <w:rPr>
          <w:rFonts w:cstheme="minorHAnsi"/>
        </w:rPr>
        <w:t>≥</w:t>
      </w:r>
      <w:r w:rsidR="00BC517D" w:rsidRPr="000A03FD">
        <w:t>300</w:t>
      </w:r>
      <w:r w:rsidR="00BC517D">
        <w:t> </w:t>
      </w:r>
      <w:r w:rsidRPr="000A03FD">
        <w:t>cells/</w:t>
      </w:r>
      <w:r w:rsidRPr="000A03FD">
        <w:rPr>
          <w:rFonts w:cstheme="minorHAnsi"/>
        </w:rPr>
        <w:t>µ</w:t>
      </w:r>
      <w:r w:rsidRPr="000A03FD">
        <w:t>L sub-group (Odds Ratio to placebo: 0.49; 95% CI 0.28-0.86)</w:t>
      </w:r>
      <w:r w:rsidR="00C5489B" w:rsidRPr="000A03FD">
        <w:t>.</w:t>
      </w:r>
      <w:r w:rsidR="00DF5B95" w:rsidRPr="000A03FD">
        <w:t xml:space="preserve"> These results showed a consistency between the ITT population and BEC </w:t>
      </w:r>
      <w:r w:rsidR="00DF5B95" w:rsidRPr="000A03FD">
        <w:rPr>
          <w:rFonts w:cstheme="minorHAnsi"/>
        </w:rPr>
        <w:t>≥</w:t>
      </w:r>
      <w:r w:rsidR="00BC517D" w:rsidRPr="000A03FD">
        <w:t>300</w:t>
      </w:r>
      <w:r w:rsidR="00BC517D">
        <w:t> </w:t>
      </w:r>
      <w:r w:rsidR="00DF5B95" w:rsidRPr="000A03FD">
        <w:t>cells/</w:t>
      </w:r>
      <w:r w:rsidR="00DF5B95" w:rsidRPr="000A03FD">
        <w:rPr>
          <w:rFonts w:cstheme="minorHAnsi"/>
        </w:rPr>
        <w:t>µ</w:t>
      </w:r>
      <w:r w:rsidR="00DF5B95" w:rsidRPr="000A03FD">
        <w:t>L subgroup, and ultimately supported the results of the ENP and NO-VAS.</w:t>
      </w:r>
      <w:bookmarkStart w:id="48" w:name="_Ref112788251"/>
      <w:r w:rsidR="00681FA0" w:rsidRPr="000A03FD">
        <w:t xml:space="preserve"> An annualised rate of systemic steroids use </w:t>
      </w:r>
      <w:r w:rsidR="006E5F88" w:rsidRPr="000A03FD">
        <w:t>by responder status was used to inform the economic model</w:t>
      </w:r>
      <w:bookmarkEnd w:id="48"/>
      <w:r w:rsidR="000A03FD">
        <w:t xml:space="preserve">. </w:t>
      </w:r>
    </w:p>
    <w:p w14:paraId="50F5034E" w14:textId="42CD2EB7" w:rsidR="005143DA" w:rsidRPr="000A03FD" w:rsidRDefault="0082326D" w:rsidP="00EC5836">
      <w:pPr>
        <w:pStyle w:val="3-BodyText"/>
      </w:pPr>
      <w:r w:rsidRPr="000A03FD">
        <w:t xml:space="preserve">The resubmission also reported results for </w:t>
      </w:r>
      <w:r w:rsidR="0092668F" w:rsidRPr="000A03FD">
        <w:t>the overall-VAS</w:t>
      </w:r>
      <w:r w:rsidR="003D0506" w:rsidRPr="000A03FD">
        <w:t>,</w:t>
      </w:r>
      <w:r w:rsidR="004915E3" w:rsidRPr="000A03FD">
        <w:t xml:space="preserve"> </w:t>
      </w:r>
      <w:r w:rsidR="00A922DB" w:rsidRPr="000A03FD">
        <w:t>change in SNOT-22 score</w:t>
      </w:r>
      <w:r w:rsidR="00BD2141" w:rsidRPr="000A03FD">
        <w:t xml:space="preserve"> and change in loss of smell VAS score</w:t>
      </w:r>
      <w:r w:rsidR="003D0506" w:rsidRPr="000A03FD">
        <w:t xml:space="preserve"> </w:t>
      </w:r>
      <w:r w:rsidR="00592A3B" w:rsidRPr="000A03FD">
        <w:t>for the ITT</w:t>
      </w:r>
      <w:r w:rsidR="001C42AA" w:rsidRPr="000A03FD">
        <w:t xml:space="preserve"> population</w:t>
      </w:r>
      <w:r w:rsidR="00DB036E" w:rsidRPr="000A03FD">
        <w:t xml:space="preserve">, </w:t>
      </w:r>
      <w:r w:rsidR="001C42AA" w:rsidRPr="000A03FD">
        <w:t>the</w:t>
      </w:r>
      <w:r w:rsidR="00592A3B" w:rsidRPr="000A03FD">
        <w:t xml:space="preserve"> BEC </w:t>
      </w:r>
      <w:r w:rsidR="00592A3B" w:rsidRPr="000A03FD">
        <w:rPr>
          <w:rFonts w:cstheme="minorHAnsi"/>
        </w:rPr>
        <w:t>≥</w:t>
      </w:r>
      <w:r w:rsidR="00BC517D" w:rsidRPr="000A03FD">
        <w:t>300</w:t>
      </w:r>
      <w:r w:rsidR="00BC517D">
        <w:t> </w:t>
      </w:r>
      <w:r w:rsidR="00592A3B" w:rsidRPr="000A03FD">
        <w:t>cells/</w:t>
      </w:r>
      <w:r w:rsidR="00592A3B" w:rsidRPr="000A03FD">
        <w:rPr>
          <w:rFonts w:cstheme="minorHAnsi"/>
        </w:rPr>
        <w:t>µ</w:t>
      </w:r>
      <w:r w:rsidR="00592A3B" w:rsidRPr="000A03FD">
        <w:t>L</w:t>
      </w:r>
      <w:r w:rsidR="00DB036E" w:rsidRPr="000A03FD">
        <w:t xml:space="preserve"> </w:t>
      </w:r>
      <w:r w:rsidR="002774D1" w:rsidRPr="000A03FD">
        <w:t>subgroup</w:t>
      </w:r>
      <w:r w:rsidR="00592A3B" w:rsidRPr="000A03FD">
        <w:t xml:space="preserve"> and</w:t>
      </w:r>
      <w:r w:rsidR="00D10F88" w:rsidRPr="000A03FD">
        <w:t>, other than for the SNOT-22,</w:t>
      </w:r>
      <w:r w:rsidR="00DB036E" w:rsidRPr="000A03FD">
        <w:t xml:space="preserve"> the</w:t>
      </w:r>
      <w:r w:rsidR="00592A3B" w:rsidRPr="000A03FD">
        <w:t xml:space="preserve"> BEC &lt;</w:t>
      </w:r>
      <w:r w:rsidR="00BC517D" w:rsidRPr="000A03FD">
        <w:t>300</w:t>
      </w:r>
      <w:r w:rsidR="00BC517D">
        <w:t> </w:t>
      </w:r>
      <w:r w:rsidR="00592A3B" w:rsidRPr="000A03FD">
        <w:t>cells/</w:t>
      </w:r>
      <w:r w:rsidR="00592A3B" w:rsidRPr="000A03FD">
        <w:rPr>
          <w:rFonts w:cstheme="minorHAnsi"/>
        </w:rPr>
        <w:t>µ</w:t>
      </w:r>
      <w:r w:rsidR="00592A3B" w:rsidRPr="000A03FD">
        <w:t>L</w:t>
      </w:r>
      <w:r w:rsidR="001C42AA" w:rsidRPr="000A03FD">
        <w:t xml:space="preserve"> </w:t>
      </w:r>
      <w:r w:rsidR="002774D1" w:rsidRPr="000A03FD">
        <w:t>subgroup</w:t>
      </w:r>
      <w:r w:rsidR="003D0506" w:rsidRPr="000A03FD">
        <w:t xml:space="preserve">. </w:t>
      </w:r>
      <w:r w:rsidR="001C42AA" w:rsidRPr="000A03FD">
        <w:t xml:space="preserve">These results </w:t>
      </w:r>
      <w:r w:rsidR="004A0869" w:rsidRPr="000A03FD">
        <w:t xml:space="preserve">showed a consistency between the ITT population and BEC </w:t>
      </w:r>
      <w:r w:rsidR="004A0869" w:rsidRPr="000A03FD">
        <w:rPr>
          <w:rFonts w:cstheme="minorHAnsi"/>
        </w:rPr>
        <w:t>≥</w:t>
      </w:r>
      <w:r w:rsidR="00BC517D" w:rsidRPr="000A03FD">
        <w:t>300</w:t>
      </w:r>
      <w:r w:rsidR="00BC517D">
        <w:t> </w:t>
      </w:r>
      <w:r w:rsidR="004A0869" w:rsidRPr="000A03FD">
        <w:t>cells/</w:t>
      </w:r>
      <w:r w:rsidR="004A0869" w:rsidRPr="000A03FD">
        <w:rPr>
          <w:rFonts w:cstheme="minorHAnsi"/>
        </w:rPr>
        <w:t>µ</w:t>
      </w:r>
      <w:r w:rsidR="004A0869" w:rsidRPr="000A03FD">
        <w:t xml:space="preserve">L </w:t>
      </w:r>
      <w:r w:rsidR="002774D1" w:rsidRPr="000A03FD">
        <w:t>subgroup</w:t>
      </w:r>
      <w:r w:rsidR="000E5218" w:rsidRPr="000A03FD">
        <w:t>, and</w:t>
      </w:r>
      <w:r w:rsidR="00407B8E" w:rsidRPr="000A03FD">
        <w:t xml:space="preserve"> ultimately supported the results of the ENP and NO-VAS.</w:t>
      </w:r>
      <w:r w:rsidR="003D0506" w:rsidRPr="000A03FD">
        <w:t xml:space="preserve"> </w:t>
      </w:r>
    </w:p>
    <w:p w14:paraId="52A23C46" w14:textId="37E31408" w:rsidR="00B638EF" w:rsidRPr="000A03FD" w:rsidRDefault="009D263C" w:rsidP="00EC5836">
      <w:pPr>
        <w:pStyle w:val="3-BodyText"/>
      </w:pPr>
      <w:r w:rsidRPr="000A03FD">
        <w:fldChar w:fldCharType="begin" w:fldLock="1"/>
      </w:r>
      <w:r w:rsidRPr="000A03FD">
        <w:instrText xml:space="preserve"> REF _Ref111518057 \h  \* MERGEFORMAT </w:instrText>
      </w:r>
      <w:r w:rsidRPr="000A03FD">
        <w:fldChar w:fldCharType="separate"/>
      </w:r>
      <w:r w:rsidR="00625A18" w:rsidRPr="000A03FD">
        <w:t>Table 9</w:t>
      </w:r>
      <w:r w:rsidRPr="000A03FD">
        <w:fldChar w:fldCharType="end"/>
      </w:r>
      <w:r w:rsidRPr="000A03FD">
        <w:t xml:space="preserve"> </w:t>
      </w:r>
      <w:r w:rsidR="00034A50" w:rsidRPr="000A03FD">
        <w:t xml:space="preserve">presents the results of SF-36 mean score change </w:t>
      </w:r>
      <w:r w:rsidR="00BE3BD7" w:rsidRPr="000A03FD">
        <w:t>in the BEC ≥</w:t>
      </w:r>
      <w:r w:rsidR="00BC517D" w:rsidRPr="000A03FD">
        <w:t>300</w:t>
      </w:r>
      <w:r w:rsidR="00BC517D">
        <w:t> </w:t>
      </w:r>
      <w:r w:rsidR="00BE3BD7" w:rsidRPr="000A03FD">
        <w:t xml:space="preserve">cells/µL </w:t>
      </w:r>
      <w:r w:rsidR="002774D1" w:rsidRPr="000A03FD">
        <w:t>subgroup</w:t>
      </w:r>
      <w:r w:rsidR="00BE3BD7" w:rsidRPr="000A03FD">
        <w:t xml:space="preserve">. </w:t>
      </w:r>
    </w:p>
    <w:p w14:paraId="0D426A47" w14:textId="411FA9CC" w:rsidR="00267DA9" w:rsidRPr="000A03FD" w:rsidRDefault="009D263C" w:rsidP="009D263C">
      <w:pPr>
        <w:keepNext/>
        <w:keepLines/>
        <w:rPr>
          <w:rStyle w:val="CommentReference"/>
          <w:b w:val="0"/>
        </w:rPr>
      </w:pPr>
      <w:bookmarkStart w:id="49" w:name="_Ref111518057"/>
      <w:r w:rsidRPr="000A03FD">
        <w:rPr>
          <w:rStyle w:val="CommentReference"/>
        </w:rPr>
        <w:lastRenderedPageBreak/>
        <w:t xml:space="preserve">Table </w:t>
      </w:r>
      <w:r w:rsidRPr="000A03FD">
        <w:rPr>
          <w:rStyle w:val="CommentReference"/>
        </w:rPr>
        <w:fldChar w:fldCharType="begin" w:fldLock="1"/>
      </w:r>
      <w:r w:rsidRPr="000A03FD">
        <w:rPr>
          <w:rStyle w:val="CommentReference"/>
        </w:rPr>
        <w:instrText xml:space="preserve"> SEQ Table \* ARABIC </w:instrText>
      </w:r>
      <w:r w:rsidRPr="000A03FD">
        <w:rPr>
          <w:rStyle w:val="CommentReference"/>
        </w:rPr>
        <w:fldChar w:fldCharType="separate"/>
      </w:r>
      <w:r w:rsidR="00A0401C" w:rsidRPr="000A03FD">
        <w:rPr>
          <w:rStyle w:val="CommentReference"/>
        </w:rPr>
        <w:t>9</w:t>
      </w:r>
      <w:r w:rsidRPr="000A03FD">
        <w:rPr>
          <w:rStyle w:val="CommentReference"/>
        </w:rPr>
        <w:fldChar w:fldCharType="end"/>
      </w:r>
      <w:bookmarkEnd w:id="49"/>
      <w:r w:rsidR="00267DA9" w:rsidRPr="000A03FD">
        <w:rPr>
          <w:rStyle w:val="CommentReference"/>
        </w:rPr>
        <w:t xml:space="preserve">: Summary of SF-36 mean score changes at Week 52 in the BEC ≥300 </w:t>
      </w:r>
      <w:r w:rsidR="002774D1" w:rsidRPr="000A03FD">
        <w:rPr>
          <w:rStyle w:val="CommentReference"/>
        </w:rPr>
        <w:t>subgroup</w:t>
      </w:r>
      <w:r w:rsidR="00267DA9" w:rsidRPr="000A03FD">
        <w:rPr>
          <w:rStyle w:val="CommentReference"/>
        </w:rPr>
        <w:t xml:space="preserve"> </w:t>
      </w:r>
    </w:p>
    <w:tbl>
      <w:tblPr>
        <w:tblStyle w:val="TableGrid"/>
        <w:tblW w:w="5000" w:type="pct"/>
        <w:tblLook w:val="04A0" w:firstRow="1" w:lastRow="0" w:firstColumn="1" w:lastColumn="0" w:noHBand="0" w:noVBand="1"/>
      </w:tblPr>
      <w:tblGrid>
        <w:gridCol w:w="3345"/>
        <w:gridCol w:w="1199"/>
        <w:gridCol w:w="1302"/>
        <w:gridCol w:w="2351"/>
        <w:gridCol w:w="819"/>
      </w:tblGrid>
      <w:tr w:rsidR="00133912" w:rsidRPr="000A03FD" w14:paraId="1B89DF78" w14:textId="77777777" w:rsidTr="00113672">
        <w:tc>
          <w:tcPr>
            <w:tcW w:w="1855" w:type="pct"/>
            <w:shd w:val="clear" w:color="auto" w:fill="auto"/>
          </w:tcPr>
          <w:p w14:paraId="47F3EACD" w14:textId="77777777" w:rsidR="00267DA9" w:rsidRPr="000A03FD" w:rsidRDefault="00267DA9" w:rsidP="00113672">
            <w:pPr>
              <w:pStyle w:val="Tabletext"/>
              <w:keepNext/>
              <w:keepLines/>
              <w:rPr>
                <w:iCs/>
              </w:rPr>
            </w:pPr>
          </w:p>
        </w:tc>
        <w:tc>
          <w:tcPr>
            <w:tcW w:w="3145" w:type="pct"/>
            <w:gridSpan w:val="4"/>
            <w:shd w:val="clear" w:color="auto" w:fill="auto"/>
          </w:tcPr>
          <w:p w14:paraId="73839F79" w14:textId="77777777" w:rsidR="00267DA9" w:rsidRPr="000A03FD" w:rsidRDefault="00267DA9" w:rsidP="00113672">
            <w:pPr>
              <w:pStyle w:val="Tabletext"/>
              <w:keepNext/>
              <w:keepLines/>
              <w:jc w:val="center"/>
              <w:rPr>
                <w:iCs/>
              </w:rPr>
            </w:pPr>
            <w:r w:rsidRPr="000A03FD">
              <w:rPr>
                <w:b/>
                <w:szCs w:val="20"/>
              </w:rPr>
              <w:t>LS mean (SE) change from baseline at Week 52</w:t>
            </w:r>
          </w:p>
        </w:tc>
      </w:tr>
      <w:tr w:rsidR="00133912" w:rsidRPr="000A03FD" w14:paraId="4C22C35D" w14:textId="77777777" w:rsidTr="00113672">
        <w:tc>
          <w:tcPr>
            <w:tcW w:w="1855" w:type="pct"/>
            <w:tcBorders>
              <w:bottom w:val="single" w:sz="4" w:space="0" w:color="auto"/>
            </w:tcBorders>
            <w:shd w:val="clear" w:color="auto" w:fill="auto"/>
          </w:tcPr>
          <w:p w14:paraId="134EB179" w14:textId="77777777" w:rsidR="00267DA9" w:rsidRPr="000A03FD" w:rsidRDefault="00267DA9" w:rsidP="00113672">
            <w:pPr>
              <w:pStyle w:val="Tabletext"/>
              <w:keepNext/>
              <w:keepLines/>
              <w:rPr>
                <w:b/>
                <w:bCs/>
                <w:iCs/>
              </w:rPr>
            </w:pPr>
          </w:p>
        </w:tc>
        <w:tc>
          <w:tcPr>
            <w:tcW w:w="665" w:type="pct"/>
            <w:tcBorders>
              <w:bottom w:val="single" w:sz="4" w:space="0" w:color="auto"/>
            </w:tcBorders>
            <w:shd w:val="clear" w:color="auto" w:fill="auto"/>
          </w:tcPr>
          <w:p w14:paraId="4CFB2F3F" w14:textId="77777777" w:rsidR="00267DA9" w:rsidRPr="000A03FD" w:rsidRDefault="00267DA9" w:rsidP="00113672">
            <w:pPr>
              <w:jc w:val="center"/>
              <w:rPr>
                <w:rFonts w:ascii="Arial Narrow" w:hAnsi="Arial Narrow" w:cs="Times New Roman"/>
                <w:b/>
                <w:bCs/>
                <w:iCs/>
                <w:snapToGrid w:val="0"/>
                <w:sz w:val="20"/>
              </w:rPr>
            </w:pPr>
            <w:r w:rsidRPr="000A03FD">
              <w:rPr>
                <w:rFonts w:ascii="Arial Narrow" w:hAnsi="Arial Narrow" w:cs="Times New Roman"/>
                <w:b/>
                <w:bCs/>
                <w:iCs/>
                <w:snapToGrid w:val="0"/>
                <w:sz w:val="20"/>
              </w:rPr>
              <w:t>Placebo</w:t>
            </w:r>
          </w:p>
          <w:p w14:paraId="5B5057E1" w14:textId="77777777" w:rsidR="00267DA9" w:rsidRPr="000A03FD" w:rsidRDefault="00267DA9" w:rsidP="00113672">
            <w:pPr>
              <w:pStyle w:val="Tabletext"/>
              <w:keepNext/>
              <w:keepLines/>
              <w:jc w:val="center"/>
              <w:rPr>
                <w:b/>
                <w:bCs/>
                <w:iCs/>
              </w:rPr>
            </w:pPr>
            <w:r w:rsidRPr="000A03FD">
              <w:rPr>
                <w:b/>
                <w:bCs/>
                <w:iCs/>
              </w:rPr>
              <w:t>(n=136)</w:t>
            </w:r>
          </w:p>
        </w:tc>
        <w:tc>
          <w:tcPr>
            <w:tcW w:w="722" w:type="pct"/>
            <w:tcBorders>
              <w:bottom w:val="single" w:sz="4" w:space="0" w:color="auto"/>
            </w:tcBorders>
            <w:shd w:val="clear" w:color="auto" w:fill="auto"/>
          </w:tcPr>
          <w:p w14:paraId="34484455" w14:textId="77777777" w:rsidR="00267DA9" w:rsidRPr="000A03FD" w:rsidRDefault="00267DA9" w:rsidP="00113672">
            <w:pPr>
              <w:jc w:val="center"/>
              <w:rPr>
                <w:rFonts w:ascii="Arial Narrow" w:hAnsi="Arial Narrow" w:cs="Times New Roman"/>
                <w:b/>
                <w:bCs/>
                <w:iCs/>
                <w:snapToGrid w:val="0"/>
                <w:sz w:val="20"/>
              </w:rPr>
            </w:pPr>
            <w:r w:rsidRPr="000A03FD">
              <w:rPr>
                <w:rFonts w:ascii="Arial Narrow" w:hAnsi="Arial Narrow" w:cs="Times New Roman"/>
                <w:b/>
                <w:bCs/>
                <w:iCs/>
                <w:snapToGrid w:val="0"/>
                <w:sz w:val="20"/>
              </w:rPr>
              <w:t>Mepolizumab</w:t>
            </w:r>
          </w:p>
          <w:p w14:paraId="53723271" w14:textId="77777777" w:rsidR="00267DA9" w:rsidRPr="000A03FD" w:rsidRDefault="00267DA9" w:rsidP="00113672">
            <w:pPr>
              <w:pStyle w:val="Tabletext"/>
              <w:keepNext/>
              <w:keepLines/>
              <w:jc w:val="center"/>
              <w:rPr>
                <w:b/>
                <w:bCs/>
                <w:iCs/>
              </w:rPr>
            </w:pPr>
            <w:r w:rsidRPr="000A03FD">
              <w:rPr>
                <w:b/>
                <w:bCs/>
                <w:iCs/>
              </w:rPr>
              <w:t>(n=139)</w:t>
            </w:r>
          </w:p>
        </w:tc>
        <w:tc>
          <w:tcPr>
            <w:tcW w:w="1304" w:type="pct"/>
            <w:tcBorders>
              <w:bottom w:val="single" w:sz="4" w:space="0" w:color="auto"/>
            </w:tcBorders>
          </w:tcPr>
          <w:p w14:paraId="5F05F06A" w14:textId="77777777" w:rsidR="00267DA9" w:rsidRPr="000A03FD" w:rsidRDefault="00267DA9" w:rsidP="00113672">
            <w:pPr>
              <w:jc w:val="center"/>
              <w:rPr>
                <w:rFonts w:ascii="Arial Narrow" w:hAnsi="Arial Narrow" w:cs="Times New Roman"/>
                <w:b/>
                <w:bCs/>
                <w:iCs/>
                <w:snapToGrid w:val="0"/>
                <w:sz w:val="20"/>
              </w:rPr>
            </w:pPr>
            <w:r w:rsidRPr="000A03FD">
              <w:rPr>
                <w:rFonts w:ascii="Arial Narrow" w:hAnsi="Arial Narrow" w:cs="Times New Roman"/>
                <w:b/>
                <w:bCs/>
                <w:iCs/>
                <w:snapToGrid w:val="0"/>
                <w:sz w:val="20"/>
              </w:rPr>
              <w:t>Difference</w:t>
            </w:r>
          </w:p>
          <w:p w14:paraId="01E50AC6" w14:textId="77777777" w:rsidR="00267DA9" w:rsidRPr="000A03FD" w:rsidRDefault="00267DA9" w:rsidP="00113672">
            <w:pPr>
              <w:pStyle w:val="Tabletext"/>
              <w:keepNext/>
              <w:keepLines/>
              <w:jc w:val="center"/>
              <w:rPr>
                <w:b/>
                <w:bCs/>
                <w:iCs/>
              </w:rPr>
            </w:pPr>
            <w:r w:rsidRPr="000A03FD">
              <w:rPr>
                <w:b/>
                <w:bCs/>
                <w:iCs/>
              </w:rPr>
              <w:t xml:space="preserve"> (Mepo - Placebo) (95% CI)</w:t>
            </w:r>
          </w:p>
        </w:tc>
        <w:tc>
          <w:tcPr>
            <w:tcW w:w="455" w:type="pct"/>
            <w:tcBorders>
              <w:bottom w:val="single" w:sz="4" w:space="0" w:color="auto"/>
            </w:tcBorders>
          </w:tcPr>
          <w:p w14:paraId="4ADAEF7F" w14:textId="77777777" w:rsidR="00267DA9" w:rsidRPr="000A03FD" w:rsidRDefault="00267DA9" w:rsidP="00113672">
            <w:pPr>
              <w:pStyle w:val="Tabletext"/>
              <w:keepNext/>
              <w:keepLines/>
              <w:jc w:val="center"/>
              <w:rPr>
                <w:b/>
                <w:bCs/>
                <w:iCs/>
              </w:rPr>
            </w:pPr>
            <w:r w:rsidRPr="000A03FD">
              <w:rPr>
                <w:b/>
                <w:bCs/>
                <w:iCs/>
              </w:rPr>
              <w:t>p-value</w:t>
            </w:r>
          </w:p>
        </w:tc>
      </w:tr>
      <w:tr w:rsidR="00133912" w:rsidRPr="000A03FD" w14:paraId="2E562E98" w14:textId="77777777" w:rsidTr="00113672">
        <w:tc>
          <w:tcPr>
            <w:tcW w:w="1855" w:type="pct"/>
            <w:tcBorders>
              <w:bottom w:val="single" w:sz="4" w:space="0" w:color="auto"/>
            </w:tcBorders>
            <w:shd w:val="clear" w:color="auto" w:fill="auto"/>
          </w:tcPr>
          <w:p w14:paraId="6CADAAAA" w14:textId="77777777" w:rsidR="00267DA9" w:rsidRPr="000A03FD" w:rsidRDefault="00267DA9" w:rsidP="00113672">
            <w:pPr>
              <w:pStyle w:val="Tabletext"/>
              <w:keepNext/>
              <w:keepLines/>
              <w:rPr>
                <w:iCs/>
              </w:rPr>
            </w:pPr>
            <w:r w:rsidRPr="000A03FD">
              <w:rPr>
                <w:szCs w:val="20"/>
              </w:rPr>
              <w:t>SF-36 domains (0–100)</w:t>
            </w:r>
          </w:p>
        </w:tc>
        <w:tc>
          <w:tcPr>
            <w:tcW w:w="665" w:type="pct"/>
            <w:tcBorders>
              <w:bottom w:val="single" w:sz="4" w:space="0" w:color="auto"/>
            </w:tcBorders>
            <w:shd w:val="clear" w:color="auto" w:fill="auto"/>
          </w:tcPr>
          <w:p w14:paraId="5D791A77" w14:textId="77777777" w:rsidR="00267DA9" w:rsidRPr="000A03FD" w:rsidRDefault="00267DA9" w:rsidP="00113672">
            <w:pPr>
              <w:pStyle w:val="Tabletext"/>
              <w:keepNext/>
              <w:keepLines/>
              <w:jc w:val="center"/>
              <w:rPr>
                <w:iCs/>
              </w:rPr>
            </w:pPr>
          </w:p>
        </w:tc>
        <w:tc>
          <w:tcPr>
            <w:tcW w:w="722" w:type="pct"/>
            <w:tcBorders>
              <w:bottom w:val="single" w:sz="4" w:space="0" w:color="auto"/>
            </w:tcBorders>
            <w:shd w:val="clear" w:color="auto" w:fill="auto"/>
          </w:tcPr>
          <w:p w14:paraId="09F937DA" w14:textId="77777777" w:rsidR="00267DA9" w:rsidRPr="000A03FD" w:rsidRDefault="00267DA9" w:rsidP="00113672">
            <w:pPr>
              <w:pStyle w:val="Tabletext"/>
              <w:keepNext/>
              <w:keepLines/>
              <w:jc w:val="center"/>
              <w:rPr>
                <w:iCs/>
              </w:rPr>
            </w:pPr>
          </w:p>
        </w:tc>
        <w:tc>
          <w:tcPr>
            <w:tcW w:w="1304" w:type="pct"/>
            <w:tcBorders>
              <w:bottom w:val="single" w:sz="4" w:space="0" w:color="auto"/>
            </w:tcBorders>
          </w:tcPr>
          <w:p w14:paraId="38E059E6" w14:textId="77777777" w:rsidR="00267DA9" w:rsidRPr="000A03FD" w:rsidRDefault="00267DA9" w:rsidP="00113672">
            <w:pPr>
              <w:pStyle w:val="Tabletext"/>
              <w:keepNext/>
              <w:keepLines/>
              <w:jc w:val="center"/>
              <w:rPr>
                <w:iCs/>
              </w:rPr>
            </w:pPr>
          </w:p>
        </w:tc>
        <w:tc>
          <w:tcPr>
            <w:tcW w:w="455" w:type="pct"/>
            <w:tcBorders>
              <w:bottom w:val="single" w:sz="4" w:space="0" w:color="auto"/>
            </w:tcBorders>
          </w:tcPr>
          <w:p w14:paraId="11E58CC5" w14:textId="77777777" w:rsidR="00267DA9" w:rsidRPr="000A03FD" w:rsidRDefault="00267DA9" w:rsidP="00113672">
            <w:pPr>
              <w:pStyle w:val="Tabletext"/>
              <w:keepNext/>
              <w:keepLines/>
              <w:jc w:val="center"/>
              <w:rPr>
                <w:iCs/>
              </w:rPr>
            </w:pPr>
          </w:p>
        </w:tc>
      </w:tr>
      <w:tr w:rsidR="00133912" w:rsidRPr="000A03FD" w14:paraId="48AEFAFD" w14:textId="77777777" w:rsidTr="00113672">
        <w:tc>
          <w:tcPr>
            <w:tcW w:w="1855" w:type="pct"/>
            <w:tcBorders>
              <w:bottom w:val="single" w:sz="4" w:space="0" w:color="auto"/>
            </w:tcBorders>
            <w:shd w:val="clear" w:color="auto" w:fill="auto"/>
          </w:tcPr>
          <w:p w14:paraId="3B464C92" w14:textId="77777777" w:rsidR="00267DA9" w:rsidRPr="000A03FD" w:rsidRDefault="00267DA9" w:rsidP="00113672">
            <w:pPr>
              <w:pStyle w:val="Tabletext"/>
              <w:keepNext/>
              <w:keepLines/>
              <w:rPr>
                <w:iCs/>
              </w:rPr>
            </w:pPr>
            <w:r w:rsidRPr="000A03FD">
              <w:rPr>
                <w:szCs w:val="20"/>
              </w:rPr>
              <w:t xml:space="preserve">Physical functioning </w:t>
            </w:r>
          </w:p>
        </w:tc>
        <w:tc>
          <w:tcPr>
            <w:tcW w:w="665" w:type="pct"/>
            <w:tcBorders>
              <w:bottom w:val="single" w:sz="4" w:space="0" w:color="auto"/>
            </w:tcBorders>
            <w:shd w:val="clear" w:color="auto" w:fill="auto"/>
          </w:tcPr>
          <w:p w14:paraId="12F43E3B" w14:textId="77777777" w:rsidR="00267DA9" w:rsidRPr="000A03FD" w:rsidRDefault="00267DA9" w:rsidP="00113672">
            <w:pPr>
              <w:pStyle w:val="Tabletext"/>
              <w:keepNext/>
              <w:keepLines/>
              <w:jc w:val="center"/>
              <w:rPr>
                <w:iCs/>
              </w:rPr>
            </w:pPr>
            <w:r w:rsidRPr="000A03FD">
              <w:rPr>
                <w:szCs w:val="20"/>
              </w:rPr>
              <w:t>2.17 (0.58)</w:t>
            </w:r>
          </w:p>
        </w:tc>
        <w:tc>
          <w:tcPr>
            <w:tcW w:w="722" w:type="pct"/>
            <w:tcBorders>
              <w:bottom w:val="single" w:sz="4" w:space="0" w:color="auto"/>
            </w:tcBorders>
            <w:shd w:val="clear" w:color="auto" w:fill="auto"/>
          </w:tcPr>
          <w:p w14:paraId="3F0411F5" w14:textId="77777777" w:rsidR="00267DA9" w:rsidRPr="000A03FD" w:rsidRDefault="00267DA9" w:rsidP="00113672">
            <w:pPr>
              <w:pStyle w:val="Tabletext"/>
              <w:keepNext/>
              <w:keepLines/>
              <w:jc w:val="center"/>
              <w:rPr>
                <w:iCs/>
              </w:rPr>
            </w:pPr>
            <w:r w:rsidRPr="000A03FD">
              <w:rPr>
                <w:szCs w:val="20"/>
              </w:rPr>
              <w:t>5.99 (0.575)</w:t>
            </w:r>
          </w:p>
        </w:tc>
        <w:tc>
          <w:tcPr>
            <w:tcW w:w="1304" w:type="pct"/>
            <w:tcBorders>
              <w:bottom w:val="single" w:sz="4" w:space="0" w:color="auto"/>
            </w:tcBorders>
          </w:tcPr>
          <w:p w14:paraId="1A31CA82" w14:textId="77777777" w:rsidR="00267DA9" w:rsidRPr="000A03FD" w:rsidRDefault="00267DA9" w:rsidP="00113672">
            <w:pPr>
              <w:pStyle w:val="Tabletext"/>
              <w:keepNext/>
              <w:keepLines/>
              <w:jc w:val="center"/>
              <w:rPr>
                <w:iCs/>
              </w:rPr>
            </w:pPr>
            <w:r w:rsidRPr="000A03FD">
              <w:rPr>
                <w:szCs w:val="20"/>
              </w:rPr>
              <w:t>3.82 (2.21, 5.43)</w:t>
            </w:r>
          </w:p>
        </w:tc>
        <w:tc>
          <w:tcPr>
            <w:tcW w:w="455" w:type="pct"/>
            <w:tcBorders>
              <w:bottom w:val="single" w:sz="4" w:space="0" w:color="auto"/>
            </w:tcBorders>
          </w:tcPr>
          <w:p w14:paraId="0332A34A" w14:textId="77777777" w:rsidR="00267DA9" w:rsidRPr="000A03FD" w:rsidRDefault="00267DA9" w:rsidP="00113672">
            <w:pPr>
              <w:pStyle w:val="Tabletext"/>
              <w:keepNext/>
              <w:keepLines/>
              <w:jc w:val="center"/>
              <w:rPr>
                <w:iCs/>
              </w:rPr>
            </w:pPr>
            <w:r w:rsidRPr="000A03FD">
              <w:rPr>
                <w:szCs w:val="20"/>
              </w:rPr>
              <w:t>&lt;0.001</w:t>
            </w:r>
          </w:p>
        </w:tc>
      </w:tr>
      <w:tr w:rsidR="00133912" w:rsidRPr="000A03FD" w14:paraId="131BB397" w14:textId="77777777" w:rsidTr="00113672">
        <w:tc>
          <w:tcPr>
            <w:tcW w:w="1855" w:type="pct"/>
            <w:tcBorders>
              <w:bottom w:val="single" w:sz="4" w:space="0" w:color="auto"/>
            </w:tcBorders>
            <w:shd w:val="clear" w:color="auto" w:fill="auto"/>
          </w:tcPr>
          <w:p w14:paraId="7BDFA316" w14:textId="77777777" w:rsidR="00267DA9" w:rsidRPr="000A03FD" w:rsidRDefault="00267DA9" w:rsidP="00113672">
            <w:pPr>
              <w:pStyle w:val="Tabletext"/>
              <w:keepNext/>
              <w:keepLines/>
              <w:rPr>
                <w:iCs/>
              </w:rPr>
            </w:pPr>
            <w:r w:rsidRPr="000A03FD">
              <w:rPr>
                <w:szCs w:val="20"/>
              </w:rPr>
              <w:t xml:space="preserve">Role limitation due to physical health </w:t>
            </w:r>
          </w:p>
        </w:tc>
        <w:tc>
          <w:tcPr>
            <w:tcW w:w="665" w:type="pct"/>
            <w:tcBorders>
              <w:bottom w:val="single" w:sz="4" w:space="0" w:color="auto"/>
            </w:tcBorders>
            <w:shd w:val="clear" w:color="auto" w:fill="auto"/>
          </w:tcPr>
          <w:p w14:paraId="4D807868" w14:textId="77777777" w:rsidR="00267DA9" w:rsidRPr="000A03FD" w:rsidRDefault="00267DA9" w:rsidP="00113672">
            <w:pPr>
              <w:pStyle w:val="Tabletext"/>
              <w:keepNext/>
              <w:keepLines/>
              <w:jc w:val="center"/>
              <w:rPr>
                <w:iCs/>
              </w:rPr>
            </w:pPr>
            <w:r w:rsidRPr="000A03FD">
              <w:rPr>
                <w:szCs w:val="20"/>
              </w:rPr>
              <w:t>1.66 (0.669)</w:t>
            </w:r>
          </w:p>
        </w:tc>
        <w:tc>
          <w:tcPr>
            <w:tcW w:w="722" w:type="pct"/>
            <w:tcBorders>
              <w:bottom w:val="single" w:sz="4" w:space="0" w:color="auto"/>
            </w:tcBorders>
            <w:shd w:val="clear" w:color="auto" w:fill="auto"/>
          </w:tcPr>
          <w:p w14:paraId="5497F988" w14:textId="77777777" w:rsidR="00267DA9" w:rsidRPr="000A03FD" w:rsidRDefault="00267DA9" w:rsidP="00113672">
            <w:pPr>
              <w:pStyle w:val="Tabletext"/>
              <w:keepNext/>
              <w:keepLines/>
              <w:jc w:val="center"/>
              <w:rPr>
                <w:iCs/>
              </w:rPr>
            </w:pPr>
            <w:r w:rsidRPr="000A03FD">
              <w:rPr>
                <w:szCs w:val="20"/>
              </w:rPr>
              <w:t>6.36 (0.662)</w:t>
            </w:r>
          </w:p>
        </w:tc>
        <w:tc>
          <w:tcPr>
            <w:tcW w:w="1304" w:type="pct"/>
            <w:tcBorders>
              <w:bottom w:val="single" w:sz="4" w:space="0" w:color="auto"/>
            </w:tcBorders>
          </w:tcPr>
          <w:p w14:paraId="654CC8BF" w14:textId="77777777" w:rsidR="00267DA9" w:rsidRPr="000A03FD" w:rsidRDefault="00267DA9" w:rsidP="00113672">
            <w:pPr>
              <w:pStyle w:val="Tabletext"/>
              <w:keepNext/>
              <w:keepLines/>
              <w:jc w:val="center"/>
              <w:rPr>
                <w:iCs/>
              </w:rPr>
            </w:pPr>
            <w:r w:rsidRPr="000A03FD">
              <w:rPr>
                <w:szCs w:val="20"/>
              </w:rPr>
              <w:t>4.70 (2.85, 6.56)</w:t>
            </w:r>
          </w:p>
        </w:tc>
        <w:tc>
          <w:tcPr>
            <w:tcW w:w="455" w:type="pct"/>
            <w:tcBorders>
              <w:bottom w:val="single" w:sz="4" w:space="0" w:color="auto"/>
            </w:tcBorders>
          </w:tcPr>
          <w:p w14:paraId="4DBE2845" w14:textId="77777777" w:rsidR="00267DA9" w:rsidRPr="000A03FD" w:rsidRDefault="00267DA9" w:rsidP="00113672">
            <w:pPr>
              <w:pStyle w:val="Tabletext"/>
              <w:keepNext/>
              <w:keepLines/>
              <w:jc w:val="center"/>
              <w:rPr>
                <w:iCs/>
              </w:rPr>
            </w:pPr>
            <w:r w:rsidRPr="000A03FD">
              <w:rPr>
                <w:szCs w:val="20"/>
              </w:rPr>
              <w:t>&lt;0.001</w:t>
            </w:r>
          </w:p>
        </w:tc>
      </w:tr>
      <w:tr w:rsidR="00133912" w:rsidRPr="000A03FD" w14:paraId="5D8B4BEF" w14:textId="77777777" w:rsidTr="00113672">
        <w:tc>
          <w:tcPr>
            <w:tcW w:w="1855" w:type="pct"/>
            <w:tcBorders>
              <w:bottom w:val="single" w:sz="4" w:space="0" w:color="auto"/>
            </w:tcBorders>
            <w:shd w:val="clear" w:color="auto" w:fill="auto"/>
          </w:tcPr>
          <w:p w14:paraId="28C55723" w14:textId="77777777" w:rsidR="00267DA9" w:rsidRPr="000A03FD" w:rsidRDefault="00267DA9" w:rsidP="00113672">
            <w:pPr>
              <w:pStyle w:val="Tabletext"/>
              <w:keepNext/>
              <w:keepLines/>
              <w:rPr>
                <w:iCs/>
              </w:rPr>
            </w:pPr>
            <w:r w:rsidRPr="000A03FD">
              <w:rPr>
                <w:szCs w:val="20"/>
              </w:rPr>
              <w:t xml:space="preserve">Bodily pain </w:t>
            </w:r>
          </w:p>
        </w:tc>
        <w:tc>
          <w:tcPr>
            <w:tcW w:w="665" w:type="pct"/>
            <w:tcBorders>
              <w:bottom w:val="single" w:sz="4" w:space="0" w:color="auto"/>
            </w:tcBorders>
            <w:shd w:val="clear" w:color="auto" w:fill="auto"/>
          </w:tcPr>
          <w:p w14:paraId="35ACA4CB" w14:textId="77777777" w:rsidR="00267DA9" w:rsidRPr="000A03FD" w:rsidRDefault="00267DA9" w:rsidP="00113672">
            <w:pPr>
              <w:pStyle w:val="Tabletext"/>
              <w:keepNext/>
              <w:keepLines/>
              <w:jc w:val="center"/>
              <w:rPr>
                <w:iCs/>
              </w:rPr>
            </w:pPr>
            <w:r w:rsidRPr="000A03FD">
              <w:rPr>
                <w:szCs w:val="20"/>
              </w:rPr>
              <w:t>1.50 (0.803)</w:t>
            </w:r>
          </w:p>
        </w:tc>
        <w:tc>
          <w:tcPr>
            <w:tcW w:w="722" w:type="pct"/>
            <w:tcBorders>
              <w:bottom w:val="single" w:sz="4" w:space="0" w:color="auto"/>
            </w:tcBorders>
            <w:shd w:val="clear" w:color="auto" w:fill="auto"/>
          </w:tcPr>
          <w:p w14:paraId="3B3AD9BC" w14:textId="77777777" w:rsidR="00267DA9" w:rsidRPr="000A03FD" w:rsidRDefault="00267DA9" w:rsidP="00113672">
            <w:pPr>
              <w:pStyle w:val="Tabletext"/>
              <w:keepNext/>
              <w:keepLines/>
              <w:jc w:val="center"/>
              <w:rPr>
                <w:iCs/>
              </w:rPr>
            </w:pPr>
            <w:r w:rsidRPr="000A03FD">
              <w:rPr>
                <w:szCs w:val="20"/>
              </w:rPr>
              <w:t>5.96 (0.794)</w:t>
            </w:r>
          </w:p>
        </w:tc>
        <w:tc>
          <w:tcPr>
            <w:tcW w:w="1304" w:type="pct"/>
            <w:tcBorders>
              <w:bottom w:val="single" w:sz="4" w:space="0" w:color="auto"/>
            </w:tcBorders>
          </w:tcPr>
          <w:p w14:paraId="5BBFE0E7" w14:textId="77777777" w:rsidR="00267DA9" w:rsidRPr="000A03FD" w:rsidRDefault="00267DA9" w:rsidP="00113672">
            <w:pPr>
              <w:pStyle w:val="Tabletext"/>
              <w:keepNext/>
              <w:keepLines/>
              <w:jc w:val="center"/>
              <w:rPr>
                <w:iCs/>
              </w:rPr>
            </w:pPr>
            <w:r w:rsidRPr="000A03FD">
              <w:rPr>
                <w:szCs w:val="20"/>
              </w:rPr>
              <w:t>4.46 (2.23, 6.68)</w:t>
            </w:r>
          </w:p>
        </w:tc>
        <w:tc>
          <w:tcPr>
            <w:tcW w:w="455" w:type="pct"/>
            <w:tcBorders>
              <w:bottom w:val="single" w:sz="4" w:space="0" w:color="auto"/>
            </w:tcBorders>
          </w:tcPr>
          <w:p w14:paraId="6B23F56D" w14:textId="77777777" w:rsidR="00267DA9" w:rsidRPr="000A03FD" w:rsidRDefault="00267DA9" w:rsidP="00113672">
            <w:pPr>
              <w:pStyle w:val="Tabletext"/>
              <w:keepNext/>
              <w:keepLines/>
              <w:jc w:val="center"/>
              <w:rPr>
                <w:iCs/>
              </w:rPr>
            </w:pPr>
            <w:r w:rsidRPr="000A03FD">
              <w:rPr>
                <w:szCs w:val="20"/>
              </w:rPr>
              <w:t>&lt;0.001</w:t>
            </w:r>
          </w:p>
        </w:tc>
      </w:tr>
      <w:tr w:rsidR="00133912" w:rsidRPr="000A03FD" w14:paraId="41C82B93" w14:textId="77777777" w:rsidTr="00113672">
        <w:tc>
          <w:tcPr>
            <w:tcW w:w="1855" w:type="pct"/>
            <w:tcBorders>
              <w:bottom w:val="single" w:sz="4" w:space="0" w:color="auto"/>
            </w:tcBorders>
            <w:shd w:val="clear" w:color="auto" w:fill="auto"/>
          </w:tcPr>
          <w:p w14:paraId="43ECFB0C" w14:textId="77777777" w:rsidR="00267DA9" w:rsidRPr="000A03FD" w:rsidRDefault="00267DA9" w:rsidP="00113672">
            <w:pPr>
              <w:pStyle w:val="Tabletext"/>
              <w:keepNext/>
              <w:keepLines/>
              <w:rPr>
                <w:iCs/>
              </w:rPr>
            </w:pPr>
            <w:r w:rsidRPr="000A03FD">
              <w:rPr>
                <w:szCs w:val="20"/>
              </w:rPr>
              <w:t xml:space="preserve">General health </w:t>
            </w:r>
          </w:p>
        </w:tc>
        <w:tc>
          <w:tcPr>
            <w:tcW w:w="665" w:type="pct"/>
            <w:tcBorders>
              <w:bottom w:val="single" w:sz="4" w:space="0" w:color="auto"/>
            </w:tcBorders>
            <w:shd w:val="clear" w:color="auto" w:fill="auto"/>
          </w:tcPr>
          <w:p w14:paraId="7567D26C" w14:textId="77777777" w:rsidR="00267DA9" w:rsidRPr="000A03FD" w:rsidRDefault="00267DA9" w:rsidP="00113672">
            <w:pPr>
              <w:pStyle w:val="Tabletext"/>
              <w:keepNext/>
              <w:keepLines/>
              <w:jc w:val="center"/>
              <w:rPr>
                <w:iCs/>
              </w:rPr>
            </w:pPr>
            <w:r w:rsidRPr="000A03FD">
              <w:rPr>
                <w:szCs w:val="20"/>
              </w:rPr>
              <w:t>-0.07 (0.664)</w:t>
            </w:r>
          </w:p>
        </w:tc>
        <w:tc>
          <w:tcPr>
            <w:tcW w:w="722" w:type="pct"/>
            <w:tcBorders>
              <w:bottom w:val="single" w:sz="4" w:space="0" w:color="auto"/>
            </w:tcBorders>
            <w:shd w:val="clear" w:color="auto" w:fill="auto"/>
          </w:tcPr>
          <w:p w14:paraId="2B007BFC" w14:textId="77777777" w:rsidR="00267DA9" w:rsidRPr="000A03FD" w:rsidRDefault="00267DA9" w:rsidP="00113672">
            <w:pPr>
              <w:pStyle w:val="Tabletext"/>
              <w:keepNext/>
              <w:keepLines/>
              <w:jc w:val="center"/>
              <w:rPr>
                <w:iCs/>
              </w:rPr>
            </w:pPr>
            <w:r w:rsidRPr="000A03FD">
              <w:rPr>
                <w:szCs w:val="20"/>
              </w:rPr>
              <w:t>5.74 (0.657)</w:t>
            </w:r>
          </w:p>
        </w:tc>
        <w:tc>
          <w:tcPr>
            <w:tcW w:w="1304" w:type="pct"/>
            <w:tcBorders>
              <w:bottom w:val="single" w:sz="4" w:space="0" w:color="auto"/>
            </w:tcBorders>
          </w:tcPr>
          <w:p w14:paraId="4CA14B09" w14:textId="77777777" w:rsidR="00267DA9" w:rsidRPr="000A03FD" w:rsidRDefault="00267DA9" w:rsidP="00113672">
            <w:pPr>
              <w:pStyle w:val="Tabletext"/>
              <w:keepNext/>
              <w:keepLines/>
              <w:jc w:val="center"/>
              <w:rPr>
                <w:iCs/>
              </w:rPr>
            </w:pPr>
            <w:r w:rsidRPr="000A03FD">
              <w:rPr>
                <w:szCs w:val="20"/>
              </w:rPr>
              <w:t>5.81 (3.98, 7.65)</w:t>
            </w:r>
          </w:p>
        </w:tc>
        <w:tc>
          <w:tcPr>
            <w:tcW w:w="455" w:type="pct"/>
            <w:tcBorders>
              <w:bottom w:val="single" w:sz="4" w:space="0" w:color="auto"/>
            </w:tcBorders>
          </w:tcPr>
          <w:p w14:paraId="62C885F6" w14:textId="77777777" w:rsidR="00267DA9" w:rsidRPr="000A03FD" w:rsidRDefault="00267DA9" w:rsidP="00113672">
            <w:pPr>
              <w:pStyle w:val="Tabletext"/>
              <w:keepNext/>
              <w:keepLines/>
              <w:jc w:val="center"/>
              <w:rPr>
                <w:iCs/>
              </w:rPr>
            </w:pPr>
            <w:r w:rsidRPr="000A03FD">
              <w:rPr>
                <w:szCs w:val="20"/>
              </w:rPr>
              <w:t>&lt;0.001</w:t>
            </w:r>
          </w:p>
        </w:tc>
      </w:tr>
      <w:tr w:rsidR="00133912" w:rsidRPr="000A03FD" w14:paraId="0CD22E54" w14:textId="77777777" w:rsidTr="00113672">
        <w:tc>
          <w:tcPr>
            <w:tcW w:w="1855" w:type="pct"/>
            <w:tcBorders>
              <w:bottom w:val="single" w:sz="4" w:space="0" w:color="auto"/>
            </w:tcBorders>
            <w:shd w:val="clear" w:color="auto" w:fill="auto"/>
          </w:tcPr>
          <w:p w14:paraId="373C6DE3" w14:textId="77777777" w:rsidR="00267DA9" w:rsidRPr="000A03FD" w:rsidRDefault="00267DA9" w:rsidP="00113672">
            <w:pPr>
              <w:pStyle w:val="Tabletext"/>
              <w:keepNext/>
              <w:keepLines/>
              <w:rPr>
                <w:iCs/>
              </w:rPr>
            </w:pPr>
            <w:r w:rsidRPr="000A03FD">
              <w:rPr>
                <w:szCs w:val="20"/>
              </w:rPr>
              <w:t xml:space="preserve">Energy/fatigue (vitality) </w:t>
            </w:r>
          </w:p>
        </w:tc>
        <w:tc>
          <w:tcPr>
            <w:tcW w:w="665" w:type="pct"/>
            <w:tcBorders>
              <w:bottom w:val="single" w:sz="4" w:space="0" w:color="auto"/>
            </w:tcBorders>
            <w:shd w:val="clear" w:color="auto" w:fill="auto"/>
          </w:tcPr>
          <w:p w14:paraId="24505BE2" w14:textId="77777777" w:rsidR="00267DA9" w:rsidRPr="000A03FD" w:rsidRDefault="00267DA9" w:rsidP="00113672">
            <w:pPr>
              <w:pStyle w:val="Tabletext"/>
              <w:keepNext/>
              <w:keepLines/>
              <w:jc w:val="center"/>
              <w:rPr>
                <w:iCs/>
              </w:rPr>
            </w:pPr>
            <w:r w:rsidRPr="000A03FD">
              <w:rPr>
                <w:szCs w:val="20"/>
              </w:rPr>
              <w:t>1.42 (0.778)</w:t>
            </w:r>
            <w:r w:rsidRPr="000A03FD" w:rsidDel="005221D0">
              <w:rPr>
                <w:szCs w:val="20"/>
              </w:rPr>
              <w:t xml:space="preserve"> </w:t>
            </w:r>
          </w:p>
        </w:tc>
        <w:tc>
          <w:tcPr>
            <w:tcW w:w="722" w:type="pct"/>
            <w:tcBorders>
              <w:bottom w:val="single" w:sz="4" w:space="0" w:color="auto"/>
            </w:tcBorders>
            <w:shd w:val="clear" w:color="auto" w:fill="auto"/>
          </w:tcPr>
          <w:p w14:paraId="39E1AC57" w14:textId="77777777" w:rsidR="00267DA9" w:rsidRPr="000A03FD" w:rsidRDefault="00267DA9" w:rsidP="00113672">
            <w:pPr>
              <w:pStyle w:val="Tabletext"/>
              <w:keepNext/>
              <w:keepLines/>
              <w:jc w:val="center"/>
              <w:rPr>
                <w:iCs/>
              </w:rPr>
            </w:pPr>
            <w:r w:rsidRPr="000A03FD">
              <w:rPr>
                <w:szCs w:val="20"/>
              </w:rPr>
              <w:t>6.82 (0.769)</w:t>
            </w:r>
            <w:r w:rsidRPr="000A03FD" w:rsidDel="005221D0">
              <w:rPr>
                <w:szCs w:val="20"/>
              </w:rPr>
              <w:t xml:space="preserve"> </w:t>
            </w:r>
          </w:p>
        </w:tc>
        <w:tc>
          <w:tcPr>
            <w:tcW w:w="1304" w:type="pct"/>
            <w:tcBorders>
              <w:bottom w:val="single" w:sz="4" w:space="0" w:color="auto"/>
            </w:tcBorders>
          </w:tcPr>
          <w:p w14:paraId="219D6B23" w14:textId="77777777" w:rsidR="00267DA9" w:rsidRPr="000A03FD" w:rsidRDefault="00267DA9" w:rsidP="00113672">
            <w:pPr>
              <w:pStyle w:val="Tabletext"/>
              <w:keepNext/>
              <w:keepLines/>
              <w:jc w:val="center"/>
              <w:rPr>
                <w:iCs/>
              </w:rPr>
            </w:pPr>
            <w:r w:rsidRPr="000A03FD">
              <w:rPr>
                <w:szCs w:val="20"/>
              </w:rPr>
              <w:t>5.40 (3.24, 7.56)</w:t>
            </w:r>
            <w:r w:rsidRPr="000A03FD" w:rsidDel="00E611CF">
              <w:rPr>
                <w:szCs w:val="20"/>
              </w:rPr>
              <w:t xml:space="preserve"> </w:t>
            </w:r>
          </w:p>
        </w:tc>
        <w:tc>
          <w:tcPr>
            <w:tcW w:w="455" w:type="pct"/>
            <w:tcBorders>
              <w:bottom w:val="single" w:sz="4" w:space="0" w:color="auto"/>
            </w:tcBorders>
          </w:tcPr>
          <w:p w14:paraId="2F23D5EA" w14:textId="77777777" w:rsidR="00267DA9" w:rsidRPr="000A03FD" w:rsidRDefault="00267DA9" w:rsidP="00113672">
            <w:pPr>
              <w:pStyle w:val="Tabletext"/>
              <w:keepNext/>
              <w:keepLines/>
              <w:jc w:val="center"/>
              <w:rPr>
                <w:iCs/>
              </w:rPr>
            </w:pPr>
            <w:r w:rsidRPr="000A03FD">
              <w:rPr>
                <w:szCs w:val="20"/>
              </w:rPr>
              <w:t>&lt;0.001</w:t>
            </w:r>
            <w:r w:rsidRPr="000A03FD" w:rsidDel="000022C0">
              <w:rPr>
                <w:szCs w:val="20"/>
              </w:rPr>
              <w:t xml:space="preserve"> </w:t>
            </w:r>
          </w:p>
        </w:tc>
      </w:tr>
      <w:tr w:rsidR="00133912" w:rsidRPr="000A03FD" w14:paraId="331C1387" w14:textId="77777777" w:rsidTr="00113672">
        <w:tc>
          <w:tcPr>
            <w:tcW w:w="1855" w:type="pct"/>
            <w:tcBorders>
              <w:bottom w:val="single" w:sz="4" w:space="0" w:color="auto"/>
            </w:tcBorders>
            <w:shd w:val="clear" w:color="auto" w:fill="auto"/>
          </w:tcPr>
          <w:p w14:paraId="76480875" w14:textId="77777777" w:rsidR="00267DA9" w:rsidRPr="000A03FD" w:rsidRDefault="00267DA9" w:rsidP="00113672">
            <w:pPr>
              <w:pStyle w:val="Tabletext"/>
              <w:keepNext/>
              <w:keepLines/>
              <w:rPr>
                <w:iCs/>
              </w:rPr>
            </w:pPr>
            <w:r w:rsidRPr="000A03FD">
              <w:rPr>
                <w:szCs w:val="20"/>
              </w:rPr>
              <w:t xml:space="preserve">Social functioning </w:t>
            </w:r>
          </w:p>
        </w:tc>
        <w:tc>
          <w:tcPr>
            <w:tcW w:w="665" w:type="pct"/>
            <w:tcBorders>
              <w:bottom w:val="single" w:sz="4" w:space="0" w:color="auto"/>
            </w:tcBorders>
            <w:shd w:val="clear" w:color="auto" w:fill="auto"/>
          </w:tcPr>
          <w:p w14:paraId="44795655" w14:textId="77777777" w:rsidR="00267DA9" w:rsidRPr="000A03FD" w:rsidRDefault="00267DA9" w:rsidP="00113672">
            <w:pPr>
              <w:pStyle w:val="Tabletext"/>
              <w:keepNext/>
              <w:keepLines/>
              <w:jc w:val="center"/>
              <w:rPr>
                <w:iCs/>
              </w:rPr>
            </w:pPr>
            <w:r w:rsidRPr="000A03FD">
              <w:rPr>
                <w:szCs w:val="20"/>
              </w:rPr>
              <w:t>0.73 (0.761)</w:t>
            </w:r>
          </w:p>
        </w:tc>
        <w:tc>
          <w:tcPr>
            <w:tcW w:w="722" w:type="pct"/>
            <w:tcBorders>
              <w:bottom w:val="single" w:sz="4" w:space="0" w:color="auto"/>
            </w:tcBorders>
            <w:shd w:val="clear" w:color="auto" w:fill="auto"/>
          </w:tcPr>
          <w:p w14:paraId="7DF1CF05" w14:textId="77777777" w:rsidR="00267DA9" w:rsidRPr="000A03FD" w:rsidRDefault="00267DA9" w:rsidP="00113672">
            <w:pPr>
              <w:pStyle w:val="Tabletext"/>
              <w:keepNext/>
              <w:keepLines/>
              <w:jc w:val="center"/>
              <w:rPr>
                <w:iCs/>
              </w:rPr>
            </w:pPr>
            <w:r w:rsidRPr="000A03FD">
              <w:rPr>
                <w:szCs w:val="20"/>
              </w:rPr>
              <w:t>5.38 (0.753)</w:t>
            </w:r>
          </w:p>
        </w:tc>
        <w:tc>
          <w:tcPr>
            <w:tcW w:w="1304" w:type="pct"/>
            <w:tcBorders>
              <w:bottom w:val="single" w:sz="4" w:space="0" w:color="auto"/>
            </w:tcBorders>
          </w:tcPr>
          <w:p w14:paraId="409FF258" w14:textId="77777777" w:rsidR="00267DA9" w:rsidRPr="000A03FD" w:rsidRDefault="00267DA9" w:rsidP="00113672">
            <w:pPr>
              <w:pStyle w:val="Tabletext"/>
              <w:keepNext/>
              <w:keepLines/>
              <w:jc w:val="center"/>
              <w:rPr>
                <w:iCs/>
              </w:rPr>
            </w:pPr>
            <w:r w:rsidRPr="000A03FD">
              <w:rPr>
                <w:szCs w:val="20"/>
              </w:rPr>
              <w:t>4.64 (2.54, 6.75)</w:t>
            </w:r>
          </w:p>
        </w:tc>
        <w:tc>
          <w:tcPr>
            <w:tcW w:w="455" w:type="pct"/>
            <w:tcBorders>
              <w:bottom w:val="single" w:sz="4" w:space="0" w:color="auto"/>
            </w:tcBorders>
          </w:tcPr>
          <w:p w14:paraId="5320F9CD" w14:textId="77777777" w:rsidR="00267DA9" w:rsidRPr="000A03FD" w:rsidRDefault="00267DA9" w:rsidP="00113672">
            <w:pPr>
              <w:pStyle w:val="Tabletext"/>
              <w:keepNext/>
              <w:keepLines/>
              <w:jc w:val="center"/>
              <w:rPr>
                <w:iCs/>
              </w:rPr>
            </w:pPr>
            <w:r w:rsidRPr="000A03FD">
              <w:rPr>
                <w:szCs w:val="20"/>
              </w:rPr>
              <w:t>&lt;0.001</w:t>
            </w:r>
          </w:p>
        </w:tc>
      </w:tr>
      <w:tr w:rsidR="00133912" w:rsidRPr="000A03FD" w14:paraId="5A47184F" w14:textId="77777777" w:rsidTr="00113672">
        <w:tc>
          <w:tcPr>
            <w:tcW w:w="1855" w:type="pct"/>
            <w:tcBorders>
              <w:bottom w:val="single" w:sz="4" w:space="0" w:color="auto"/>
            </w:tcBorders>
            <w:shd w:val="clear" w:color="auto" w:fill="auto"/>
          </w:tcPr>
          <w:p w14:paraId="5725E4A7" w14:textId="77777777" w:rsidR="00267DA9" w:rsidRPr="000A03FD" w:rsidRDefault="00267DA9" w:rsidP="00113672">
            <w:pPr>
              <w:pStyle w:val="Tabletext"/>
              <w:keepNext/>
              <w:keepLines/>
              <w:rPr>
                <w:iCs/>
              </w:rPr>
            </w:pPr>
            <w:r w:rsidRPr="000A03FD">
              <w:rPr>
                <w:szCs w:val="20"/>
              </w:rPr>
              <w:t xml:space="preserve">Role limitation due to emotional problems </w:t>
            </w:r>
          </w:p>
        </w:tc>
        <w:tc>
          <w:tcPr>
            <w:tcW w:w="665" w:type="pct"/>
            <w:tcBorders>
              <w:bottom w:val="single" w:sz="4" w:space="0" w:color="auto"/>
            </w:tcBorders>
            <w:shd w:val="clear" w:color="auto" w:fill="auto"/>
          </w:tcPr>
          <w:p w14:paraId="63C1C6DD" w14:textId="77777777" w:rsidR="00267DA9" w:rsidRPr="000A03FD" w:rsidRDefault="00267DA9" w:rsidP="00113672">
            <w:pPr>
              <w:pStyle w:val="Tabletext"/>
              <w:keepNext/>
              <w:keepLines/>
              <w:jc w:val="center"/>
              <w:rPr>
                <w:iCs/>
              </w:rPr>
            </w:pPr>
            <w:r w:rsidRPr="000A03FD">
              <w:rPr>
                <w:szCs w:val="20"/>
              </w:rPr>
              <w:t>1.20 (0.798)</w:t>
            </w:r>
          </w:p>
        </w:tc>
        <w:tc>
          <w:tcPr>
            <w:tcW w:w="722" w:type="pct"/>
            <w:tcBorders>
              <w:bottom w:val="single" w:sz="4" w:space="0" w:color="auto"/>
            </w:tcBorders>
            <w:shd w:val="clear" w:color="auto" w:fill="auto"/>
          </w:tcPr>
          <w:p w14:paraId="1BF6F137" w14:textId="77777777" w:rsidR="00267DA9" w:rsidRPr="000A03FD" w:rsidRDefault="00267DA9" w:rsidP="00113672">
            <w:pPr>
              <w:pStyle w:val="Tabletext"/>
              <w:keepNext/>
              <w:keepLines/>
              <w:jc w:val="center"/>
              <w:rPr>
                <w:iCs/>
              </w:rPr>
            </w:pPr>
            <w:r w:rsidRPr="000A03FD">
              <w:rPr>
                <w:szCs w:val="20"/>
              </w:rPr>
              <w:t>4.26 (0.789)</w:t>
            </w:r>
          </w:p>
        </w:tc>
        <w:tc>
          <w:tcPr>
            <w:tcW w:w="1304" w:type="pct"/>
            <w:tcBorders>
              <w:bottom w:val="single" w:sz="4" w:space="0" w:color="auto"/>
            </w:tcBorders>
          </w:tcPr>
          <w:p w14:paraId="6B909827" w14:textId="77777777" w:rsidR="00267DA9" w:rsidRPr="000A03FD" w:rsidRDefault="00267DA9" w:rsidP="00113672">
            <w:pPr>
              <w:pStyle w:val="Tabletext"/>
              <w:keepNext/>
              <w:keepLines/>
              <w:jc w:val="center"/>
              <w:rPr>
                <w:iCs/>
              </w:rPr>
            </w:pPr>
            <w:r w:rsidRPr="000A03FD">
              <w:rPr>
                <w:szCs w:val="20"/>
              </w:rPr>
              <w:t>3.06 (0.85, 5.27)</w:t>
            </w:r>
          </w:p>
        </w:tc>
        <w:tc>
          <w:tcPr>
            <w:tcW w:w="455" w:type="pct"/>
            <w:tcBorders>
              <w:bottom w:val="single" w:sz="4" w:space="0" w:color="auto"/>
            </w:tcBorders>
          </w:tcPr>
          <w:p w14:paraId="252A13D2" w14:textId="77777777" w:rsidR="00267DA9" w:rsidRPr="000A03FD" w:rsidRDefault="00267DA9" w:rsidP="00113672">
            <w:pPr>
              <w:pStyle w:val="Tabletext"/>
              <w:keepNext/>
              <w:keepLines/>
              <w:jc w:val="center"/>
              <w:rPr>
                <w:iCs/>
              </w:rPr>
            </w:pPr>
            <w:r w:rsidRPr="000A03FD">
              <w:rPr>
                <w:szCs w:val="20"/>
              </w:rPr>
              <w:t>0.007</w:t>
            </w:r>
          </w:p>
        </w:tc>
      </w:tr>
      <w:tr w:rsidR="00133912" w:rsidRPr="000A03FD" w14:paraId="4322F918" w14:textId="77777777" w:rsidTr="00113672">
        <w:tc>
          <w:tcPr>
            <w:tcW w:w="1855" w:type="pct"/>
            <w:tcBorders>
              <w:bottom w:val="single" w:sz="4" w:space="0" w:color="auto"/>
            </w:tcBorders>
            <w:shd w:val="clear" w:color="auto" w:fill="auto"/>
          </w:tcPr>
          <w:p w14:paraId="747C714D" w14:textId="77777777" w:rsidR="00267DA9" w:rsidRPr="000A03FD" w:rsidRDefault="00267DA9" w:rsidP="00113672">
            <w:pPr>
              <w:rPr>
                <w:rFonts w:ascii="Arial Narrow" w:hAnsi="Arial Narrow"/>
                <w:sz w:val="20"/>
                <w:szCs w:val="20"/>
              </w:rPr>
            </w:pPr>
            <w:r w:rsidRPr="000A03FD">
              <w:rPr>
                <w:rFonts w:ascii="Arial Narrow" w:hAnsi="Arial Narrow"/>
                <w:sz w:val="20"/>
                <w:szCs w:val="20"/>
              </w:rPr>
              <w:t>Mental health (emotional well-being)</w:t>
            </w:r>
          </w:p>
        </w:tc>
        <w:tc>
          <w:tcPr>
            <w:tcW w:w="665" w:type="pct"/>
            <w:tcBorders>
              <w:bottom w:val="single" w:sz="4" w:space="0" w:color="auto"/>
            </w:tcBorders>
            <w:shd w:val="clear" w:color="auto" w:fill="auto"/>
          </w:tcPr>
          <w:p w14:paraId="651398AC" w14:textId="77777777" w:rsidR="00267DA9" w:rsidRPr="000A03FD" w:rsidRDefault="00267DA9" w:rsidP="00113672">
            <w:pPr>
              <w:pStyle w:val="Tabletext"/>
              <w:keepNext/>
              <w:keepLines/>
              <w:jc w:val="center"/>
              <w:rPr>
                <w:iCs/>
              </w:rPr>
            </w:pPr>
            <w:r w:rsidRPr="000A03FD">
              <w:rPr>
                <w:szCs w:val="20"/>
              </w:rPr>
              <w:t>0.80 (0.788)</w:t>
            </w:r>
          </w:p>
        </w:tc>
        <w:tc>
          <w:tcPr>
            <w:tcW w:w="722" w:type="pct"/>
            <w:tcBorders>
              <w:bottom w:val="single" w:sz="4" w:space="0" w:color="auto"/>
            </w:tcBorders>
            <w:shd w:val="clear" w:color="auto" w:fill="auto"/>
          </w:tcPr>
          <w:p w14:paraId="3BD4E882" w14:textId="77777777" w:rsidR="00267DA9" w:rsidRPr="000A03FD" w:rsidRDefault="00267DA9" w:rsidP="00113672">
            <w:pPr>
              <w:pStyle w:val="Tabletext"/>
              <w:keepNext/>
              <w:keepLines/>
              <w:jc w:val="center"/>
              <w:rPr>
                <w:iCs/>
              </w:rPr>
            </w:pPr>
            <w:r w:rsidRPr="000A03FD">
              <w:rPr>
                <w:szCs w:val="20"/>
              </w:rPr>
              <w:t>4.18 (0.779)</w:t>
            </w:r>
          </w:p>
        </w:tc>
        <w:tc>
          <w:tcPr>
            <w:tcW w:w="1304" w:type="pct"/>
            <w:tcBorders>
              <w:bottom w:val="single" w:sz="4" w:space="0" w:color="auto"/>
            </w:tcBorders>
          </w:tcPr>
          <w:p w14:paraId="71E89DE3" w14:textId="77777777" w:rsidR="00267DA9" w:rsidRPr="000A03FD" w:rsidRDefault="00267DA9" w:rsidP="00113672">
            <w:pPr>
              <w:pStyle w:val="Tabletext"/>
              <w:keepNext/>
              <w:keepLines/>
              <w:jc w:val="center"/>
              <w:rPr>
                <w:iCs/>
              </w:rPr>
            </w:pPr>
            <w:r w:rsidRPr="000A03FD">
              <w:rPr>
                <w:szCs w:val="20"/>
              </w:rPr>
              <w:t>3.38</w:t>
            </w:r>
            <w:r w:rsidRPr="000A03FD" w:rsidDel="00155674">
              <w:rPr>
                <w:szCs w:val="20"/>
              </w:rPr>
              <w:t xml:space="preserve"> </w:t>
            </w:r>
            <w:r w:rsidRPr="000A03FD">
              <w:rPr>
                <w:szCs w:val="20"/>
              </w:rPr>
              <w:t>(1.20, 5.57)</w:t>
            </w:r>
          </w:p>
        </w:tc>
        <w:tc>
          <w:tcPr>
            <w:tcW w:w="455" w:type="pct"/>
            <w:tcBorders>
              <w:bottom w:val="single" w:sz="4" w:space="0" w:color="auto"/>
            </w:tcBorders>
          </w:tcPr>
          <w:p w14:paraId="03FE056E" w14:textId="77777777" w:rsidR="00267DA9" w:rsidRPr="000A03FD" w:rsidRDefault="00267DA9" w:rsidP="00113672">
            <w:pPr>
              <w:pStyle w:val="Tabletext"/>
              <w:keepNext/>
              <w:keepLines/>
              <w:jc w:val="center"/>
              <w:rPr>
                <w:iCs/>
              </w:rPr>
            </w:pPr>
            <w:r w:rsidRPr="000A03FD">
              <w:rPr>
                <w:szCs w:val="20"/>
              </w:rPr>
              <w:t>0.003</w:t>
            </w:r>
          </w:p>
        </w:tc>
      </w:tr>
      <w:tr w:rsidR="00133912" w:rsidRPr="000A03FD" w14:paraId="06D7840D" w14:textId="77777777" w:rsidTr="00113672">
        <w:tc>
          <w:tcPr>
            <w:tcW w:w="1855" w:type="pct"/>
            <w:tcBorders>
              <w:bottom w:val="single" w:sz="4" w:space="0" w:color="auto"/>
            </w:tcBorders>
            <w:shd w:val="clear" w:color="auto" w:fill="auto"/>
          </w:tcPr>
          <w:p w14:paraId="2FBAE709" w14:textId="77777777" w:rsidR="00267DA9" w:rsidRPr="000A03FD" w:rsidRDefault="00267DA9" w:rsidP="00113672">
            <w:pPr>
              <w:pStyle w:val="Tabletext"/>
              <w:keepNext/>
              <w:keepLines/>
              <w:rPr>
                <w:iCs/>
              </w:rPr>
            </w:pPr>
            <w:r w:rsidRPr="000A03FD">
              <w:rPr>
                <w:szCs w:val="20"/>
              </w:rPr>
              <w:t xml:space="preserve">SF-36 physical component summary </w:t>
            </w:r>
          </w:p>
        </w:tc>
        <w:tc>
          <w:tcPr>
            <w:tcW w:w="665" w:type="pct"/>
            <w:tcBorders>
              <w:bottom w:val="single" w:sz="4" w:space="0" w:color="auto"/>
            </w:tcBorders>
            <w:shd w:val="clear" w:color="auto" w:fill="auto"/>
          </w:tcPr>
          <w:p w14:paraId="303E0B87" w14:textId="77777777" w:rsidR="00267DA9" w:rsidRPr="000A03FD" w:rsidRDefault="00267DA9" w:rsidP="00113672">
            <w:pPr>
              <w:pStyle w:val="Tabletext"/>
              <w:keepNext/>
              <w:keepLines/>
              <w:jc w:val="center"/>
              <w:rPr>
                <w:iCs/>
              </w:rPr>
            </w:pPr>
            <w:r w:rsidRPr="000A03FD">
              <w:rPr>
                <w:szCs w:val="20"/>
              </w:rPr>
              <w:t>1.61 (0.58)</w:t>
            </w:r>
          </w:p>
        </w:tc>
        <w:tc>
          <w:tcPr>
            <w:tcW w:w="722" w:type="pct"/>
            <w:tcBorders>
              <w:bottom w:val="single" w:sz="4" w:space="0" w:color="auto"/>
            </w:tcBorders>
            <w:shd w:val="clear" w:color="auto" w:fill="auto"/>
          </w:tcPr>
          <w:p w14:paraId="574D09EA" w14:textId="77777777" w:rsidR="00267DA9" w:rsidRPr="000A03FD" w:rsidRDefault="00267DA9" w:rsidP="00113672">
            <w:pPr>
              <w:pStyle w:val="Tabletext"/>
              <w:keepNext/>
              <w:keepLines/>
              <w:jc w:val="center"/>
              <w:rPr>
                <w:iCs/>
              </w:rPr>
            </w:pPr>
            <w:r w:rsidRPr="000A03FD">
              <w:rPr>
                <w:szCs w:val="20"/>
              </w:rPr>
              <w:t>6.54 (0.57)</w:t>
            </w:r>
          </w:p>
        </w:tc>
        <w:tc>
          <w:tcPr>
            <w:tcW w:w="1304" w:type="pct"/>
            <w:tcBorders>
              <w:bottom w:val="single" w:sz="4" w:space="0" w:color="auto"/>
            </w:tcBorders>
          </w:tcPr>
          <w:p w14:paraId="418247F9" w14:textId="77777777" w:rsidR="00267DA9" w:rsidRPr="000A03FD" w:rsidRDefault="00267DA9" w:rsidP="00113672">
            <w:pPr>
              <w:pStyle w:val="Tabletext"/>
              <w:keepNext/>
              <w:keepLines/>
              <w:jc w:val="center"/>
              <w:rPr>
                <w:iCs/>
              </w:rPr>
            </w:pPr>
            <w:r w:rsidRPr="000A03FD">
              <w:rPr>
                <w:szCs w:val="20"/>
              </w:rPr>
              <w:t>4.93 (3.32, 6.53)</w:t>
            </w:r>
          </w:p>
        </w:tc>
        <w:tc>
          <w:tcPr>
            <w:tcW w:w="455" w:type="pct"/>
            <w:tcBorders>
              <w:bottom w:val="single" w:sz="4" w:space="0" w:color="auto"/>
            </w:tcBorders>
          </w:tcPr>
          <w:p w14:paraId="3E0FFFDD" w14:textId="77777777" w:rsidR="00267DA9" w:rsidRPr="000A03FD" w:rsidRDefault="00267DA9" w:rsidP="00113672">
            <w:pPr>
              <w:pStyle w:val="Tabletext"/>
              <w:keepNext/>
              <w:keepLines/>
              <w:jc w:val="center"/>
              <w:rPr>
                <w:iCs/>
              </w:rPr>
            </w:pPr>
            <w:r w:rsidRPr="000A03FD">
              <w:rPr>
                <w:szCs w:val="20"/>
              </w:rPr>
              <w:t>&lt;0.001</w:t>
            </w:r>
          </w:p>
        </w:tc>
      </w:tr>
      <w:tr w:rsidR="00133912" w:rsidRPr="000A03FD" w14:paraId="0793FEF4" w14:textId="77777777" w:rsidTr="00113672">
        <w:tc>
          <w:tcPr>
            <w:tcW w:w="1855" w:type="pct"/>
            <w:tcBorders>
              <w:bottom w:val="single" w:sz="4" w:space="0" w:color="auto"/>
            </w:tcBorders>
            <w:shd w:val="clear" w:color="auto" w:fill="auto"/>
          </w:tcPr>
          <w:p w14:paraId="14F19422" w14:textId="77777777" w:rsidR="00267DA9" w:rsidRPr="000A03FD" w:rsidRDefault="00267DA9" w:rsidP="00113672">
            <w:pPr>
              <w:pStyle w:val="Tabletext"/>
              <w:keepNext/>
              <w:keepLines/>
              <w:rPr>
                <w:iCs/>
              </w:rPr>
            </w:pPr>
            <w:r w:rsidRPr="000A03FD">
              <w:rPr>
                <w:szCs w:val="20"/>
              </w:rPr>
              <w:t xml:space="preserve">SF-36 mental component summary </w:t>
            </w:r>
          </w:p>
        </w:tc>
        <w:tc>
          <w:tcPr>
            <w:tcW w:w="665" w:type="pct"/>
            <w:tcBorders>
              <w:bottom w:val="single" w:sz="4" w:space="0" w:color="auto"/>
            </w:tcBorders>
            <w:shd w:val="clear" w:color="auto" w:fill="auto"/>
          </w:tcPr>
          <w:p w14:paraId="12CC92AD" w14:textId="77777777" w:rsidR="00267DA9" w:rsidRPr="000A03FD" w:rsidRDefault="00267DA9" w:rsidP="00113672">
            <w:pPr>
              <w:pStyle w:val="Tabletext"/>
              <w:keepNext/>
              <w:keepLines/>
              <w:jc w:val="center"/>
              <w:rPr>
                <w:iCs/>
              </w:rPr>
            </w:pPr>
            <w:r w:rsidRPr="000A03FD">
              <w:rPr>
                <w:szCs w:val="20"/>
              </w:rPr>
              <w:t>0.71 (0.82)</w:t>
            </w:r>
          </w:p>
        </w:tc>
        <w:tc>
          <w:tcPr>
            <w:tcW w:w="722" w:type="pct"/>
            <w:tcBorders>
              <w:bottom w:val="single" w:sz="4" w:space="0" w:color="auto"/>
            </w:tcBorders>
            <w:shd w:val="clear" w:color="auto" w:fill="auto"/>
          </w:tcPr>
          <w:p w14:paraId="4D23C4C6" w14:textId="77777777" w:rsidR="00267DA9" w:rsidRPr="000A03FD" w:rsidRDefault="00267DA9" w:rsidP="00113672">
            <w:pPr>
              <w:pStyle w:val="Tabletext"/>
              <w:keepNext/>
              <w:keepLines/>
              <w:jc w:val="center"/>
              <w:rPr>
                <w:iCs/>
              </w:rPr>
            </w:pPr>
            <w:r w:rsidRPr="000A03FD">
              <w:rPr>
                <w:szCs w:val="20"/>
              </w:rPr>
              <w:t>4.22 (0.81)</w:t>
            </w:r>
          </w:p>
        </w:tc>
        <w:tc>
          <w:tcPr>
            <w:tcW w:w="1304" w:type="pct"/>
            <w:tcBorders>
              <w:bottom w:val="single" w:sz="4" w:space="0" w:color="auto"/>
            </w:tcBorders>
          </w:tcPr>
          <w:p w14:paraId="7040B62B" w14:textId="77777777" w:rsidR="00267DA9" w:rsidRPr="000A03FD" w:rsidRDefault="00267DA9" w:rsidP="00113672">
            <w:pPr>
              <w:pStyle w:val="Tabletext"/>
              <w:keepNext/>
              <w:keepLines/>
              <w:jc w:val="center"/>
              <w:rPr>
                <w:iCs/>
              </w:rPr>
            </w:pPr>
            <w:r w:rsidRPr="000A03FD">
              <w:rPr>
                <w:szCs w:val="20"/>
              </w:rPr>
              <w:t>3.51 (1.25, 5.77)</w:t>
            </w:r>
          </w:p>
        </w:tc>
        <w:tc>
          <w:tcPr>
            <w:tcW w:w="455" w:type="pct"/>
            <w:tcBorders>
              <w:bottom w:val="single" w:sz="4" w:space="0" w:color="auto"/>
            </w:tcBorders>
          </w:tcPr>
          <w:p w14:paraId="7D999271" w14:textId="77777777" w:rsidR="00267DA9" w:rsidRPr="000A03FD" w:rsidRDefault="00267DA9" w:rsidP="00113672">
            <w:pPr>
              <w:pStyle w:val="Tabletext"/>
              <w:keepNext/>
              <w:keepLines/>
              <w:jc w:val="center"/>
              <w:rPr>
                <w:iCs/>
              </w:rPr>
            </w:pPr>
            <w:r w:rsidRPr="000A03FD">
              <w:rPr>
                <w:szCs w:val="20"/>
              </w:rPr>
              <w:t>0.002</w:t>
            </w:r>
          </w:p>
        </w:tc>
      </w:tr>
    </w:tbl>
    <w:p w14:paraId="53A87A88" w14:textId="77777777" w:rsidR="00267DA9" w:rsidRPr="000A03FD" w:rsidRDefault="00267DA9" w:rsidP="00267DA9">
      <w:pPr>
        <w:pStyle w:val="TableFooter"/>
        <w:keepNext/>
        <w:keepLines/>
      </w:pPr>
      <w:r w:rsidRPr="000A03FD">
        <w:t>Source: Table 2-34 (p88) of the resubmission</w:t>
      </w:r>
    </w:p>
    <w:p w14:paraId="01718D79" w14:textId="77777777" w:rsidR="00267DA9" w:rsidRPr="000A03FD" w:rsidRDefault="00267DA9" w:rsidP="00267DA9">
      <w:pPr>
        <w:rPr>
          <w:rFonts w:ascii="Arial Narrow" w:hAnsi="Arial Narrow"/>
          <w:sz w:val="18"/>
          <w:szCs w:val="18"/>
        </w:rPr>
      </w:pPr>
      <w:r w:rsidRPr="000A03FD">
        <w:rPr>
          <w:rFonts w:ascii="Arial Narrow" w:hAnsi="Arial Narrow"/>
          <w:sz w:val="18"/>
          <w:szCs w:val="18"/>
        </w:rPr>
        <w:t>Note: Analysis performed using mixed model repeated measures with covariates of treatment group, geographic region, baseline, log(e) baseline blood eosinophil count, visit plus interaction terms for visit by baseline and visit by treatment group. Estimates are based on weighting applied to each level of class variable determined from observed proportions. Subjects with nasal surgery/sinuplasty prior to visit, subjects who withdrew from study with no surgery/sinuplasty and subjects with missing visit data are assigned their worst observed score prior to nasal surgery/sinuplasty or study withdrawal or missing visit respectively.</w:t>
      </w:r>
    </w:p>
    <w:p w14:paraId="7C4D1B2B" w14:textId="77777777" w:rsidR="00267DA9" w:rsidRPr="000A03FD" w:rsidRDefault="00267DA9" w:rsidP="00267DA9">
      <w:pPr>
        <w:rPr>
          <w:rFonts w:ascii="Arial Narrow" w:hAnsi="Arial Narrow"/>
          <w:sz w:val="18"/>
          <w:szCs w:val="18"/>
        </w:rPr>
      </w:pPr>
      <w:r w:rsidRPr="000A03FD">
        <w:rPr>
          <w:rFonts w:ascii="Arial Narrow" w:hAnsi="Arial Narrow"/>
          <w:sz w:val="18"/>
          <w:szCs w:val="18"/>
        </w:rPr>
        <w:t>Note: 3 Placebo subjects with missing baseline score are excluded from the analysis.</w:t>
      </w:r>
    </w:p>
    <w:p w14:paraId="35183403" w14:textId="59D793C5" w:rsidR="00267DA9" w:rsidRDefault="00ED06D3" w:rsidP="00267DA9">
      <w:pPr>
        <w:pStyle w:val="TableFooter"/>
        <w:keepNext/>
        <w:keepLines/>
        <w:rPr>
          <w:rFonts w:eastAsia="Calibri"/>
        </w:rPr>
      </w:pPr>
      <w:r w:rsidRPr="000A03FD">
        <w:rPr>
          <w:rFonts w:eastAsia="Calibri"/>
        </w:rPr>
        <w:t xml:space="preserve">LS = least squares; </w:t>
      </w:r>
      <w:r w:rsidR="00267DA9" w:rsidRPr="000A03FD">
        <w:rPr>
          <w:rFonts w:eastAsia="Calibri"/>
        </w:rPr>
        <w:t>SE = standard error; SF-36 = 36 item short-form survey</w:t>
      </w:r>
    </w:p>
    <w:p w14:paraId="50F9DC4D" w14:textId="721A4F0D" w:rsidR="00BE3BD7" w:rsidRPr="000A03FD" w:rsidRDefault="00BC517D" w:rsidP="00053156">
      <w:pPr>
        <w:pStyle w:val="TableFooter"/>
        <w:keepNext/>
        <w:keepLines/>
        <w:spacing w:after="120"/>
      </w:pPr>
      <w:r w:rsidRPr="00BC517D">
        <w:rPr>
          <w:i/>
          <w:iCs/>
        </w:rPr>
        <w:t>Note that the results presented in Table 9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p w14:paraId="09D81393" w14:textId="5294AD61" w:rsidR="000C6694" w:rsidRPr="000A03FD" w:rsidRDefault="00A475D7" w:rsidP="008134F6">
      <w:pPr>
        <w:pStyle w:val="3-BodyText"/>
      </w:pPr>
      <w:bookmarkStart w:id="50" w:name="_Ref119502576"/>
      <w:r w:rsidRPr="000A03FD">
        <w:t xml:space="preserve">Overall, patients with baseline BEC </w:t>
      </w:r>
      <w:r w:rsidRPr="000A03FD">
        <w:rPr>
          <w:rFonts w:cstheme="minorHAnsi"/>
        </w:rPr>
        <w:t>≥</w:t>
      </w:r>
      <w:r w:rsidRPr="000A03FD">
        <w:t>300</w:t>
      </w:r>
      <w:r w:rsidR="00BC517D">
        <w:t> </w:t>
      </w:r>
      <w:r w:rsidRPr="000A03FD">
        <w:t>cells/</w:t>
      </w:r>
      <w:r w:rsidRPr="000A03FD">
        <w:rPr>
          <w:rFonts w:cstheme="minorHAnsi"/>
        </w:rPr>
        <w:t>µ</w:t>
      </w:r>
      <w:r w:rsidRPr="000A03FD">
        <w:t>L</w:t>
      </w:r>
      <w:r w:rsidRPr="000A03FD">
        <w:rPr>
          <w:i/>
          <w:iCs/>
        </w:rPr>
        <w:t xml:space="preserve"> </w:t>
      </w:r>
      <w:r w:rsidRPr="000A03FD">
        <w:t xml:space="preserve">randomised to mepolizumab reported statistically significantly higher quality of life as measured using the SF-36 compared to patients randomised to placebo. </w:t>
      </w:r>
      <w:r w:rsidR="000764C9" w:rsidRPr="000A03FD">
        <w:t xml:space="preserve">The mean changes from baseline at week 52 for the SF-36 mental and physical component summary scores </w:t>
      </w:r>
      <w:r w:rsidR="000C6694" w:rsidRPr="000A03FD">
        <w:t>appeared</w:t>
      </w:r>
      <w:r w:rsidR="000764C9" w:rsidRPr="000A03FD">
        <w:t xml:space="preserve"> consistent with the ITT population </w:t>
      </w:r>
      <w:r w:rsidR="00DE1599" w:rsidRPr="000A03FD">
        <w:t>results presented in previous submission.</w:t>
      </w:r>
      <w:r w:rsidR="00DE1599" w:rsidRPr="000A03FD">
        <w:rPr>
          <w:i/>
          <w:iCs/>
        </w:rPr>
        <w:t xml:space="preserve"> </w:t>
      </w:r>
      <w:r w:rsidR="000C6694" w:rsidRPr="000A03FD">
        <w:t xml:space="preserve">In the ITT population, the median change from baseline at Week 52 for the physical and mental component summary scores were 0.0 for the placebo group. For the </w:t>
      </w:r>
      <w:r w:rsidR="00BB3D35" w:rsidRPr="000A03FD">
        <w:t xml:space="preserve">ITT </w:t>
      </w:r>
      <w:r w:rsidR="000C6694" w:rsidRPr="000A03FD">
        <w:t>mepolizumab group, there was a larger median change from baseline in the physical component summary score (6.8) than the mental component summary score (1.2)</w:t>
      </w:r>
      <w:r w:rsidR="00BB3D35" w:rsidRPr="000A03FD">
        <w:t xml:space="preserve"> (paragraph 6.20, mepolizumab</w:t>
      </w:r>
      <w:r w:rsidR="00571B0C" w:rsidRPr="000A03FD">
        <w:t xml:space="preserve"> </w:t>
      </w:r>
      <w:r w:rsidR="006A1B32">
        <w:t>PSD</w:t>
      </w:r>
      <w:r w:rsidR="00BB3D35" w:rsidRPr="000A03FD">
        <w:t xml:space="preserve"> November 2021 PBAC meeting)</w:t>
      </w:r>
      <w:r w:rsidR="000C6694" w:rsidRPr="000A03FD">
        <w:t xml:space="preserve">. </w:t>
      </w:r>
      <w:r w:rsidR="00FF114B" w:rsidRPr="000A03FD">
        <w:t xml:space="preserve">SF-36 data for the BEC </w:t>
      </w:r>
      <w:r w:rsidR="00FF114B" w:rsidRPr="000A03FD">
        <w:rPr>
          <w:rFonts w:cstheme="minorHAnsi"/>
        </w:rPr>
        <w:t>≥</w:t>
      </w:r>
      <w:r w:rsidR="00BC517D" w:rsidRPr="000A03FD">
        <w:t>300</w:t>
      </w:r>
      <w:r w:rsidR="00BC517D">
        <w:t> </w:t>
      </w:r>
      <w:r w:rsidR="00FF114B" w:rsidRPr="000A03FD">
        <w:t>cells/</w:t>
      </w:r>
      <w:r w:rsidR="00FF114B" w:rsidRPr="000A03FD">
        <w:rPr>
          <w:rFonts w:cstheme="minorHAnsi"/>
        </w:rPr>
        <w:t>µ</w:t>
      </w:r>
      <w:r w:rsidR="00FF114B" w:rsidRPr="000A03FD">
        <w:t xml:space="preserve">L </w:t>
      </w:r>
      <w:r w:rsidR="002774D1" w:rsidRPr="000A03FD">
        <w:t>subgroup</w:t>
      </w:r>
      <w:r w:rsidR="00FF114B" w:rsidRPr="000A03FD">
        <w:t xml:space="preserve"> </w:t>
      </w:r>
      <w:r w:rsidR="002123B1" w:rsidRPr="000A03FD">
        <w:t>was converted to</w:t>
      </w:r>
      <w:r w:rsidR="00393A56" w:rsidRPr="000A03FD">
        <w:t xml:space="preserve"> utility values using the</w:t>
      </w:r>
      <w:r w:rsidR="002123B1" w:rsidRPr="000A03FD">
        <w:t xml:space="preserve"> </w:t>
      </w:r>
      <w:r w:rsidR="00393A56" w:rsidRPr="000A03FD">
        <w:t>Short-Form Six-Dimensions (SF-6D) and applied in the economic model.</w:t>
      </w:r>
      <w:bookmarkEnd w:id="50"/>
    </w:p>
    <w:p w14:paraId="1452C351" w14:textId="0D19F1B0" w:rsidR="00B60939" w:rsidRPr="000A03FD" w:rsidRDefault="00B60939" w:rsidP="00D86231">
      <w:pPr>
        <w:pStyle w:val="4-SubsectionHeading"/>
      </w:pPr>
      <w:bookmarkStart w:id="51" w:name="_Toc22897642"/>
      <w:bookmarkStart w:id="52" w:name="_Toc113982845"/>
      <w:r w:rsidRPr="000A03FD">
        <w:t>Comparative harms</w:t>
      </w:r>
      <w:bookmarkEnd w:id="51"/>
      <w:bookmarkEnd w:id="52"/>
    </w:p>
    <w:p w14:paraId="7D341DBA" w14:textId="0CFD9A75" w:rsidR="00A40600" w:rsidRPr="000A03FD" w:rsidRDefault="009D263C" w:rsidP="00A40600">
      <w:pPr>
        <w:pStyle w:val="3-BodyText"/>
      </w:pPr>
      <w:r w:rsidRPr="000A03FD">
        <w:fldChar w:fldCharType="begin" w:fldLock="1"/>
      </w:r>
      <w:r w:rsidRPr="000A03FD">
        <w:instrText xml:space="preserve"> REF _Ref111518100 \h  \* MERGEFORMAT </w:instrText>
      </w:r>
      <w:r w:rsidRPr="000A03FD">
        <w:fldChar w:fldCharType="separate"/>
      </w:r>
      <w:r w:rsidR="00625A18" w:rsidRPr="000A03FD">
        <w:t>Table 10</w:t>
      </w:r>
      <w:r w:rsidRPr="000A03FD">
        <w:fldChar w:fldCharType="end"/>
      </w:r>
      <w:r w:rsidRPr="000A03FD">
        <w:t xml:space="preserve"> </w:t>
      </w:r>
      <w:r w:rsidR="00412877" w:rsidRPr="000A03FD">
        <w:t xml:space="preserve">presents a summary of adverse events (AEs) in </w:t>
      </w:r>
      <w:r w:rsidR="00BC5A4C" w:rsidRPr="000A03FD">
        <w:t xml:space="preserve">the BEC </w:t>
      </w:r>
      <w:r w:rsidR="00BC5A4C" w:rsidRPr="000A03FD">
        <w:rPr>
          <w:rFonts w:cstheme="minorHAnsi"/>
        </w:rPr>
        <w:t>≥</w:t>
      </w:r>
      <w:r w:rsidR="00BC5A4C" w:rsidRPr="000A03FD">
        <w:t>300</w:t>
      </w:r>
      <w:r w:rsidR="00BC517D">
        <w:t> </w:t>
      </w:r>
      <w:r w:rsidR="00BC5A4C" w:rsidRPr="000A03FD">
        <w:t>cells/</w:t>
      </w:r>
      <w:r w:rsidR="00BC5A4C" w:rsidRPr="000A03FD">
        <w:rPr>
          <w:rFonts w:cstheme="minorHAnsi"/>
        </w:rPr>
        <w:t>µ</w:t>
      </w:r>
      <w:r w:rsidR="00BC5A4C" w:rsidRPr="000A03FD">
        <w:t>L and BEC &lt;</w:t>
      </w:r>
      <w:r w:rsidR="00D60144" w:rsidRPr="000A03FD">
        <w:t>300</w:t>
      </w:r>
      <w:r w:rsidR="00BC517D">
        <w:t> </w:t>
      </w:r>
      <w:r w:rsidR="00D60144" w:rsidRPr="000A03FD">
        <w:t>cells/</w:t>
      </w:r>
      <w:r w:rsidR="00D60144" w:rsidRPr="000A03FD">
        <w:rPr>
          <w:rFonts w:cstheme="minorHAnsi"/>
        </w:rPr>
        <w:t>µ</w:t>
      </w:r>
      <w:r w:rsidR="00D60144" w:rsidRPr="000A03FD">
        <w:t xml:space="preserve">L </w:t>
      </w:r>
      <w:r w:rsidR="002774D1" w:rsidRPr="000A03FD">
        <w:t>subgroup</w:t>
      </w:r>
      <w:r w:rsidR="00D60144" w:rsidRPr="000A03FD">
        <w:t xml:space="preserve">s in </w:t>
      </w:r>
      <w:r w:rsidR="00412877" w:rsidRPr="000A03FD">
        <w:t xml:space="preserve">SYNAPSE. </w:t>
      </w:r>
      <w:r w:rsidR="00CA039F" w:rsidRPr="000A03FD">
        <w:t xml:space="preserve">The safety data for these </w:t>
      </w:r>
      <w:r w:rsidR="002774D1" w:rsidRPr="000A03FD">
        <w:t>subgroup</w:t>
      </w:r>
      <w:r w:rsidR="00CA039F" w:rsidRPr="000A03FD">
        <w:t xml:space="preserve">s appeared consistent with the </w:t>
      </w:r>
      <w:r w:rsidR="00A8070C" w:rsidRPr="000A03FD">
        <w:t xml:space="preserve">AE data for the SYNAPSE safety population </w:t>
      </w:r>
      <w:r w:rsidR="00355319" w:rsidRPr="000A03FD">
        <w:t>presented in the previous submission and indicated that mepolizumab patients had comparable AEs compared to placebo patients.</w:t>
      </w:r>
    </w:p>
    <w:p w14:paraId="1AD42DEF" w14:textId="24F7FFD5" w:rsidR="00BC32FC" w:rsidRPr="000A03FD" w:rsidRDefault="009D263C" w:rsidP="009D263C">
      <w:pPr>
        <w:keepNext/>
        <w:keepLines/>
        <w:rPr>
          <w:rStyle w:val="CommentReference"/>
          <w:b w:val="0"/>
        </w:rPr>
      </w:pPr>
      <w:bookmarkStart w:id="53" w:name="_Ref111518100"/>
      <w:r w:rsidRPr="000A03FD">
        <w:rPr>
          <w:rStyle w:val="CommentReference"/>
        </w:rPr>
        <w:lastRenderedPageBreak/>
        <w:t xml:space="preserve">Table </w:t>
      </w:r>
      <w:r w:rsidRPr="000A03FD">
        <w:rPr>
          <w:rStyle w:val="CommentReference"/>
        </w:rPr>
        <w:fldChar w:fldCharType="begin" w:fldLock="1"/>
      </w:r>
      <w:r w:rsidRPr="000A03FD">
        <w:rPr>
          <w:rStyle w:val="CommentReference"/>
        </w:rPr>
        <w:instrText xml:space="preserve"> SEQ Table \* ARABIC </w:instrText>
      </w:r>
      <w:r w:rsidRPr="000A03FD">
        <w:rPr>
          <w:rStyle w:val="CommentReference"/>
        </w:rPr>
        <w:fldChar w:fldCharType="separate"/>
      </w:r>
      <w:r w:rsidR="00A0401C" w:rsidRPr="000A03FD">
        <w:rPr>
          <w:rStyle w:val="CommentReference"/>
        </w:rPr>
        <w:t>10</w:t>
      </w:r>
      <w:r w:rsidRPr="000A03FD">
        <w:rPr>
          <w:rStyle w:val="CommentReference"/>
        </w:rPr>
        <w:fldChar w:fldCharType="end"/>
      </w:r>
      <w:bookmarkEnd w:id="53"/>
      <w:r w:rsidR="00BC32FC" w:rsidRPr="000A03FD">
        <w:rPr>
          <w:rStyle w:val="CommentReference"/>
        </w:rPr>
        <w:t xml:space="preserve">: Adverse event overview and common AEs in BEC </w:t>
      </w:r>
      <w:r w:rsidR="002774D1" w:rsidRPr="000A03FD">
        <w:rPr>
          <w:rStyle w:val="CommentReference"/>
        </w:rPr>
        <w:t>subgroup</w:t>
      </w:r>
      <w:r w:rsidR="00BC32FC" w:rsidRPr="000A03FD">
        <w:rPr>
          <w:rStyle w:val="CommentReference"/>
        </w:rPr>
        <w:t>s of SYNAPSE</w:t>
      </w:r>
    </w:p>
    <w:tbl>
      <w:tblPr>
        <w:tblStyle w:val="TableGrid"/>
        <w:tblW w:w="0" w:type="auto"/>
        <w:tblLayout w:type="fixed"/>
        <w:tblLook w:val="04A0" w:firstRow="1" w:lastRow="0" w:firstColumn="1" w:lastColumn="0" w:noHBand="0" w:noVBand="1"/>
      </w:tblPr>
      <w:tblGrid>
        <w:gridCol w:w="1838"/>
        <w:gridCol w:w="1134"/>
        <w:gridCol w:w="1276"/>
        <w:gridCol w:w="1276"/>
        <w:gridCol w:w="992"/>
        <w:gridCol w:w="1276"/>
        <w:gridCol w:w="1225"/>
      </w:tblGrid>
      <w:tr w:rsidR="006A6141" w:rsidRPr="000A03FD" w14:paraId="0F008B74" w14:textId="77777777" w:rsidTr="00113672">
        <w:tc>
          <w:tcPr>
            <w:tcW w:w="1838" w:type="dxa"/>
            <w:vMerge w:val="restart"/>
            <w:shd w:val="clear" w:color="auto" w:fill="auto"/>
          </w:tcPr>
          <w:p w14:paraId="17214839" w14:textId="77777777" w:rsidR="006A6141" w:rsidRPr="000A03FD" w:rsidRDefault="006A6141" w:rsidP="00113672">
            <w:pPr>
              <w:pStyle w:val="BulletLast"/>
              <w:keepNext/>
              <w:keepLines/>
              <w:numPr>
                <w:ilvl w:val="0"/>
                <w:numId w:val="0"/>
              </w:numPr>
              <w:spacing w:after="0"/>
              <w:rPr>
                <w:rFonts w:ascii="Arial Narrow" w:hAnsi="Arial Narrow" w:cstheme="minorHAnsi"/>
                <w:b/>
                <w:bCs/>
                <w:sz w:val="20"/>
                <w:szCs w:val="20"/>
              </w:rPr>
            </w:pPr>
          </w:p>
        </w:tc>
        <w:tc>
          <w:tcPr>
            <w:tcW w:w="7179" w:type="dxa"/>
            <w:gridSpan w:val="6"/>
            <w:vAlign w:val="center"/>
          </w:tcPr>
          <w:p w14:paraId="72DC7850" w14:textId="7D1EDF6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Baseline blood eosinophil count (cells/</w:t>
            </w:r>
            <w:r w:rsidR="009F319C" w:rsidRPr="000A03FD">
              <w:rPr>
                <w:rFonts w:ascii="Arial Narrow" w:hAnsi="Arial Narrow" w:cstheme="minorHAnsi"/>
                <w:b/>
                <w:bCs/>
                <w:sz w:val="20"/>
                <w:szCs w:val="20"/>
              </w:rPr>
              <w:t>µL</w:t>
            </w:r>
            <w:r w:rsidRPr="000A03FD">
              <w:rPr>
                <w:rFonts w:ascii="Arial Narrow" w:hAnsi="Arial Narrow" w:cstheme="minorHAnsi"/>
                <w:b/>
                <w:bCs/>
                <w:sz w:val="20"/>
                <w:szCs w:val="20"/>
              </w:rPr>
              <w:t>)</w:t>
            </w:r>
          </w:p>
        </w:tc>
      </w:tr>
      <w:tr w:rsidR="006A6141" w:rsidRPr="000A03FD" w14:paraId="620E51E0" w14:textId="77777777" w:rsidTr="00113672">
        <w:tc>
          <w:tcPr>
            <w:tcW w:w="1838" w:type="dxa"/>
            <w:vMerge/>
            <w:shd w:val="clear" w:color="auto" w:fill="auto"/>
          </w:tcPr>
          <w:p w14:paraId="22F29452" w14:textId="77777777" w:rsidR="006A6141" w:rsidRPr="000A03FD" w:rsidRDefault="006A6141" w:rsidP="00113672">
            <w:pPr>
              <w:pStyle w:val="BulletLast"/>
              <w:keepNext/>
              <w:keepLines/>
              <w:numPr>
                <w:ilvl w:val="0"/>
                <w:numId w:val="0"/>
              </w:numPr>
              <w:spacing w:after="0"/>
              <w:rPr>
                <w:rFonts w:ascii="Arial Narrow" w:hAnsi="Arial Narrow" w:cstheme="minorHAnsi"/>
                <w:b/>
                <w:bCs/>
                <w:sz w:val="20"/>
                <w:szCs w:val="20"/>
              </w:rPr>
            </w:pPr>
          </w:p>
        </w:tc>
        <w:tc>
          <w:tcPr>
            <w:tcW w:w="3686" w:type="dxa"/>
            <w:gridSpan w:val="3"/>
            <w:shd w:val="clear" w:color="auto" w:fill="auto"/>
            <w:vAlign w:val="center"/>
          </w:tcPr>
          <w:p w14:paraId="4F30C396"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&lt;300</w:t>
            </w:r>
          </w:p>
        </w:tc>
        <w:tc>
          <w:tcPr>
            <w:tcW w:w="3493" w:type="dxa"/>
            <w:gridSpan w:val="3"/>
            <w:shd w:val="clear" w:color="auto" w:fill="auto"/>
            <w:vAlign w:val="center"/>
          </w:tcPr>
          <w:p w14:paraId="1CCC3B5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≥300</w:t>
            </w:r>
          </w:p>
        </w:tc>
      </w:tr>
      <w:tr w:rsidR="006A6141" w:rsidRPr="000A03FD" w14:paraId="63D6D2DE" w14:textId="77777777" w:rsidTr="00113672">
        <w:tc>
          <w:tcPr>
            <w:tcW w:w="1838" w:type="dxa"/>
            <w:vMerge/>
            <w:shd w:val="clear" w:color="auto" w:fill="auto"/>
          </w:tcPr>
          <w:p w14:paraId="5A67D836" w14:textId="77777777" w:rsidR="006A6141" w:rsidRPr="000A03FD" w:rsidRDefault="006A6141" w:rsidP="00113672">
            <w:pPr>
              <w:pStyle w:val="BulletLast"/>
              <w:keepNext/>
              <w:keepLines/>
              <w:numPr>
                <w:ilvl w:val="0"/>
                <w:numId w:val="0"/>
              </w:numPr>
              <w:spacing w:after="0"/>
              <w:rPr>
                <w:rFonts w:ascii="Arial Narrow" w:hAnsi="Arial Narrow" w:cstheme="minorHAnsi"/>
                <w:b/>
                <w:bCs/>
                <w:sz w:val="20"/>
                <w:szCs w:val="20"/>
              </w:rPr>
            </w:pPr>
          </w:p>
        </w:tc>
        <w:tc>
          <w:tcPr>
            <w:tcW w:w="1134" w:type="dxa"/>
            <w:shd w:val="clear" w:color="auto" w:fill="auto"/>
            <w:vAlign w:val="center"/>
          </w:tcPr>
          <w:p w14:paraId="5CDE87A7"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Placebo</w:t>
            </w:r>
          </w:p>
          <w:p w14:paraId="6006EB0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(n=62)</w:t>
            </w:r>
          </w:p>
        </w:tc>
        <w:tc>
          <w:tcPr>
            <w:tcW w:w="1276" w:type="dxa"/>
            <w:shd w:val="clear" w:color="auto" w:fill="auto"/>
            <w:vAlign w:val="center"/>
          </w:tcPr>
          <w:p w14:paraId="04746CA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Mepolizumab</w:t>
            </w:r>
          </w:p>
          <w:p w14:paraId="0179F49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(n=67)</w:t>
            </w:r>
          </w:p>
        </w:tc>
        <w:tc>
          <w:tcPr>
            <w:tcW w:w="1276" w:type="dxa"/>
            <w:vAlign w:val="center"/>
          </w:tcPr>
          <w:p w14:paraId="3EA983EC"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 xml:space="preserve">RD </w:t>
            </w:r>
          </w:p>
          <w:p w14:paraId="0836D59F"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(95% CI)</w:t>
            </w:r>
          </w:p>
        </w:tc>
        <w:tc>
          <w:tcPr>
            <w:tcW w:w="992" w:type="dxa"/>
            <w:shd w:val="clear" w:color="auto" w:fill="auto"/>
            <w:vAlign w:val="center"/>
          </w:tcPr>
          <w:p w14:paraId="3AADEE6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Placebo</w:t>
            </w:r>
          </w:p>
          <w:p w14:paraId="3D9EF33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(n=139)</w:t>
            </w:r>
          </w:p>
        </w:tc>
        <w:tc>
          <w:tcPr>
            <w:tcW w:w="1276" w:type="dxa"/>
            <w:shd w:val="clear" w:color="auto" w:fill="auto"/>
            <w:vAlign w:val="center"/>
          </w:tcPr>
          <w:p w14:paraId="15E5D8C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Mepolizumab</w:t>
            </w:r>
          </w:p>
          <w:p w14:paraId="2DBB1D6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(n=139)</w:t>
            </w:r>
          </w:p>
        </w:tc>
        <w:tc>
          <w:tcPr>
            <w:tcW w:w="1225" w:type="dxa"/>
            <w:vAlign w:val="center"/>
          </w:tcPr>
          <w:p w14:paraId="7E646FC1"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 xml:space="preserve">RD </w:t>
            </w:r>
          </w:p>
          <w:p w14:paraId="6E202FC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b/>
                <w:bCs/>
                <w:sz w:val="20"/>
                <w:szCs w:val="20"/>
              </w:rPr>
            </w:pPr>
            <w:r w:rsidRPr="000A03FD">
              <w:rPr>
                <w:rFonts w:ascii="Arial Narrow" w:hAnsi="Arial Narrow" w:cstheme="minorHAnsi"/>
                <w:b/>
                <w:bCs/>
                <w:sz w:val="20"/>
                <w:szCs w:val="20"/>
              </w:rPr>
              <w:t>(95% CI)</w:t>
            </w:r>
          </w:p>
        </w:tc>
      </w:tr>
      <w:tr w:rsidR="006A6141" w:rsidRPr="000A03FD" w14:paraId="7B88E3CB" w14:textId="77777777" w:rsidTr="00113672">
        <w:tc>
          <w:tcPr>
            <w:tcW w:w="1838" w:type="dxa"/>
            <w:vAlign w:val="center"/>
          </w:tcPr>
          <w:p w14:paraId="4364712E"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Any AE, n (%) *</w:t>
            </w:r>
          </w:p>
        </w:tc>
        <w:tc>
          <w:tcPr>
            <w:tcW w:w="1134" w:type="dxa"/>
            <w:vAlign w:val="center"/>
          </w:tcPr>
          <w:p w14:paraId="7F56C614"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52 (83.9)</w:t>
            </w:r>
          </w:p>
        </w:tc>
        <w:tc>
          <w:tcPr>
            <w:tcW w:w="1276" w:type="dxa"/>
            <w:vAlign w:val="center"/>
          </w:tcPr>
          <w:p w14:paraId="3EF9DB56"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58 (86.6)</w:t>
            </w:r>
          </w:p>
        </w:tc>
        <w:tc>
          <w:tcPr>
            <w:tcW w:w="1276" w:type="dxa"/>
            <w:vAlign w:val="center"/>
          </w:tcPr>
          <w:p w14:paraId="126045A4"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0.027 </w:t>
            </w:r>
          </w:p>
          <w:p w14:paraId="125C5E6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(-0.10, 0.17)</w:t>
            </w:r>
          </w:p>
        </w:tc>
        <w:tc>
          <w:tcPr>
            <w:tcW w:w="992" w:type="dxa"/>
            <w:vAlign w:val="center"/>
          </w:tcPr>
          <w:p w14:paraId="7C9F37C3"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118 (84.9)</w:t>
            </w:r>
          </w:p>
        </w:tc>
        <w:tc>
          <w:tcPr>
            <w:tcW w:w="1276" w:type="dxa"/>
            <w:vAlign w:val="center"/>
          </w:tcPr>
          <w:p w14:paraId="032B2E94"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111 (79.9)</w:t>
            </w:r>
          </w:p>
        </w:tc>
        <w:tc>
          <w:tcPr>
            <w:tcW w:w="1225" w:type="dxa"/>
            <w:vAlign w:val="center"/>
          </w:tcPr>
          <w:p w14:paraId="2AA68543"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-0.05 </w:t>
            </w:r>
          </w:p>
          <w:p w14:paraId="5153163C"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(-0.14, 0.04)</w:t>
            </w:r>
          </w:p>
        </w:tc>
      </w:tr>
      <w:tr w:rsidR="006A6141" w:rsidRPr="000A03FD" w14:paraId="519A3FA6" w14:textId="77777777" w:rsidTr="00113672">
        <w:tc>
          <w:tcPr>
            <w:tcW w:w="1838" w:type="dxa"/>
            <w:vAlign w:val="center"/>
          </w:tcPr>
          <w:p w14:paraId="4D97E772"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AE related to study treatment, n (%)</w:t>
            </w:r>
          </w:p>
        </w:tc>
        <w:tc>
          <w:tcPr>
            <w:tcW w:w="1134" w:type="dxa"/>
            <w:vAlign w:val="center"/>
          </w:tcPr>
          <w:p w14:paraId="5796CE43"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2 (3.2)</w:t>
            </w:r>
          </w:p>
        </w:tc>
        <w:tc>
          <w:tcPr>
            <w:tcW w:w="1276" w:type="dxa"/>
            <w:vAlign w:val="center"/>
          </w:tcPr>
          <w:p w14:paraId="4F73D5F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7 (10.4)</w:t>
            </w:r>
          </w:p>
        </w:tc>
        <w:tc>
          <w:tcPr>
            <w:tcW w:w="1276" w:type="dxa"/>
            <w:vAlign w:val="center"/>
          </w:tcPr>
          <w:p w14:paraId="29E4B86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0.072 </w:t>
            </w:r>
          </w:p>
          <w:p w14:paraId="4683266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(-0.02,0.17)</w:t>
            </w:r>
          </w:p>
        </w:tc>
        <w:tc>
          <w:tcPr>
            <w:tcW w:w="992" w:type="dxa"/>
            <w:vAlign w:val="center"/>
          </w:tcPr>
          <w:p w14:paraId="306609B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17 (12.2)</w:t>
            </w:r>
          </w:p>
        </w:tc>
        <w:tc>
          <w:tcPr>
            <w:tcW w:w="1276" w:type="dxa"/>
            <w:vAlign w:val="center"/>
          </w:tcPr>
          <w:p w14:paraId="558FEE26"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23 (16.5)</w:t>
            </w:r>
          </w:p>
        </w:tc>
        <w:tc>
          <w:tcPr>
            <w:tcW w:w="1225" w:type="dxa"/>
            <w:vAlign w:val="center"/>
          </w:tcPr>
          <w:p w14:paraId="0DB00FE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0.043</w:t>
            </w:r>
          </w:p>
          <w:p w14:paraId="365E100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 (-0.04, 0.13)</w:t>
            </w:r>
          </w:p>
        </w:tc>
      </w:tr>
      <w:tr w:rsidR="006A6141" w:rsidRPr="000A03FD" w14:paraId="1C731249" w14:textId="77777777" w:rsidTr="00113672">
        <w:tc>
          <w:tcPr>
            <w:tcW w:w="1838" w:type="dxa"/>
            <w:vAlign w:val="center"/>
          </w:tcPr>
          <w:p w14:paraId="2588B25A"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Any SAE, n (%) *</w:t>
            </w:r>
          </w:p>
        </w:tc>
        <w:tc>
          <w:tcPr>
            <w:tcW w:w="1134" w:type="dxa"/>
            <w:vAlign w:val="center"/>
          </w:tcPr>
          <w:p w14:paraId="082EE18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3 (4.8)</w:t>
            </w:r>
          </w:p>
        </w:tc>
        <w:tc>
          <w:tcPr>
            <w:tcW w:w="1276" w:type="dxa"/>
            <w:vAlign w:val="center"/>
          </w:tcPr>
          <w:p w14:paraId="098E4EFC"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6 (9.0)</w:t>
            </w:r>
          </w:p>
        </w:tc>
        <w:tc>
          <w:tcPr>
            <w:tcW w:w="1276" w:type="dxa"/>
            <w:vAlign w:val="center"/>
          </w:tcPr>
          <w:p w14:paraId="3378DEB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0.041 </w:t>
            </w:r>
          </w:p>
          <w:p w14:paraId="3F04925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(-0.06, 0.14)</w:t>
            </w:r>
          </w:p>
        </w:tc>
        <w:tc>
          <w:tcPr>
            <w:tcW w:w="992" w:type="dxa"/>
            <w:vAlign w:val="center"/>
          </w:tcPr>
          <w:p w14:paraId="2D6E92C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11 (7.9)</w:t>
            </w:r>
          </w:p>
        </w:tc>
        <w:tc>
          <w:tcPr>
            <w:tcW w:w="1276" w:type="dxa"/>
            <w:vAlign w:val="center"/>
          </w:tcPr>
          <w:p w14:paraId="0601DC93"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6 (4.3)</w:t>
            </w:r>
          </w:p>
        </w:tc>
        <w:tc>
          <w:tcPr>
            <w:tcW w:w="1225" w:type="dxa"/>
            <w:vAlign w:val="center"/>
          </w:tcPr>
          <w:p w14:paraId="1077A5AF"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-0.036 </w:t>
            </w:r>
          </w:p>
          <w:p w14:paraId="591BD97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(-0.10, 0.02)</w:t>
            </w:r>
          </w:p>
        </w:tc>
      </w:tr>
      <w:tr w:rsidR="006A6141" w:rsidRPr="000A03FD" w14:paraId="30BA9D7D" w14:textId="77777777" w:rsidTr="00113672">
        <w:tc>
          <w:tcPr>
            <w:tcW w:w="9017" w:type="dxa"/>
            <w:gridSpan w:val="7"/>
            <w:vAlign w:val="center"/>
          </w:tcPr>
          <w:p w14:paraId="059142C1" w14:textId="77777777" w:rsidR="006A6141" w:rsidRPr="000A03FD" w:rsidRDefault="006A6141" w:rsidP="00113672">
            <w:pPr>
              <w:pStyle w:val="BulletLast"/>
              <w:keepNext/>
              <w:keepLines/>
              <w:numPr>
                <w:ilvl w:val="0"/>
                <w:numId w:val="0"/>
              </w:numPr>
              <w:spacing w:after="0"/>
              <w:rPr>
                <w:rFonts w:ascii="Arial Narrow" w:hAnsi="Arial Narrow" w:cstheme="minorHAnsi"/>
                <w:b/>
                <w:bCs/>
                <w:sz w:val="20"/>
                <w:szCs w:val="20"/>
              </w:rPr>
            </w:pPr>
            <w:r w:rsidRPr="000A03FD">
              <w:rPr>
                <w:rFonts w:ascii="Arial Narrow" w:hAnsi="Arial Narrow" w:cstheme="minorHAnsi"/>
                <w:b/>
                <w:bCs/>
                <w:sz w:val="20"/>
                <w:szCs w:val="20"/>
              </w:rPr>
              <w:t>Most common AE occurring in &gt;10% of patients, n (%)</w:t>
            </w:r>
          </w:p>
        </w:tc>
      </w:tr>
      <w:tr w:rsidR="006A6141" w:rsidRPr="000A03FD" w14:paraId="35DC4A15" w14:textId="77777777" w:rsidTr="00113672">
        <w:tc>
          <w:tcPr>
            <w:tcW w:w="1838" w:type="dxa"/>
            <w:vAlign w:val="center"/>
          </w:tcPr>
          <w:p w14:paraId="023880CE"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Nasopharyngitis</w:t>
            </w:r>
          </w:p>
        </w:tc>
        <w:tc>
          <w:tcPr>
            <w:tcW w:w="1134" w:type="dxa"/>
            <w:vAlign w:val="center"/>
          </w:tcPr>
          <w:p w14:paraId="4CB221BF"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13 (21.0)</w:t>
            </w:r>
          </w:p>
        </w:tc>
        <w:tc>
          <w:tcPr>
            <w:tcW w:w="1276" w:type="dxa"/>
            <w:vAlign w:val="center"/>
          </w:tcPr>
          <w:p w14:paraId="68C57E1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15 (22.4)</w:t>
            </w:r>
          </w:p>
        </w:tc>
        <w:tc>
          <w:tcPr>
            <w:tcW w:w="1276" w:type="dxa"/>
            <w:vAlign w:val="center"/>
          </w:tcPr>
          <w:p w14:paraId="7B834A2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0.014 </w:t>
            </w:r>
          </w:p>
          <w:p w14:paraId="76C1193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(-0.13, 0.15)</w:t>
            </w:r>
          </w:p>
        </w:tc>
        <w:tc>
          <w:tcPr>
            <w:tcW w:w="992" w:type="dxa"/>
            <w:vAlign w:val="center"/>
          </w:tcPr>
          <w:p w14:paraId="68F1BC8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33 (23.7)</w:t>
            </w:r>
          </w:p>
        </w:tc>
        <w:tc>
          <w:tcPr>
            <w:tcW w:w="1276" w:type="dxa"/>
            <w:vAlign w:val="center"/>
          </w:tcPr>
          <w:p w14:paraId="1CDA8DF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37 (26.6)</w:t>
            </w:r>
          </w:p>
        </w:tc>
        <w:tc>
          <w:tcPr>
            <w:tcW w:w="1225" w:type="dxa"/>
            <w:vAlign w:val="center"/>
          </w:tcPr>
          <w:p w14:paraId="078601EC"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0.029 </w:t>
            </w:r>
          </w:p>
          <w:p w14:paraId="3B047A80"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(-0.07, 0.13)</w:t>
            </w:r>
          </w:p>
        </w:tc>
      </w:tr>
      <w:tr w:rsidR="006A6141" w:rsidRPr="000A03FD" w14:paraId="32FB3B58" w14:textId="77777777" w:rsidTr="00113672">
        <w:tc>
          <w:tcPr>
            <w:tcW w:w="1838" w:type="dxa"/>
            <w:vAlign w:val="center"/>
          </w:tcPr>
          <w:p w14:paraId="5F12C957"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Headache</w:t>
            </w:r>
          </w:p>
        </w:tc>
        <w:tc>
          <w:tcPr>
            <w:tcW w:w="1134" w:type="dxa"/>
            <w:vAlign w:val="center"/>
          </w:tcPr>
          <w:p w14:paraId="6EC2F3E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12 (19.4)</w:t>
            </w:r>
          </w:p>
        </w:tc>
        <w:tc>
          <w:tcPr>
            <w:tcW w:w="1276" w:type="dxa"/>
            <w:vAlign w:val="center"/>
          </w:tcPr>
          <w:p w14:paraId="4813FB4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10 (14.9)</w:t>
            </w:r>
          </w:p>
        </w:tc>
        <w:tc>
          <w:tcPr>
            <w:tcW w:w="1276" w:type="dxa"/>
            <w:vAlign w:val="center"/>
          </w:tcPr>
          <w:p w14:paraId="419C81B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-0.044 </w:t>
            </w:r>
          </w:p>
          <w:p w14:paraId="2C29A4B9"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(-0.18, 0.09)</w:t>
            </w:r>
          </w:p>
        </w:tc>
        <w:tc>
          <w:tcPr>
            <w:tcW w:w="992" w:type="dxa"/>
            <w:vAlign w:val="center"/>
          </w:tcPr>
          <w:p w14:paraId="54A1131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32 (23.0)</w:t>
            </w:r>
          </w:p>
        </w:tc>
        <w:tc>
          <w:tcPr>
            <w:tcW w:w="1276" w:type="dxa"/>
            <w:vAlign w:val="center"/>
          </w:tcPr>
          <w:p w14:paraId="42672B6F"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27 (19.4)</w:t>
            </w:r>
          </w:p>
        </w:tc>
        <w:tc>
          <w:tcPr>
            <w:tcW w:w="1225" w:type="dxa"/>
            <w:vAlign w:val="center"/>
          </w:tcPr>
          <w:p w14:paraId="0AFA0A6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-0.036 </w:t>
            </w:r>
          </w:p>
          <w:p w14:paraId="356D08E6"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(-0.13, 0.06)</w:t>
            </w:r>
          </w:p>
        </w:tc>
      </w:tr>
      <w:tr w:rsidR="006A6141" w:rsidRPr="000A03FD" w14:paraId="61D25161" w14:textId="77777777" w:rsidTr="00113672">
        <w:tc>
          <w:tcPr>
            <w:tcW w:w="1838" w:type="dxa"/>
            <w:vAlign w:val="center"/>
          </w:tcPr>
          <w:p w14:paraId="6B206600"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Sinusitis</w:t>
            </w:r>
          </w:p>
        </w:tc>
        <w:tc>
          <w:tcPr>
            <w:tcW w:w="1134" w:type="dxa"/>
            <w:vAlign w:val="center"/>
          </w:tcPr>
          <w:p w14:paraId="54F5EF5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7 (11.3)</w:t>
            </w:r>
          </w:p>
        </w:tc>
        <w:tc>
          <w:tcPr>
            <w:tcW w:w="1276" w:type="dxa"/>
            <w:vAlign w:val="center"/>
          </w:tcPr>
          <w:p w14:paraId="79EB67E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6 (9.0)</w:t>
            </w:r>
          </w:p>
        </w:tc>
        <w:tc>
          <w:tcPr>
            <w:tcW w:w="1276" w:type="dxa"/>
            <w:vAlign w:val="center"/>
          </w:tcPr>
          <w:p w14:paraId="56FE8C9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-0.023 </w:t>
            </w:r>
          </w:p>
          <w:p w14:paraId="7E65791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(-0.14, 0.09)</w:t>
            </w:r>
          </w:p>
        </w:tc>
        <w:tc>
          <w:tcPr>
            <w:tcW w:w="992" w:type="dxa"/>
            <w:vAlign w:val="center"/>
          </w:tcPr>
          <w:p w14:paraId="15E4471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15 (10.8)</w:t>
            </w:r>
          </w:p>
        </w:tc>
        <w:tc>
          <w:tcPr>
            <w:tcW w:w="1276" w:type="dxa"/>
            <w:vAlign w:val="center"/>
          </w:tcPr>
          <w:p w14:paraId="718748F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4 (2.9)</w:t>
            </w:r>
          </w:p>
        </w:tc>
        <w:tc>
          <w:tcPr>
            <w:tcW w:w="1225" w:type="dxa"/>
            <w:vAlign w:val="center"/>
          </w:tcPr>
          <w:p w14:paraId="6E080EB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-0.079 </w:t>
            </w:r>
          </w:p>
          <w:p w14:paraId="462A5A2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(-0.15, -0.02)</w:t>
            </w:r>
          </w:p>
        </w:tc>
      </w:tr>
      <w:tr w:rsidR="006A6141" w:rsidRPr="000A03FD" w14:paraId="355257DA" w14:textId="77777777" w:rsidTr="00113672">
        <w:tc>
          <w:tcPr>
            <w:tcW w:w="1838" w:type="dxa"/>
            <w:vAlign w:val="center"/>
          </w:tcPr>
          <w:p w14:paraId="5C88D8B1"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Acute sinusitis</w:t>
            </w:r>
          </w:p>
        </w:tc>
        <w:tc>
          <w:tcPr>
            <w:tcW w:w="1134" w:type="dxa"/>
            <w:vAlign w:val="center"/>
          </w:tcPr>
          <w:p w14:paraId="08EDF21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5 (8.1)</w:t>
            </w:r>
          </w:p>
        </w:tc>
        <w:tc>
          <w:tcPr>
            <w:tcW w:w="1276" w:type="dxa"/>
            <w:vAlign w:val="center"/>
          </w:tcPr>
          <w:p w14:paraId="2B6C4201"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7 (10.4)</w:t>
            </w:r>
          </w:p>
        </w:tc>
        <w:tc>
          <w:tcPr>
            <w:tcW w:w="1276" w:type="dxa"/>
            <w:vAlign w:val="center"/>
          </w:tcPr>
          <w:p w14:paraId="732CF34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0.024 </w:t>
            </w:r>
          </w:p>
          <w:p w14:paraId="1E7EFA76"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(-0.09, 0.13)</w:t>
            </w:r>
          </w:p>
        </w:tc>
        <w:tc>
          <w:tcPr>
            <w:tcW w:w="992" w:type="dxa"/>
            <w:vAlign w:val="center"/>
          </w:tcPr>
          <w:p w14:paraId="085B55E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8 (5.8)</w:t>
            </w:r>
          </w:p>
        </w:tc>
        <w:tc>
          <w:tcPr>
            <w:tcW w:w="1276" w:type="dxa"/>
            <w:vAlign w:val="center"/>
          </w:tcPr>
          <w:p w14:paraId="32FBABB4"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6 (4.3)</w:t>
            </w:r>
          </w:p>
        </w:tc>
        <w:tc>
          <w:tcPr>
            <w:tcW w:w="1225" w:type="dxa"/>
            <w:vAlign w:val="center"/>
          </w:tcPr>
          <w:p w14:paraId="7BF6ECF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-0.014 </w:t>
            </w:r>
          </w:p>
          <w:p w14:paraId="4AEE5C2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(-0.07, 0.04)</w:t>
            </w:r>
          </w:p>
        </w:tc>
      </w:tr>
      <w:tr w:rsidR="006A6141" w:rsidRPr="000A03FD" w14:paraId="23D5E866" w14:textId="77777777" w:rsidTr="00113672">
        <w:tc>
          <w:tcPr>
            <w:tcW w:w="1838" w:type="dxa"/>
            <w:vAlign w:val="center"/>
          </w:tcPr>
          <w:p w14:paraId="3301208F"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Epistaxis</w:t>
            </w:r>
          </w:p>
        </w:tc>
        <w:tc>
          <w:tcPr>
            <w:tcW w:w="1134" w:type="dxa"/>
            <w:vAlign w:val="center"/>
          </w:tcPr>
          <w:p w14:paraId="4D4AEA09"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5 (8.1)</w:t>
            </w:r>
          </w:p>
        </w:tc>
        <w:tc>
          <w:tcPr>
            <w:tcW w:w="1276" w:type="dxa"/>
            <w:vAlign w:val="center"/>
          </w:tcPr>
          <w:p w14:paraId="4E013E2D"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8 (11.9)</w:t>
            </w:r>
          </w:p>
        </w:tc>
        <w:tc>
          <w:tcPr>
            <w:tcW w:w="1276" w:type="dxa"/>
            <w:vAlign w:val="center"/>
          </w:tcPr>
          <w:p w14:paraId="20BB1533"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0.039 </w:t>
            </w:r>
          </w:p>
          <w:p w14:paraId="4428F8A1"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(-0.07, 0.15)</w:t>
            </w:r>
          </w:p>
        </w:tc>
        <w:tc>
          <w:tcPr>
            <w:tcW w:w="992" w:type="dxa"/>
            <w:vAlign w:val="center"/>
          </w:tcPr>
          <w:p w14:paraId="72D70DA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13 (9.4)</w:t>
            </w:r>
          </w:p>
        </w:tc>
        <w:tc>
          <w:tcPr>
            <w:tcW w:w="1276" w:type="dxa"/>
            <w:vAlign w:val="center"/>
          </w:tcPr>
          <w:p w14:paraId="3F34BA3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9 (6.5)</w:t>
            </w:r>
          </w:p>
        </w:tc>
        <w:tc>
          <w:tcPr>
            <w:tcW w:w="1225" w:type="dxa"/>
            <w:vAlign w:val="center"/>
          </w:tcPr>
          <w:p w14:paraId="64D84F9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-0.029 </w:t>
            </w:r>
          </w:p>
          <w:p w14:paraId="5972CAA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(-0.10, 0.04)</w:t>
            </w:r>
          </w:p>
        </w:tc>
      </w:tr>
      <w:tr w:rsidR="006A6141" w:rsidRPr="000A03FD" w14:paraId="0DBAA9E9" w14:textId="77777777" w:rsidTr="00113672">
        <w:tc>
          <w:tcPr>
            <w:tcW w:w="1838" w:type="dxa"/>
            <w:vAlign w:val="center"/>
          </w:tcPr>
          <w:p w14:paraId="60416892"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Nasal polyps</w:t>
            </w:r>
          </w:p>
        </w:tc>
        <w:tc>
          <w:tcPr>
            <w:tcW w:w="1134" w:type="dxa"/>
            <w:vAlign w:val="center"/>
          </w:tcPr>
          <w:p w14:paraId="485588DF"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4 (6.5)</w:t>
            </w:r>
          </w:p>
        </w:tc>
        <w:tc>
          <w:tcPr>
            <w:tcW w:w="1276" w:type="dxa"/>
            <w:vAlign w:val="center"/>
          </w:tcPr>
          <w:p w14:paraId="1470B911"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2 (3.0)</w:t>
            </w:r>
          </w:p>
        </w:tc>
        <w:tc>
          <w:tcPr>
            <w:tcW w:w="1276" w:type="dxa"/>
            <w:vAlign w:val="center"/>
          </w:tcPr>
          <w:p w14:paraId="437883C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0.035 </w:t>
            </w:r>
          </w:p>
          <w:p w14:paraId="0164A238"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(-0.13, 0.05)</w:t>
            </w:r>
          </w:p>
        </w:tc>
        <w:tc>
          <w:tcPr>
            <w:tcW w:w="992" w:type="dxa"/>
            <w:vAlign w:val="center"/>
          </w:tcPr>
          <w:p w14:paraId="0CAFFCE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12 (8.6)</w:t>
            </w:r>
          </w:p>
        </w:tc>
        <w:tc>
          <w:tcPr>
            <w:tcW w:w="1276" w:type="dxa"/>
            <w:vAlign w:val="center"/>
          </w:tcPr>
          <w:p w14:paraId="568643D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6 (4.3)</w:t>
            </w:r>
          </w:p>
        </w:tc>
        <w:tc>
          <w:tcPr>
            <w:tcW w:w="1225" w:type="dxa"/>
            <w:vAlign w:val="center"/>
          </w:tcPr>
          <w:p w14:paraId="77E4B813"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-0.043 </w:t>
            </w:r>
          </w:p>
          <w:p w14:paraId="1C769EE6"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(-0.11, 0.02)</w:t>
            </w:r>
          </w:p>
        </w:tc>
      </w:tr>
      <w:tr w:rsidR="006A6141" w:rsidRPr="000A03FD" w14:paraId="412ACD4F" w14:textId="77777777" w:rsidTr="00113672">
        <w:tc>
          <w:tcPr>
            <w:tcW w:w="1838" w:type="dxa"/>
            <w:vAlign w:val="center"/>
          </w:tcPr>
          <w:p w14:paraId="4D1506A4" w14:textId="77777777" w:rsidR="006A6141" w:rsidRPr="000A03FD" w:rsidRDefault="006A6141" w:rsidP="00113672">
            <w:pPr>
              <w:pStyle w:val="BulletLast"/>
              <w:keepNext/>
              <w:keepLines/>
              <w:numPr>
                <w:ilvl w:val="0"/>
                <w:numId w:val="0"/>
              </w:numPr>
              <w:spacing w:after="0"/>
              <w:rPr>
                <w:rFonts w:ascii="Arial Narrow" w:hAnsi="Arial Narrow" w:cstheme="minorHAnsi"/>
                <w:sz w:val="20"/>
                <w:szCs w:val="20"/>
              </w:rPr>
            </w:pPr>
            <w:r w:rsidRPr="000A03FD">
              <w:rPr>
                <w:rFonts w:ascii="Arial Narrow" w:hAnsi="Arial Narrow" w:cstheme="minorHAnsi"/>
                <w:sz w:val="20"/>
                <w:szCs w:val="20"/>
              </w:rPr>
              <w:t>Chronic sinusitis</w:t>
            </w:r>
          </w:p>
        </w:tc>
        <w:tc>
          <w:tcPr>
            <w:tcW w:w="1134" w:type="dxa"/>
            <w:vAlign w:val="center"/>
          </w:tcPr>
          <w:p w14:paraId="3AACA7D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2 (3.2)</w:t>
            </w:r>
          </w:p>
        </w:tc>
        <w:tc>
          <w:tcPr>
            <w:tcW w:w="1276" w:type="dxa"/>
            <w:vAlign w:val="center"/>
          </w:tcPr>
          <w:p w14:paraId="0CB05414"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 (1.5)</w:t>
            </w:r>
          </w:p>
        </w:tc>
        <w:tc>
          <w:tcPr>
            <w:tcW w:w="1276" w:type="dxa"/>
            <w:vAlign w:val="center"/>
          </w:tcPr>
          <w:p w14:paraId="63963CBC"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-0.017 </w:t>
            </w:r>
          </w:p>
          <w:p w14:paraId="15A4DE5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(-0.10, 0.05)</w:t>
            </w:r>
          </w:p>
        </w:tc>
        <w:tc>
          <w:tcPr>
            <w:tcW w:w="992" w:type="dxa"/>
            <w:vAlign w:val="center"/>
          </w:tcPr>
          <w:p w14:paraId="70F2E54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 (0)</w:t>
            </w:r>
          </w:p>
        </w:tc>
        <w:tc>
          <w:tcPr>
            <w:tcW w:w="1276" w:type="dxa"/>
            <w:vAlign w:val="center"/>
          </w:tcPr>
          <w:p w14:paraId="3153CD89"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 (0)</w:t>
            </w:r>
          </w:p>
        </w:tc>
        <w:tc>
          <w:tcPr>
            <w:tcW w:w="1225" w:type="dxa"/>
            <w:vAlign w:val="center"/>
          </w:tcPr>
          <w:p w14:paraId="7700BF5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 </w:t>
            </w:r>
          </w:p>
          <w:p w14:paraId="72B9136A"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(-0.03, 0.03)</w:t>
            </w:r>
          </w:p>
        </w:tc>
      </w:tr>
      <w:tr w:rsidR="006A6141" w:rsidRPr="000A03FD" w14:paraId="7364D059" w14:textId="77777777" w:rsidTr="00113672">
        <w:tc>
          <w:tcPr>
            <w:tcW w:w="1838" w:type="dxa"/>
            <w:vAlign w:val="center"/>
          </w:tcPr>
          <w:p w14:paraId="221316A9" w14:textId="77777777" w:rsidR="006A6141" w:rsidRPr="000A03FD" w:rsidRDefault="006A6141" w:rsidP="00113672">
            <w:pPr>
              <w:pStyle w:val="BulletLast"/>
              <w:keepNext/>
              <w:keepLines/>
              <w:numPr>
                <w:ilvl w:val="0"/>
                <w:numId w:val="0"/>
              </w:numPr>
              <w:spacing w:after="0"/>
              <w:ind w:left="-23" w:firstLine="3"/>
              <w:rPr>
                <w:rFonts w:ascii="Arial Narrow" w:hAnsi="Arial Narrow" w:cstheme="minorHAnsi"/>
                <w:sz w:val="20"/>
                <w:szCs w:val="20"/>
              </w:rPr>
            </w:pPr>
            <w:r w:rsidRPr="000A03FD">
              <w:rPr>
                <w:rFonts w:ascii="Arial Narrow" w:hAnsi="Arial Narrow" w:cstheme="minorHAnsi"/>
                <w:sz w:val="20"/>
                <w:szCs w:val="20"/>
              </w:rPr>
              <w:t>Upper respiratory tract infection</w:t>
            </w:r>
          </w:p>
        </w:tc>
        <w:tc>
          <w:tcPr>
            <w:tcW w:w="1134" w:type="dxa"/>
            <w:vAlign w:val="center"/>
          </w:tcPr>
          <w:p w14:paraId="51590565"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4 (6.5)</w:t>
            </w:r>
          </w:p>
        </w:tc>
        <w:tc>
          <w:tcPr>
            <w:tcW w:w="1276" w:type="dxa"/>
            <w:vAlign w:val="center"/>
          </w:tcPr>
          <w:p w14:paraId="5F30CFC7"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3 (4.5)</w:t>
            </w:r>
          </w:p>
        </w:tc>
        <w:tc>
          <w:tcPr>
            <w:tcW w:w="1276" w:type="dxa"/>
            <w:vAlign w:val="center"/>
          </w:tcPr>
          <w:p w14:paraId="6E9FE832"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0.020 </w:t>
            </w:r>
          </w:p>
          <w:p w14:paraId="079BBD61"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(-0.12, 0.07)</w:t>
            </w:r>
          </w:p>
        </w:tc>
        <w:tc>
          <w:tcPr>
            <w:tcW w:w="992" w:type="dxa"/>
            <w:vAlign w:val="center"/>
          </w:tcPr>
          <w:p w14:paraId="7CBCE569"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10 (7.2)</w:t>
            </w:r>
          </w:p>
        </w:tc>
        <w:tc>
          <w:tcPr>
            <w:tcW w:w="1276" w:type="dxa"/>
            <w:vAlign w:val="center"/>
          </w:tcPr>
          <w:p w14:paraId="75B9EFAB"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9 (6.5)</w:t>
            </w:r>
          </w:p>
        </w:tc>
        <w:tc>
          <w:tcPr>
            <w:tcW w:w="1225" w:type="dxa"/>
            <w:vAlign w:val="center"/>
          </w:tcPr>
          <w:p w14:paraId="792C5D24"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 xml:space="preserve">-0.007 </w:t>
            </w:r>
          </w:p>
          <w:p w14:paraId="35FE2F2E" w14:textId="77777777" w:rsidR="006A6141" w:rsidRPr="000A03FD" w:rsidRDefault="006A6141" w:rsidP="00113672">
            <w:pPr>
              <w:pStyle w:val="BulletLast"/>
              <w:keepNext/>
              <w:keepLines/>
              <w:numPr>
                <w:ilvl w:val="0"/>
                <w:numId w:val="0"/>
              </w:numPr>
              <w:spacing w:after="0"/>
              <w:jc w:val="center"/>
              <w:rPr>
                <w:rFonts w:ascii="Arial Narrow" w:hAnsi="Arial Narrow" w:cstheme="minorHAnsi"/>
                <w:sz w:val="20"/>
                <w:szCs w:val="20"/>
              </w:rPr>
            </w:pPr>
            <w:r w:rsidRPr="000A03FD">
              <w:rPr>
                <w:rFonts w:ascii="Arial Narrow" w:hAnsi="Arial Narrow" w:cstheme="minorHAnsi"/>
                <w:sz w:val="20"/>
                <w:szCs w:val="20"/>
              </w:rPr>
              <w:t>(-0.07, 0.06)</w:t>
            </w:r>
          </w:p>
        </w:tc>
      </w:tr>
    </w:tbl>
    <w:p w14:paraId="6621F73D" w14:textId="42E87F7D" w:rsidR="00BC32FC" w:rsidRPr="000A03FD" w:rsidRDefault="00BC32FC" w:rsidP="00770799">
      <w:pPr>
        <w:pStyle w:val="TableFooter"/>
        <w:keepNext/>
        <w:keepLines/>
      </w:pPr>
      <w:r w:rsidRPr="000A03FD">
        <w:t>Source: Table 2-49 (p108-9) of the resubmission.</w:t>
      </w:r>
    </w:p>
    <w:p w14:paraId="4016D7A5" w14:textId="77777777" w:rsidR="00BC32FC" w:rsidRPr="000A03FD" w:rsidRDefault="00BC32FC" w:rsidP="00770799">
      <w:pPr>
        <w:pStyle w:val="BulletLast"/>
        <w:keepNext/>
        <w:keepLines/>
        <w:numPr>
          <w:ilvl w:val="0"/>
          <w:numId w:val="0"/>
        </w:numPr>
        <w:spacing w:after="0"/>
        <w:rPr>
          <w:rFonts w:ascii="Arial Narrow" w:eastAsia="Times New Roman" w:hAnsi="Arial Narrow" w:cs="Arial"/>
          <w:sz w:val="18"/>
          <w:szCs w:val="24"/>
          <w:lang w:eastAsia="en-AU"/>
        </w:rPr>
      </w:pPr>
      <w:r w:rsidRPr="000A03FD">
        <w:rPr>
          <w:rFonts w:ascii="Arial Narrow" w:eastAsia="Times New Roman" w:hAnsi="Arial Narrow" w:cs="Arial"/>
          <w:sz w:val="18"/>
          <w:szCs w:val="24"/>
          <w:lang w:eastAsia="en-AU"/>
        </w:rPr>
        <w:t xml:space="preserve">*Includes data up to Week 52. </w:t>
      </w:r>
    </w:p>
    <w:p w14:paraId="475BB1C7" w14:textId="5948B731" w:rsidR="00BC32FC" w:rsidRPr="000A03FD" w:rsidRDefault="00BC32FC" w:rsidP="00770799">
      <w:pPr>
        <w:pStyle w:val="TableFooter"/>
        <w:keepNext/>
        <w:keepLines/>
      </w:pPr>
      <w:r w:rsidRPr="000A03FD">
        <w:t>Note: The risk differences were analysed during the evaluation</w:t>
      </w:r>
      <w:r w:rsidR="006A6141" w:rsidRPr="000A03FD">
        <w:t xml:space="preserve"> using statsdirect</w:t>
      </w:r>
      <w:r w:rsidRPr="000A03FD">
        <w:t>. Positive values refer to a higher risk in the mepolizumab arm</w:t>
      </w:r>
    </w:p>
    <w:p w14:paraId="23BFFB28" w14:textId="77777777" w:rsidR="00BC32FC" w:rsidRPr="000A03FD" w:rsidRDefault="00BC32FC" w:rsidP="006A6141">
      <w:pPr>
        <w:pStyle w:val="BulletLast"/>
        <w:keepNext/>
        <w:keepLines/>
        <w:numPr>
          <w:ilvl w:val="0"/>
          <w:numId w:val="0"/>
        </w:numPr>
        <w:spacing w:after="120"/>
        <w:rPr>
          <w:rFonts w:ascii="Arial Narrow" w:eastAsia="Times New Roman" w:hAnsi="Arial Narrow" w:cs="Arial"/>
          <w:sz w:val="18"/>
          <w:szCs w:val="24"/>
          <w:lang w:eastAsia="en-AU"/>
        </w:rPr>
      </w:pPr>
      <w:r w:rsidRPr="000A03FD">
        <w:rPr>
          <w:rFonts w:ascii="Arial Narrow" w:eastAsia="Times New Roman" w:hAnsi="Arial Narrow" w:cs="Arial"/>
          <w:sz w:val="18"/>
          <w:szCs w:val="24"/>
          <w:lang w:eastAsia="en-AU"/>
        </w:rPr>
        <w:t>AE = adverse event; CI = confidence interval; RD = risk difference; SAE = serious adverse event.</w:t>
      </w:r>
    </w:p>
    <w:p w14:paraId="5411566C" w14:textId="2F036528" w:rsidR="00A40600" w:rsidRPr="000A03FD" w:rsidRDefault="00A40600" w:rsidP="00D86231">
      <w:pPr>
        <w:pStyle w:val="3-BodyText"/>
      </w:pPr>
      <w:r w:rsidRPr="000A03FD">
        <w:t>Drug-related AEs were comparable across treatment arms but mepolizumab will likely have an inferior safety profile to SoC in the proposed PBS population as Australian patients would not be currently experiencing any injection site reactions related to a placebo injection, though the PBAC noted that injection site reactions were not significant in either arm of the SYNAPSE trial and that a claim of non-inferior safety was reasonable (paragraph 7.6, mepolizumab</w:t>
      </w:r>
      <w:r w:rsidR="00571B0C" w:rsidRPr="000A03FD">
        <w:t xml:space="preserve"> PSD,</w:t>
      </w:r>
      <w:r w:rsidRPr="000A03FD">
        <w:t xml:space="preserve"> November 2021</w:t>
      </w:r>
      <w:r w:rsidR="006E65D0" w:rsidRPr="000A03FD">
        <w:t xml:space="preserve"> PBAC meeting</w:t>
      </w:r>
      <w:r w:rsidRPr="000A03FD">
        <w:t>).</w:t>
      </w:r>
    </w:p>
    <w:p w14:paraId="04908C7F" w14:textId="415B9B7D" w:rsidR="007F1017" w:rsidRPr="000A03FD" w:rsidRDefault="007F1017" w:rsidP="00D86231">
      <w:pPr>
        <w:pStyle w:val="4-SubsectionHeading"/>
      </w:pPr>
      <w:bookmarkStart w:id="54" w:name="_Toc22897643"/>
      <w:bookmarkStart w:id="55" w:name="_Toc113982846"/>
      <w:r w:rsidRPr="000A03FD">
        <w:t>Benefits/harms</w:t>
      </w:r>
      <w:bookmarkEnd w:id="54"/>
      <w:bookmarkEnd w:id="55"/>
    </w:p>
    <w:p w14:paraId="78F87327" w14:textId="5DCDD2A0" w:rsidR="007F7AC3" w:rsidRPr="000A03FD" w:rsidRDefault="00CF4803" w:rsidP="00D2155B">
      <w:pPr>
        <w:pStyle w:val="3-BodyText"/>
      </w:pPr>
      <w:r w:rsidRPr="000A03FD">
        <w:rPr>
          <w:rFonts w:cstheme="minorHAnsi"/>
          <w:snapToGrid/>
        </w:rPr>
        <w:t xml:space="preserve">A summary of comparative benefits for mepolizumab versus placebo is presented in </w:t>
      </w:r>
      <w:r w:rsidR="009D263C" w:rsidRPr="000A03FD">
        <w:rPr>
          <w:rFonts w:cstheme="minorHAnsi"/>
          <w:snapToGrid/>
        </w:rPr>
        <w:fldChar w:fldCharType="begin" w:fldLock="1"/>
      </w:r>
      <w:r w:rsidR="009D263C" w:rsidRPr="000A03FD">
        <w:rPr>
          <w:rFonts w:cstheme="minorHAnsi"/>
          <w:snapToGrid/>
        </w:rPr>
        <w:instrText xml:space="preserve"> REF _Ref111518138 \h  \* MERGEFORMAT </w:instrText>
      </w:r>
      <w:r w:rsidR="009D263C" w:rsidRPr="000A03FD">
        <w:rPr>
          <w:rFonts w:cstheme="minorHAnsi"/>
          <w:snapToGrid/>
        </w:rPr>
      </w:r>
      <w:r w:rsidR="009D263C" w:rsidRPr="000A03FD">
        <w:rPr>
          <w:rFonts w:cstheme="minorHAnsi"/>
          <w:snapToGrid/>
        </w:rPr>
        <w:fldChar w:fldCharType="separate"/>
      </w:r>
      <w:r w:rsidR="00625A18" w:rsidRPr="000A03FD">
        <w:rPr>
          <w:rFonts w:cstheme="minorHAnsi"/>
          <w:snapToGrid/>
        </w:rPr>
        <w:t>Table 11</w:t>
      </w:r>
      <w:r w:rsidR="009D263C" w:rsidRPr="000A03FD">
        <w:rPr>
          <w:rFonts w:cstheme="minorHAnsi"/>
          <w:snapToGrid/>
        </w:rPr>
        <w:fldChar w:fldCharType="end"/>
      </w:r>
      <w:r w:rsidR="009D263C" w:rsidRPr="000A03FD">
        <w:rPr>
          <w:rFonts w:cstheme="minorHAnsi"/>
          <w:snapToGrid/>
        </w:rPr>
        <w:t xml:space="preserve"> </w:t>
      </w:r>
      <w:r w:rsidRPr="000A03FD">
        <w:rPr>
          <w:rFonts w:cstheme="minorHAnsi"/>
          <w:snapToGrid/>
        </w:rPr>
        <w:t xml:space="preserve">below. </w:t>
      </w:r>
    </w:p>
    <w:p w14:paraId="007FF873" w14:textId="7B3EEFA4" w:rsidR="007A689E" w:rsidRPr="000A03FD" w:rsidRDefault="009D263C" w:rsidP="009D263C">
      <w:pPr>
        <w:keepNext/>
        <w:keepLines/>
        <w:rPr>
          <w:rStyle w:val="CommentReference"/>
          <w:b w:val="0"/>
        </w:rPr>
      </w:pPr>
      <w:bookmarkStart w:id="56" w:name="_Ref111518138"/>
      <w:r w:rsidRPr="000A03FD">
        <w:rPr>
          <w:rStyle w:val="CommentReference"/>
        </w:rPr>
        <w:lastRenderedPageBreak/>
        <w:t xml:space="preserve">Table </w:t>
      </w:r>
      <w:r w:rsidRPr="000A03FD">
        <w:rPr>
          <w:rStyle w:val="CommentReference"/>
        </w:rPr>
        <w:fldChar w:fldCharType="begin" w:fldLock="1"/>
      </w:r>
      <w:r w:rsidRPr="000A03FD">
        <w:rPr>
          <w:rStyle w:val="CommentReference"/>
        </w:rPr>
        <w:instrText xml:space="preserve"> SEQ Table \* ARABIC </w:instrText>
      </w:r>
      <w:r w:rsidRPr="000A03FD">
        <w:rPr>
          <w:rStyle w:val="CommentReference"/>
        </w:rPr>
        <w:fldChar w:fldCharType="separate"/>
      </w:r>
      <w:r w:rsidR="00A0401C" w:rsidRPr="000A03FD">
        <w:rPr>
          <w:rStyle w:val="CommentReference"/>
        </w:rPr>
        <w:t>11</w:t>
      </w:r>
      <w:r w:rsidRPr="000A03FD">
        <w:rPr>
          <w:rStyle w:val="CommentReference"/>
        </w:rPr>
        <w:fldChar w:fldCharType="end"/>
      </w:r>
      <w:bookmarkEnd w:id="56"/>
      <w:r w:rsidR="007A689E" w:rsidRPr="000A03FD">
        <w:rPr>
          <w:rStyle w:val="CommentReference"/>
        </w:rPr>
        <w:t xml:space="preserve">: </w:t>
      </w:r>
      <w:r w:rsidR="00474445" w:rsidRPr="000A03FD">
        <w:rPr>
          <w:rStyle w:val="CommentReference"/>
        </w:rPr>
        <w:t>Summary of comparative benefits for mepolizumab versus placebo (BEC ≥300 cells/µL)</w:t>
      </w:r>
    </w:p>
    <w:tbl>
      <w:tblPr>
        <w:tblW w:w="5000" w:type="pct"/>
        <w:tblLayout w:type="fixed"/>
        <w:tblCellMar>
          <w:left w:w="28" w:type="dxa"/>
          <w:right w:w="28" w:type="dxa"/>
        </w:tblCellMar>
        <w:tblLook w:val="04A0" w:firstRow="1" w:lastRow="0" w:firstColumn="1" w:lastColumn="0" w:noHBand="0" w:noVBand="1"/>
      </w:tblPr>
      <w:tblGrid>
        <w:gridCol w:w="2125"/>
        <w:gridCol w:w="567"/>
        <w:gridCol w:w="712"/>
        <w:gridCol w:w="281"/>
        <w:gridCol w:w="570"/>
        <w:gridCol w:w="283"/>
        <w:gridCol w:w="427"/>
        <w:gridCol w:w="566"/>
        <w:gridCol w:w="568"/>
        <w:gridCol w:w="707"/>
        <w:gridCol w:w="144"/>
        <w:gridCol w:w="1132"/>
        <w:gridCol w:w="934"/>
      </w:tblGrid>
      <w:tr w:rsidR="002449E1" w:rsidRPr="000A03FD" w14:paraId="5F778C5B" w14:textId="77777777" w:rsidTr="00113672">
        <w:trPr>
          <w:trHeight w:val="150"/>
        </w:trPr>
        <w:tc>
          <w:tcPr>
            <w:tcW w:w="11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ED69CA" w14:textId="77777777" w:rsidR="002449E1" w:rsidRPr="000A03FD" w:rsidRDefault="002449E1" w:rsidP="00113672">
            <w:pPr>
              <w:keepNext/>
              <w:rPr>
                <w:rFonts w:ascii="Arial Narrow" w:hAnsi="Arial Narrow"/>
                <w:b/>
                <w:sz w:val="20"/>
                <w:szCs w:val="18"/>
              </w:rPr>
            </w:pPr>
            <w:r w:rsidRPr="000A03FD">
              <w:rPr>
                <w:rFonts w:ascii="Arial Narrow" w:hAnsi="Arial Narrow"/>
                <w:b/>
                <w:sz w:val="20"/>
                <w:szCs w:val="18"/>
              </w:rPr>
              <w:t>Trial</w:t>
            </w:r>
          </w:p>
        </w:tc>
        <w:tc>
          <w:tcPr>
            <w:tcW w:w="709" w:type="pct"/>
            <w:gridSpan w:val="2"/>
            <w:vMerge w:val="restart"/>
            <w:tcBorders>
              <w:top w:val="single" w:sz="4" w:space="0" w:color="auto"/>
              <w:left w:val="single" w:sz="4" w:space="0" w:color="auto"/>
              <w:bottom w:val="single" w:sz="4" w:space="0" w:color="auto"/>
              <w:right w:val="single" w:sz="4" w:space="0" w:color="auto"/>
            </w:tcBorders>
            <w:vAlign w:val="center"/>
          </w:tcPr>
          <w:p w14:paraId="190067AA"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Mepolizumab</w:t>
            </w:r>
          </w:p>
          <w:p w14:paraId="3F95B335"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n/N</w:t>
            </w:r>
          </w:p>
        </w:tc>
        <w:tc>
          <w:tcPr>
            <w:tcW w:w="629" w:type="pct"/>
            <w:gridSpan w:val="3"/>
            <w:vMerge w:val="restart"/>
            <w:tcBorders>
              <w:top w:val="single" w:sz="4" w:space="0" w:color="auto"/>
              <w:left w:val="single" w:sz="4" w:space="0" w:color="auto"/>
              <w:bottom w:val="single" w:sz="4" w:space="0" w:color="auto"/>
              <w:right w:val="single" w:sz="4" w:space="0" w:color="auto"/>
            </w:tcBorders>
            <w:vAlign w:val="center"/>
          </w:tcPr>
          <w:p w14:paraId="6D08D8E9"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Placebo (SoC)</w:t>
            </w:r>
          </w:p>
          <w:p w14:paraId="077648A0"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n/N</w:t>
            </w:r>
          </w:p>
        </w:tc>
        <w:tc>
          <w:tcPr>
            <w:tcW w:w="551" w:type="pct"/>
            <w:gridSpan w:val="2"/>
            <w:vMerge w:val="restart"/>
            <w:tcBorders>
              <w:top w:val="single" w:sz="4" w:space="0" w:color="auto"/>
              <w:left w:val="single" w:sz="4" w:space="0" w:color="auto"/>
              <w:bottom w:val="single" w:sz="4" w:space="0" w:color="auto"/>
              <w:right w:val="single" w:sz="4" w:space="0" w:color="auto"/>
            </w:tcBorders>
            <w:vAlign w:val="center"/>
          </w:tcPr>
          <w:p w14:paraId="5FCCDDD7"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RR</w:t>
            </w:r>
          </w:p>
          <w:p w14:paraId="51677864"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(95% CI)</w:t>
            </w:r>
          </w:p>
        </w:tc>
        <w:tc>
          <w:tcPr>
            <w:tcW w:w="1415" w:type="pct"/>
            <w:gridSpan w:val="4"/>
            <w:tcBorders>
              <w:top w:val="single" w:sz="4" w:space="0" w:color="auto"/>
              <w:left w:val="single" w:sz="4" w:space="0" w:color="auto"/>
              <w:bottom w:val="single" w:sz="4" w:space="0" w:color="auto"/>
              <w:right w:val="single" w:sz="4" w:space="0" w:color="auto"/>
            </w:tcBorders>
            <w:vAlign w:val="center"/>
          </w:tcPr>
          <w:p w14:paraId="098274C4"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 xml:space="preserve">Event rate/100 patients* </w:t>
            </w:r>
          </w:p>
        </w:tc>
        <w:tc>
          <w:tcPr>
            <w:tcW w:w="519" w:type="pct"/>
            <w:vMerge w:val="restart"/>
            <w:tcBorders>
              <w:top w:val="single" w:sz="4" w:space="0" w:color="auto"/>
              <w:left w:val="single" w:sz="4" w:space="0" w:color="auto"/>
              <w:bottom w:val="single" w:sz="4" w:space="0" w:color="auto"/>
              <w:right w:val="single" w:sz="4" w:space="0" w:color="auto"/>
            </w:tcBorders>
            <w:vAlign w:val="center"/>
          </w:tcPr>
          <w:p w14:paraId="6CC62DE9"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RD</w:t>
            </w:r>
          </w:p>
          <w:p w14:paraId="09DC3204"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(95% CI)</w:t>
            </w:r>
          </w:p>
        </w:tc>
      </w:tr>
      <w:tr w:rsidR="002449E1" w:rsidRPr="000A03FD" w14:paraId="270C1A4A" w14:textId="77777777" w:rsidTr="00113672">
        <w:trPr>
          <w:trHeight w:val="315"/>
        </w:trPr>
        <w:tc>
          <w:tcPr>
            <w:tcW w:w="11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507526" w14:textId="77777777" w:rsidR="002449E1" w:rsidRPr="000A03FD" w:rsidRDefault="002449E1" w:rsidP="00113672">
            <w:pPr>
              <w:keepNext/>
              <w:rPr>
                <w:rFonts w:ascii="Arial Narrow" w:hAnsi="Arial Narrow"/>
                <w:b/>
                <w:sz w:val="20"/>
                <w:szCs w:val="18"/>
              </w:rPr>
            </w:pPr>
          </w:p>
        </w:tc>
        <w:tc>
          <w:tcPr>
            <w:tcW w:w="709" w:type="pct"/>
            <w:gridSpan w:val="2"/>
            <w:vMerge/>
            <w:tcBorders>
              <w:top w:val="single" w:sz="4" w:space="0" w:color="auto"/>
              <w:left w:val="single" w:sz="4" w:space="0" w:color="auto"/>
              <w:bottom w:val="single" w:sz="4" w:space="0" w:color="auto"/>
              <w:right w:val="single" w:sz="4" w:space="0" w:color="auto"/>
            </w:tcBorders>
            <w:vAlign w:val="center"/>
          </w:tcPr>
          <w:p w14:paraId="11AAF079" w14:textId="77777777" w:rsidR="002449E1" w:rsidRPr="000A03FD" w:rsidRDefault="002449E1" w:rsidP="00113672">
            <w:pPr>
              <w:keepNext/>
              <w:jc w:val="center"/>
              <w:rPr>
                <w:rFonts w:ascii="Arial Narrow" w:hAnsi="Arial Narrow"/>
                <w:b/>
                <w:sz w:val="20"/>
                <w:szCs w:val="18"/>
              </w:rPr>
            </w:pPr>
          </w:p>
        </w:tc>
        <w:tc>
          <w:tcPr>
            <w:tcW w:w="629" w:type="pct"/>
            <w:gridSpan w:val="3"/>
            <w:vMerge/>
            <w:tcBorders>
              <w:top w:val="single" w:sz="4" w:space="0" w:color="auto"/>
              <w:left w:val="single" w:sz="4" w:space="0" w:color="auto"/>
              <w:bottom w:val="single" w:sz="4" w:space="0" w:color="auto"/>
              <w:right w:val="single" w:sz="4" w:space="0" w:color="auto"/>
            </w:tcBorders>
            <w:vAlign w:val="center"/>
          </w:tcPr>
          <w:p w14:paraId="65D8183D" w14:textId="77777777" w:rsidR="002449E1" w:rsidRPr="000A03FD" w:rsidRDefault="002449E1" w:rsidP="00113672">
            <w:pPr>
              <w:keepNext/>
              <w:jc w:val="center"/>
              <w:rPr>
                <w:rFonts w:ascii="Arial Narrow" w:hAnsi="Arial Narrow"/>
                <w:b/>
                <w:sz w:val="20"/>
                <w:szCs w:val="18"/>
              </w:rPr>
            </w:pPr>
          </w:p>
        </w:tc>
        <w:tc>
          <w:tcPr>
            <w:tcW w:w="551" w:type="pct"/>
            <w:gridSpan w:val="2"/>
            <w:vMerge/>
            <w:tcBorders>
              <w:top w:val="single" w:sz="4" w:space="0" w:color="auto"/>
              <w:left w:val="single" w:sz="4" w:space="0" w:color="auto"/>
              <w:bottom w:val="single" w:sz="4" w:space="0" w:color="auto"/>
              <w:right w:val="single" w:sz="4" w:space="0" w:color="auto"/>
            </w:tcBorders>
            <w:vAlign w:val="center"/>
          </w:tcPr>
          <w:p w14:paraId="2E26C489" w14:textId="77777777" w:rsidR="002449E1" w:rsidRPr="000A03FD" w:rsidRDefault="002449E1" w:rsidP="00113672">
            <w:pPr>
              <w:keepNext/>
              <w:jc w:val="center"/>
              <w:rPr>
                <w:rFonts w:ascii="Arial Narrow" w:hAnsi="Arial Narrow"/>
                <w:b/>
                <w:sz w:val="20"/>
                <w:szCs w:val="18"/>
              </w:rPr>
            </w:pP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204E9696"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Mepolizumab</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1F3B1AB"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Placebo (SoC)</w:t>
            </w:r>
          </w:p>
        </w:tc>
        <w:tc>
          <w:tcPr>
            <w:tcW w:w="519" w:type="pct"/>
            <w:vMerge/>
            <w:tcBorders>
              <w:top w:val="single" w:sz="4" w:space="0" w:color="auto"/>
              <w:left w:val="single" w:sz="4" w:space="0" w:color="auto"/>
              <w:bottom w:val="single" w:sz="4" w:space="0" w:color="auto"/>
              <w:right w:val="single" w:sz="4" w:space="0" w:color="auto"/>
            </w:tcBorders>
            <w:vAlign w:val="center"/>
          </w:tcPr>
          <w:p w14:paraId="7CF390EF" w14:textId="77777777" w:rsidR="002449E1" w:rsidRPr="000A03FD" w:rsidRDefault="002449E1" w:rsidP="00113672">
            <w:pPr>
              <w:keepNext/>
              <w:jc w:val="center"/>
              <w:rPr>
                <w:rFonts w:ascii="Arial Narrow" w:hAnsi="Arial Narrow"/>
                <w:b/>
                <w:sz w:val="20"/>
                <w:szCs w:val="18"/>
              </w:rPr>
            </w:pPr>
          </w:p>
        </w:tc>
      </w:tr>
      <w:tr w:rsidR="002449E1" w:rsidRPr="000A03FD" w14:paraId="78A6E481" w14:textId="77777777" w:rsidTr="00113672">
        <w:tc>
          <w:tcPr>
            <w:tcW w:w="5000" w:type="pct"/>
            <w:gridSpan w:val="13"/>
            <w:tcBorders>
              <w:top w:val="single" w:sz="4" w:space="0" w:color="auto"/>
              <w:left w:val="single" w:sz="4" w:space="0" w:color="auto"/>
              <w:bottom w:val="double" w:sz="4" w:space="0" w:color="auto"/>
              <w:right w:val="single" w:sz="4" w:space="0" w:color="auto"/>
            </w:tcBorders>
            <w:shd w:val="clear" w:color="auto" w:fill="auto"/>
            <w:vAlign w:val="center"/>
          </w:tcPr>
          <w:p w14:paraId="16593DDC" w14:textId="77777777" w:rsidR="002449E1" w:rsidRPr="000A03FD" w:rsidRDefault="002449E1" w:rsidP="00113672">
            <w:pPr>
              <w:keepNext/>
              <w:rPr>
                <w:rFonts w:ascii="Arial Narrow" w:hAnsi="Arial Narrow"/>
                <w:b/>
                <w:sz w:val="20"/>
                <w:szCs w:val="18"/>
              </w:rPr>
            </w:pPr>
            <w:r w:rsidRPr="000A03FD">
              <w:rPr>
                <w:rFonts w:ascii="Arial Narrow" w:hAnsi="Arial Narrow"/>
                <w:b/>
                <w:sz w:val="20"/>
                <w:szCs w:val="18"/>
              </w:rPr>
              <w:t>Benefits</w:t>
            </w:r>
          </w:p>
        </w:tc>
      </w:tr>
      <w:tr w:rsidR="002449E1" w:rsidRPr="000A03FD" w14:paraId="4EDD8D87" w14:textId="77777777" w:rsidTr="00113672">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359922EC" w14:textId="77777777" w:rsidR="002449E1" w:rsidRPr="000A03FD" w:rsidRDefault="002449E1" w:rsidP="00113672">
            <w:pPr>
              <w:keepNext/>
              <w:rPr>
                <w:rFonts w:ascii="Arial Narrow" w:hAnsi="Arial Narrow"/>
                <w:b/>
                <w:sz w:val="20"/>
                <w:szCs w:val="18"/>
                <w:vertAlign w:val="superscript"/>
              </w:rPr>
            </w:pPr>
            <w:r w:rsidRPr="000A03FD">
              <w:rPr>
                <w:rFonts w:ascii="Arial Narrow" w:hAnsi="Arial Narrow"/>
                <w:b/>
                <w:sz w:val="20"/>
                <w:szCs w:val="18"/>
              </w:rPr>
              <w:t>Any responder at 52 weeks</w:t>
            </w:r>
          </w:p>
        </w:tc>
      </w:tr>
      <w:tr w:rsidR="002449E1" w:rsidRPr="000A03FD" w14:paraId="3FB9E0CB" w14:textId="77777777" w:rsidTr="00113672">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248B4D0F" w14:textId="77777777" w:rsidR="002449E1" w:rsidRPr="000A03FD" w:rsidRDefault="002449E1" w:rsidP="00113672">
            <w:pPr>
              <w:keepNext/>
              <w:rPr>
                <w:rFonts w:ascii="Arial Narrow" w:hAnsi="Arial Narrow"/>
                <w:sz w:val="20"/>
                <w:szCs w:val="18"/>
                <w:vertAlign w:val="superscript"/>
              </w:rPr>
            </w:pPr>
            <w:r w:rsidRPr="000A03FD">
              <w:rPr>
                <w:rFonts w:ascii="Arial Narrow" w:hAnsi="Arial Narrow"/>
                <w:sz w:val="20"/>
                <w:szCs w:val="18"/>
              </w:rPr>
              <w:t xml:space="preserve">ENP or NO-VAS responder </w:t>
            </w:r>
            <w:r w:rsidRPr="000A03FD">
              <w:rPr>
                <w:rFonts w:ascii="Arial Narrow" w:hAnsi="Arial Narrow"/>
                <w:sz w:val="20"/>
                <w:szCs w:val="18"/>
                <w:vertAlign w:val="superscript"/>
              </w:rPr>
              <w:t>a</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0F180A33"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86/139</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284C0086"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44/139</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06BCDECA"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NR</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16BB9126"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61.9</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34BC2743"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31.7</w:t>
            </w:r>
          </w:p>
        </w:tc>
        <w:tc>
          <w:tcPr>
            <w:tcW w:w="519" w:type="pct"/>
            <w:tcBorders>
              <w:top w:val="single" w:sz="4" w:space="0" w:color="auto"/>
              <w:left w:val="single" w:sz="4" w:space="0" w:color="auto"/>
              <w:bottom w:val="single" w:sz="4" w:space="0" w:color="auto"/>
              <w:right w:val="single" w:sz="4" w:space="0" w:color="auto"/>
            </w:tcBorders>
            <w:vAlign w:val="center"/>
          </w:tcPr>
          <w:p w14:paraId="313B019E"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30.2 (NR)</w:t>
            </w:r>
          </w:p>
        </w:tc>
      </w:tr>
      <w:tr w:rsidR="002449E1" w:rsidRPr="000A03FD" w14:paraId="4625C2CC" w14:textId="77777777" w:rsidTr="00113672">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58F18FC8" w14:textId="77777777" w:rsidR="002449E1" w:rsidRPr="000A03FD" w:rsidRDefault="002449E1" w:rsidP="00113672">
            <w:pPr>
              <w:keepNext/>
              <w:rPr>
                <w:rFonts w:ascii="Arial Narrow" w:hAnsi="Arial Narrow"/>
                <w:b/>
                <w:sz w:val="20"/>
                <w:szCs w:val="18"/>
              </w:rPr>
            </w:pPr>
            <w:r w:rsidRPr="000A03FD">
              <w:rPr>
                <w:rFonts w:ascii="Arial Narrow" w:hAnsi="Arial Narrow"/>
                <w:b/>
                <w:sz w:val="20"/>
                <w:szCs w:val="18"/>
              </w:rPr>
              <w:t xml:space="preserve">Median change from baseline </w:t>
            </w:r>
          </w:p>
        </w:tc>
      </w:tr>
      <w:tr w:rsidR="002449E1" w:rsidRPr="000A03FD" w14:paraId="360D5BF6" w14:textId="77777777" w:rsidTr="00113672">
        <w:trPr>
          <w:trHeight w:val="225"/>
        </w:trPr>
        <w:tc>
          <w:tcPr>
            <w:tcW w:w="11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AEEF77" w14:textId="77777777" w:rsidR="002449E1" w:rsidRPr="000A03FD" w:rsidRDefault="002449E1" w:rsidP="00113672">
            <w:pPr>
              <w:keepNext/>
              <w:rPr>
                <w:rFonts w:ascii="Arial Narrow" w:hAnsi="Arial Narrow"/>
                <w:sz w:val="20"/>
                <w:szCs w:val="18"/>
              </w:rPr>
            </w:pPr>
          </w:p>
        </w:tc>
        <w:tc>
          <w:tcPr>
            <w:tcW w:w="1181" w:type="pct"/>
            <w:gridSpan w:val="4"/>
            <w:tcBorders>
              <w:top w:val="single" w:sz="4" w:space="0" w:color="auto"/>
              <w:left w:val="single" w:sz="4" w:space="0" w:color="auto"/>
              <w:bottom w:val="single" w:sz="4" w:space="0" w:color="auto"/>
              <w:right w:val="single" w:sz="4" w:space="0" w:color="auto"/>
            </w:tcBorders>
            <w:vAlign w:val="center"/>
          </w:tcPr>
          <w:p w14:paraId="1F257C87" w14:textId="77777777" w:rsidR="002449E1" w:rsidRPr="000A03FD" w:rsidRDefault="002449E1" w:rsidP="00113672">
            <w:pPr>
              <w:keepNext/>
              <w:jc w:val="center"/>
              <w:rPr>
                <w:rFonts w:ascii="Arial Narrow" w:hAnsi="Arial Narrow"/>
                <w:sz w:val="20"/>
                <w:szCs w:val="18"/>
              </w:rPr>
            </w:pPr>
            <w:r w:rsidRPr="000A03FD">
              <w:rPr>
                <w:rFonts w:ascii="Arial Narrow" w:hAnsi="Arial Narrow"/>
                <w:b/>
                <w:sz w:val="20"/>
                <w:szCs w:val="18"/>
              </w:rPr>
              <w:t>Mepolizumab</w:t>
            </w:r>
          </w:p>
        </w:tc>
        <w:tc>
          <w:tcPr>
            <w:tcW w:w="1494" w:type="pct"/>
            <w:gridSpan w:val="6"/>
            <w:tcBorders>
              <w:top w:val="single" w:sz="4" w:space="0" w:color="auto"/>
              <w:left w:val="single" w:sz="4" w:space="0" w:color="auto"/>
              <w:bottom w:val="single" w:sz="4" w:space="0" w:color="auto"/>
              <w:right w:val="single" w:sz="4" w:space="0" w:color="auto"/>
            </w:tcBorders>
            <w:vAlign w:val="center"/>
          </w:tcPr>
          <w:p w14:paraId="7C2707C7" w14:textId="77777777" w:rsidR="002449E1" w:rsidRPr="000A03FD" w:rsidRDefault="002449E1" w:rsidP="00113672">
            <w:pPr>
              <w:keepNext/>
              <w:jc w:val="center"/>
              <w:rPr>
                <w:rFonts w:ascii="Arial Narrow" w:hAnsi="Arial Narrow"/>
                <w:sz w:val="20"/>
                <w:szCs w:val="18"/>
              </w:rPr>
            </w:pPr>
            <w:r w:rsidRPr="000A03FD">
              <w:rPr>
                <w:rFonts w:ascii="Arial Narrow" w:hAnsi="Arial Narrow"/>
                <w:b/>
                <w:sz w:val="20"/>
                <w:szCs w:val="18"/>
              </w:rPr>
              <w:t>Placebo (SoC)</w:t>
            </w:r>
          </w:p>
        </w:tc>
        <w:tc>
          <w:tcPr>
            <w:tcW w:w="1147" w:type="pct"/>
            <w:gridSpan w:val="2"/>
            <w:vMerge w:val="restart"/>
            <w:tcBorders>
              <w:top w:val="single" w:sz="4" w:space="0" w:color="auto"/>
              <w:left w:val="single" w:sz="4" w:space="0" w:color="auto"/>
              <w:bottom w:val="single" w:sz="4" w:space="0" w:color="auto"/>
              <w:right w:val="single" w:sz="4" w:space="0" w:color="auto"/>
            </w:tcBorders>
            <w:vAlign w:val="center"/>
          </w:tcPr>
          <w:p w14:paraId="00625B1A"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 xml:space="preserve">Median difference: </w:t>
            </w:r>
          </w:p>
          <w:p w14:paraId="584DA705"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Mepolizumab vs placebo (SoC) (95% CI)</w:t>
            </w:r>
          </w:p>
        </w:tc>
      </w:tr>
      <w:tr w:rsidR="002449E1" w:rsidRPr="000A03FD" w14:paraId="2F880A7B" w14:textId="77777777" w:rsidTr="00113672">
        <w:trPr>
          <w:trHeight w:val="225"/>
        </w:trPr>
        <w:tc>
          <w:tcPr>
            <w:tcW w:w="11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8DB8DF" w14:textId="77777777" w:rsidR="002449E1" w:rsidRPr="000A03FD" w:rsidRDefault="002449E1" w:rsidP="00113672">
            <w:pPr>
              <w:keepNext/>
              <w:rPr>
                <w:rFonts w:ascii="Arial Narrow" w:hAnsi="Arial Narrow"/>
                <w:sz w:val="20"/>
                <w:szCs w:val="18"/>
              </w:rPr>
            </w:pPr>
          </w:p>
        </w:tc>
        <w:tc>
          <w:tcPr>
            <w:tcW w:w="314" w:type="pct"/>
            <w:tcBorders>
              <w:top w:val="single" w:sz="4" w:space="0" w:color="auto"/>
              <w:left w:val="single" w:sz="4" w:space="0" w:color="auto"/>
              <w:bottom w:val="single" w:sz="4" w:space="0" w:color="auto"/>
              <w:right w:val="single" w:sz="4" w:space="0" w:color="auto"/>
            </w:tcBorders>
            <w:vAlign w:val="center"/>
          </w:tcPr>
          <w:p w14:paraId="0CFA07F3"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F0FACF2"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 xml:space="preserve">Median ∆ baseline </w:t>
            </w:r>
          </w:p>
        </w:tc>
        <w:tc>
          <w:tcPr>
            <w:tcW w:w="316" w:type="pct"/>
            <w:tcBorders>
              <w:top w:val="single" w:sz="4" w:space="0" w:color="auto"/>
              <w:left w:val="single" w:sz="4" w:space="0" w:color="auto"/>
              <w:bottom w:val="single" w:sz="4" w:space="0" w:color="auto"/>
              <w:right w:val="single" w:sz="4" w:space="0" w:color="auto"/>
            </w:tcBorders>
            <w:vAlign w:val="center"/>
          </w:tcPr>
          <w:p w14:paraId="476ABE8B"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SD</w:t>
            </w:r>
          </w:p>
        </w:tc>
        <w:tc>
          <w:tcPr>
            <w:tcW w:w="394" w:type="pct"/>
            <w:gridSpan w:val="2"/>
            <w:tcBorders>
              <w:top w:val="single" w:sz="4" w:space="0" w:color="auto"/>
              <w:left w:val="single" w:sz="4" w:space="0" w:color="auto"/>
              <w:bottom w:val="single" w:sz="4" w:space="0" w:color="auto"/>
              <w:right w:val="single" w:sz="4" w:space="0" w:color="auto"/>
            </w:tcBorders>
            <w:vAlign w:val="center"/>
          </w:tcPr>
          <w:p w14:paraId="651CB36F"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N</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191C9A78"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 xml:space="preserve">Median ∆ baseline </w:t>
            </w:r>
          </w:p>
        </w:tc>
        <w:tc>
          <w:tcPr>
            <w:tcW w:w="472" w:type="pct"/>
            <w:gridSpan w:val="2"/>
            <w:tcBorders>
              <w:top w:val="single" w:sz="4" w:space="0" w:color="auto"/>
              <w:left w:val="single" w:sz="4" w:space="0" w:color="auto"/>
              <w:bottom w:val="single" w:sz="4" w:space="0" w:color="auto"/>
              <w:right w:val="single" w:sz="4" w:space="0" w:color="auto"/>
            </w:tcBorders>
            <w:vAlign w:val="center"/>
          </w:tcPr>
          <w:p w14:paraId="795EABB5" w14:textId="77777777" w:rsidR="002449E1" w:rsidRPr="000A03FD" w:rsidRDefault="002449E1" w:rsidP="00113672">
            <w:pPr>
              <w:keepNext/>
              <w:jc w:val="center"/>
              <w:rPr>
                <w:rFonts w:ascii="Arial Narrow" w:hAnsi="Arial Narrow"/>
                <w:b/>
                <w:sz w:val="20"/>
                <w:szCs w:val="18"/>
              </w:rPr>
            </w:pPr>
            <w:r w:rsidRPr="000A03FD">
              <w:rPr>
                <w:rFonts w:ascii="Arial Narrow" w:hAnsi="Arial Narrow"/>
                <w:b/>
                <w:sz w:val="20"/>
                <w:szCs w:val="18"/>
              </w:rPr>
              <w:t>SD</w:t>
            </w:r>
          </w:p>
        </w:tc>
        <w:tc>
          <w:tcPr>
            <w:tcW w:w="1147" w:type="pct"/>
            <w:gridSpan w:val="2"/>
            <w:vMerge/>
            <w:tcBorders>
              <w:top w:val="single" w:sz="4" w:space="0" w:color="auto"/>
              <w:left w:val="single" w:sz="4" w:space="0" w:color="auto"/>
              <w:bottom w:val="single" w:sz="4" w:space="0" w:color="auto"/>
              <w:right w:val="single" w:sz="4" w:space="0" w:color="auto"/>
            </w:tcBorders>
            <w:vAlign w:val="center"/>
          </w:tcPr>
          <w:p w14:paraId="3FEE2ED9" w14:textId="77777777" w:rsidR="002449E1" w:rsidRPr="000A03FD" w:rsidRDefault="002449E1" w:rsidP="00113672">
            <w:pPr>
              <w:keepNext/>
              <w:jc w:val="center"/>
              <w:rPr>
                <w:rFonts w:ascii="Arial Narrow" w:hAnsi="Arial Narrow"/>
                <w:b/>
                <w:sz w:val="20"/>
                <w:szCs w:val="18"/>
              </w:rPr>
            </w:pPr>
          </w:p>
        </w:tc>
      </w:tr>
      <w:tr w:rsidR="002449E1" w:rsidRPr="000A03FD" w14:paraId="5A16C35F" w14:textId="77777777" w:rsidTr="000B1FB6">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1106EDBF" w14:textId="77777777" w:rsidR="002449E1" w:rsidRPr="000A03FD" w:rsidRDefault="002449E1" w:rsidP="00113672">
            <w:pPr>
              <w:keepNext/>
              <w:rPr>
                <w:rFonts w:ascii="Arial Narrow" w:hAnsi="Arial Narrow"/>
                <w:sz w:val="20"/>
                <w:szCs w:val="18"/>
              </w:rPr>
            </w:pPr>
            <w:r w:rsidRPr="000A03FD">
              <w:rPr>
                <w:rFonts w:ascii="Arial Narrow" w:hAnsi="Arial Narrow"/>
                <w:sz w:val="20"/>
                <w:szCs w:val="18"/>
              </w:rPr>
              <w:t xml:space="preserve">ENP </w:t>
            </w:r>
          </w:p>
        </w:tc>
        <w:tc>
          <w:tcPr>
            <w:tcW w:w="314" w:type="pct"/>
            <w:tcBorders>
              <w:top w:val="single" w:sz="4" w:space="0" w:color="auto"/>
              <w:left w:val="single" w:sz="4" w:space="0" w:color="auto"/>
              <w:bottom w:val="single" w:sz="4" w:space="0" w:color="auto"/>
              <w:right w:val="single" w:sz="4" w:space="0" w:color="auto"/>
            </w:tcBorders>
            <w:vAlign w:val="center"/>
          </w:tcPr>
          <w:p w14:paraId="51DB82CA"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139</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D356761"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0.0</w:t>
            </w:r>
          </w:p>
        </w:tc>
        <w:tc>
          <w:tcPr>
            <w:tcW w:w="316" w:type="pct"/>
            <w:tcBorders>
              <w:top w:val="single" w:sz="4" w:space="0" w:color="auto"/>
              <w:left w:val="single" w:sz="4" w:space="0" w:color="auto"/>
              <w:bottom w:val="single" w:sz="4" w:space="0" w:color="auto"/>
              <w:right w:val="single" w:sz="4" w:space="0" w:color="auto"/>
            </w:tcBorders>
            <w:vAlign w:val="center"/>
          </w:tcPr>
          <w:p w14:paraId="34CBF8F0"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NR</w:t>
            </w:r>
          </w:p>
        </w:tc>
        <w:tc>
          <w:tcPr>
            <w:tcW w:w="394" w:type="pct"/>
            <w:gridSpan w:val="2"/>
            <w:tcBorders>
              <w:top w:val="single" w:sz="4" w:space="0" w:color="auto"/>
              <w:left w:val="single" w:sz="4" w:space="0" w:color="auto"/>
              <w:bottom w:val="single" w:sz="4" w:space="0" w:color="auto"/>
              <w:right w:val="single" w:sz="4" w:space="0" w:color="auto"/>
            </w:tcBorders>
            <w:vAlign w:val="center"/>
          </w:tcPr>
          <w:p w14:paraId="1019DD0B"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139</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4B4197E8"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-1.0</w:t>
            </w:r>
          </w:p>
        </w:tc>
        <w:tc>
          <w:tcPr>
            <w:tcW w:w="472" w:type="pct"/>
            <w:gridSpan w:val="2"/>
            <w:tcBorders>
              <w:top w:val="single" w:sz="4" w:space="0" w:color="auto"/>
              <w:left w:val="single" w:sz="4" w:space="0" w:color="auto"/>
              <w:bottom w:val="single" w:sz="4" w:space="0" w:color="auto"/>
              <w:right w:val="single" w:sz="4" w:space="0" w:color="auto"/>
            </w:tcBorders>
            <w:vAlign w:val="center"/>
          </w:tcPr>
          <w:p w14:paraId="2E6D7FDD"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NR</w:t>
            </w:r>
          </w:p>
        </w:tc>
        <w:tc>
          <w:tcPr>
            <w:tcW w:w="1147" w:type="pct"/>
            <w:gridSpan w:val="2"/>
            <w:tcBorders>
              <w:top w:val="single" w:sz="4" w:space="0" w:color="auto"/>
              <w:left w:val="single" w:sz="4" w:space="0" w:color="auto"/>
              <w:bottom w:val="single" w:sz="4" w:space="0" w:color="auto"/>
              <w:right w:val="single" w:sz="4" w:space="0" w:color="auto"/>
            </w:tcBorders>
            <w:vAlign w:val="center"/>
          </w:tcPr>
          <w:p w14:paraId="39CF204C"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-1.00 (-1.50, -0.50)</w:t>
            </w:r>
          </w:p>
        </w:tc>
      </w:tr>
      <w:tr w:rsidR="002449E1" w:rsidRPr="000A03FD" w14:paraId="352BC863" w14:textId="77777777" w:rsidTr="000B1FB6">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36520375" w14:textId="77777777" w:rsidR="002449E1" w:rsidRPr="000A03FD" w:rsidRDefault="002449E1" w:rsidP="00113672">
            <w:pPr>
              <w:keepNext/>
              <w:rPr>
                <w:rFonts w:ascii="Arial Narrow" w:hAnsi="Arial Narrow"/>
                <w:sz w:val="20"/>
                <w:szCs w:val="18"/>
              </w:rPr>
            </w:pPr>
            <w:r w:rsidRPr="000A03FD">
              <w:rPr>
                <w:rFonts w:ascii="Arial Narrow" w:hAnsi="Arial Narrow"/>
                <w:sz w:val="20"/>
                <w:szCs w:val="18"/>
              </w:rPr>
              <w:t>NO-VAS</w:t>
            </w:r>
          </w:p>
        </w:tc>
        <w:tc>
          <w:tcPr>
            <w:tcW w:w="314" w:type="pct"/>
            <w:tcBorders>
              <w:top w:val="single" w:sz="4" w:space="0" w:color="auto"/>
              <w:left w:val="single" w:sz="4" w:space="0" w:color="auto"/>
              <w:bottom w:val="single" w:sz="4" w:space="0" w:color="auto"/>
              <w:right w:val="single" w:sz="4" w:space="0" w:color="auto"/>
            </w:tcBorders>
            <w:vAlign w:val="center"/>
          </w:tcPr>
          <w:p w14:paraId="035B6138"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139</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3AD6048"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-4.41</w:t>
            </w:r>
          </w:p>
        </w:tc>
        <w:tc>
          <w:tcPr>
            <w:tcW w:w="316" w:type="pct"/>
            <w:tcBorders>
              <w:top w:val="single" w:sz="4" w:space="0" w:color="auto"/>
              <w:left w:val="single" w:sz="4" w:space="0" w:color="auto"/>
              <w:bottom w:val="single" w:sz="4" w:space="0" w:color="auto"/>
              <w:right w:val="single" w:sz="4" w:space="0" w:color="auto"/>
            </w:tcBorders>
            <w:vAlign w:val="center"/>
          </w:tcPr>
          <w:p w14:paraId="0D539A2D"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NR</w:t>
            </w:r>
          </w:p>
        </w:tc>
        <w:tc>
          <w:tcPr>
            <w:tcW w:w="394" w:type="pct"/>
            <w:gridSpan w:val="2"/>
            <w:tcBorders>
              <w:top w:val="single" w:sz="4" w:space="0" w:color="auto"/>
              <w:left w:val="single" w:sz="4" w:space="0" w:color="auto"/>
              <w:bottom w:val="single" w:sz="4" w:space="0" w:color="auto"/>
              <w:right w:val="single" w:sz="4" w:space="0" w:color="auto"/>
            </w:tcBorders>
            <w:vAlign w:val="center"/>
          </w:tcPr>
          <w:p w14:paraId="5B4E7907"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139</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6C85E2B9"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-0.33</w:t>
            </w:r>
          </w:p>
        </w:tc>
        <w:tc>
          <w:tcPr>
            <w:tcW w:w="472" w:type="pct"/>
            <w:gridSpan w:val="2"/>
            <w:tcBorders>
              <w:top w:val="single" w:sz="4" w:space="0" w:color="auto"/>
              <w:left w:val="single" w:sz="4" w:space="0" w:color="auto"/>
              <w:bottom w:val="single" w:sz="4" w:space="0" w:color="auto"/>
              <w:right w:val="single" w:sz="4" w:space="0" w:color="auto"/>
            </w:tcBorders>
            <w:vAlign w:val="center"/>
          </w:tcPr>
          <w:p w14:paraId="6757C399"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NR</w:t>
            </w:r>
          </w:p>
        </w:tc>
        <w:tc>
          <w:tcPr>
            <w:tcW w:w="1147" w:type="pct"/>
            <w:gridSpan w:val="2"/>
            <w:tcBorders>
              <w:top w:val="single" w:sz="4" w:space="0" w:color="auto"/>
              <w:left w:val="single" w:sz="4" w:space="0" w:color="auto"/>
              <w:bottom w:val="single" w:sz="4" w:space="0" w:color="auto"/>
              <w:right w:val="single" w:sz="4" w:space="0" w:color="auto"/>
            </w:tcBorders>
            <w:vAlign w:val="center"/>
          </w:tcPr>
          <w:p w14:paraId="2CF7B01B" w14:textId="77777777" w:rsidR="002449E1" w:rsidRPr="000A03FD" w:rsidRDefault="002449E1" w:rsidP="00113672">
            <w:pPr>
              <w:keepNext/>
              <w:jc w:val="center"/>
              <w:rPr>
                <w:rFonts w:ascii="Arial Narrow" w:hAnsi="Arial Narrow"/>
                <w:sz w:val="20"/>
                <w:szCs w:val="18"/>
              </w:rPr>
            </w:pPr>
            <w:r w:rsidRPr="000A03FD">
              <w:rPr>
                <w:rFonts w:ascii="Arial Narrow" w:hAnsi="Arial Narrow"/>
                <w:sz w:val="20"/>
                <w:szCs w:val="18"/>
              </w:rPr>
              <w:t>-3.71 (-4.79, -2.62)</w:t>
            </w:r>
          </w:p>
        </w:tc>
      </w:tr>
    </w:tbl>
    <w:p w14:paraId="6BB349DD" w14:textId="77777777" w:rsidR="002449E1" w:rsidRPr="000A03FD" w:rsidRDefault="002449E1" w:rsidP="002449E1">
      <w:pPr>
        <w:pStyle w:val="TableFooter"/>
      </w:pPr>
      <w:r w:rsidRPr="000A03FD">
        <w:t>Source: Table 2-23 (p73) of the resubmission; Table 2-20 (p76) of the resubmission; Cells D12:E12, ‘Calculations’ sheet, Large Files – GSK-Nucala-Resubmission-Final.xlsm</w:t>
      </w:r>
    </w:p>
    <w:p w14:paraId="5825A390" w14:textId="08885CF0" w:rsidR="002449E1" w:rsidRPr="000A03FD" w:rsidRDefault="002449E1" w:rsidP="002449E1">
      <w:pPr>
        <w:pStyle w:val="TableFooter"/>
      </w:pPr>
      <w:r w:rsidRPr="000A03FD">
        <w:t>a – Estimated as proportion of patients who maintained response at week 52 after responding at week 24 in the BEC ≥300 cells/µL subgroup</w:t>
      </w:r>
    </w:p>
    <w:p w14:paraId="3700A3F4" w14:textId="0A00E145" w:rsidR="002449E1" w:rsidRDefault="002449E1" w:rsidP="002449E1">
      <w:pPr>
        <w:pStyle w:val="TableFooter"/>
        <w:keepNext/>
      </w:pPr>
      <w:r w:rsidRPr="000A03FD">
        <w:t>ENP = Endoscopic Nasal Polyp score; NO-VAS = Nasal Obstruction Visual Analogue Scale; RD = risk difference; SoC = standard of care</w:t>
      </w:r>
    </w:p>
    <w:p w14:paraId="78D3EB80" w14:textId="13C794B6" w:rsidR="007A689E" w:rsidRPr="000A03FD" w:rsidRDefault="00BC517D" w:rsidP="00BC517D">
      <w:pPr>
        <w:pStyle w:val="TableFooter"/>
        <w:keepNext/>
        <w:spacing w:after="120"/>
      </w:pPr>
      <w:r w:rsidRPr="00BC517D">
        <w:rPr>
          <w:i/>
          <w:iCs/>
        </w:rPr>
        <w:t>Note that the results presented in Table 11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r>
        <w:rPr>
          <w:i/>
          <w:iCs/>
        </w:rPr>
        <w:t xml:space="preserve">. </w:t>
      </w:r>
    </w:p>
    <w:p w14:paraId="33696279" w14:textId="5F94FBD1" w:rsidR="002E1071" w:rsidRPr="000A03FD" w:rsidRDefault="004E7482" w:rsidP="00053156">
      <w:pPr>
        <w:pStyle w:val="3-BodyText"/>
        <w:spacing w:after="0"/>
      </w:pPr>
      <w:r w:rsidRPr="000A03FD">
        <w:t xml:space="preserve">On </w:t>
      </w:r>
      <w:r w:rsidRPr="000A03FD">
        <w:rPr>
          <w:rFonts w:cs="Calibri"/>
          <w:snapToGrid/>
        </w:rPr>
        <w:t>the basis of direct evidence presented by the submission, f</w:t>
      </w:r>
      <w:r w:rsidRPr="000A03FD">
        <w:t>or</w:t>
      </w:r>
      <w:r w:rsidRPr="000A03FD">
        <w:rPr>
          <w:rFonts w:cs="Calibri"/>
          <w:snapToGrid/>
        </w:rPr>
        <w:t xml:space="preserve"> every 100 patients </w:t>
      </w:r>
      <w:r w:rsidR="004A24A0" w:rsidRPr="000A03FD">
        <w:rPr>
          <w:rFonts w:cs="Calibri"/>
          <w:snapToGrid/>
        </w:rPr>
        <w:t xml:space="preserve">in </w:t>
      </w:r>
      <w:r w:rsidR="00D82E3C" w:rsidRPr="000A03FD">
        <w:rPr>
          <w:rFonts w:cs="Calibri"/>
          <w:snapToGrid/>
        </w:rPr>
        <w:t>with BEC ≥300</w:t>
      </w:r>
      <w:r w:rsidR="00F128E1">
        <w:rPr>
          <w:rFonts w:cs="Calibri"/>
          <w:snapToGrid/>
        </w:rPr>
        <w:t> </w:t>
      </w:r>
      <w:r w:rsidR="00D82E3C" w:rsidRPr="000A03FD">
        <w:rPr>
          <w:rFonts w:cs="Calibri"/>
          <w:snapToGrid/>
        </w:rPr>
        <w:t xml:space="preserve">cells/µL </w:t>
      </w:r>
      <w:r w:rsidRPr="000A03FD">
        <w:rPr>
          <w:rFonts w:cs="Calibri"/>
          <w:snapToGrid/>
        </w:rPr>
        <w:t>treated with mepolizumab in comparison to placebo and over a treatment duration of 52 weeks:</w:t>
      </w:r>
    </w:p>
    <w:p w14:paraId="6B6E12C2" w14:textId="2E73B5B1" w:rsidR="00722508" w:rsidRPr="000A03FD" w:rsidRDefault="00722508" w:rsidP="00053156">
      <w:pPr>
        <w:pStyle w:val="Bulletpoints"/>
        <w:widowControl w:val="0"/>
        <w:numPr>
          <w:ilvl w:val="0"/>
          <w:numId w:val="2"/>
        </w:numPr>
        <w:ind w:left="1077" w:hanging="357"/>
        <w:contextualSpacing w:val="0"/>
      </w:pPr>
      <w:r w:rsidRPr="000A03FD">
        <w:t xml:space="preserve">approximately </w:t>
      </w:r>
      <w:r w:rsidR="00D82E3C" w:rsidRPr="000A03FD">
        <w:t>30</w:t>
      </w:r>
      <w:r w:rsidRPr="000A03FD">
        <w:t xml:space="preserve"> more patients will be a responder based on ENP (≥</w:t>
      </w:r>
      <w:r w:rsidR="00392F3E" w:rsidRPr="000A03FD">
        <w:t>1.0-point</w:t>
      </w:r>
      <w:r w:rsidRPr="000A03FD">
        <w:t xml:space="preserve"> improvement from baseline) and/or NO-VAS (≥</w:t>
      </w:r>
      <w:r w:rsidR="006A770E" w:rsidRPr="000A03FD">
        <w:t>3.0-point</w:t>
      </w:r>
      <w:r w:rsidRPr="000A03FD">
        <w:t xml:space="preserve"> improvement from baseline);</w:t>
      </w:r>
    </w:p>
    <w:p w14:paraId="78D27F3B" w14:textId="718D5C43" w:rsidR="00722508" w:rsidRPr="000A03FD" w:rsidRDefault="00722508" w:rsidP="00722508">
      <w:pPr>
        <w:pStyle w:val="Bulletpoints"/>
        <w:ind w:left="720"/>
      </w:pPr>
      <w:r w:rsidRPr="000A03FD">
        <w:t>On the basis of direct evidence presented by the submission, the comparison of mepolizumab and placebo</w:t>
      </w:r>
      <w:r w:rsidR="000A46AB" w:rsidRPr="000A03FD">
        <w:t xml:space="preserve"> for </w:t>
      </w:r>
      <w:r w:rsidR="000A46AB" w:rsidRPr="000A03FD">
        <w:rPr>
          <w:rFonts w:cs="Calibri"/>
          <w:snapToGrid/>
        </w:rPr>
        <w:t>BEC ≥</w:t>
      </w:r>
      <w:r w:rsidR="00F128E1" w:rsidRPr="000A03FD">
        <w:rPr>
          <w:rFonts w:cs="Calibri"/>
          <w:snapToGrid/>
        </w:rPr>
        <w:t>300</w:t>
      </w:r>
      <w:r w:rsidR="00F128E1">
        <w:rPr>
          <w:rFonts w:cs="Calibri"/>
          <w:snapToGrid/>
        </w:rPr>
        <w:t> </w:t>
      </w:r>
      <w:r w:rsidR="000A46AB" w:rsidRPr="000A03FD">
        <w:rPr>
          <w:rFonts w:cs="Calibri"/>
          <w:snapToGrid/>
        </w:rPr>
        <w:t>cells/µL</w:t>
      </w:r>
      <w:r w:rsidRPr="000A03FD">
        <w:t xml:space="preserve"> </w:t>
      </w:r>
      <w:r w:rsidR="000A46AB" w:rsidRPr="000A03FD">
        <w:t xml:space="preserve">patients </w:t>
      </w:r>
      <w:r w:rsidRPr="000A03FD">
        <w:t>resulted in:</w:t>
      </w:r>
    </w:p>
    <w:p w14:paraId="3E67E3DC" w14:textId="52B16C16" w:rsidR="00722508" w:rsidRPr="000A03FD" w:rsidRDefault="00722508" w:rsidP="00722508">
      <w:pPr>
        <w:pStyle w:val="Bulletpoints"/>
        <w:widowControl w:val="0"/>
        <w:numPr>
          <w:ilvl w:val="0"/>
          <w:numId w:val="2"/>
        </w:numPr>
        <w:spacing w:after="0"/>
        <w:ind w:left="1080"/>
        <w:contextualSpacing w:val="0"/>
      </w:pPr>
      <w:r w:rsidRPr="000A03FD">
        <w:t xml:space="preserve">approximately a </w:t>
      </w:r>
      <w:r w:rsidR="000A46AB" w:rsidRPr="000A03FD">
        <w:t>1</w:t>
      </w:r>
      <w:r w:rsidRPr="000A03FD">
        <w:t>.</w:t>
      </w:r>
      <w:r w:rsidR="000A46AB" w:rsidRPr="000A03FD">
        <w:t>00</w:t>
      </w:r>
      <w:r w:rsidRPr="000A03FD">
        <w:t xml:space="preserve">-point reduction in ENP score over 52 weeks of follow-up. It was considered that a reduction of </w:t>
      </w:r>
      <w:r w:rsidRPr="000A03FD">
        <w:rPr>
          <w:rFonts w:cs="Calibri"/>
        </w:rPr>
        <w:t>≥</w:t>
      </w:r>
      <w:r w:rsidRPr="000A03FD">
        <w:t>1.0 point was clinically significant; and</w:t>
      </w:r>
    </w:p>
    <w:p w14:paraId="329D3847" w14:textId="242342CD" w:rsidR="00722508" w:rsidRPr="000A03FD" w:rsidRDefault="00722508" w:rsidP="00053156">
      <w:pPr>
        <w:pStyle w:val="Bulletpoints"/>
        <w:widowControl w:val="0"/>
        <w:numPr>
          <w:ilvl w:val="0"/>
          <w:numId w:val="2"/>
        </w:numPr>
        <w:ind w:left="1077" w:hanging="357"/>
        <w:contextualSpacing w:val="0"/>
        <w:rPr>
          <w:rFonts w:cstheme="minorHAnsi"/>
        </w:rPr>
      </w:pPr>
      <w:r w:rsidRPr="000A03FD">
        <w:t>approximately a 3.</w:t>
      </w:r>
      <w:r w:rsidR="0074624C" w:rsidRPr="000A03FD">
        <w:t>71</w:t>
      </w:r>
      <w:r w:rsidRPr="000A03FD">
        <w:t xml:space="preserve">-point reduction in NO-VAS score over 52 weeks of follow-up. It was </w:t>
      </w:r>
      <w:r w:rsidRPr="000A03FD">
        <w:rPr>
          <w:rFonts w:cstheme="minorHAnsi"/>
        </w:rPr>
        <w:t>considered that a reduction of ≥3.0 point was clinically significant.</w:t>
      </w:r>
    </w:p>
    <w:p w14:paraId="21EF95C3" w14:textId="5AA3A6B0" w:rsidR="003B6FF5" w:rsidRPr="000A03FD" w:rsidRDefault="003B6FF5" w:rsidP="0018276D">
      <w:pPr>
        <w:pStyle w:val="3-BodyText"/>
      </w:pPr>
      <w:r w:rsidRPr="000A03FD">
        <w:t xml:space="preserve">A </w:t>
      </w:r>
      <w:r w:rsidR="007C5511" w:rsidRPr="000A03FD">
        <w:rPr>
          <w:rFonts w:cstheme="minorHAnsi"/>
        </w:rPr>
        <w:t>comparison of harms for mepolizumab versus placebo in SYNPASE has not been described given comparable safety.</w:t>
      </w:r>
    </w:p>
    <w:p w14:paraId="7A1772B6" w14:textId="23BB3145" w:rsidR="00B60939" w:rsidRPr="000A03FD" w:rsidRDefault="00B60939" w:rsidP="00E9094A">
      <w:pPr>
        <w:pStyle w:val="4-SubsectionHeading"/>
      </w:pPr>
      <w:bookmarkStart w:id="57" w:name="_Toc22897644"/>
      <w:bookmarkStart w:id="58" w:name="_Toc113982847"/>
      <w:r w:rsidRPr="000A03FD">
        <w:t>Clinical claim</w:t>
      </w:r>
      <w:bookmarkEnd w:id="57"/>
      <w:bookmarkEnd w:id="58"/>
    </w:p>
    <w:p w14:paraId="0BAAACD0" w14:textId="53A093C6" w:rsidR="00D3176A" w:rsidRPr="000A03FD" w:rsidRDefault="00AA55D6" w:rsidP="00E9094A">
      <w:pPr>
        <w:pStyle w:val="3-BodyText"/>
      </w:pPr>
      <w:r w:rsidRPr="000A03FD">
        <w:t xml:space="preserve">The resubmission described mepolizumab as superior </w:t>
      </w:r>
      <w:r w:rsidR="00E32879" w:rsidRPr="000A03FD">
        <w:t>in terms of effectiveness compared with SoC in patients with a baseline BEC ≥300</w:t>
      </w:r>
      <w:r w:rsidR="00F128E1">
        <w:t> </w:t>
      </w:r>
      <w:r w:rsidR="00E32879" w:rsidRPr="000A03FD">
        <w:t>cells/µL (or BEC ≥150</w:t>
      </w:r>
      <w:r w:rsidR="00F128E1">
        <w:t> </w:t>
      </w:r>
      <w:r w:rsidR="00E32879" w:rsidRPr="000A03FD">
        <w:t xml:space="preserve">cells/µL if they have had OCS in the previous 12 months). </w:t>
      </w:r>
      <w:r w:rsidR="002068CA" w:rsidRPr="000A03FD">
        <w:t>This</w:t>
      </w:r>
      <w:r w:rsidR="00053031" w:rsidRPr="000A03FD">
        <w:t xml:space="preserve"> was based on the consideration that the BEC ≥300</w:t>
      </w:r>
      <w:r w:rsidR="00F128E1">
        <w:t> </w:t>
      </w:r>
      <w:r w:rsidR="00053031" w:rsidRPr="000A03FD">
        <w:t xml:space="preserve">cells/µL </w:t>
      </w:r>
      <w:r w:rsidR="002774D1" w:rsidRPr="000A03FD">
        <w:t>subgroup</w:t>
      </w:r>
      <w:r w:rsidR="00053031" w:rsidRPr="000A03FD">
        <w:t xml:space="preserve"> </w:t>
      </w:r>
      <w:r w:rsidR="003B2657" w:rsidRPr="000A03FD">
        <w:t xml:space="preserve">results demonstrated </w:t>
      </w:r>
      <w:r w:rsidR="002068CA" w:rsidRPr="000A03FD">
        <w:t xml:space="preserve">treatment </w:t>
      </w:r>
      <w:r w:rsidR="009D7E83" w:rsidRPr="000A03FD">
        <w:t xml:space="preserve">differences that were </w:t>
      </w:r>
      <w:r w:rsidR="003B2657" w:rsidRPr="000A03FD">
        <w:t>clinically meaningful</w:t>
      </w:r>
      <w:r w:rsidR="009D7E83" w:rsidRPr="000A03FD">
        <w:t xml:space="preserve"> to patients</w:t>
      </w:r>
      <w:r w:rsidR="00FF61A4" w:rsidRPr="000A03FD">
        <w:t xml:space="preserve">, including the secondary </w:t>
      </w:r>
      <w:r w:rsidR="00CC77B7" w:rsidRPr="000A03FD">
        <w:t>outcome of time to NP surgery</w:t>
      </w:r>
      <w:r w:rsidR="00FA2487" w:rsidRPr="000A03FD">
        <w:t xml:space="preserve">. The resubmission further justified the claim by stating </w:t>
      </w:r>
      <w:r w:rsidR="00443FEA" w:rsidRPr="000A03FD">
        <w:t>in the BEC ≥300</w:t>
      </w:r>
      <w:r w:rsidR="00F128E1">
        <w:t> </w:t>
      </w:r>
      <w:r w:rsidR="00312DF9" w:rsidRPr="000A03FD">
        <w:t>cells/</w:t>
      </w:r>
      <w:r w:rsidR="00312DF9" w:rsidRPr="000A03FD">
        <w:rPr>
          <w:rFonts w:cstheme="minorHAnsi"/>
        </w:rPr>
        <w:t>µ</w:t>
      </w:r>
      <w:r w:rsidR="00312DF9" w:rsidRPr="000A03FD">
        <w:t xml:space="preserve">L </w:t>
      </w:r>
      <w:r w:rsidR="002774D1" w:rsidRPr="000A03FD">
        <w:t>subgroup</w:t>
      </w:r>
      <w:r w:rsidR="00443FEA" w:rsidRPr="000A03FD">
        <w:t xml:space="preserve"> ENP median score change from baseline at week 52 in mepolizumab patients was -1.0 compared to 0.0 for placebo and the median NO-VAS </w:t>
      </w:r>
      <w:r w:rsidR="00443FEA" w:rsidRPr="000A03FD">
        <w:lastRenderedPageBreak/>
        <w:t>score change in the weeks 49-52 period was -4.41 in mepolizumab compared to -0.33 in placebo (in excess of the nominated MCID of ≥3).</w:t>
      </w:r>
    </w:p>
    <w:p w14:paraId="07CAD9F4" w14:textId="3F56804A" w:rsidR="00A95AB6" w:rsidRPr="000A03FD" w:rsidRDefault="0031387A" w:rsidP="00E9094A">
      <w:pPr>
        <w:pStyle w:val="3-BodyText"/>
      </w:pPr>
      <w:r w:rsidRPr="000A03FD">
        <w:t xml:space="preserve">The resubmission also stated </w:t>
      </w:r>
      <w:r w:rsidR="006C049A" w:rsidRPr="000A03FD">
        <w:t xml:space="preserve">the ITT population demonstrated clinically </w:t>
      </w:r>
      <w:r w:rsidR="00A95AB6" w:rsidRPr="000A03FD">
        <w:t>meaningful and statistically significant changes in the secondary endpoints of HRQoL (as measured by the SNOT-22) and systemic steroid use as well as in the exploratory analysis of the SF-36.</w:t>
      </w:r>
      <w:r w:rsidR="00AA74C8" w:rsidRPr="000A03FD">
        <w:t xml:space="preserve"> </w:t>
      </w:r>
      <w:r w:rsidR="0007183E" w:rsidRPr="000A03FD">
        <w:t xml:space="preserve">The BEC </w:t>
      </w:r>
      <w:r w:rsidR="0007183E" w:rsidRPr="000A03FD">
        <w:rPr>
          <w:rFonts w:cstheme="minorHAnsi"/>
        </w:rPr>
        <w:t>≥300</w:t>
      </w:r>
      <w:r w:rsidR="00F128E1">
        <w:rPr>
          <w:rFonts w:cstheme="minorHAnsi"/>
        </w:rPr>
        <w:t> </w:t>
      </w:r>
      <w:r w:rsidR="0007183E" w:rsidRPr="000A03FD">
        <w:rPr>
          <w:rFonts w:cstheme="minorHAnsi"/>
        </w:rPr>
        <w:t xml:space="preserve">cells/µL </w:t>
      </w:r>
      <w:r w:rsidR="002774D1" w:rsidRPr="000A03FD">
        <w:rPr>
          <w:rFonts w:cstheme="minorHAnsi"/>
        </w:rPr>
        <w:t>subgroup</w:t>
      </w:r>
      <w:r w:rsidR="002B2903" w:rsidRPr="000A03FD">
        <w:rPr>
          <w:rFonts w:cstheme="minorHAnsi"/>
        </w:rPr>
        <w:t xml:space="preserve"> were consistent with the ITT population for these outcomes.</w:t>
      </w:r>
    </w:p>
    <w:p w14:paraId="145AD55F" w14:textId="2AC7B467" w:rsidR="00630597" w:rsidRPr="000A03FD" w:rsidRDefault="008A491F" w:rsidP="00E9094A">
      <w:pPr>
        <w:pStyle w:val="3-BodyText"/>
      </w:pPr>
      <w:bookmarkStart w:id="59" w:name="_Hlk119491478"/>
      <w:r w:rsidRPr="000A03FD">
        <w:t>In November 2021, t</w:t>
      </w:r>
      <w:r w:rsidR="00CE629B" w:rsidRPr="000A03FD">
        <w:t xml:space="preserve">he PBAC accepted the claim of clinical superiority of mepolizumab in the BEC </w:t>
      </w:r>
      <w:r w:rsidR="00CE629B" w:rsidRPr="000A03FD">
        <w:rPr>
          <w:rFonts w:cs="Calibri"/>
        </w:rPr>
        <w:t>≥</w:t>
      </w:r>
      <w:r w:rsidR="00CE629B" w:rsidRPr="000A03FD">
        <w:t>300</w:t>
      </w:r>
      <w:r w:rsidR="00F128E1">
        <w:t> </w:t>
      </w:r>
      <w:r w:rsidR="002774D1" w:rsidRPr="000A03FD">
        <w:t>subgroup</w:t>
      </w:r>
      <w:r w:rsidR="00CE629B" w:rsidRPr="000A03FD">
        <w:t xml:space="preserve"> based on SYNAPSE trial evidence </w:t>
      </w:r>
      <w:r w:rsidR="001D11A5" w:rsidRPr="000A03FD">
        <w:t xml:space="preserve">in the previous submission </w:t>
      </w:r>
      <w:r w:rsidR="00CE629B" w:rsidRPr="000A03FD">
        <w:t>(paragraph 7.5, mepolizumab</w:t>
      </w:r>
      <w:r w:rsidR="00571B0C" w:rsidRPr="000A03FD">
        <w:t xml:space="preserve"> </w:t>
      </w:r>
      <w:r w:rsidR="006A1B32">
        <w:t>PSD</w:t>
      </w:r>
      <w:r w:rsidR="00571B0C" w:rsidRPr="000A03FD">
        <w:t>,</w:t>
      </w:r>
      <w:r w:rsidR="00CE629B" w:rsidRPr="000A03FD">
        <w:t xml:space="preserve"> November 2021</w:t>
      </w:r>
      <w:r w:rsidR="006E65D0" w:rsidRPr="000A03FD">
        <w:t xml:space="preserve"> PBAC meeting</w:t>
      </w:r>
      <w:r w:rsidR="00CE629B" w:rsidRPr="000A03FD">
        <w:t>).</w:t>
      </w:r>
      <w:bookmarkEnd w:id="59"/>
      <w:r w:rsidR="00A95AB6" w:rsidRPr="000A03FD">
        <w:t xml:space="preserve"> </w:t>
      </w:r>
      <w:r w:rsidR="00CE5E42" w:rsidRPr="000A03FD">
        <w:t xml:space="preserve">However, </w:t>
      </w:r>
      <w:r w:rsidR="00485B3C" w:rsidRPr="000A03FD">
        <w:t>results for the BEC ≥300</w:t>
      </w:r>
      <w:r w:rsidR="00F128E1">
        <w:t> </w:t>
      </w:r>
      <w:r w:rsidR="00485B3C" w:rsidRPr="000A03FD">
        <w:t xml:space="preserve">cells/µL </w:t>
      </w:r>
      <w:r w:rsidR="002774D1" w:rsidRPr="000A03FD">
        <w:t>subgroup</w:t>
      </w:r>
      <w:r w:rsidR="00485B3C" w:rsidRPr="000A03FD">
        <w:t xml:space="preserve"> were not formally statistically tested and therefore results should be considered exploratory, with no tests for </w:t>
      </w:r>
      <w:r w:rsidR="002774D1" w:rsidRPr="000A03FD">
        <w:t>subgroup</w:t>
      </w:r>
      <w:r w:rsidR="00485B3C" w:rsidRPr="000A03FD">
        <w:t xml:space="preserve"> interactions conducted to show that BEC ≥300</w:t>
      </w:r>
      <w:r w:rsidR="00F128E1">
        <w:t> </w:t>
      </w:r>
      <w:r w:rsidR="00485B3C" w:rsidRPr="000A03FD">
        <w:t>cells/µL was a treatment effect modifier.</w:t>
      </w:r>
    </w:p>
    <w:p w14:paraId="4BA70E97" w14:textId="77777777" w:rsidR="00BE1461" w:rsidRPr="000A03FD" w:rsidRDefault="00BE1461" w:rsidP="00BE1461">
      <w:pPr>
        <w:pStyle w:val="3-BodyText"/>
      </w:pPr>
      <w:bookmarkStart w:id="60" w:name="_Ref111516141"/>
      <w:r w:rsidRPr="000A03FD">
        <w:t>Clinical evidence was not presented in the resubmission for patients:</w:t>
      </w:r>
    </w:p>
    <w:p w14:paraId="4873B042" w14:textId="1283D7F0" w:rsidR="00BE1461" w:rsidRPr="000A03FD" w:rsidRDefault="00BE1461" w:rsidP="000B1FB6">
      <w:pPr>
        <w:pStyle w:val="3-BodyText"/>
        <w:numPr>
          <w:ilvl w:val="0"/>
          <w:numId w:val="15"/>
        </w:numPr>
        <w:ind w:left="1077" w:hanging="357"/>
      </w:pPr>
      <w:r w:rsidRPr="000A03FD">
        <w:t>who had a BEC ≥150 but &lt;300</w:t>
      </w:r>
      <w:r w:rsidR="00F128E1">
        <w:t> </w:t>
      </w:r>
      <w:r w:rsidRPr="000A03FD">
        <w:t>cells/µL while receiving treatment with OCS in the last 12 months;</w:t>
      </w:r>
    </w:p>
    <w:p w14:paraId="7E78FEA4" w14:textId="126AC7FE" w:rsidR="00BE1461" w:rsidRPr="000A03FD" w:rsidRDefault="00BE1461" w:rsidP="000B1FB6">
      <w:pPr>
        <w:pStyle w:val="3-BodyText"/>
        <w:numPr>
          <w:ilvl w:val="0"/>
          <w:numId w:val="15"/>
        </w:numPr>
        <w:ind w:left="1077" w:hanging="357"/>
      </w:pPr>
      <w:r w:rsidRPr="000A03FD">
        <w:t xml:space="preserve">who were contraindicated to INCS and/or NP surgery; </w:t>
      </w:r>
      <w:r w:rsidR="00392F3E" w:rsidRPr="000A03FD">
        <w:t>and</w:t>
      </w:r>
    </w:p>
    <w:p w14:paraId="6986A784" w14:textId="56972B68" w:rsidR="00BE1461" w:rsidRPr="000A03FD" w:rsidRDefault="00BE1461" w:rsidP="000B1FB6">
      <w:pPr>
        <w:pStyle w:val="3-BodyText"/>
        <w:numPr>
          <w:ilvl w:val="0"/>
          <w:numId w:val="15"/>
        </w:numPr>
        <w:ind w:left="1077" w:hanging="357"/>
      </w:pPr>
      <w:r w:rsidRPr="000A03FD">
        <w:t>who had previously discontinued mepolizumab but reinitiated mepolizumab treatment after a 12-month break.</w:t>
      </w:r>
    </w:p>
    <w:p w14:paraId="4A7024BF" w14:textId="5BE22850" w:rsidR="00BE1461" w:rsidRPr="000A03FD" w:rsidRDefault="00BE1461" w:rsidP="00BE1461">
      <w:pPr>
        <w:pStyle w:val="3-BodyText"/>
        <w:numPr>
          <w:ilvl w:val="0"/>
          <w:numId w:val="0"/>
        </w:numPr>
        <w:ind w:left="720"/>
      </w:pPr>
      <w:r w:rsidRPr="000A03FD">
        <w:t>However these subsets of patients were all included in the requested restrictions, and as such the effectiveness of mepolizumab in these patients was unknown.</w:t>
      </w:r>
      <w:bookmarkEnd w:id="60"/>
      <w:r w:rsidRPr="000A03FD">
        <w:t xml:space="preserve"> </w:t>
      </w:r>
      <w:r w:rsidR="008A491F" w:rsidRPr="000A03FD">
        <w:t>The PSCR noted the proposed restriction would require patients to be on OCS treatment at the time of registering a BEC between ≥150</w:t>
      </w:r>
      <w:r w:rsidR="00F128E1">
        <w:t> </w:t>
      </w:r>
      <w:r w:rsidR="008A491F" w:rsidRPr="000A03FD">
        <w:t>cells/µL and &lt;300</w:t>
      </w:r>
      <w:r w:rsidR="00F128E1">
        <w:t> </w:t>
      </w:r>
      <w:r w:rsidR="008A491F" w:rsidRPr="000A03FD">
        <w:t xml:space="preserve">cells/µL if they were to meet eligibility via this criterion. </w:t>
      </w:r>
    </w:p>
    <w:p w14:paraId="7F613CD1" w14:textId="6A3F8E75" w:rsidR="005F7588" w:rsidRPr="000A03FD" w:rsidRDefault="005F7588" w:rsidP="00E9094A">
      <w:pPr>
        <w:pStyle w:val="3-BodyText"/>
        <w:rPr>
          <w:rFonts w:eastAsia="Calibri"/>
        </w:rPr>
      </w:pPr>
      <w:r w:rsidRPr="000A03FD">
        <w:rPr>
          <w:rFonts w:eastAsia="Calibri"/>
        </w:rPr>
        <w:t xml:space="preserve">The submission described </w:t>
      </w:r>
      <w:r w:rsidR="008E197F" w:rsidRPr="000A03FD">
        <w:rPr>
          <w:rFonts w:eastAsia="Calibri"/>
        </w:rPr>
        <w:t>mepolizumab</w:t>
      </w:r>
      <w:r w:rsidRPr="000A03FD">
        <w:rPr>
          <w:rFonts w:eastAsia="Calibri"/>
        </w:rPr>
        <w:t xml:space="preserve"> as </w:t>
      </w:r>
      <w:r w:rsidR="00A73F28" w:rsidRPr="000A03FD">
        <w:rPr>
          <w:rFonts w:eastAsia="Calibri"/>
        </w:rPr>
        <w:t>comparable</w:t>
      </w:r>
      <w:r w:rsidRPr="000A03FD">
        <w:rPr>
          <w:rFonts w:eastAsia="Calibri"/>
        </w:rPr>
        <w:t xml:space="preserve"> in term</w:t>
      </w:r>
      <w:r w:rsidR="00156F8F" w:rsidRPr="000A03FD">
        <w:rPr>
          <w:rFonts w:eastAsia="Calibri"/>
        </w:rPr>
        <w:t>s</w:t>
      </w:r>
      <w:r w:rsidRPr="000A03FD">
        <w:rPr>
          <w:rFonts w:eastAsia="Calibri"/>
        </w:rPr>
        <w:t xml:space="preserve"> of safety compared to </w:t>
      </w:r>
      <w:r w:rsidR="00C10687" w:rsidRPr="000A03FD">
        <w:rPr>
          <w:rFonts w:eastAsia="Calibri"/>
        </w:rPr>
        <w:t>SoC</w:t>
      </w:r>
      <w:r w:rsidRPr="000A03FD">
        <w:rPr>
          <w:rFonts w:eastAsia="Calibri"/>
        </w:rPr>
        <w:t>. This claim was</w:t>
      </w:r>
      <w:r w:rsidR="00F543B1" w:rsidRPr="000A03FD">
        <w:rPr>
          <w:rFonts w:eastAsia="Calibri"/>
        </w:rPr>
        <w:t xml:space="preserve"> likely reasonable, and the PBAC has previously accepted that a claim of non-inferior safety was reasonable (paragraph 7.6, mepolizumab</w:t>
      </w:r>
      <w:r w:rsidR="006A1B32">
        <w:rPr>
          <w:rFonts w:eastAsia="Calibri"/>
        </w:rPr>
        <w:t xml:space="preserve"> PSD</w:t>
      </w:r>
      <w:r w:rsidR="00571B0C" w:rsidRPr="000A03FD">
        <w:rPr>
          <w:rFonts w:eastAsia="Calibri"/>
        </w:rPr>
        <w:t>,</w:t>
      </w:r>
      <w:r w:rsidR="00F543B1" w:rsidRPr="000A03FD">
        <w:rPr>
          <w:rFonts w:eastAsia="Calibri"/>
        </w:rPr>
        <w:t xml:space="preserve"> November 2021</w:t>
      </w:r>
      <w:r w:rsidR="006E65D0" w:rsidRPr="000A03FD">
        <w:rPr>
          <w:rFonts w:eastAsia="Calibri"/>
        </w:rPr>
        <w:t xml:space="preserve"> </w:t>
      </w:r>
      <w:r w:rsidR="006E65D0" w:rsidRPr="000A03FD">
        <w:t>PBAC meeting</w:t>
      </w:r>
      <w:r w:rsidR="00F543B1" w:rsidRPr="000A03FD">
        <w:rPr>
          <w:rFonts w:eastAsia="Calibri"/>
        </w:rPr>
        <w:t>).</w:t>
      </w:r>
    </w:p>
    <w:p w14:paraId="3AD1430C" w14:textId="23490E09" w:rsidR="001E3667" w:rsidRPr="000A03FD" w:rsidRDefault="001E3667" w:rsidP="001E3667">
      <w:pPr>
        <w:widowControl w:val="0"/>
        <w:numPr>
          <w:ilvl w:val="1"/>
          <w:numId w:val="1"/>
        </w:numPr>
        <w:spacing w:after="120"/>
        <w:rPr>
          <w:rFonts w:asciiTheme="minorHAnsi" w:hAnsiTheme="minorHAnsi"/>
          <w:snapToGrid w:val="0"/>
          <w:szCs w:val="20"/>
        </w:rPr>
      </w:pPr>
      <w:r w:rsidRPr="000A03FD">
        <w:rPr>
          <w:rFonts w:asciiTheme="minorHAnsi" w:hAnsiTheme="minorHAnsi"/>
          <w:iCs/>
          <w:snapToGrid w:val="0"/>
        </w:rPr>
        <w:t>The</w:t>
      </w:r>
      <w:r w:rsidRPr="000A03FD">
        <w:rPr>
          <w:rFonts w:asciiTheme="minorHAnsi" w:hAnsiTheme="minorHAnsi"/>
          <w:snapToGrid w:val="0"/>
          <w:szCs w:val="20"/>
        </w:rPr>
        <w:t xml:space="preserve"> PBAC considered that the claim of superior comparative effectiveness was reasonable </w:t>
      </w:r>
      <w:r w:rsidRPr="000A03FD">
        <w:t>compared with SoC in patients with a baseline BEC ≥300</w:t>
      </w:r>
      <w:r w:rsidR="00F128E1">
        <w:t> </w:t>
      </w:r>
      <w:r w:rsidRPr="000A03FD">
        <w:t>cells/µL</w:t>
      </w:r>
      <w:r w:rsidR="00723A2E" w:rsidRPr="000A03FD">
        <w:t xml:space="preserve">. </w:t>
      </w:r>
    </w:p>
    <w:p w14:paraId="16D65021" w14:textId="5C7B204F" w:rsidR="001E3667" w:rsidRPr="000A03FD" w:rsidRDefault="001E3667" w:rsidP="001E3667">
      <w:pPr>
        <w:widowControl w:val="0"/>
        <w:numPr>
          <w:ilvl w:val="1"/>
          <w:numId w:val="1"/>
        </w:numPr>
        <w:spacing w:after="120"/>
        <w:rPr>
          <w:rFonts w:asciiTheme="minorHAnsi" w:hAnsiTheme="minorHAnsi"/>
          <w:snapToGrid w:val="0"/>
          <w:szCs w:val="20"/>
        </w:rPr>
      </w:pPr>
      <w:bookmarkStart w:id="61" w:name="_Hlk76376200"/>
      <w:r w:rsidRPr="000A03FD">
        <w:rPr>
          <w:rFonts w:asciiTheme="minorHAnsi" w:hAnsiTheme="minorHAnsi"/>
          <w:snapToGrid w:val="0"/>
          <w:szCs w:val="20"/>
        </w:rPr>
        <w:t>The PBAC considered that the claim of non-inferior comparative safety was reasonable.</w:t>
      </w:r>
    </w:p>
    <w:p w14:paraId="74A1172E" w14:textId="0C0FC7CF" w:rsidR="00B60939" w:rsidRPr="000A03FD" w:rsidRDefault="00B60939" w:rsidP="00E9094A">
      <w:pPr>
        <w:pStyle w:val="4-SubsectionHeading"/>
      </w:pPr>
      <w:bookmarkStart w:id="62" w:name="_Toc22897645"/>
      <w:bookmarkStart w:id="63" w:name="_Toc113982848"/>
      <w:bookmarkEnd w:id="61"/>
      <w:r w:rsidRPr="000A03FD">
        <w:t>Economic analysis</w:t>
      </w:r>
      <w:bookmarkEnd w:id="62"/>
      <w:bookmarkEnd w:id="63"/>
      <w:r w:rsidR="00491B3A" w:rsidRPr="000A03FD">
        <w:t xml:space="preserve"> </w:t>
      </w:r>
    </w:p>
    <w:p w14:paraId="71B8DAD2" w14:textId="46D32D0D" w:rsidR="00EE3E72" w:rsidRPr="000A03FD" w:rsidRDefault="00FD6B10" w:rsidP="00AD543A">
      <w:pPr>
        <w:pStyle w:val="3-BodyText"/>
        <w:rPr>
          <w:b/>
          <w:bCs/>
        </w:rPr>
      </w:pPr>
      <w:r w:rsidRPr="000A03FD">
        <w:rPr>
          <w:rFonts w:eastAsia="Calibri"/>
        </w:rPr>
        <w:t xml:space="preserve">The resubmission </w:t>
      </w:r>
      <w:r w:rsidR="00F02280" w:rsidRPr="000A03FD">
        <w:rPr>
          <w:rFonts w:eastAsia="Calibri"/>
        </w:rPr>
        <w:t xml:space="preserve">presented a modelled economic evaluation based on the SYNAPSE trial. </w:t>
      </w:r>
      <w:r w:rsidR="007C03B1" w:rsidRPr="000A03FD">
        <w:rPr>
          <w:rFonts w:eastAsia="Calibri"/>
        </w:rPr>
        <w:t xml:space="preserve">The type of economic evaluation presented was a cost-utility Markov model incorporating a cohort value expected analysis. </w:t>
      </w:r>
      <w:r w:rsidR="00F777B1" w:rsidRPr="000A03FD">
        <w:rPr>
          <w:rFonts w:eastAsia="Calibri"/>
        </w:rPr>
        <w:t xml:space="preserve">The </w:t>
      </w:r>
      <w:r w:rsidR="004553C1" w:rsidRPr="000A03FD">
        <w:rPr>
          <w:rFonts w:eastAsia="Calibri"/>
        </w:rPr>
        <w:t xml:space="preserve">economic model presented remained structurally the same as </w:t>
      </w:r>
      <w:r w:rsidR="0093472E" w:rsidRPr="000A03FD">
        <w:rPr>
          <w:rFonts w:eastAsia="Calibri"/>
        </w:rPr>
        <w:t>the previous submission but differed based on certain key inputs (</w:t>
      </w:r>
      <w:r w:rsidR="00D523DB" w:rsidRPr="000A03FD">
        <w:rPr>
          <w:rFonts w:eastAsia="Calibri"/>
        </w:rPr>
        <w:t>time</w:t>
      </w:r>
      <w:r w:rsidR="00170DAD" w:rsidRPr="000A03FD">
        <w:rPr>
          <w:rFonts w:eastAsia="Calibri"/>
        </w:rPr>
        <w:t xml:space="preserve">-horizon; maintenance of response; source of utility values; </w:t>
      </w:r>
      <w:r w:rsidR="003C77C3" w:rsidRPr="000A03FD">
        <w:rPr>
          <w:rFonts w:eastAsia="Calibri"/>
        </w:rPr>
        <w:lastRenderedPageBreak/>
        <w:t>assumptions regarding utility values for responders and ‘effective surgery’ patients after week 52</w:t>
      </w:r>
      <w:r w:rsidR="001273A5" w:rsidRPr="000A03FD">
        <w:rPr>
          <w:rFonts w:eastAsia="Calibri"/>
        </w:rPr>
        <w:t>; and numerous unit costs</w:t>
      </w:r>
      <w:r w:rsidR="00AC1AEA" w:rsidRPr="000A03FD">
        <w:rPr>
          <w:rFonts w:eastAsia="Calibri"/>
        </w:rPr>
        <w:t xml:space="preserve">). Additionally, the </w:t>
      </w:r>
      <w:r w:rsidR="00D523DB" w:rsidRPr="000A03FD">
        <w:rPr>
          <w:rFonts w:eastAsia="Calibri"/>
        </w:rPr>
        <w:t xml:space="preserve">economic model in the resubmission was largely informed by the BEC </w:t>
      </w:r>
      <w:r w:rsidR="00D523DB" w:rsidRPr="000A03FD">
        <w:rPr>
          <w:rFonts w:eastAsia="Calibri" w:cstheme="minorHAnsi"/>
        </w:rPr>
        <w:t>≥</w:t>
      </w:r>
      <w:r w:rsidR="00D523DB" w:rsidRPr="000A03FD">
        <w:rPr>
          <w:rFonts w:eastAsia="Calibri"/>
        </w:rPr>
        <w:t>300</w:t>
      </w:r>
      <w:r w:rsidR="00F128E1">
        <w:rPr>
          <w:rFonts w:eastAsia="Calibri"/>
        </w:rPr>
        <w:t> </w:t>
      </w:r>
      <w:r w:rsidR="00D523DB" w:rsidRPr="000A03FD">
        <w:rPr>
          <w:rFonts w:eastAsia="Calibri"/>
        </w:rPr>
        <w:t>cells/</w:t>
      </w:r>
      <w:r w:rsidR="00D523DB" w:rsidRPr="000A03FD">
        <w:rPr>
          <w:rFonts w:eastAsia="Calibri" w:cstheme="minorHAnsi"/>
        </w:rPr>
        <w:t>µ</w:t>
      </w:r>
      <w:r w:rsidR="00D523DB" w:rsidRPr="000A03FD">
        <w:rPr>
          <w:rFonts w:eastAsia="Calibri"/>
        </w:rPr>
        <w:t xml:space="preserve">L </w:t>
      </w:r>
      <w:r w:rsidR="002774D1" w:rsidRPr="000A03FD">
        <w:rPr>
          <w:rFonts w:eastAsia="Calibri"/>
        </w:rPr>
        <w:t>subgroup</w:t>
      </w:r>
      <w:r w:rsidR="00D523DB" w:rsidRPr="000A03FD">
        <w:rPr>
          <w:rFonts w:eastAsia="Calibri"/>
        </w:rPr>
        <w:t xml:space="preserve"> from SYNAPSE, compared to the BEC ≥150</w:t>
      </w:r>
      <w:r w:rsidR="00F128E1">
        <w:rPr>
          <w:rFonts w:eastAsia="Calibri"/>
        </w:rPr>
        <w:t> </w:t>
      </w:r>
      <w:r w:rsidR="00D523DB" w:rsidRPr="000A03FD">
        <w:rPr>
          <w:rFonts w:eastAsia="Calibri"/>
        </w:rPr>
        <w:t xml:space="preserve">cells/µL </w:t>
      </w:r>
      <w:r w:rsidR="002774D1" w:rsidRPr="000A03FD">
        <w:rPr>
          <w:rFonts w:eastAsia="Calibri"/>
        </w:rPr>
        <w:t>subgroup</w:t>
      </w:r>
      <w:r w:rsidR="00D523DB" w:rsidRPr="000A03FD">
        <w:rPr>
          <w:rFonts w:eastAsia="Calibri"/>
        </w:rPr>
        <w:t xml:space="preserve"> in the previous submission.</w:t>
      </w:r>
      <w:r w:rsidRPr="000A03FD">
        <w:rPr>
          <w:rFonts w:eastAsia="Calibri"/>
        </w:rPr>
        <w:t xml:space="preserve"> </w:t>
      </w:r>
      <w:r w:rsidR="00716872" w:rsidRPr="000A03FD">
        <w:rPr>
          <w:rFonts w:eastAsia="Calibri"/>
        </w:rPr>
        <w:t xml:space="preserve">Despite this, the transition probabilities </w:t>
      </w:r>
      <w:r w:rsidR="00606724" w:rsidRPr="000A03FD">
        <w:rPr>
          <w:rFonts w:eastAsia="Calibri"/>
        </w:rPr>
        <w:t xml:space="preserve">in the model of the resubmission were relatively similar to the corresponding transition probabilities in the previous model (with the exception of loss of response). </w:t>
      </w:r>
      <w:r w:rsidR="00EE3E72" w:rsidRPr="000A03FD">
        <w:rPr>
          <w:rFonts w:eastAsia="Calibri"/>
        </w:rPr>
        <w:t>A trial-based cost</w:t>
      </w:r>
      <w:r w:rsidR="00022FF9" w:rsidRPr="000A03FD">
        <w:rPr>
          <w:rFonts w:eastAsia="Calibri"/>
        </w:rPr>
        <w:t xml:space="preserve"> per responder analysis based on the results of SYNAPSE was also conducted during the evaluation. </w:t>
      </w:r>
    </w:p>
    <w:p w14:paraId="1AD4AD3A" w14:textId="767DD5FD" w:rsidR="00FD56AB" w:rsidRPr="000A03FD" w:rsidRDefault="00FD56AB" w:rsidP="00FD56AB">
      <w:pPr>
        <w:pStyle w:val="ListParagraph"/>
        <w:numPr>
          <w:ilvl w:val="1"/>
          <w:numId w:val="1"/>
        </w:numPr>
        <w:spacing w:after="160"/>
        <w:rPr>
          <w:i/>
        </w:rPr>
      </w:pPr>
      <w:r w:rsidRPr="000A03FD">
        <w:t xml:space="preserve">There were several translational issues which were not considered nor adjusted for by the resubmission that could affect the cost effectiveness of mepolizumab in the proposed PBS population. As discussed in paragraph </w:t>
      </w:r>
      <w:r w:rsidRPr="000A03FD">
        <w:fldChar w:fldCharType="begin" w:fldLock="1"/>
      </w:r>
      <w:r w:rsidRPr="000A03FD">
        <w:instrText xml:space="preserve"> REF _Ref111516141 \r \h </w:instrText>
      </w:r>
      <w:r w:rsidR="00F518C5" w:rsidRPr="000A03FD">
        <w:instrText xml:space="preserve"> \* MERGEFORMAT </w:instrText>
      </w:r>
      <w:r w:rsidRPr="000A03FD">
        <w:fldChar w:fldCharType="separate"/>
      </w:r>
      <w:r w:rsidR="00723A2E" w:rsidRPr="000A03FD">
        <w:t>6.32</w:t>
      </w:r>
      <w:r w:rsidRPr="000A03FD">
        <w:fldChar w:fldCharType="end"/>
      </w:r>
      <w:r w:rsidRPr="000A03FD">
        <w:t xml:space="preserve">, even though the requested restriction allowed access for patients who had a BEC </w:t>
      </w:r>
      <w:r w:rsidRPr="000A03FD">
        <w:rPr>
          <w:rFonts w:cstheme="minorHAnsi"/>
        </w:rPr>
        <w:t>≥</w:t>
      </w:r>
      <w:r w:rsidRPr="000A03FD">
        <w:t>150</w:t>
      </w:r>
      <w:r w:rsidR="00F128E1">
        <w:t> </w:t>
      </w:r>
      <w:r w:rsidRPr="000A03FD">
        <w:t>cells/</w:t>
      </w:r>
      <w:r w:rsidRPr="000A03FD">
        <w:rPr>
          <w:rFonts w:cstheme="minorHAnsi"/>
        </w:rPr>
        <w:t>µ</w:t>
      </w:r>
      <w:r w:rsidRPr="000A03FD">
        <w:t>L but &lt;300</w:t>
      </w:r>
      <w:r w:rsidR="00F128E1">
        <w:t> </w:t>
      </w:r>
      <w:r w:rsidRPr="000A03FD">
        <w:t>cells/</w:t>
      </w:r>
      <w:r w:rsidRPr="000A03FD">
        <w:rPr>
          <w:rFonts w:cstheme="minorHAnsi"/>
        </w:rPr>
        <w:t>µ</w:t>
      </w:r>
      <w:r w:rsidRPr="000A03FD">
        <w:t>L if they were treated with OCS in the last 12 months; who were deemed unsuitable for surgery; who were contraindicated or intolerant to INCS; and patients who had previously discontinued mepolizumab treatment, no clinical evidence was presented to inform the efficacy of mepolizumab in these patients and no consideration of these subgroups were made in the resubmission’s economic evaluation. Additionally, the proportion of patients with co-morbid asthma and gender may also be different between the trial setting and Australian setting, and these were identified as potential treatment effect modifiers in SYNAPSE (paragraph 6.39, mepolizumab</w:t>
      </w:r>
      <w:r w:rsidR="00571B0C" w:rsidRPr="000A03FD">
        <w:t xml:space="preserve"> </w:t>
      </w:r>
      <w:r w:rsidR="006A1B32">
        <w:t>PSD</w:t>
      </w:r>
      <w:r w:rsidR="00571B0C" w:rsidRPr="000A03FD">
        <w:t>,</w:t>
      </w:r>
      <w:r w:rsidRPr="000A03FD">
        <w:t xml:space="preserve"> November 2021</w:t>
      </w:r>
      <w:r w:rsidR="006E65D0" w:rsidRPr="000A03FD">
        <w:t xml:space="preserve"> PBAC meeting</w:t>
      </w:r>
      <w:r w:rsidRPr="000A03FD">
        <w:t xml:space="preserve">). </w:t>
      </w:r>
    </w:p>
    <w:p w14:paraId="5CD0B7DA" w14:textId="616CDCBA" w:rsidR="00685E49" w:rsidRPr="000A03FD" w:rsidRDefault="00316C23" w:rsidP="00641FB3">
      <w:pPr>
        <w:pStyle w:val="3-BodyText"/>
        <w:rPr>
          <w:rFonts w:eastAsia="Calibri"/>
          <w:i/>
          <w:iCs/>
        </w:rPr>
      </w:pPr>
      <w:r w:rsidRPr="000A03FD">
        <w:rPr>
          <w:rFonts w:eastAsia="Calibri"/>
        </w:rPr>
        <w:fldChar w:fldCharType="begin" w:fldLock="1"/>
      </w:r>
      <w:r w:rsidRPr="000A03FD">
        <w:rPr>
          <w:rFonts w:eastAsia="Calibri"/>
        </w:rPr>
        <w:instrText xml:space="preserve"> REF _Ref111517843 \h  \* MERGEFORMAT </w:instrText>
      </w:r>
      <w:r w:rsidRPr="000A03FD">
        <w:rPr>
          <w:rFonts w:eastAsia="Calibri"/>
        </w:rPr>
      </w:r>
      <w:r w:rsidRPr="000A03FD">
        <w:rPr>
          <w:rFonts w:eastAsia="Calibri"/>
        </w:rPr>
        <w:fldChar w:fldCharType="separate"/>
      </w:r>
      <w:r w:rsidR="00625A18" w:rsidRPr="000A03FD">
        <w:t>Table 12</w:t>
      </w:r>
      <w:r w:rsidRPr="000A03FD">
        <w:rPr>
          <w:rFonts w:eastAsia="Calibri"/>
        </w:rPr>
        <w:fldChar w:fldCharType="end"/>
      </w:r>
      <w:r w:rsidRPr="000A03FD">
        <w:rPr>
          <w:rFonts w:eastAsia="Calibri"/>
        </w:rPr>
        <w:t xml:space="preserve"> </w:t>
      </w:r>
      <w:r w:rsidR="00685E49" w:rsidRPr="000A03FD">
        <w:rPr>
          <w:rFonts w:eastAsia="Calibri"/>
        </w:rPr>
        <w:t>present</w:t>
      </w:r>
      <w:r w:rsidR="00AF220D" w:rsidRPr="000A03FD">
        <w:rPr>
          <w:rFonts w:eastAsia="Calibri"/>
        </w:rPr>
        <w:t xml:space="preserve">s </w:t>
      </w:r>
      <w:r w:rsidR="00AF220D" w:rsidRPr="000A03FD">
        <w:t xml:space="preserve">a summary of the model structure used in the economic evaluation presented in the </w:t>
      </w:r>
      <w:r w:rsidR="00656A55" w:rsidRPr="000A03FD">
        <w:t>re</w:t>
      </w:r>
      <w:r w:rsidR="00AF220D" w:rsidRPr="000A03FD">
        <w:t>submission</w:t>
      </w:r>
    </w:p>
    <w:p w14:paraId="15A9AFA4" w14:textId="30BAB34C" w:rsidR="00275C5A" w:rsidRPr="000A03FD" w:rsidRDefault="00E16AD8" w:rsidP="00E16AD8">
      <w:pPr>
        <w:pStyle w:val="Caption"/>
        <w:jc w:val="left"/>
        <w:rPr>
          <w:rStyle w:val="CommentReference"/>
          <w:b/>
          <w:szCs w:val="24"/>
        </w:rPr>
      </w:pPr>
      <w:bookmarkStart w:id="64" w:name="_Ref111517843"/>
      <w:r w:rsidRPr="000A03FD">
        <w:lastRenderedPageBreak/>
        <w:t xml:space="preserve">Table </w:t>
      </w:r>
      <w:fldSimple w:instr=" SEQ Table \* ARABIC " w:fldLock="1">
        <w:r w:rsidR="00A0401C" w:rsidRPr="000A03FD">
          <w:t>12</w:t>
        </w:r>
      </w:fldSimple>
      <w:bookmarkEnd w:id="64"/>
      <w:r w:rsidRPr="000A03FD">
        <w:t>:</w:t>
      </w:r>
      <w:r w:rsidR="00275C5A" w:rsidRPr="000A03FD">
        <w:rPr>
          <w:rStyle w:val="CommentReference"/>
          <w:b/>
          <w:szCs w:val="24"/>
        </w:rPr>
        <w:t xml:space="preserve"> Summary of model structure</w:t>
      </w:r>
      <w:r w:rsidR="00184B0E" w:rsidRPr="000A03FD">
        <w:rPr>
          <w:rStyle w:val="CommentReference"/>
          <w:b/>
          <w:szCs w:val="24"/>
        </w:rPr>
        <w:t>, key inputs</w:t>
      </w:r>
      <w:r w:rsidR="00275C5A" w:rsidRPr="000A03FD">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7"/>
        <w:gridCol w:w="6499"/>
      </w:tblGrid>
      <w:tr w:rsidR="00133912" w:rsidRPr="000A03FD" w14:paraId="48BB958D" w14:textId="77777777" w:rsidTr="006B35E6">
        <w:trPr>
          <w:tblHeader/>
        </w:trPr>
        <w:tc>
          <w:tcPr>
            <w:tcW w:w="1396" w:type="pct"/>
            <w:shd w:val="clear" w:color="auto" w:fill="auto"/>
            <w:vAlign w:val="center"/>
          </w:tcPr>
          <w:p w14:paraId="29C3D629" w14:textId="77777777" w:rsidR="00275C5A" w:rsidRPr="000A03FD" w:rsidRDefault="00275C5A" w:rsidP="00641FB3">
            <w:pPr>
              <w:pStyle w:val="In-tableHeading"/>
              <w:rPr>
                <w:lang w:val="en-AU"/>
              </w:rPr>
            </w:pPr>
            <w:r w:rsidRPr="000A03FD">
              <w:rPr>
                <w:lang w:val="en-AU"/>
              </w:rPr>
              <w:t>Component</w:t>
            </w:r>
          </w:p>
        </w:tc>
        <w:tc>
          <w:tcPr>
            <w:tcW w:w="3604" w:type="pct"/>
            <w:shd w:val="clear" w:color="auto" w:fill="auto"/>
            <w:vAlign w:val="center"/>
          </w:tcPr>
          <w:p w14:paraId="58FBA37B" w14:textId="77777777" w:rsidR="00275C5A" w:rsidRPr="000A03FD" w:rsidRDefault="00275C5A" w:rsidP="00641FB3">
            <w:pPr>
              <w:pStyle w:val="In-tableHeading"/>
              <w:rPr>
                <w:lang w:val="en-AU"/>
              </w:rPr>
            </w:pPr>
            <w:r w:rsidRPr="000A03FD">
              <w:rPr>
                <w:lang w:val="en-AU"/>
              </w:rPr>
              <w:t>Summary</w:t>
            </w:r>
          </w:p>
        </w:tc>
      </w:tr>
      <w:tr w:rsidR="00133912" w:rsidRPr="000A03FD" w14:paraId="6A8D84D4" w14:textId="77777777" w:rsidTr="006B35E6">
        <w:tc>
          <w:tcPr>
            <w:tcW w:w="1396" w:type="pct"/>
            <w:shd w:val="clear" w:color="auto" w:fill="auto"/>
            <w:vAlign w:val="center"/>
          </w:tcPr>
          <w:p w14:paraId="5F652354" w14:textId="77777777" w:rsidR="00275C5A" w:rsidRPr="000A03FD" w:rsidRDefault="00275C5A" w:rsidP="00BB00B3">
            <w:pPr>
              <w:pStyle w:val="TableText0"/>
            </w:pPr>
            <w:r w:rsidRPr="000A03FD">
              <w:t>Time horizon</w:t>
            </w:r>
          </w:p>
        </w:tc>
        <w:tc>
          <w:tcPr>
            <w:tcW w:w="3604" w:type="pct"/>
            <w:shd w:val="clear" w:color="auto" w:fill="auto"/>
            <w:vAlign w:val="center"/>
          </w:tcPr>
          <w:p w14:paraId="460936F1" w14:textId="0DA10EE5" w:rsidR="00275C5A" w:rsidRPr="000A03FD" w:rsidRDefault="00E7329C" w:rsidP="00BB00B3">
            <w:pPr>
              <w:pStyle w:val="TableText0"/>
            </w:pPr>
            <w:r w:rsidRPr="000A03FD">
              <w:rPr>
                <w:rFonts w:eastAsia="Yu Gothic Light" w:cs="Times New Roman"/>
                <w:szCs w:val="20"/>
                <w:u w:val="single"/>
              </w:rPr>
              <w:t>5 years in the model base</w:t>
            </w:r>
            <w:r w:rsidR="001B3701" w:rsidRPr="000A03FD">
              <w:rPr>
                <w:rFonts w:eastAsia="Yu Gothic Light" w:cs="Times New Roman"/>
                <w:szCs w:val="20"/>
                <w:u w:val="single"/>
              </w:rPr>
              <w:t>-</w:t>
            </w:r>
            <w:r w:rsidRPr="000A03FD">
              <w:rPr>
                <w:rFonts w:eastAsia="Yu Gothic Light" w:cs="Times New Roman"/>
                <w:szCs w:val="20"/>
                <w:u w:val="single"/>
              </w:rPr>
              <w:t>case</w:t>
            </w:r>
            <w:r w:rsidRPr="000A03FD">
              <w:rPr>
                <w:rFonts w:eastAsia="Yu Gothic Light" w:cs="Times New Roman"/>
                <w:szCs w:val="20"/>
              </w:rPr>
              <w:t xml:space="preserve"> (vs 1 year in the key SYNAPSE trial)</w:t>
            </w:r>
          </w:p>
        </w:tc>
      </w:tr>
      <w:tr w:rsidR="00133912" w:rsidRPr="000A03FD" w14:paraId="003209BF" w14:textId="77777777" w:rsidTr="006B35E6">
        <w:tc>
          <w:tcPr>
            <w:tcW w:w="1396" w:type="pct"/>
            <w:shd w:val="clear" w:color="auto" w:fill="auto"/>
            <w:vAlign w:val="center"/>
          </w:tcPr>
          <w:p w14:paraId="522DAB95" w14:textId="77777777" w:rsidR="00275C5A" w:rsidRPr="000A03FD" w:rsidRDefault="00275C5A" w:rsidP="00BB00B3">
            <w:pPr>
              <w:pStyle w:val="TableText0"/>
            </w:pPr>
            <w:r w:rsidRPr="000A03FD">
              <w:t>Outcomes</w:t>
            </w:r>
          </w:p>
        </w:tc>
        <w:tc>
          <w:tcPr>
            <w:tcW w:w="3604" w:type="pct"/>
            <w:shd w:val="clear" w:color="auto" w:fill="auto"/>
            <w:vAlign w:val="center"/>
          </w:tcPr>
          <w:p w14:paraId="3D1C428E" w14:textId="2D8B7344" w:rsidR="00275C5A" w:rsidRPr="000A03FD" w:rsidRDefault="00BA3EDC" w:rsidP="00BB00B3">
            <w:pPr>
              <w:pStyle w:val="TableText0"/>
            </w:pPr>
            <w:r w:rsidRPr="000A03FD">
              <w:rPr>
                <w:rFonts w:eastAsia="Yu Gothic Light" w:cs="Times New Roman"/>
                <w:szCs w:val="20"/>
              </w:rPr>
              <w:t>LYs, QALYs, number of surgeries, weeks waiting for surgery, number of asthma exacerbations.</w:t>
            </w:r>
          </w:p>
        </w:tc>
      </w:tr>
      <w:tr w:rsidR="00133912" w:rsidRPr="000A03FD" w14:paraId="29120B3F" w14:textId="77777777" w:rsidTr="006B35E6">
        <w:tc>
          <w:tcPr>
            <w:tcW w:w="1396" w:type="pct"/>
            <w:shd w:val="clear" w:color="auto" w:fill="auto"/>
            <w:vAlign w:val="center"/>
          </w:tcPr>
          <w:p w14:paraId="1AAC94CB" w14:textId="77777777" w:rsidR="00275C5A" w:rsidRPr="000A03FD" w:rsidRDefault="00275C5A" w:rsidP="00BB00B3">
            <w:pPr>
              <w:pStyle w:val="TableText0"/>
            </w:pPr>
            <w:r w:rsidRPr="000A03FD">
              <w:t>Methods used to generate results</w:t>
            </w:r>
          </w:p>
        </w:tc>
        <w:tc>
          <w:tcPr>
            <w:tcW w:w="3604" w:type="pct"/>
            <w:shd w:val="clear" w:color="auto" w:fill="auto"/>
            <w:vAlign w:val="center"/>
          </w:tcPr>
          <w:p w14:paraId="69D4F042" w14:textId="2782E697" w:rsidR="00275C5A" w:rsidRPr="000A03FD" w:rsidRDefault="00130C7E" w:rsidP="00BB00B3">
            <w:pPr>
              <w:pStyle w:val="TableText0"/>
            </w:pPr>
            <w:r w:rsidRPr="000A03FD">
              <w:t>Markov model incorporating a cohort expected value analysis</w:t>
            </w:r>
          </w:p>
        </w:tc>
      </w:tr>
      <w:tr w:rsidR="00133912" w:rsidRPr="000A03FD" w14:paraId="7F7ACECA" w14:textId="77777777" w:rsidTr="006B35E6">
        <w:tc>
          <w:tcPr>
            <w:tcW w:w="1396" w:type="pct"/>
            <w:shd w:val="clear" w:color="auto" w:fill="auto"/>
            <w:vAlign w:val="center"/>
          </w:tcPr>
          <w:p w14:paraId="344631D3" w14:textId="77777777" w:rsidR="00275C5A" w:rsidRPr="000A03FD" w:rsidRDefault="00275C5A" w:rsidP="00BB00B3">
            <w:pPr>
              <w:pStyle w:val="TableText0"/>
            </w:pPr>
            <w:r w:rsidRPr="000A03FD">
              <w:t>Health states</w:t>
            </w:r>
          </w:p>
        </w:tc>
        <w:tc>
          <w:tcPr>
            <w:tcW w:w="3604" w:type="pct"/>
            <w:shd w:val="clear" w:color="auto" w:fill="auto"/>
            <w:vAlign w:val="center"/>
          </w:tcPr>
          <w:p w14:paraId="628ADFE1" w14:textId="77777777" w:rsidR="001E065A" w:rsidRPr="000A03FD" w:rsidRDefault="001E065A" w:rsidP="001E065A">
            <w:pPr>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6 health states:</w:t>
            </w:r>
          </w:p>
          <w:p w14:paraId="04BBB540" w14:textId="77777777" w:rsidR="001E065A" w:rsidRPr="000A03FD" w:rsidRDefault="001E065A" w:rsidP="0046635A">
            <w:pPr>
              <w:pStyle w:val="ListParagraph"/>
              <w:numPr>
                <w:ilvl w:val="0"/>
                <w:numId w:val="11"/>
              </w:numPr>
              <w:spacing w:after="0"/>
              <w:contextualSpacing/>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In trial,</w:t>
            </w:r>
          </w:p>
          <w:p w14:paraId="30250B0D" w14:textId="77777777" w:rsidR="001E065A" w:rsidRPr="000A03FD" w:rsidRDefault="001E065A" w:rsidP="0046635A">
            <w:pPr>
              <w:pStyle w:val="ListParagraph"/>
              <w:numPr>
                <w:ilvl w:val="0"/>
                <w:numId w:val="11"/>
              </w:numPr>
              <w:spacing w:after="0"/>
              <w:contextualSpacing/>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Responder,</w:t>
            </w:r>
          </w:p>
          <w:p w14:paraId="1825D169" w14:textId="77777777" w:rsidR="001E065A" w:rsidRPr="000A03FD" w:rsidRDefault="001E065A" w:rsidP="0046635A">
            <w:pPr>
              <w:pStyle w:val="ListParagraph"/>
              <w:numPr>
                <w:ilvl w:val="0"/>
                <w:numId w:val="11"/>
              </w:numPr>
              <w:spacing w:after="0"/>
              <w:contextualSpacing/>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Non-responder (including waiting for surgery),</w:t>
            </w:r>
          </w:p>
          <w:p w14:paraId="7DDF5AE5" w14:textId="77777777" w:rsidR="001E065A" w:rsidRPr="000A03FD" w:rsidRDefault="001E065A" w:rsidP="0046635A">
            <w:pPr>
              <w:pStyle w:val="ListParagraph"/>
              <w:numPr>
                <w:ilvl w:val="0"/>
                <w:numId w:val="11"/>
              </w:numPr>
              <w:spacing w:after="0"/>
              <w:contextualSpacing/>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Effective surgery,</w:t>
            </w:r>
          </w:p>
          <w:p w14:paraId="0CE5CE20" w14:textId="77777777" w:rsidR="001E065A" w:rsidRPr="000A03FD" w:rsidRDefault="001E065A" w:rsidP="0046635A">
            <w:pPr>
              <w:pStyle w:val="ListParagraph"/>
              <w:numPr>
                <w:ilvl w:val="0"/>
                <w:numId w:val="11"/>
              </w:numPr>
              <w:spacing w:after="0"/>
              <w:contextualSpacing/>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Recurrence or failed surgery (including waiting for additional surgery), and</w:t>
            </w:r>
          </w:p>
          <w:p w14:paraId="03F23F80" w14:textId="531CA4A9" w:rsidR="00275C5A" w:rsidRPr="000A03FD" w:rsidRDefault="001E065A" w:rsidP="0046635A">
            <w:pPr>
              <w:pStyle w:val="ListParagraph"/>
              <w:numPr>
                <w:ilvl w:val="0"/>
                <w:numId w:val="11"/>
              </w:numPr>
              <w:spacing w:after="0"/>
              <w:contextualSpacing/>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Dead.</w:t>
            </w:r>
          </w:p>
        </w:tc>
      </w:tr>
      <w:tr w:rsidR="00133912" w:rsidRPr="000A03FD" w14:paraId="7F944EEA" w14:textId="77777777" w:rsidTr="006B35E6">
        <w:tc>
          <w:tcPr>
            <w:tcW w:w="1396" w:type="pct"/>
            <w:shd w:val="clear" w:color="auto" w:fill="auto"/>
            <w:vAlign w:val="center"/>
          </w:tcPr>
          <w:p w14:paraId="255C0B8D" w14:textId="77777777" w:rsidR="00275C5A" w:rsidRPr="000A03FD" w:rsidRDefault="00275C5A" w:rsidP="00BB00B3">
            <w:pPr>
              <w:pStyle w:val="TableText0"/>
            </w:pPr>
            <w:r w:rsidRPr="000A03FD">
              <w:t>Cycle length</w:t>
            </w:r>
          </w:p>
        </w:tc>
        <w:tc>
          <w:tcPr>
            <w:tcW w:w="3604" w:type="pct"/>
            <w:shd w:val="clear" w:color="auto" w:fill="auto"/>
            <w:vAlign w:val="center"/>
          </w:tcPr>
          <w:p w14:paraId="5733F6EA" w14:textId="1D38CD72" w:rsidR="00275C5A" w:rsidRPr="000A03FD" w:rsidRDefault="00225D1F" w:rsidP="00BB00B3">
            <w:pPr>
              <w:pStyle w:val="TableText0"/>
            </w:pPr>
            <w:r w:rsidRPr="000A03FD">
              <w:t>4 weeks</w:t>
            </w:r>
          </w:p>
        </w:tc>
      </w:tr>
      <w:tr w:rsidR="00133912" w:rsidRPr="000A03FD" w14:paraId="6EFF7035" w14:textId="77777777" w:rsidTr="006B35E6">
        <w:tc>
          <w:tcPr>
            <w:tcW w:w="1396" w:type="pct"/>
            <w:shd w:val="clear" w:color="auto" w:fill="auto"/>
            <w:vAlign w:val="center"/>
          </w:tcPr>
          <w:p w14:paraId="12B7AB48" w14:textId="03BCEBCB" w:rsidR="003D3C7B" w:rsidRPr="000A03FD" w:rsidRDefault="00275C5A" w:rsidP="003D3C7B">
            <w:pPr>
              <w:pStyle w:val="TableText0"/>
            </w:pPr>
            <w:r w:rsidRPr="000A03FD">
              <w:t>Transition probabilities</w:t>
            </w:r>
          </w:p>
          <w:p w14:paraId="77A45407" w14:textId="28C7AB16" w:rsidR="00081E63" w:rsidRPr="000A03FD" w:rsidRDefault="00081E63" w:rsidP="00BB00B3">
            <w:pPr>
              <w:pStyle w:val="TableText0"/>
            </w:pPr>
          </w:p>
        </w:tc>
        <w:tc>
          <w:tcPr>
            <w:tcW w:w="3604" w:type="pct"/>
            <w:shd w:val="clear" w:color="auto" w:fill="auto"/>
            <w:vAlign w:val="center"/>
          </w:tcPr>
          <w:p w14:paraId="1333E3FD" w14:textId="77777777" w:rsidR="003D3C7B" w:rsidRPr="000A03FD" w:rsidRDefault="003D3C7B" w:rsidP="003D3C7B">
            <w:pPr>
              <w:jc w:val="left"/>
              <w:rPr>
                <w:rFonts w:ascii="Arial Narrow" w:eastAsia="Yu Gothic Light" w:hAnsi="Arial Narrow" w:cs="Times New Roman"/>
                <w:sz w:val="20"/>
                <w:szCs w:val="20"/>
              </w:rPr>
            </w:pPr>
            <w:r w:rsidRPr="000A03FD">
              <w:rPr>
                <w:rFonts w:ascii="Arial Narrow" w:eastAsia="Yu Gothic Light" w:hAnsi="Arial Narrow" w:cs="Times New Roman"/>
                <w:sz w:val="20"/>
                <w:szCs w:val="20"/>
              </w:rPr>
              <w:t>0-52 weeks: SYNAPSE clinical trial, response measured at week 24 and week 52.</w:t>
            </w:r>
          </w:p>
          <w:p w14:paraId="48BE125D" w14:textId="77777777" w:rsidR="003D3C7B" w:rsidRPr="000A03FD" w:rsidRDefault="003D3C7B" w:rsidP="003D3C7B">
            <w:pPr>
              <w:pStyle w:val="TableText0"/>
              <w:rPr>
                <w:rFonts w:eastAsia="Yu Gothic Light" w:cs="Times New Roman"/>
                <w:szCs w:val="20"/>
              </w:rPr>
            </w:pPr>
          </w:p>
          <w:p w14:paraId="76387578" w14:textId="4B8D5A3C" w:rsidR="00275C5A" w:rsidRPr="000A03FD" w:rsidRDefault="003D3C7B" w:rsidP="003D3C7B">
            <w:pPr>
              <w:pStyle w:val="TableText0"/>
            </w:pPr>
            <w:r w:rsidRPr="000A03FD">
              <w:rPr>
                <w:rFonts w:eastAsia="Yu Gothic Light" w:cs="Times New Roman"/>
                <w:szCs w:val="20"/>
              </w:rPr>
              <w:t xml:space="preserve">After-52 weeks: </w:t>
            </w:r>
            <w:r w:rsidRPr="000A03FD">
              <w:rPr>
                <w:rFonts w:eastAsia="Yu Gothic Light" w:cs="Times New Roman"/>
                <w:szCs w:val="20"/>
                <w:u w:val="single"/>
              </w:rPr>
              <w:t>extrapolation of SYNAPSE trial data where maintenance of response was informed by the</w:t>
            </w:r>
            <w:r w:rsidR="00FD56AB" w:rsidRPr="000A03FD">
              <w:rPr>
                <w:rFonts w:eastAsia="Yu Gothic Light" w:cs="Times New Roman"/>
                <w:szCs w:val="20"/>
                <w:u w:val="single"/>
              </w:rPr>
              <w:t xml:space="preserve"> inverse of the</w:t>
            </w:r>
            <w:r w:rsidRPr="000A03FD">
              <w:rPr>
                <w:rFonts w:eastAsia="Yu Gothic Light" w:cs="Times New Roman"/>
                <w:szCs w:val="20"/>
                <w:u w:val="single"/>
              </w:rPr>
              <w:t xml:space="preserve"> loss of response between week 24 and week 52 in SYNAPSE independently for each treatment arm</w:t>
            </w:r>
            <w:r w:rsidRPr="000A03FD">
              <w:rPr>
                <w:rFonts w:eastAsia="Yu Gothic Light" w:cs="Times New Roman"/>
                <w:szCs w:val="20"/>
              </w:rPr>
              <w:t>.</w:t>
            </w:r>
          </w:p>
        </w:tc>
      </w:tr>
      <w:tr w:rsidR="00133912" w:rsidRPr="000A03FD" w14:paraId="0BC5FD61" w14:textId="77777777" w:rsidTr="006B35E6">
        <w:tc>
          <w:tcPr>
            <w:tcW w:w="1396" w:type="pct"/>
            <w:shd w:val="clear" w:color="auto" w:fill="auto"/>
            <w:vAlign w:val="center"/>
          </w:tcPr>
          <w:p w14:paraId="3EE19BE5" w14:textId="7EE5FF57" w:rsidR="00501854" w:rsidRPr="000A03FD" w:rsidRDefault="00501854" w:rsidP="00BB00B3">
            <w:pPr>
              <w:pStyle w:val="TableText0"/>
            </w:pPr>
            <w:r w:rsidRPr="000A03FD">
              <w:t>Extrapolation method</w:t>
            </w:r>
          </w:p>
        </w:tc>
        <w:tc>
          <w:tcPr>
            <w:tcW w:w="3604" w:type="pct"/>
            <w:shd w:val="clear" w:color="auto" w:fill="auto"/>
            <w:vAlign w:val="center"/>
          </w:tcPr>
          <w:p w14:paraId="7026638D" w14:textId="55B23A83" w:rsidR="00D533EC" w:rsidRPr="000A03FD" w:rsidRDefault="005C1172" w:rsidP="00BB00B3">
            <w:pPr>
              <w:pStyle w:val="TableText0"/>
            </w:pPr>
            <w:r w:rsidRPr="000A03FD">
              <w:rPr>
                <w:u w:val="single"/>
              </w:rPr>
              <w:t xml:space="preserve">Loss of response per-arm </w:t>
            </w:r>
            <w:r w:rsidR="000C3B2F" w:rsidRPr="000A03FD">
              <w:rPr>
                <w:u w:val="single"/>
              </w:rPr>
              <w:t>between week 24 and week 52 in SYNAPSE converted to annual loss of response rates and applied from week 52 onwards</w:t>
            </w:r>
            <w:r w:rsidR="000C3B2F" w:rsidRPr="000A03FD">
              <w:t xml:space="preserve">. </w:t>
            </w:r>
          </w:p>
        </w:tc>
      </w:tr>
      <w:tr w:rsidR="00133912" w:rsidRPr="000A03FD" w14:paraId="07C0A709" w14:textId="77777777" w:rsidTr="006B35E6">
        <w:tc>
          <w:tcPr>
            <w:tcW w:w="1396" w:type="pct"/>
            <w:shd w:val="clear" w:color="auto" w:fill="auto"/>
            <w:vAlign w:val="center"/>
          </w:tcPr>
          <w:p w14:paraId="33B632EB" w14:textId="4B6D1EE3" w:rsidR="00501854" w:rsidRPr="000A03FD" w:rsidRDefault="00DD0F78" w:rsidP="00BB00B3">
            <w:pPr>
              <w:pStyle w:val="TableText0"/>
            </w:pPr>
            <w:r w:rsidRPr="000A03FD">
              <w:t>Health related quality of life</w:t>
            </w:r>
          </w:p>
        </w:tc>
        <w:tc>
          <w:tcPr>
            <w:tcW w:w="3604" w:type="pct"/>
            <w:shd w:val="clear" w:color="auto" w:fill="auto"/>
            <w:vAlign w:val="center"/>
          </w:tcPr>
          <w:p w14:paraId="4BA77E6F" w14:textId="542D2703" w:rsidR="002F0C05" w:rsidRPr="000A03FD" w:rsidRDefault="00813719" w:rsidP="00BB00B3">
            <w:pPr>
              <w:pStyle w:val="TableText0"/>
              <w:rPr>
                <w:i/>
                <w:iCs/>
              </w:rPr>
            </w:pPr>
            <w:r w:rsidRPr="000A03FD">
              <w:rPr>
                <w:u w:val="single"/>
              </w:rPr>
              <w:t>SF-36 SYNAPSE data converted to SF-6D utility data using an Australian value set</w:t>
            </w:r>
            <w:r w:rsidRPr="000A03FD">
              <w:t xml:space="preserve">. </w:t>
            </w:r>
            <w:r w:rsidR="00E85FB6" w:rsidRPr="000A03FD">
              <w:t>Previous submission was based on SNOT-22 results.</w:t>
            </w:r>
          </w:p>
          <w:p w14:paraId="674E64B1" w14:textId="0763C9A5" w:rsidR="002F0C05" w:rsidRPr="000A03FD" w:rsidRDefault="002F0C05" w:rsidP="00BB00B3">
            <w:pPr>
              <w:pStyle w:val="TableText0"/>
            </w:pPr>
          </w:p>
          <w:p w14:paraId="343FC2AE" w14:textId="7A29675B" w:rsidR="00F3699F" w:rsidRPr="000A03FD" w:rsidRDefault="006F2856" w:rsidP="00F3699F">
            <w:pPr>
              <w:pStyle w:val="TableText0"/>
              <w:rPr>
                <w:u w:val="single"/>
              </w:rPr>
            </w:pPr>
            <w:r w:rsidRPr="000A03FD">
              <w:rPr>
                <w:u w:val="single"/>
              </w:rPr>
              <w:t xml:space="preserve">Baseline </w:t>
            </w:r>
            <w:r w:rsidR="00F3699F" w:rsidRPr="000A03FD">
              <w:rPr>
                <w:u w:val="single"/>
              </w:rPr>
              <w:t>–</w:t>
            </w:r>
            <w:r w:rsidRPr="000A03FD">
              <w:rPr>
                <w:u w:val="single"/>
              </w:rPr>
              <w:t xml:space="preserve"> </w:t>
            </w:r>
            <w:r w:rsidR="00F3699F" w:rsidRPr="000A03FD">
              <w:rPr>
                <w:u w:val="single"/>
              </w:rPr>
              <w:t>0.564</w:t>
            </w:r>
            <w:r w:rsidR="00E85FB6" w:rsidRPr="000A03FD">
              <w:rPr>
                <w:u w:val="single"/>
              </w:rPr>
              <w:t xml:space="preserve"> </w:t>
            </w:r>
            <w:r w:rsidR="003076B5" w:rsidRPr="000A03FD">
              <w:t>(previous submission: 0.534)</w:t>
            </w:r>
          </w:p>
          <w:p w14:paraId="4ADAE6D1" w14:textId="6A8DECD1" w:rsidR="006F2856" w:rsidRPr="000A03FD" w:rsidRDefault="00974FBE" w:rsidP="00F3699F">
            <w:pPr>
              <w:pStyle w:val="TableText0"/>
              <w:rPr>
                <w:u w:val="single"/>
              </w:rPr>
            </w:pPr>
            <w:r w:rsidRPr="000A03FD">
              <w:rPr>
                <w:u w:val="single"/>
              </w:rPr>
              <w:t>Responder (week 52+)</w:t>
            </w:r>
            <w:r w:rsidR="00F3699F" w:rsidRPr="000A03FD">
              <w:rPr>
                <w:u w:val="single"/>
              </w:rPr>
              <w:t xml:space="preserve"> / Effective Surgery</w:t>
            </w:r>
            <w:r w:rsidRPr="000A03FD">
              <w:rPr>
                <w:u w:val="single"/>
              </w:rPr>
              <w:t xml:space="preserve">: </w:t>
            </w:r>
            <w:r w:rsidR="006F2856" w:rsidRPr="000A03FD">
              <w:rPr>
                <w:u w:val="single"/>
              </w:rPr>
              <w:t>0.785</w:t>
            </w:r>
            <w:r w:rsidR="003076B5" w:rsidRPr="000A03FD">
              <w:rPr>
                <w:u w:val="single"/>
              </w:rPr>
              <w:t xml:space="preserve"> </w:t>
            </w:r>
            <w:r w:rsidR="003076B5" w:rsidRPr="000A03FD">
              <w:t xml:space="preserve">(previous submission: </w:t>
            </w:r>
            <w:r w:rsidR="00206396" w:rsidRPr="000A03FD">
              <w:t>SoC: 0.704, mepolizumab: 0.742)</w:t>
            </w:r>
          </w:p>
          <w:p w14:paraId="6FCC32AA" w14:textId="59C21CD3" w:rsidR="00F3699F" w:rsidRPr="000A03FD" w:rsidRDefault="00713F4C" w:rsidP="00F3699F">
            <w:pPr>
              <w:pStyle w:val="TableText0"/>
              <w:rPr>
                <w:u w:val="single"/>
              </w:rPr>
            </w:pPr>
            <w:r w:rsidRPr="000A03FD">
              <w:rPr>
                <w:u w:val="single"/>
              </w:rPr>
              <w:t>Non-responder (week 52+): 0.551</w:t>
            </w:r>
            <w:r w:rsidR="00206396" w:rsidRPr="000A03FD">
              <w:rPr>
                <w:u w:val="single"/>
              </w:rPr>
              <w:t xml:space="preserve"> (previous submission: 0.5</w:t>
            </w:r>
            <w:r w:rsidR="00590578" w:rsidRPr="000A03FD">
              <w:rPr>
                <w:u w:val="single"/>
              </w:rPr>
              <w:t>66)</w:t>
            </w:r>
          </w:p>
        </w:tc>
      </w:tr>
    </w:tbl>
    <w:p w14:paraId="213DED56" w14:textId="1BFC0E58" w:rsidR="003270E4" w:rsidRPr="000A03FD" w:rsidRDefault="003270E4" w:rsidP="00BB00B3">
      <w:pPr>
        <w:pStyle w:val="FooterTableFigure"/>
      </w:pPr>
      <w:r w:rsidRPr="000A03FD">
        <w:t xml:space="preserve">Source: </w:t>
      </w:r>
      <w:r w:rsidR="009971F5" w:rsidRPr="000A03FD">
        <w:t>Table 3-2 (p128) of the resubmission</w:t>
      </w:r>
    </w:p>
    <w:p w14:paraId="2FBEF3C0" w14:textId="76EDD25C" w:rsidR="00706EFC" w:rsidRPr="000A03FD" w:rsidRDefault="00706EFC" w:rsidP="00BB00B3">
      <w:pPr>
        <w:pStyle w:val="FooterTableFigure"/>
        <w:rPr>
          <w:u w:val="single"/>
        </w:rPr>
      </w:pPr>
      <w:r w:rsidRPr="000A03FD">
        <w:t xml:space="preserve">Note - </w:t>
      </w:r>
      <w:r w:rsidRPr="000A03FD">
        <w:rPr>
          <w:u w:val="single"/>
        </w:rPr>
        <w:t>underlined text refers to differences from the previous submission</w:t>
      </w:r>
    </w:p>
    <w:p w14:paraId="1CAC1221" w14:textId="54D45888" w:rsidR="00BA3EDC" w:rsidRPr="000A03FD" w:rsidRDefault="00BA3EDC" w:rsidP="00BB00B3">
      <w:pPr>
        <w:pStyle w:val="FooterTableFigure"/>
      </w:pPr>
      <w:r w:rsidRPr="000A03FD">
        <w:t>LY = life years; QALYs = quality-adjusted life years</w:t>
      </w:r>
    </w:p>
    <w:p w14:paraId="5691BF75" w14:textId="301AD45E" w:rsidR="00704326" w:rsidRPr="000A03FD" w:rsidRDefault="004E388F" w:rsidP="002E1071">
      <w:pPr>
        <w:pStyle w:val="3-BodyText"/>
      </w:pPr>
      <w:bookmarkStart w:id="65" w:name="_Ref111522906"/>
      <w:r w:rsidRPr="000A03FD">
        <w:t xml:space="preserve">Different to the previous submission, at week 52 in the resubmission’s economic model, a proportion of patients who were responders were assumed to experience a loss of response based on the rate at which responders became non-responders between week 24 to week 52 in SYNAPSE. In the previous submission, no loss of response was assumed after week 52. </w:t>
      </w:r>
      <w:r w:rsidR="00FB6E04" w:rsidRPr="000A03FD">
        <w:t xml:space="preserve">The PBAC </w:t>
      </w:r>
      <w:r w:rsidR="00A70A5E" w:rsidRPr="000A03FD">
        <w:t xml:space="preserve">previously </w:t>
      </w:r>
      <w:r w:rsidR="00FB6E04" w:rsidRPr="000A03FD">
        <w:t xml:space="preserve">considered </w:t>
      </w:r>
      <w:r w:rsidR="00A70A5E" w:rsidRPr="000A03FD">
        <w:t>that an assumption of no loss of response was inappropriate given the reduction observed in SYNAPSE (paragraph 7.7, mepolizumab</w:t>
      </w:r>
      <w:r w:rsidR="00571B0C" w:rsidRPr="000A03FD">
        <w:t xml:space="preserve"> </w:t>
      </w:r>
      <w:r w:rsidR="006A1B32">
        <w:t>PSD</w:t>
      </w:r>
      <w:r w:rsidR="00571B0C" w:rsidRPr="000A03FD">
        <w:t>,</w:t>
      </w:r>
      <w:r w:rsidR="00A70A5E" w:rsidRPr="000A03FD">
        <w:t xml:space="preserve"> November 2021</w:t>
      </w:r>
      <w:r w:rsidR="006E65D0" w:rsidRPr="000A03FD">
        <w:t xml:space="preserve"> PBAC meeting</w:t>
      </w:r>
      <w:r w:rsidR="00A70A5E" w:rsidRPr="000A03FD">
        <w:t>)</w:t>
      </w:r>
      <w:r w:rsidR="003848C4" w:rsidRPr="000A03FD">
        <w:t xml:space="preserve">. </w:t>
      </w:r>
      <w:r w:rsidR="00233C04" w:rsidRPr="000A03FD">
        <w:t xml:space="preserve">ESC considered a </w:t>
      </w:r>
      <w:r w:rsidR="003848C4" w:rsidRPr="000A03FD">
        <w:t>24.6% loss of response should be applied to both arms</w:t>
      </w:r>
      <w:r w:rsidR="00445AE3" w:rsidRPr="000A03FD">
        <w:t xml:space="preserve">, whereby 24.6% was derived from the proportion of mepolizumab </w:t>
      </w:r>
      <w:r w:rsidR="00BB1F35" w:rsidRPr="000A03FD">
        <w:t xml:space="preserve">BEC </w:t>
      </w:r>
      <w:r w:rsidR="00445AE3" w:rsidRPr="000A03FD">
        <w:rPr>
          <w:rFonts w:cstheme="minorHAnsi"/>
        </w:rPr>
        <w:t>≥</w:t>
      </w:r>
      <w:r w:rsidR="00445AE3" w:rsidRPr="000A03FD">
        <w:t>150</w:t>
      </w:r>
      <w:r w:rsidR="00F128E1">
        <w:t> </w:t>
      </w:r>
      <w:r w:rsidR="00445AE3" w:rsidRPr="000A03FD">
        <w:t>cells/</w:t>
      </w:r>
      <w:r w:rsidR="00445AE3" w:rsidRPr="000A03FD">
        <w:rPr>
          <w:rFonts w:cstheme="minorHAnsi"/>
        </w:rPr>
        <w:t>µ</w:t>
      </w:r>
      <w:r w:rsidR="00445AE3" w:rsidRPr="000A03FD">
        <w:t xml:space="preserve">L </w:t>
      </w:r>
      <w:r w:rsidR="00BD4D2C" w:rsidRPr="000A03FD">
        <w:t xml:space="preserve">responders at Week 24 who </w:t>
      </w:r>
      <w:r w:rsidR="00E27402" w:rsidRPr="000A03FD">
        <w:t>maintained</w:t>
      </w:r>
      <w:r w:rsidR="00BD4D2C" w:rsidRPr="000A03FD">
        <w:t xml:space="preserve"> their response at Week 52 (paragraph 6.54, m</w:t>
      </w:r>
      <w:r w:rsidR="00E27402" w:rsidRPr="000A03FD">
        <w:t>epolizumab</w:t>
      </w:r>
      <w:r w:rsidR="00571B0C" w:rsidRPr="000A03FD">
        <w:t xml:space="preserve"> </w:t>
      </w:r>
      <w:r w:rsidR="006A1B32">
        <w:t>PSD</w:t>
      </w:r>
      <w:r w:rsidR="00571B0C" w:rsidRPr="000A03FD">
        <w:t>,</w:t>
      </w:r>
      <w:r w:rsidR="00E27402" w:rsidRPr="000A03FD">
        <w:t xml:space="preserve"> November 2021 PBAC meeting)</w:t>
      </w:r>
      <w:r w:rsidR="00A70A5E" w:rsidRPr="000A03FD">
        <w:t>.</w:t>
      </w:r>
      <w:r w:rsidR="00855221" w:rsidRPr="000A03FD">
        <w:t xml:space="preserve"> </w:t>
      </w:r>
      <w:bookmarkStart w:id="66" w:name="_Ref119494110"/>
    </w:p>
    <w:bookmarkEnd w:id="66"/>
    <w:p w14:paraId="59CD19F4" w14:textId="72E6D434" w:rsidR="00505A30" w:rsidRPr="000A03FD" w:rsidRDefault="00855221" w:rsidP="00704326">
      <w:pPr>
        <w:pStyle w:val="3-BodyText"/>
      </w:pPr>
      <w:r w:rsidRPr="000A03FD">
        <w:t xml:space="preserve">The resultant </w:t>
      </w:r>
      <w:r w:rsidR="009D10C8" w:rsidRPr="000A03FD">
        <w:t>annual loss of response rates applied</w:t>
      </w:r>
      <w:r w:rsidR="00E27402" w:rsidRPr="000A03FD">
        <w:t xml:space="preserve"> in the resubmission</w:t>
      </w:r>
      <w:r w:rsidR="009D10C8" w:rsidRPr="000A03FD">
        <w:t xml:space="preserve"> were </w:t>
      </w:r>
      <w:r w:rsidR="0083281E" w:rsidRPr="000A03FD">
        <w:t>27.6% to mepolizumab patients and 61.9% to SoC patients.</w:t>
      </w:r>
      <w:r w:rsidR="00BB1F35" w:rsidRPr="000A03FD">
        <w:t xml:space="preserve"> </w:t>
      </w:r>
      <w:r w:rsidR="00307853" w:rsidRPr="000A03FD">
        <w:t xml:space="preserve">The mepolizumab arm value of 27.6% differed from the 24.6% value </w:t>
      </w:r>
      <w:r w:rsidR="008B0F39" w:rsidRPr="000A03FD">
        <w:t>noted as being appropriate by ESC in the previous submission due to a change in requested population to patients with BEC ≥</w:t>
      </w:r>
      <w:r w:rsidR="00F128E1" w:rsidRPr="000A03FD">
        <w:t>300</w:t>
      </w:r>
      <w:r w:rsidR="00F128E1">
        <w:t> </w:t>
      </w:r>
      <w:r w:rsidR="008B0F39" w:rsidRPr="000A03FD">
        <w:t xml:space="preserve">cells/µL. </w:t>
      </w:r>
      <w:r w:rsidR="00EA117A" w:rsidRPr="000A03FD">
        <w:t xml:space="preserve">It may have been inappropriate to have assumed these transitions were different between treatment arms. The resubmission’s approach favoured mepolizumab as </w:t>
      </w:r>
      <w:r w:rsidR="00862E8F" w:rsidRPr="000A03FD">
        <w:t>an analysis that</w:t>
      </w:r>
      <w:r w:rsidR="00EA117A" w:rsidRPr="000A03FD">
        <w:t xml:space="preserve"> assumes no loss of response led to an increase of </w:t>
      </w:r>
      <w:r w:rsidR="00EA117A" w:rsidRPr="000A03FD">
        <w:lastRenderedPageBreak/>
        <w:t>ICER by 30%</w:t>
      </w:r>
      <w:r w:rsidR="00862E8F" w:rsidRPr="000A03FD">
        <w:t>.</w:t>
      </w:r>
      <w:r w:rsidR="00B5609F" w:rsidRPr="000A03FD">
        <w:t xml:space="preserve"> One-way sensitivity analyses applying the mepolizumab annual loss of response (27.6%) and the SoC loss of response (61.9%) to both arms increased the ICER by 71% and 222% respectively. These variables, and the differential between maintenance of response rates between arms, are key model drivers.</w:t>
      </w:r>
      <w:bookmarkEnd w:id="65"/>
      <w:r w:rsidR="008B5213" w:rsidRPr="000A03FD">
        <w:t xml:space="preserve"> </w:t>
      </w:r>
      <w:r w:rsidR="0041501F" w:rsidRPr="000A03FD">
        <w:t>The PSCR stated the observation of differential loss of response seen in SYNAPSE was plausible as one treatment arm had an active treatment</w:t>
      </w:r>
      <w:r w:rsidR="00FD49B2" w:rsidRPr="000A03FD">
        <w:t xml:space="preserve"> and argued that </w:t>
      </w:r>
      <w:r w:rsidR="00EF7E5D" w:rsidRPr="000A03FD">
        <w:t>its application in the base</w:t>
      </w:r>
      <w:r w:rsidR="001B3701" w:rsidRPr="000A03FD">
        <w:t>-</w:t>
      </w:r>
      <w:r w:rsidR="00EF7E5D" w:rsidRPr="000A03FD">
        <w:t xml:space="preserve">case </w:t>
      </w:r>
      <w:r w:rsidR="00FD49B2" w:rsidRPr="000A03FD">
        <w:t xml:space="preserve">resulted in similar loss of response gradients (see </w:t>
      </w:r>
      <w:r w:rsidR="00FD49B2" w:rsidRPr="000A03FD">
        <w:fldChar w:fldCharType="begin" w:fldLock="1"/>
      </w:r>
      <w:r w:rsidR="00FD49B2" w:rsidRPr="000A03FD">
        <w:instrText xml:space="preserve"> REF _Ref116235387 \h  \* MERGEFORMAT </w:instrText>
      </w:r>
      <w:r w:rsidR="00FD49B2" w:rsidRPr="000A03FD">
        <w:fldChar w:fldCharType="separate"/>
      </w:r>
      <w:r w:rsidR="00625A18" w:rsidRPr="000A03FD">
        <w:t>Figure 1</w:t>
      </w:r>
      <w:r w:rsidR="00FD49B2" w:rsidRPr="000A03FD">
        <w:fldChar w:fldCharType="end"/>
      </w:r>
      <w:r w:rsidR="00FD49B2" w:rsidRPr="000A03FD">
        <w:t xml:space="preserve">). </w:t>
      </w:r>
      <w:r w:rsidR="0041501F" w:rsidRPr="000A03FD">
        <w:t>The PSCR considered that the additional analysis conducted during the evaluation whereby loss of response rate for SoC were applied to mepolizumab patients resulted in an implausib</w:t>
      </w:r>
      <w:r w:rsidR="0051372A" w:rsidRPr="000A03FD">
        <w:t>le</w:t>
      </w:r>
      <w:r w:rsidR="0041501F" w:rsidRPr="000A03FD">
        <w:t xml:space="preserve"> proportion of responders at the end of </w:t>
      </w:r>
      <w:r w:rsidR="00EF7E5D" w:rsidRPr="000A03FD">
        <w:t>Y</w:t>
      </w:r>
      <w:r w:rsidR="0041501F" w:rsidRPr="000A03FD">
        <w:t>ear 2 (approximately 25%)</w:t>
      </w:r>
      <w:r w:rsidR="00EB5B84" w:rsidRPr="000A03FD">
        <w:t xml:space="preserve"> </w:t>
      </w:r>
      <w:r w:rsidR="00FD49B2" w:rsidRPr="000A03FD">
        <w:t xml:space="preserve">(see </w:t>
      </w:r>
      <w:r w:rsidR="00FD49B2" w:rsidRPr="000A03FD">
        <w:fldChar w:fldCharType="begin" w:fldLock="1"/>
      </w:r>
      <w:r w:rsidR="00FD49B2" w:rsidRPr="000A03FD">
        <w:instrText xml:space="preserve"> REF _Ref116235387 \h  \* MERGEFORMAT </w:instrText>
      </w:r>
      <w:r w:rsidR="00FD49B2" w:rsidRPr="000A03FD">
        <w:fldChar w:fldCharType="separate"/>
      </w:r>
      <w:r w:rsidR="00625A18" w:rsidRPr="000A03FD">
        <w:t>Figure 1</w:t>
      </w:r>
      <w:r w:rsidR="00FD49B2" w:rsidRPr="000A03FD">
        <w:fldChar w:fldCharType="end"/>
      </w:r>
      <w:r w:rsidR="00FD49B2" w:rsidRPr="000A03FD">
        <w:t>)</w:t>
      </w:r>
      <w:r w:rsidR="0041501F" w:rsidRPr="000A03FD">
        <w:t>. The PSCR</w:t>
      </w:r>
      <w:r w:rsidR="00FD49B2" w:rsidRPr="000A03FD">
        <w:t xml:space="preserve"> </w:t>
      </w:r>
      <w:r w:rsidR="0041501F" w:rsidRPr="000A03FD">
        <w:t>further considered that applying the same loss of response rates in each arm result</w:t>
      </w:r>
      <w:r w:rsidR="0051372A" w:rsidRPr="000A03FD">
        <w:t>ed</w:t>
      </w:r>
      <w:r w:rsidR="0041501F" w:rsidRPr="000A03FD">
        <w:t xml:space="preserve"> in an accelerated loss of response in the mepolizumab treated patients compared to SoC as it has an exponential impact on response rates. </w:t>
      </w:r>
      <w:r w:rsidR="00EF7E5D" w:rsidRPr="000A03FD">
        <w:t xml:space="preserve">The ESC questioned whether the almost 100% loss of response by Year 4 in the SOC arm </w:t>
      </w:r>
      <w:r w:rsidR="0051372A" w:rsidRPr="000A03FD">
        <w:t>of the base</w:t>
      </w:r>
      <w:r w:rsidR="001B3701" w:rsidRPr="000A03FD">
        <w:t>-</w:t>
      </w:r>
      <w:r w:rsidR="0051372A" w:rsidRPr="000A03FD">
        <w:t>case was</w:t>
      </w:r>
      <w:r w:rsidR="00040117" w:rsidRPr="000A03FD">
        <w:t xml:space="preserve"> clinically</w:t>
      </w:r>
      <w:r w:rsidR="0051372A" w:rsidRPr="000A03FD">
        <w:t xml:space="preserve"> appropriate. </w:t>
      </w:r>
      <w:r w:rsidR="00DD0341" w:rsidRPr="000A03FD">
        <w:t xml:space="preserve">The ESC recalled that in November 2021 the PBAC considered the application of a 24.6% loss of response </w:t>
      </w:r>
      <w:r w:rsidR="00AE6093" w:rsidRPr="000A03FD">
        <w:t>applied to both arms was appropriate as part of a re</w:t>
      </w:r>
      <w:r w:rsidR="001B3701" w:rsidRPr="000A03FD">
        <w:t>-</w:t>
      </w:r>
      <w:r w:rsidR="00AE6093" w:rsidRPr="000A03FD">
        <w:t>specified base</w:t>
      </w:r>
      <w:r w:rsidR="001B3701" w:rsidRPr="000A03FD">
        <w:t>-</w:t>
      </w:r>
      <w:r w:rsidR="00AE6093" w:rsidRPr="000A03FD">
        <w:t>case to address the concerns identified with the economic model</w:t>
      </w:r>
      <w:r w:rsidR="006D5C6D" w:rsidRPr="000A03FD">
        <w:t xml:space="preserve"> (paragraph 7.7, mepolizumab </w:t>
      </w:r>
      <w:r w:rsidR="006A1B32">
        <w:t>PSD</w:t>
      </w:r>
      <w:r w:rsidR="006D5C6D" w:rsidRPr="000A03FD">
        <w:t>, November 2021 PBAC meeting).</w:t>
      </w:r>
      <w:r w:rsidR="00AE6093" w:rsidRPr="000A03FD">
        <w:t xml:space="preserve"> </w:t>
      </w:r>
      <w:r w:rsidR="006D5C6D" w:rsidRPr="000A03FD">
        <w:t>The ESC considered that the application of a 27.6% loss of response rate applied to both arms was consistent with the November 2021 PBAC recommendations in the revised BEC ≥300</w:t>
      </w:r>
      <w:r w:rsidR="00F128E1">
        <w:t> </w:t>
      </w:r>
      <w:r w:rsidR="006D5C6D" w:rsidRPr="000A03FD">
        <w:t xml:space="preserve">cells/µL population. </w:t>
      </w:r>
      <w:r w:rsidR="004632C3" w:rsidRPr="000A03FD">
        <w:t xml:space="preserve">The pre-PBAC response stated that as part of the SYNAPSE trial follow-on, 134 patients receiving either mepolizumab or SoC were followed between week 52 and 76, while off treatment. </w:t>
      </w:r>
      <w:r w:rsidR="00950A14" w:rsidRPr="000A03FD">
        <w:t xml:space="preserve">At week 76, a loss of response was seen in 5 of 23 </w:t>
      </w:r>
      <w:r w:rsidR="004632C3" w:rsidRPr="000A03FD">
        <w:t xml:space="preserve">SoC patients </w:t>
      </w:r>
      <w:r w:rsidR="00950A14" w:rsidRPr="000A03FD">
        <w:t>(</w:t>
      </w:r>
      <w:r w:rsidR="004632C3" w:rsidRPr="000A03FD">
        <w:t>with a BEC ≥300</w:t>
      </w:r>
      <w:r w:rsidR="00F128E1">
        <w:t> </w:t>
      </w:r>
      <w:r w:rsidR="004632C3" w:rsidRPr="000A03FD">
        <w:t>cells/µL at baseline</w:t>
      </w:r>
      <w:r w:rsidR="00950A14" w:rsidRPr="000A03FD">
        <w:t xml:space="preserve">) </w:t>
      </w:r>
      <w:r w:rsidR="004632C3" w:rsidRPr="000A03FD">
        <w:t xml:space="preserve">who were responders at week 52. This is a loss of response of 21.7% over 24 weeks or 47.1% annually. </w:t>
      </w:r>
      <w:r w:rsidR="00DE7A72" w:rsidRPr="000A03FD">
        <w:t xml:space="preserve">The pre-PBAC response proposed a 47.1% annual loss of response </w:t>
      </w:r>
      <w:r w:rsidR="00950A14" w:rsidRPr="000A03FD">
        <w:t xml:space="preserve">for the SoC arm </w:t>
      </w:r>
      <w:r w:rsidR="00DE7A72" w:rsidRPr="000A03FD">
        <w:t xml:space="preserve">claiming it was supported by the analysis of response post week 52 </w:t>
      </w:r>
      <w:r w:rsidR="00950A14" w:rsidRPr="000A03FD">
        <w:t>and has greater plausibility than using the same loss as response as mepolizumab (</w:t>
      </w:r>
      <w:r w:rsidR="00950A14" w:rsidRPr="000A03FD">
        <w:fldChar w:fldCharType="begin" w:fldLock="1"/>
      </w:r>
      <w:r w:rsidR="00950A14" w:rsidRPr="000A03FD">
        <w:instrText xml:space="preserve"> REF _Ref119332351 \h </w:instrText>
      </w:r>
      <w:r w:rsidR="00704326" w:rsidRPr="000A03FD">
        <w:instrText xml:space="preserve"> \* MERGEFORMAT </w:instrText>
      </w:r>
      <w:r w:rsidR="00950A14" w:rsidRPr="000A03FD">
        <w:fldChar w:fldCharType="separate"/>
      </w:r>
      <w:r w:rsidR="00950A14" w:rsidRPr="000A03FD">
        <w:t>Figure 2</w:t>
      </w:r>
      <w:r w:rsidR="00950A14" w:rsidRPr="000A03FD">
        <w:fldChar w:fldCharType="end"/>
      </w:r>
      <w:r w:rsidR="00950A14" w:rsidRPr="000A03FD">
        <w:t>)</w:t>
      </w:r>
      <w:bookmarkStart w:id="67" w:name="_Ref119494150"/>
      <w:r w:rsidR="00F128E1">
        <w:rPr>
          <w:rStyle w:val="FootnoteReference"/>
        </w:rPr>
        <w:footnoteReference w:id="4"/>
      </w:r>
      <w:r w:rsidR="000A03FD">
        <w:t xml:space="preserve">. </w:t>
      </w:r>
    </w:p>
    <w:p w14:paraId="05475C3C" w14:textId="3BE627D2" w:rsidR="00FD49B2" w:rsidRPr="000A03FD" w:rsidRDefault="00FD49B2" w:rsidP="00F128E1">
      <w:pPr>
        <w:pStyle w:val="Caption"/>
        <w:spacing w:before="120"/>
      </w:pPr>
      <w:bookmarkStart w:id="68" w:name="_Ref116235387"/>
      <w:bookmarkEnd w:id="67"/>
      <w:r w:rsidRPr="000A03FD">
        <w:lastRenderedPageBreak/>
        <w:t xml:space="preserve">Figure </w:t>
      </w:r>
      <w:fldSimple w:instr=" SEQ Figure \* ARABIC " w:fldLock="1">
        <w:r w:rsidR="00950A14" w:rsidRPr="000A03FD">
          <w:t>1</w:t>
        </w:r>
      </w:fldSimple>
      <w:bookmarkEnd w:id="68"/>
      <w:r w:rsidRPr="000A03FD">
        <w:t xml:space="preserve"> Proportion of patients that are responders by treatment (loss of response rate)</w:t>
      </w:r>
    </w:p>
    <w:p w14:paraId="44A95FF1" w14:textId="11CFB347" w:rsidR="00FD49B2" w:rsidRPr="000A03FD" w:rsidRDefault="00FD49B2" w:rsidP="00FD49B2">
      <w:pPr>
        <w:rPr>
          <w:rFonts w:eastAsia="Yu Gothic Light"/>
        </w:rPr>
      </w:pPr>
      <w:r w:rsidRPr="000A03FD">
        <w:rPr>
          <w:rFonts w:eastAsia="Yu Gothic Light"/>
          <w:noProof/>
        </w:rPr>
        <w:drawing>
          <wp:inline distT="0" distB="0" distL="0" distR="0" wp14:anchorId="383AE83A" wp14:editId="68AA3204">
            <wp:extent cx="5631804" cy="2497894"/>
            <wp:effectExtent l="0" t="0" r="7620" b="0"/>
            <wp:docPr id="1" name="Picture 1" descr="Figure 1 Proportion of patients that are responders by treatment (loss of response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roportion of patients that are responders by treatment (loss of response r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352" cy="2527410"/>
                    </a:xfrm>
                    <a:prstGeom prst="rect">
                      <a:avLst/>
                    </a:prstGeom>
                    <a:noFill/>
                  </pic:spPr>
                </pic:pic>
              </a:graphicData>
            </a:graphic>
          </wp:inline>
        </w:drawing>
      </w:r>
    </w:p>
    <w:p w14:paraId="55564210" w14:textId="25412CAA" w:rsidR="0041501F" w:rsidRDefault="00FD49B2" w:rsidP="00FD49B2">
      <w:pPr>
        <w:pStyle w:val="FooterTableFigure"/>
      </w:pPr>
      <w:r w:rsidRPr="000A03FD">
        <w:t>Source: Figure 1, p3, of the PSCR</w:t>
      </w:r>
    </w:p>
    <w:p w14:paraId="505B3CF0" w14:textId="1D155ECE" w:rsidR="00F128E1" w:rsidRPr="00F128E1" w:rsidRDefault="00F128E1" w:rsidP="00FD49B2">
      <w:pPr>
        <w:pStyle w:val="FooterTableFigure"/>
        <w:rPr>
          <w:i/>
          <w:iCs/>
        </w:rPr>
      </w:pPr>
      <w:r w:rsidRPr="00F128E1">
        <w:rPr>
          <w:i/>
          <w:iCs/>
        </w:rPr>
        <w:t>Note that the plots depicted in Figure 1 are presented specifically for the purposes of informing the PBAC consideration. Their interpretation and application should therefore be limited to seeking to understand the basis for the PBAC outcome and should not be used for any other purpose.</w:t>
      </w:r>
    </w:p>
    <w:p w14:paraId="07A13C90" w14:textId="47FD1B5D" w:rsidR="00950A14" w:rsidRPr="000A03FD" w:rsidRDefault="00950A14" w:rsidP="00950A14">
      <w:pPr>
        <w:pStyle w:val="Caption"/>
      </w:pPr>
      <w:bookmarkStart w:id="69" w:name="_Ref119332351"/>
      <w:r w:rsidRPr="000A03FD">
        <w:t xml:space="preserve">Figure </w:t>
      </w:r>
      <w:fldSimple w:instr=" SEQ Figure \* ARABIC " w:fldLock="1">
        <w:r w:rsidRPr="000A03FD">
          <w:t>2</w:t>
        </w:r>
      </w:fldSimple>
      <w:bookmarkEnd w:id="69"/>
      <w:r w:rsidRPr="000A03FD">
        <w:t xml:space="preserve"> Proportion of patients that are responders by treatment (loss of response rate)</w:t>
      </w:r>
    </w:p>
    <w:p w14:paraId="540F8B70" w14:textId="1CD537DD" w:rsidR="00950A14" w:rsidRPr="000A03FD" w:rsidRDefault="00950A14" w:rsidP="00950A14">
      <w:r w:rsidRPr="000A03FD">
        <w:rPr>
          <w:noProof/>
        </w:rPr>
        <w:drawing>
          <wp:inline distT="0" distB="0" distL="0" distR="0" wp14:anchorId="717839F5" wp14:editId="0E5B3D34">
            <wp:extent cx="5721350" cy="2469935"/>
            <wp:effectExtent l="0" t="0" r="0" b="6985"/>
            <wp:docPr id="2" name="Picture 2" descr="Figure 2 Proportion of patients that are responders by treatment (loss of response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roportion of patients that are responders by treatment (loss of response r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6381" cy="2480741"/>
                    </a:xfrm>
                    <a:prstGeom prst="rect">
                      <a:avLst/>
                    </a:prstGeom>
                    <a:noFill/>
                  </pic:spPr>
                </pic:pic>
              </a:graphicData>
            </a:graphic>
          </wp:inline>
        </w:drawing>
      </w:r>
    </w:p>
    <w:p w14:paraId="2FEEF7AC" w14:textId="741279A8" w:rsidR="00950A14" w:rsidRDefault="00950A14" w:rsidP="00950A14">
      <w:pPr>
        <w:pStyle w:val="FooterTableFigure"/>
        <w:spacing w:after="200"/>
      </w:pPr>
      <w:r w:rsidRPr="000A03FD">
        <w:t>Source: Figure 1, p2, of the pre-PBAC response</w:t>
      </w:r>
    </w:p>
    <w:p w14:paraId="03D22A68" w14:textId="63FB7377" w:rsidR="00F128E1" w:rsidRPr="00F128E1" w:rsidRDefault="00F128E1" w:rsidP="00950A14">
      <w:pPr>
        <w:pStyle w:val="FooterTableFigure"/>
        <w:spacing w:after="200"/>
        <w:rPr>
          <w:i/>
          <w:iCs/>
        </w:rPr>
      </w:pPr>
      <w:r w:rsidRPr="00F128E1">
        <w:rPr>
          <w:i/>
          <w:iCs/>
        </w:rPr>
        <w:t>Note that the plots depicted in Figure 2 are presented specifically for the purposes of informing the PBAC consideration. Their interpretation and application should therefore be limited to seeking to understand the basis for the PBAC outcome and should not be used for any other purpose.</w:t>
      </w:r>
    </w:p>
    <w:p w14:paraId="0B30FC7D" w14:textId="7F3491CF" w:rsidR="00710414" w:rsidRPr="000A03FD" w:rsidRDefault="00710414" w:rsidP="00710414">
      <w:pPr>
        <w:pStyle w:val="3-BodyText"/>
      </w:pPr>
      <w:r w:rsidRPr="000A03FD">
        <w:rPr>
          <w:iCs/>
        </w:rPr>
        <w:t xml:space="preserve">After week 52 in the model, a proportion of responders (in both treatment arms) transitioned to non-responders at the end of every four-week cycle, with mepolizumab non-responders in the model assumed to discontinue treatment immediately, accruing no costs of treatment. However, </w:t>
      </w:r>
      <w:r w:rsidR="007952B9" w:rsidRPr="000A03FD">
        <w:rPr>
          <w:iCs/>
        </w:rPr>
        <w:t xml:space="preserve">the ESC agreed with the evaluation that </w:t>
      </w:r>
      <w:r w:rsidRPr="000A03FD">
        <w:rPr>
          <w:iCs/>
        </w:rPr>
        <w:t xml:space="preserve">in practice, patients who experience loss of response in between assessments (which was expected to occur every 24 weeks based on the number of requested repeats in the proposed elements), would likely continue treatment until their next assessment and as such, usage of mepolizumab in patients in the </w:t>
      </w:r>
      <w:r w:rsidRPr="000A03FD">
        <w:rPr>
          <w:iCs/>
        </w:rPr>
        <w:lastRenderedPageBreak/>
        <w:t>mepolizumab arm of the model who transition from responder to non-responder may be underestimated. An evaluator-conducted scenario analysis that assumed mepolizumab responder patients who transitioned to an off-treatment (but alive) health state after week 52 would receive an additional 12 weeks of treatment (i.e., half of the 24 weeks of total treatment per prescription, for an additional $</w:t>
      </w:r>
      <w:r w:rsidR="0020233B" w:rsidRPr="00685AB3">
        <w:rPr>
          <w:iCs/>
          <w:color w:val="000000"/>
          <w:w w:val="15"/>
          <w:shd w:val="solid" w:color="000000" w:fill="000000"/>
          <w:fitText w:val="-20" w:id="-1303140601"/>
          <w14:textFill>
            <w14:solidFill>
              <w14:srgbClr w14:val="000000">
                <w14:alpha w14:val="100000"/>
              </w14:srgbClr>
            </w14:solidFill>
          </w14:textFill>
        </w:rPr>
        <w:t xml:space="preserve">|  </w:t>
      </w:r>
      <w:r w:rsidR="0020233B" w:rsidRPr="00685AB3">
        <w:rPr>
          <w:iCs/>
          <w:color w:val="000000"/>
          <w:spacing w:val="-69"/>
          <w:w w:val="15"/>
          <w:shd w:val="solid" w:color="000000" w:fill="000000"/>
          <w:fitText w:val="-20" w:id="-1303140601"/>
          <w14:textFill>
            <w14:solidFill>
              <w14:srgbClr w14:val="000000">
                <w14:alpha w14:val="100000"/>
              </w14:srgbClr>
            </w14:solidFill>
          </w14:textFill>
        </w:rPr>
        <w:t>|</w:t>
      </w:r>
      <w:r w:rsidRPr="000A03FD">
        <w:rPr>
          <w:iCs/>
        </w:rPr>
        <w:t>) instead of discontinuing immediately increased the ICER by 5.9%.</w:t>
      </w:r>
      <w:r w:rsidR="005574C6" w:rsidRPr="000A03FD">
        <w:rPr>
          <w:iCs/>
        </w:rPr>
        <w:t xml:space="preserve"> The pre-PBAC response </w:t>
      </w:r>
      <w:r w:rsidR="00DB772C" w:rsidRPr="000A03FD">
        <w:rPr>
          <w:iCs/>
        </w:rPr>
        <w:t xml:space="preserve">considered that </w:t>
      </w:r>
      <w:r w:rsidR="005574C6" w:rsidRPr="000A03FD">
        <w:rPr>
          <w:iCs/>
        </w:rPr>
        <w:t xml:space="preserve">this change to the model was appropriate. </w:t>
      </w:r>
    </w:p>
    <w:p w14:paraId="018D578B" w14:textId="7EC0CCF6" w:rsidR="0089477D" w:rsidRPr="000A03FD" w:rsidRDefault="008717EE" w:rsidP="002E1071">
      <w:pPr>
        <w:pStyle w:val="3-BodyText"/>
      </w:pPr>
      <w:r w:rsidRPr="000A03FD">
        <w:t>Within each treatment arm, d</w:t>
      </w:r>
      <w:r w:rsidR="005A7BCD" w:rsidRPr="000A03FD">
        <w:t>ifferent utility values were applied at different time points in the first 52 weeks of treatment in the model</w:t>
      </w:r>
      <w:r w:rsidR="005A7BCD" w:rsidRPr="000A03FD">
        <w:rPr>
          <w:i/>
          <w:iCs/>
        </w:rPr>
        <w:t xml:space="preserve">. </w:t>
      </w:r>
      <w:r w:rsidR="005A7BCD" w:rsidRPr="000A03FD">
        <w:t xml:space="preserve">This was an unjustified and unnecessarily complex approach. </w:t>
      </w:r>
      <w:r w:rsidR="00551B14" w:rsidRPr="000A03FD">
        <w:t>T</w:t>
      </w:r>
      <w:r w:rsidR="00551B14" w:rsidRPr="000A03FD">
        <w:rPr>
          <w:rFonts w:cstheme="minorHAnsi"/>
        </w:rPr>
        <w:t>he utility change-from-baseline (CFB) in the SoC arm for ‘in trial’ and ‘responder patients’ all have overlapping 95% CIs during the first 52 weeks, which further suggests this approach was unjustified.</w:t>
      </w:r>
      <w:r w:rsidR="0005614A" w:rsidRPr="000A03FD">
        <w:rPr>
          <w:rFonts w:cstheme="minorHAnsi"/>
        </w:rPr>
        <w:t xml:space="preserve"> </w:t>
      </w:r>
      <w:r w:rsidR="00C77B41" w:rsidRPr="000A03FD">
        <w:rPr>
          <w:rFonts w:cstheme="minorHAnsi"/>
        </w:rPr>
        <w:t xml:space="preserve">The </w:t>
      </w:r>
      <w:r w:rsidR="00C61E53" w:rsidRPr="000A03FD">
        <w:rPr>
          <w:rFonts w:cstheme="minorHAnsi"/>
        </w:rPr>
        <w:t>approach of applying</w:t>
      </w:r>
      <w:r w:rsidR="00C77B41" w:rsidRPr="000A03FD">
        <w:rPr>
          <w:rFonts w:cstheme="minorHAnsi"/>
        </w:rPr>
        <w:t xml:space="preserve"> different utility values over different time points in the </w:t>
      </w:r>
      <w:r w:rsidR="00C61E53" w:rsidRPr="000A03FD">
        <w:rPr>
          <w:rFonts w:cstheme="minorHAnsi"/>
        </w:rPr>
        <w:t>first</w:t>
      </w:r>
      <w:r w:rsidR="00C77B41" w:rsidRPr="000A03FD">
        <w:rPr>
          <w:rFonts w:cstheme="minorHAnsi"/>
        </w:rPr>
        <w:t xml:space="preserve"> 52 weeks of treatment w</w:t>
      </w:r>
      <w:r w:rsidR="00C61E53" w:rsidRPr="000A03FD">
        <w:rPr>
          <w:rFonts w:cstheme="minorHAnsi"/>
        </w:rPr>
        <w:t xml:space="preserve">as also used in the previous submission and </w:t>
      </w:r>
      <w:r w:rsidR="00BB04A1" w:rsidRPr="000A03FD">
        <w:rPr>
          <w:rFonts w:cstheme="minorHAnsi"/>
        </w:rPr>
        <w:t>was</w:t>
      </w:r>
      <w:r w:rsidR="001B15A6" w:rsidRPr="000A03FD">
        <w:rPr>
          <w:rFonts w:cstheme="minorHAnsi"/>
        </w:rPr>
        <w:t xml:space="preserve"> </w:t>
      </w:r>
      <w:r w:rsidR="00F5115C" w:rsidRPr="000A03FD">
        <w:rPr>
          <w:rFonts w:cstheme="minorHAnsi"/>
        </w:rPr>
        <w:t xml:space="preserve">considered to be </w:t>
      </w:r>
      <w:r w:rsidR="001B15A6" w:rsidRPr="000A03FD">
        <w:rPr>
          <w:rFonts w:cstheme="minorHAnsi"/>
        </w:rPr>
        <w:t>potentially unjustified and unnecessarily complicated (</w:t>
      </w:r>
      <w:r w:rsidR="00BB04A1" w:rsidRPr="000A03FD">
        <w:rPr>
          <w:rFonts w:cstheme="minorHAnsi"/>
        </w:rPr>
        <w:t>paragraph</w:t>
      </w:r>
      <w:r w:rsidR="001B15A6" w:rsidRPr="000A03FD">
        <w:rPr>
          <w:rFonts w:cstheme="minorHAnsi"/>
        </w:rPr>
        <w:t xml:space="preserve"> 6.40, mepolizumab</w:t>
      </w:r>
      <w:r w:rsidR="00571B0C" w:rsidRPr="000A03FD">
        <w:rPr>
          <w:rFonts w:cstheme="minorHAnsi"/>
        </w:rPr>
        <w:t xml:space="preserve"> </w:t>
      </w:r>
      <w:r w:rsidR="006A1B32">
        <w:rPr>
          <w:rFonts w:cstheme="minorHAnsi"/>
        </w:rPr>
        <w:t>PSD</w:t>
      </w:r>
      <w:r w:rsidR="00571B0C" w:rsidRPr="000A03FD">
        <w:rPr>
          <w:rFonts w:cstheme="minorHAnsi"/>
        </w:rPr>
        <w:t>,</w:t>
      </w:r>
      <w:r w:rsidR="001B15A6" w:rsidRPr="000A03FD">
        <w:rPr>
          <w:rFonts w:cstheme="minorHAnsi"/>
        </w:rPr>
        <w:t xml:space="preserve"> November 2021 PBAC meeting).</w:t>
      </w:r>
    </w:p>
    <w:p w14:paraId="59972748" w14:textId="2D37D280" w:rsidR="00A46ACF" w:rsidRPr="000A03FD" w:rsidRDefault="00A46ACF" w:rsidP="00A46ACF">
      <w:pPr>
        <w:pStyle w:val="3-BodyText"/>
        <w:rPr>
          <w:iCs/>
        </w:rPr>
      </w:pPr>
      <w:r w:rsidRPr="000A03FD">
        <w:t xml:space="preserve">Additionally, differential utilities between the treatment arms were applied in the model up to week 48. This may not be supported as the 95% confidence intervals in the observed differences between mepolizumab and SoC between weeks 4-20 all included 0, indicating that there was no difference between treatment arms. The assumption of differential utilities for responders between arms between weeks 24-48 was also inconsistent with the approach from week 52 onwards which assumed that all responders had the same utility, irrespective of treatment. A multi-variate sensitivity analysis conducted during the evaluation using more conservative assumptions by applying the mean baseline utility in both arms until week </w:t>
      </w:r>
      <w:r w:rsidR="00F45D5E" w:rsidRPr="000A03FD">
        <w:t>24 and</w:t>
      </w:r>
      <w:r w:rsidRPr="000A03FD">
        <w:t xml:space="preserve"> applying the SoC responder utilities between weeks 24-48 to responders in both arms, increased the ICER by 14.2%.</w:t>
      </w:r>
      <w:r w:rsidR="008B5213" w:rsidRPr="000A03FD">
        <w:t xml:space="preserve"> </w:t>
      </w:r>
      <w:r w:rsidR="00FF6500" w:rsidRPr="000A03FD">
        <w:rPr>
          <w:bCs/>
          <w:iCs/>
        </w:rPr>
        <w:t>The PSCR disagreed that the application of differential utility values between arms between weeks 0-24 was inappropriate based on the justification that setting</w:t>
      </w:r>
      <w:r w:rsidR="00FF6500" w:rsidRPr="000A03FD">
        <w:rPr>
          <w:rFonts w:eastAsia="Yu Gothic Light"/>
          <w:iCs/>
          <w:lang w:eastAsia="en-US"/>
        </w:rPr>
        <w:t xml:space="preserve"> </w:t>
      </w:r>
      <w:r w:rsidR="00FF6500" w:rsidRPr="000A03FD">
        <w:rPr>
          <w:bCs/>
          <w:iCs/>
        </w:rPr>
        <w:t>the utility values to be the same across the treatment arms from weeks 4-24 implies that the quality of life benefit of treatment only manifest after week 24. The PSCR further justified this view by stating mepolizumab patients in SYNAPSE maintained greater improvements than SoC patients over 52 weeks in SF36 physical function and mental summary scores, ENP score, NO-VAS score, loss of smell VAS score and SNOT-22 score.</w:t>
      </w:r>
      <w:r w:rsidR="007937DC" w:rsidRPr="000A03FD">
        <w:rPr>
          <w:bCs/>
          <w:iCs/>
        </w:rPr>
        <w:t xml:space="preserve"> </w:t>
      </w:r>
      <w:r w:rsidR="005A1A0B" w:rsidRPr="000A03FD">
        <w:rPr>
          <w:bCs/>
          <w:iCs/>
        </w:rPr>
        <w:t xml:space="preserve">The ESC </w:t>
      </w:r>
      <w:r w:rsidR="00012EE8" w:rsidRPr="000A03FD">
        <w:rPr>
          <w:bCs/>
          <w:iCs/>
        </w:rPr>
        <w:t>cons</w:t>
      </w:r>
      <w:r w:rsidR="000E7ACA" w:rsidRPr="000A03FD">
        <w:rPr>
          <w:bCs/>
          <w:iCs/>
        </w:rPr>
        <w:t xml:space="preserve">idered that applying the mean baseline utility in both arms until week 24 was likely too conservative as there will be some differences due to response rates. However, the ESC considered that it may be </w:t>
      </w:r>
      <w:r w:rsidR="00012EE8" w:rsidRPr="000A03FD">
        <w:rPr>
          <w:bCs/>
          <w:iCs/>
        </w:rPr>
        <w:t xml:space="preserve">appropriate to apply the same responder and non-responder utility values to both arms post 24 weeks. </w:t>
      </w:r>
    </w:p>
    <w:p w14:paraId="17164AAA" w14:textId="68D5DB5C" w:rsidR="0064546E" w:rsidRPr="000A03FD" w:rsidRDefault="000E7ACA" w:rsidP="002E1071">
      <w:pPr>
        <w:pStyle w:val="3-BodyText"/>
      </w:pPr>
      <w:bookmarkStart w:id="70" w:name="_Ref111523214"/>
      <w:r w:rsidRPr="000A03FD">
        <w:t>C</w:t>
      </w:r>
      <w:r w:rsidR="004D5F77" w:rsidRPr="000A03FD">
        <w:t xml:space="preserve">ompared to the previous submission, </w:t>
      </w:r>
      <w:r w:rsidR="004D5F77" w:rsidRPr="000A03FD">
        <w:rPr>
          <w:rFonts w:cs="Calibri"/>
        </w:rPr>
        <w:t>t</w:t>
      </w:r>
      <w:r w:rsidR="0064546E" w:rsidRPr="000A03FD">
        <w:rPr>
          <w:rFonts w:cs="Calibri"/>
        </w:rPr>
        <w:t xml:space="preserve">he utility values estimated and applied in the resubmission were systematically higher for all ‘in trial’ and all ‘responder’ health states, regardless of time point and treatment arm. However, the opposite was true for all non-responder health states (except ‘non-responder’ at week 24) whereby </w:t>
      </w:r>
      <w:r w:rsidR="0064546E" w:rsidRPr="000A03FD">
        <w:rPr>
          <w:rFonts w:cs="Calibri"/>
        </w:rPr>
        <w:lastRenderedPageBreak/>
        <w:t xml:space="preserve">utility values applied in the resubmission were systematically lower than the ’non-responder’ utility values applied for the corresponding time points in the previous submission’s model. This difference favours the mepolizumab arm given mepolizumab has a higher rate of response than SoC. The cause for this difference was unclear and could be due to one (or both) of the use of different HRQoL measure (SNOT-22 or SF-36) or because of the difference in BEC </w:t>
      </w:r>
      <w:r w:rsidR="002774D1" w:rsidRPr="000A03FD">
        <w:rPr>
          <w:rFonts w:cs="Calibri"/>
        </w:rPr>
        <w:t>subgroup</w:t>
      </w:r>
      <w:r w:rsidR="0064546E" w:rsidRPr="000A03FD">
        <w:rPr>
          <w:rFonts w:cs="Calibri"/>
        </w:rPr>
        <w:t xml:space="preserve"> and may represent an important source of uncertainty in the model</w:t>
      </w:r>
      <w:r w:rsidR="00257B21" w:rsidRPr="000A03FD">
        <w:rPr>
          <w:rFonts w:cs="Calibri"/>
        </w:rPr>
        <w:t>.</w:t>
      </w:r>
      <w:bookmarkEnd w:id="70"/>
    </w:p>
    <w:p w14:paraId="5F390413" w14:textId="77E10956" w:rsidR="000D5FAE" w:rsidRPr="000A03FD" w:rsidRDefault="00705CD2" w:rsidP="00113672">
      <w:pPr>
        <w:pStyle w:val="3-BodyText"/>
        <w:rPr>
          <w:i/>
          <w:iCs/>
        </w:rPr>
      </w:pPr>
      <w:bookmarkStart w:id="71" w:name="_Ref111525025"/>
      <w:r w:rsidRPr="000A03FD">
        <w:t xml:space="preserve">The cost of </w:t>
      </w:r>
      <w:r w:rsidR="008C7F87" w:rsidRPr="000A03FD">
        <w:t xml:space="preserve">NP </w:t>
      </w:r>
      <w:r w:rsidRPr="000A03FD">
        <w:t xml:space="preserve">surgery may have been overestimated in the previous submission (paragraph 6.47, </w:t>
      </w:r>
      <w:r w:rsidR="00CC7618" w:rsidRPr="000A03FD">
        <w:t>mepolizumab</w:t>
      </w:r>
      <w:r w:rsidR="00571B0C" w:rsidRPr="000A03FD">
        <w:t xml:space="preserve"> </w:t>
      </w:r>
      <w:r w:rsidR="006A1B32">
        <w:t>PSD</w:t>
      </w:r>
      <w:r w:rsidR="00571B0C" w:rsidRPr="000A03FD">
        <w:t>,</w:t>
      </w:r>
      <w:r w:rsidR="00CC7618" w:rsidRPr="000A03FD">
        <w:t xml:space="preserve"> November 2021</w:t>
      </w:r>
      <w:r w:rsidR="006E65D0" w:rsidRPr="000A03FD">
        <w:t xml:space="preserve"> PBAC meeting</w:t>
      </w:r>
      <w:r w:rsidR="00CC7618" w:rsidRPr="000A03FD">
        <w:t xml:space="preserve">). In the resubmission, </w:t>
      </w:r>
      <w:r w:rsidR="000D5FAE" w:rsidRPr="000A03FD">
        <w:t xml:space="preserve">a different separation-weighted AR-DRG cost of surgery based on DRG D06Z (55%) and D10Z (45%) was used to estimate the cost of NP surgery. This revised weighting reduced the unit cost to $8,453.32 in the resubmission (from $9,600.43 previously). </w:t>
      </w:r>
      <w:r w:rsidR="00AA7102" w:rsidRPr="000A03FD">
        <w:t>T</w:t>
      </w:r>
      <w:r w:rsidR="00686A9F" w:rsidRPr="000A03FD">
        <w:t>he ESC considered</w:t>
      </w:r>
      <w:r w:rsidR="00686A9F" w:rsidRPr="000A03FD">
        <w:rPr>
          <w:i/>
          <w:iCs/>
        </w:rPr>
        <w:t xml:space="preserve"> </w:t>
      </w:r>
      <w:r w:rsidR="00686A9F" w:rsidRPr="000A03FD">
        <w:t>t</w:t>
      </w:r>
      <w:r w:rsidR="00AA7102" w:rsidRPr="000A03FD">
        <w:t>his unit cost remain</w:t>
      </w:r>
      <w:r w:rsidR="00686A9F" w:rsidRPr="000A03FD">
        <w:t>ed</w:t>
      </w:r>
      <w:r w:rsidR="00AA7102" w:rsidRPr="000A03FD">
        <w:t xml:space="preserve"> a source of uncertainty in the economic model.</w:t>
      </w:r>
      <w:r w:rsidR="003E352C" w:rsidRPr="000A03FD">
        <w:t xml:space="preserve"> The resubmission’s economic model estimated that there will be 0.213 fewer NP surgeries in the mepolizumab arm (0.281 surgery count, undiscounted) than in the SoC arm (0.494 surgery count, undiscounted)</w:t>
      </w:r>
      <w:r w:rsidR="005E1BAE" w:rsidRPr="000A03FD">
        <w:t xml:space="preserve">, therefore any </w:t>
      </w:r>
      <w:r w:rsidR="000D7214" w:rsidRPr="000A03FD">
        <w:t xml:space="preserve">overestimate </w:t>
      </w:r>
      <w:r w:rsidR="005E1BAE" w:rsidRPr="000A03FD">
        <w:t>of the cost of NP surgery would favour mepolizumab</w:t>
      </w:r>
      <w:r w:rsidR="003E352C" w:rsidRPr="000A03FD">
        <w:t>.</w:t>
      </w:r>
      <w:bookmarkEnd w:id="71"/>
      <w:r w:rsidR="00A80B88" w:rsidRPr="000A03FD">
        <w:t xml:space="preserve"> </w:t>
      </w:r>
      <w:r w:rsidR="00DE6813" w:rsidRPr="000A03FD">
        <w:t>The ESC advised that there were unfortunately long wait times for NP surgery in the public hospital setting</w:t>
      </w:r>
      <w:r w:rsidR="002B4EBC" w:rsidRPr="000A03FD">
        <w:t>.</w:t>
      </w:r>
      <w:r w:rsidR="00DE6813" w:rsidRPr="000A03FD">
        <w:t xml:space="preserve"> </w:t>
      </w:r>
      <w:r w:rsidR="002B4EBC" w:rsidRPr="000A03FD">
        <w:t xml:space="preserve">The ESC noted the resubmission assumed a wait time of 52 weeks for NP surgery, however the ESC considered a minimum of 3 years to be more reflective of the current situation in the public hospital setting. </w:t>
      </w:r>
      <w:r w:rsidR="00595715" w:rsidRPr="000A03FD">
        <w:t>The ESC noted that increasing the surgery wait time from 52 weeks to 3 years for the public hospital setting had a minimal impact on the ICER.</w:t>
      </w:r>
    </w:p>
    <w:p w14:paraId="7E83D940" w14:textId="033486C2" w:rsidR="00633BD6" w:rsidRPr="000A03FD" w:rsidRDefault="00633BD6" w:rsidP="00113672">
      <w:pPr>
        <w:pStyle w:val="3-BodyText"/>
      </w:pPr>
      <w:r w:rsidRPr="000A03FD">
        <w:rPr>
          <w:rFonts w:cs="Calibri"/>
        </w:rPr>
        <w:t xml:space="preserve">The resubmission </w:t>
      </w:r>
      <w:r w:rsidR="004D5F77" w:rsidRPr="000A03FD">
        <w:rPr>
          <w:rFonts w:cs="Calibri"/>
        </w:rPr>
        <w:t>claimed that</w:t>
      </w:r>
      <w:r w:rsidRPr="000A03FD">
        <w:rPr>
          <w:rFonts w:cs="Calibri"/>
        </w:rPr>
        <w:t xml:space="preserve"> a </w:t>
      </w:r>
      <w:r w:rsidR="00B561D5" w:rsidRPr="000A03FD">
        <w:rPr>
          <w:rFonts w:cs="Calibri"/>
        </w:rPr>
        <w:t xml:space="preserve">compliance rate of 94.56% was applied to mepolizumab dosage costs to align with the compliance rate applied in the financial estimates. However, this rate did not appear to have been applied in the </w:t>
      </w:r>
      <w:r w:rsidR="00C724CC" w:rsidRPr="000A03FD">
        <w:rPr>
          <w:rFonts w:cs="Calibri"/>
        </w:rPr>
        <w:t>base-case analysis. The application of this rate decreased the ICER by 6.3%.</w:t>
      </w:r>
      <w:r w:rsidR="005574C6" w:rsidRPr="000A03FD">
        <w:rPr>
          <w:rFonts w:cs="Calibri"/>
        </w:rPr>
        <w:t xml:space="preserve"> The pre-PBAC response </w:t>
      </w:r>
      <w:r w:rsidR="00DB772C" w:rsidRPr="000A03FD">
        <w:rPr>
          <w:rFonts w:cs="Calibri"/>
        </w:rPr>
        <w:t>agreed</w:t>
      </w:r>
      <w:r w:rsidR="005574C6" w:rsidRPr="000A03FD">
        <w:rPr>
          <w:rFonts w:cs="Calibri"/>
        </w:rPr>
        <w:t xml:space="preserve"> </w:t>
      </w:r>
      <w:r w:rsidR="00DB772C" w:rsidRPr="000A03FD">
        <w:rPr>
          <w:rFonts w:cs="Calibri"/>
        </w:rPr>
        <w:t xml:space="preserve">with the evaluation </w:t>
      </w:r>
      <w:r w:rsidR="005574C6" w:rsidRPr="000A03FD">
        <w:rPr>
          <w:rFonts w:cs="Calibri"/>
        </w:rPr>
        <w:t>that this rate should have been applied in the resubmission base-case and suggested it would be appropriate to include as part of the base-case re</w:t>
      </w:r>
      <w:r w:rsidR="0006735E">
        <w:rPr>
          <w:rFonts w:cs="Calibri"/>
        </w:rPr>
        <w:t>-</w:t>
      </w:r>
      <w:r w:rsidR="005574C6" w:rsidRPr="000A03FD">
        <w:rPr>
          <w:rFonts w:cs="Calibri"/>
        </w:rPr>
        <w:t xml:space="preserve">specification. </w:t>
      </w:r>
    </w:p>
    <w:p w14:paraId="37B4237B" w14:textId="6F228793" w:rsidR="00275C5A" w:rsidRPr="000A03FD" w:rsidRDefault="003D613E" w:rsidP="00C25FF3">
      <w:pPr>
        <w:pStyle w:val="3-BodyText"/>
      </w:pPr>
      <w:r w:rsidRPr="000A03FD">
        <w:fldChar w:fldCharType="begin" w:fldLock="1"/>
      </w:r>
      <w:r w:rsidRPr="000A03FD">
        <w:instrText xml:space="preserve"> REF _Ref104805122 \h  \* MERGEFORMAT </w:instrText>
      </w:r>
      <w:r w:rsidRPr="000A03FD">
        <w:fldChar w:fldCharType="separate"/>
      </w:r>
      <w:r w:rsidR="00625A18" w:rsidRPr="000A03FD">
        <w:t>Table 13</w:t>
      </w:r>
      <w:r w:rsidRPr="000A03FD">
        <w:fldChar w:fldCharType="end"/>
      </w:r>
      <w:r w:rsidRPr="000A03FD">
        <w:t xml:space="preserve"> summarises the key drivers of the model.</w:t>
      </w:r>
    </w:p>
    <w:p w14:paraId="774D46B7" w14:textId="06CC386E" w:rsidR="00D110BD" w:rsidRPr="000A03FD" w:rsidRDefault="00E16AD8" w:rsidP="00E16AD8">
      <w:pPr>
        <w:pStyle w:val="Caption"/>
        <w:jc w:val="left"/>
        <w:rPr>
          <w:rStyle w:val="CommentReference"/>
          <w:b/>
          <w:szCs w:val="24"/>
        </w:rPr>
      </w:pPr>
      <w:bookmarkStart w:id="72" w:name="_Ref104805122"/>
      <w:r w:rsidRPr="000A03FD">
        <w:lastRenderedPageBreak/>
        <w:t xml:space="preserve">Table </w:t>
      </w:r>
      <w:fldSimple w:instr=" SEQ Table \* ARABIC " w:fldLock="1">
        <w:r w:rsidR="00A0401C" w:rsidRPr="000A03FD">
          <w:t>13</w:t>
        </w:r>
      </w:fldSimple>
      <w:bookmarkEnd w:id="72"/>
      <w:r w:rsidRPr="000A03FD">
        <w:t>:</w:t>
      </w:r>
      <w:r w:rsidR="00D110BD" w:rsidRPr="000A03FD">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3"/>
        <w:gridCol w:w="2784"/>
      </w:tblGrid>
      <w:tr w:rsidR="00133912" w:rsidRPr="000A03FD" w14:paraId="4DD8026E" w14:textId="77777777" w:rsidTr="00490B17">
        <w:trPr>
          <w:tblHeader/>
        </w:trPr>
        <w:tc>
          <w:tcPr>
            <w:tcW w:w="626" w:type="pct"/>
            <w:shd w:val="clear" w:color="auto" w:fill="auto"/>
            <w:vAlign w:val="center"/>
          </w:tcPr>
          <w:p w14:paraId="6A9EC2DA" w14:textId="77777777" w:rsidR="00D110BD" w:rsidRPr="000A03FD" w:rsidRDefault="00D110BD" w:rsidP="00BB00B3">
            <w:pPr>
              <w:pStyle w:val="In-tableHeading"/>
              <w:jc w:val="center"/>
              <w:rPr>
                <w:lang w:val="en-AU"/>
              </w:rPr>
            </w:pPr>
            <w:r w:rsidRPr="000A03FD">
              <w:rPr>
                <w:lang w:val="en-AU"/>
              </w:rPr>
              <w:t>Description</w:t>
            </w:r>
          </w:p>
        </w:tc>
        <w:tc>
          <w:tcPr>
            <w:tcW w:w="2830" w:type="pct"/>
            <w:shd w:val="clear" w:color="auto" w:fill="auto"/>
            <w:vAlign w:val="center"/>
          </w:tcPr>
          <w:p w14:paraId="67A62672" w14:textId="77777777" w:rsidR="00D110BD" w:rsidRPr="000A03FD" w:rsidRDefault="00D110BD" w:rsidP="000A7453">
            <w:pPr>
              <w:pStyle w:val="In-tableHeading"/>
              <w:jc w:val="center"/>
              <w:rPr>
                <w:lang w:val="en-AU"/>
              </w:rPr>
            </w:pPr>
            <w:r w:rsidRPr="000A03FD">
              <w:rPr>
                <w:lang w:val="en-AU"/>
              </w:rPr>
              <w:t>Method/Value</w:t>
            </w:r>
          </w:p>
        </w:tc>
        <w:tc>
          <w:tcPr>
            <w:tcW w:w="1544" w:type="pct"/>
            <w:shd w:val="clear" w:color="auto" w:fill="auto"/>
            <w:vAlign w:val="center"/>
          </w:tcPr>
          <w:p w14:paraId="6C1DC9EA" w14:textId="4CCF3B00" w:rsidR="00490B17" w:rsidRPr="000A03FD" w:rsidRDefault="00D110BD" w:rsidP="000B5F03">
            <w:pPr>
              <w:pStyle w:val="In-tableHeading"/>
              <w:jc w:val="center"/>
              <w:rPr>
                <w:lang w:val="en-AU"/>
              </w:rPr>
            </w:pPr>
            <w:r w:rsidRPr="000A03FD">
              <w:rPr>
                <w:lang w:val="en-AU"/>
              </w:rPr>
              <w:t>Impact</w:t>
            </w:r>
          </w:p>
        </w:tc>
      </w:tr>
      <w:tr w:rsidR="00133912" w:rsidRPr="000A03FD" w14:paraId="0054472D" w14:textId="77777777" w:rsidTr="009366F2">
        <w:trPr>
          <w:tblHeader/>
        </w:trPr>
        <w:tc>
          <w:tcPr>
            <w:tcW w:w="626" w:type="pct"/>
            <w:shd w:val="clear" w:color="auto" w:fill="auto"/>
            <w:vAlign w:val="center"/>
          </w:tcPr>
          <w:p w14:paraId="46689D34" w14:textId="3060C81D" w:rsidR="009E1B41" w:rsidRPr="000A03FD" w:rsidRDefault="009E1B41" w:rsidP="00BB00B3">
            <w:pPr>
              <w:pStyle w:val="In-tableHeading"/>
              <w:jc w:val="center"/>
              <w:rPr>
                <w:b w:val="0"/>
                <w:bCs/>
                <w:lang w:val="en-AU"/>
              </w:rPr>
            </w:pPr>
            <w:r w:rsidRPr="000A03FD">
              <w:rPr>
                <w:b w:val="0"/>
                <w:bCs/>
                <w:lang w:val="en-AU"/>
              </w:rPr>
              <w:t>Differential loss of response</w:t>
            </w:r>
          </w:p>
        </w:tc>
        <w:tc>
          <w:tcPr>
            <w:tcW w:w="2830" w:type="pct"/>
            <w:shd w:val="clear" w:color="auto" w:fill="auto"/>
            <w:vAlign w:val="center"/>
          </w:tcPr>
          <w:p w14:paraId="3663B393" w14:textId="04B14602" w:rsidR="009E1B41" w:rsidRPr="000A03FD" w:rsidRDefault="001167BE" w:rsidP="009366F2">
            <w:pPr>
              <w:pStyle w:val="In-tableHeading"/>
              <w:rPr>
                <w:b w:val="0"/>
                <w:bCs/>
                <w:lang w:val="en-AU"/>
              </w:rPr>
            </w:pPr>
            <w:r w:rsidRPr="000A03FD">
              <w:rPr>
                <w:b w:val="0"/>
                <w:bCs/>
                <w:lang w:val="en-AU"/>
              </w:rPr>
              <w:t>Annual loss of response = 61.9% mepolizumab; 2</w:t>
            </w:r>
            <w:r w:rsidR="00871820" w:rsidRPr="000A03FD">
              <w:rPr>
                <w:b w:val="0"/>
                <w:bCs/>
                <w:lang w:val="en-AU"/>
              </w:rPr>
              <w:t>7.6% SoC</w:t>
            </w:r>
          </w:p>
        </w:tc>
        <w:tc>
          <w:tcPr>
            <w:tcW w:w="1544" w:type="pct"/>
            <w:shd w:val="clear" w:color="auto" w:fill="auto"/>
            <w:vAlign w:val="center"/>
          </w:tcPr>
          <w:p w14:paraId="29ECE685" w14:textId="385CF961" w:rsidR="009E1B41" w:rsidRPr="000A03FD" w:rsidRDefault="00871820" w:rsidP="009366F2">
            <w:pPr>
              <w:pStyle w:val="In-tableHeading"/>
              <w:rPr>
                <w:b w:val="0"/>
                <w:bCs/>
                <w:lang w:val="en-AU"/>
              </w:rPr>
            </w:pPr>
            <w:r w:rsidRPr="000A03FD">
              <w:rPr>
                <w:b w:val="0"/>
                <w:bCs/>
                <w:lang w:val="en-AU"/>
              </w:rPr>
              <w:t xml:space="preserve">High, </w:t>
            </w:r>
            <w:r w:rsidR="000B5F03" w:rsidRPr="000A03FD">
              <w:rPr>
                <w:b w:val="0"/>
                <w:bCs/>
                <w:lang w:val="en-AU"/>
              </w:rPr>
              <w:t>favo</w:t>
            </w:r>
            <w:r w:rsidR="00FE10F8" w:rsidRPr="000A03FD">
              <w:rPr>
                <w:b w:val="0"/>
                <w:bCs/>
                <w:lang w:val="en-AU"/>
              </w:rPr>
              <w:t>u</w:t>
            </w:r>
            <w:r w:rsidR="000B5F03" w:rsidRPr="000A03FD">
              <w:rPr>
                <w:b w:val="0"/>
                <w:bCs/>
                <w:lang w:val="en-AU"/>
              </w:rPr>
              <w:t>rs</w:t>
            </w:r>
            <w:r w:rsidRPr="000A03FD">
              <w:rPr>
                <w:b w:val="0"/>
                <w:bCs/>
                <w:lang w:val="en-AU"/>
              </w:rPr>
              <w:t xml:space="preserve"> mepolizumab. </w:t>
            </w:r>
            <w:r w:rsidR="00C25FF3" w:rsidRPr="000A03FD">
              <w:rPr>
                <w:b w:val="0"/>
                <w:bCs/>
                <w:lang w:val="en-AU"/>
              </w:rPr>
              <w:t>Using SoC rate in both arms incre</w:t>
            </w:r>
            <w:r w:rsidR="00334692" w:rsidRPr="000A03FD">
              <w:rPr>
                <w:b w:val="0"/>
                <w:bCs/>
                <w:lang w:val="en-AU"/>
              </w:rPr>
              <w:t>ases ICER by 222%. Assuming no loss of response in either arm increase</w:t>
            </w:r>
            <w:r w:rsidR="00725F35" w:rsidRPr="000A03FD">
              <w:rPr>
                <w:b w:val="0"/>
                <w:bCs/>
                <w:lang w:val="en-AU"/>
              </w:rPr>
              <w:t>d</w:t>
            </w:r>
            <w:r w:rsidR="00334692" w:rsidRPr="000A03FD">
              <w:rPr>
                <w:b w:val="0"/>
                <w:bCs/>
                <w:lang w:val="en-AU"/>
              </w:rPr>
              <w:t xml:space="preserve"> ICER by 30.1%.</w:t>
            </w:r>
          </w:p>
        </w:tc>
      </w:tr>
      <w:tr w:rsidR="00802D5E" w:rsidRPr="000A03FD" w14:paraId="4F149417" w14:textId="77777777" w:rsidTr="009366F2">
        <w:trPr>
          <w:tblHeader/>
        </w:trPr>
        <w:tc>
          <w:tcPr>
            <w:tcW w:w="626" w:type="pct"/>
            <w:shd w:val="clear" w:color="auto" w:fill="auto"/>
            <w:vAlign w:val="center"/>
          </w:tcPr>
          <w:p w14:paraId="6F04B24B" w14:textId="15E0BB32" w:rsidR="00802D5E" w:rsidRPr="000A03FD" w:rsidRDefault="00730FF9" w:rsidP="00BB00B3">
            <w:pPr>
              <w:pStyle w:val="In-tableHeading"/>
              <w:jc w:val="center"/>
              <w:rPr>
                <w:b w:val="0"/>
                <w:bCs/>
                <w:lang w:val="en-AU"/>
              </w:rPr>
            </w:pPr>
            <w:r w:rsidRPr="000A03FD">
              <w:rPr>
                <w:b w:val="0"/>
                <w:bCs/>
                <w:lang w:val="en-AU"/>
              </w:rPr>
              <w:t xml:space="preserve">Differential utility values </w:t>
            </w:r>
            <w:r w:rsidR="005F1E94" w:rsidRPr="000A03FD">
              <w:rPr>
                <w:b w:val="0"/>
                <w:bCs/>
                <w:lang w:val="en-AU"/>
              </w:rPr>
              <w:t>during weeks 4-48</w:t>
            </w:r>
          </w:p>
        </w:tc>
        <w:tc>
          <w:tcPr>
            <w:tcW w:w="2830" w:type="pct"/>
            <w:shd w:val="clear" w:color="auto" w:fill="auto"/>
            <w:vAlign w:val="center"/>
          </w:tcPr>
          <w:p w14:paraId="2238D22C" w14:textId="10B56797" w:rsidR="00802D5E" w:rsidRPr="000A03FD" w:rsidRDefault="00FE10F8" w:rsidP="009366F2">
            <w:pPr>
              <w:pStyle w:val="In-tableHeading"/>
              <w:rPr>
                <w:b w:val="0"/>
                <w:bCs/>
                <w:lang w:val="en-AU"/>
              </w:rPr>
            </w:pPr>
            <w:r w:rsidRPr="000A03FD">
              <w:rPr>
                <w:b w:val="0"/>
                <w:bCs/>
                <w:lang w:val="en-AU"/>
              </w:rPr>
              <w:t>Between weeks 4 and 24 utility values based on total arm values, between weeks 28-42 utility values for responder applied based on values observed per arm</w:t>
            </w:r>
            <w:r w:rsidR="009366F2" w:rsidRPr="000A03FD">
              <w:rPr>
                <w:b w:val="0"/>
                <w:bCs/>
                <w:lang w:val="en-AU"/>
              </w:rPr>
              <w:t xml:space="preserve"> in SYNAPSE</w:t>
            </w:r>
          </w:p>
        </w:tc>
        <w:tc>
          <w:tcPr>
            <w:tcW w:w="1544" w:type="pct"/>
            <w:shd w:val="clear" w:color="auto" w:fill="auto"/>
            <w:vAlign w:val="center"/>
          </w:tcPr>
          <w:p w14:paraId="78E39D40" w14:textId="722C5317" w:rsidR="00802D5E" w:rsidRPr="000A03FD" w:rsidRDefault="00FD54FC" w:rsidP="009366F2">
            <w:pPr>
              <w:pStyle w:val="In-tableHeading"/>
              <w:rPr>
                <w:b w:val="0"/>
                <w:bCs/>
                <w:lang w:val="en-AU"/>
              </w:rPr>
            </w:pPr>
            <w:r w:rsidRPr="000A03FD">
              <w:rPr>
                <w:b w:val="0"/>
                <w:bCs/>
                <w:lang w:val="en-AU"/>
              </w:rPr>
              <w:t>Moderate</w:t>
            </w:r>
            <w:r w:rsidR="00FE10F8" w:rsidRPr="000A03FD">
              <w:rPr>
                <w:b w:val="0"/>
                <w:bCs/>
                <w:lang w:val="en-AU"/>
              </w:rPr>
              <w:t xml:space="preserve">, favours mepolizumab. </w:t>
            </w:r>
            <w:r w:rsidR="00994B4E" w:rsidRPr="000A03FD">
              <w:rPr>
                <w:b w:val="0"/>
                <w:bCs/>
                <w:lang w:val="en-AU"/>
              </w:rPr>
              <w:t>Applying</w:t>
            </w:r>
            <w:r w:rsidR="00AF425F" w:rsidRPr="000A03FD">
              <w:rPr>
                <w:b w:val="0"/>
                <w:bCs/>
                <w:lang w:val="en-AU"/>
              </w:rPr>
              <w:t xml:space="preserve"> mean baseline utility equally between arms in week </w:t>
            </w:r>
            <w:r w:rsidR="00F45D5E" w:rsidRPr="000A03FD">
              <w:rPr>
                <w:b w:val="0"/>
                <w:bCs/>
                <w:lang w:val="en-AU"/>
              </w:rPr>
              <w:t>4-24 and</w:t>
            </w:r>
            <w:r w:rsidR="00AF425F" w:rsidRPr="000A03FD">
              <w:rPr>
                <w:b w:val="0"/>
                <w:bCs/>
                <w:lang w:val="en-AU"/>
              </w:rPr>
              <w:t xml:space="preserve"> </w:t>
            </w:r>
            <w:r w:rsidR="005B2562" w:rsidRPr="000A03FD">
              <w:rPr>
                <w:b w:val="0"/>
                <w:bCs/>
                <w:lang w:val="en-AU"/>
              </w:rPr>
              <w:t>applying SoC arm responder utility to responders in both arms between weeks 28-42 increase</w:t>
            </w:r>
            <w:r w:rsidR="00725F35" w:rsidRPr="000A03FD">
              <w:rPr>
                <w:b w:val="0"/>
                <w:bCs/>
                <w:lang w:val="en-AU"/>
              </w:rPr>
              <w:t>d</w:t>
            </w:r>
            <w:r w:rsidR="005B2562" w:rsidRPr="000A03FD">
              <w:rPr>
                <w:b w:val="0"/>
                <w:bCs/>
                <w:lang w:val="en-AU"/>
              </w:rPr>
              <w:t xml:space="preserve"> the ICER by 14.2%.</w:t>
            </w:r>
          </w:p>
        </w:tc>
      </w:tr>
      <w:tr w:rsidR="00133912" w:rsidRPr="000A03FD" w14:paraId="203BB6F2" w14:textId="77777777" w:rsidTr="009366F2">
        <w:trPr>
          <w:tblHeader/>
        </w:trPr>
        <w:tc>
          <w:tcPr>
            <w:tcW w:w="626" w:type="pct"/>
            <w:shd w:val="clear" w:color="auto" w:fill="auto"/>
            <w:vAlign w:val="center"/>
          </w:tcPr>
          <w:p w14:paraId="5916326D" w14:textId="092C7B00" w:rsidR="00D274DF" w:rsidRPr="000A03FD" w:rsidRDefault="00742D76" w:rsidP="00BB00B3">
            <w:pPr>
              <w:pStyle w:val="In-tableHeading"/>
              <w:jc w:val="center"/>
              <w:rPr>
                <w:b w:val="0"/>
                <w:bCs/>
                <w:vertAlign w:val="superscript"/>
                <w:lang w:val="en-AU"/>
              </w:rPr>
            </w:pPr>
            <w:r w:rsidRPr="000A03FD">
              <w:rPr>
                <w:b w:val="0"/>
                <w:bCs/>
                <w:lang w:val="en-AU"/>
              </w:rPr>
              <w:t>SoC non-responder utility week 52+</w:t>
            </w:r>
            <w:r w:rsidR="00A27E29" w:rsidRPr="000A03FD">
              <w:rPr>
                <w:b w:val="0"/>
                <w:bCs/>
                <w:lang w:val="en-AU"/>
              </w:rPr>
              <w:t xml:space="preserve"> </w:t>
            </w:r>
            <w:r w:rsidR="00A27E29" w:rsidRPr="000A03FD">
              <w:rPr>
                <w:b w:val="0"/>
                <w:bCs/>
                <w:vertAlign w:val="superscript"/>
                <w:lang w:val="en-AU"/>
              </w:rPr>
              <w:t>a</w:t>
            </w:r>
          </w:p>
        </w:tc>
        <w:tc>
          <w:tcPr>
            <w:tcW w:w="2830" w:type="pct"/>
            <w:shd w:val="clear" w:color="auto" w:fill="auto"/>
            <w:vAlign w:val="center"/>
          </w:tcPr>
          <w:p w14:paraId="439963A1" w14:textId="68F2E409" w:rsidR="00D274DF" w:rsidRPr="000A03FD" w:rsidRDefault="00742D76" w:rsidP="009366F2">
            <w:pPr>
              <w:pStyle w:val="In-tableHeading"/>
              <w:rPr>
                <w:b w:val="0"/>
                <w:bCs/>
                <w:lang w:val="en-AU"/>
              </w:rPr>
            </w:pPr>
            <w:r w:rsidRPr="000A03FD">
              <w:rPr>
                <w:b w:val="0"/>
                <w:bCs/>
                <w:lang w:val="en-AU"/>
              </w:rPr>
              <w:t xml:space="preserve">Change from baseline in utility: </w:t>
            </w:r>
            <w:r w:rsidR="00916C9D" w:rsidRPr="000A03FD">
              <w:rPr>
                <w:b w:val="0"/>
                <w:bCs/>
                <w:lang w:val="en-AU"/>
              </w:rPr>
              <w:t>-0.013</w:t>
            </w:r>
            <w:r w:rsidR="00FD1B6E" w:rsidRPr="000A03FD">
              <w:rPr>
                <w:b w:val="0"/>
                <w:bCs/>
                <w:lang w:val="en-AU"/>
              </w:rPr>
              <w:t xml:space="preserve"> (</w:t>
            </w:r>
            <w:r w:rsidR="00017BD3" w:rsidRPr="000A03FD">
              <w:rPr>
                <w:b w:val="0"/>
                <w:bCs/>
                <w:lang w:val="en-AU"/>
              </w:rPr>
              <w:t>resultant utility value applied: 0.551)</w:t>
            </w:r>
          </w:p>
        </w:tc>
        <w:tc>
          <w:tcPr>
            <w:tcW w:w="1544" w:type="pct"/>
            <w:shd w:val="clear" w:color="auto" w:fill="auto"/>
            <w:vAlign w:val="center"/>
          </w:tcPr>
          <w:p w14:paraId="6E8FDDC5" w14:textId="5D4A44C6" w:rsidR="00D274DF" w:rsidRPr="000A03FD" w:rsidRDefault="00FD54FC" w:rsidP="009366F2">
            <w:pPr>
              <w:pStyle w:val="In-tableHeading"/>
              <w:rPr>
                <w:b w:val="0"/>
                <w:bCs/>
                <w:lang w:val="en-AU"/>
              </w:rPr>
            </w:pPr>
            <w:r w:rsidRPr="000A03FD">
              <w:rPr>
                <w:b w:val="0"/>
                <w:bCs/>
                <w:lang w:val="en-AU"/>
              </w:rPr>
              <w:t xml:space="preserve">Moderate, </w:t>
            </w:r>
            <w:r w:rsidR="00A02740" w:rsidRPr="000A03FD">
              <w:rPr>
                <w:b w:val="0"/>
                <w:bCs/>
                <w:lang w:val="en-AU"/>
              </w:rPr>
              <w:t xml:space="preserve">favours mepolizumab given the </w:t>
            </w:r>
            <w:r w:rsidR="00D74AD2" w:rsidRPr="000A03FD">
              <w:rPr>
                <w:b w:val="0"/>
                <w:bCs/>
                <w:lang w:val="en-AU"/>
              </w:rPr>
              <w:t>base-case value is lower than baseline utility. U</w:t>
            </w:r>
            <w:r w:rsidRPr="000A03FD">
              <w:rPr>
                <w:b w:val="0"/>
                <w:bCs/>
                <w:lang w:val="en-AU"/>
              </w:rPr>
              <w:t xml:space="preserve">sing the 95% confidence intervals </w:t>
            </w:r>
            <w:r w:rsidR="0007369A" w:rsidRPr="000A03FD">
              <w:rPr>
                <w:b w:val="0"/>
                <w:bCs/>
                <w:lang w:val="en-AU"/>
              </w:rPr>
              <w:t>(</w:t>
            </w:r>
            <w:r w:rsidR="00975D48" w:rsidRPr="000A03FD">
              <w:rPr>
                <w:b w:val="0"/>
                <w:bCs/>
                <w:lang w:val="en-AU"/>
              </w:rPr>
              <w:t xml:space="preserve">upper </w:t>
            </w:r>
            <w:r w:rsidR="0007369A" w:rsidRPr="000A03FD">
              <w:rPr>
                <w:b w:val="0"/>
                <w:bCs/>
                <w:lang w:val="en-AU"/>
              </w:rPr>
              <w:t xml:space="preserve">0.645, </w:t>
            </w:r>
            <w:r w:rsidR="00975D48" w:rsidRPr="000A03FD">
              <w:rPr>
                <w:b w:val="0"/>
                <w:bCs/>
                <w:lang w:val="en-AU"/>
              </w:rPr>
              <w:t xml:space="preserve">lower </w:t>
            </w:r>
            <w:r w:rsidR="0007369A" w:rsidRPr="000A03FD">
              <w:rPr>
                <w:b w:val="0"/>
                <w:bCs/>
                <w:lang w:val="en-AU"/>
              </w:rPr>
              <w:t xml:space="preserve">0.457) </w:t>
            </w:r>
            <w:r w:rsidR="009B109E" w:rsidRPr="000A03FD">
              <w:rPr>
                <w:b w:val="0"/>
                <w:bCs/>
                <w:lang w:val="en-AU"/>
              </w:rPr>
              <w:t>changed the ICER by -15.3% and +22.0%</w:t>
            </w:r>
            <w:r w:rsidR="0007369A" w:rsidRPr="000A03FD">
              <w:rPr>
                <w:b w:val="0"/>
                <w:bCs/>
                <w:lang w:val="en-AU"/>
              </w:rPr>
              <w:t>, respectively</w:t>
            </w:r>
          </w:p>
        </w:tc>
      </w:tr>
      <w:tr w:rsidR="00D274DF" w:rsidRPr="000A03FD" w14:paraId="1017778C" w14:textId="77777777" w:rsidTr="009366F2">
        <w:trPr>
          <w:tblHeader/>
        </w:trPr>
        <w:tc>
          <w:tcPr>
            <w:tcW w:w="626" w:type="pct"/>
            <w:shd w:val="clear" w:color="auto" w:fill="auto"/>
            <w:vAlign w:val="center"/>
          </w:tcPr>
          <w:p w14:paraId="5F4F1551" w14:textId="08A5DF71" w:rsidR="00D274DF" w:rsidRPr="000A03FD" w:rsidRDefault="009B109E" w:rsidP="00BB00B3">
            <w:pPr>
              <w:pStyle w:val="In-tableHeading"/>
              <w:jc w:val="center"/>
              <w:rPr>
                <w:b w:val="0"/>
                <w:bCs/>
                <w:vertAlign w:val="superscript"/>
                <w:lang w:val="en-AU"/>
              </w:rPr>
            </w:pPr>
            <w:r w:rsidRPr="000A03FD">
              <w:rPr>
                <w:b w:val="0"/>
                <w:bCs/>
                <w:lang w:val="en-AU"/>
              </w:rPr>
              <w:t xml:space="preserve">Responder / </w:t>
            </w:r>
            <w:r w:rsidR="00A02740" w:rsidRPr="000A03FD">
              <w:rPr>
                <w:b w:val="0"/>
                <w:bCs/>
                <w:lang w:val="en-AU"/>
              </w:rPr>
              <w:t>effective surgery</w:t>
            </w:r>
            <w:r w:rsidRPr="000A03FD">
              <w:rPr>
                <w:b w:val="0"/>
                <w:bCs/>
                <w:lang w:val="en-AU"/>
              </w:rPr>
              <w:t xml:space="preserve"> utility week 52+</w:t>
            </w:r>
            <w:r w:rsidR="00044D85" w:rsidRPr="000A03FD">
              <w:rPr>
                <w:b w:val="0"/>
                <w:bCs/>
                <w:lang w:val="en-AU"/>
              </w:rPr>
              <w:t xml:space="preserve"> </w:t>
            </w:r>
            <w:r w:rsidR="00044D85" w:rsidRPr="000A03FD">
              <w:rPr>
                <w:b w:val="0"/>
                <w:bCs/>
                <w:vertAlign w:val="superscript"/>
                <w:lang w:val="en-AU"/>
              </w:rPr>
              <w:t>b</w:t>
            </w:r>
          </w:p>
        </w:tc>
        <w:tc>
          <w:tcPr>
            <w:tcW w:w="2830" w:type="pct"/>
            <w:shd w:val="clear" w:color="auto" w:fill="auto"/>
            <w:vAlign w:val="center"/>
          </w:tcPr>
          <w:p w14:paraId="77F19D70" w14:textId="0E6294C7" w:rsidR="00D274DF" w:rsidRPr="000A03FD" w:rsidRDefault="00A02740" w:rsidP="009366F2">
            <w:pPr>
              <w:pStyle w:val="In-tableHeading"/>
              <w:rPr>
                <w:b w:val="0"/>
                <w:bCs/>
                <w:lang w:val="en-AU"/>
              </w:rPr>
            </w:pPr>
            <w:r w:rsidRPr="000A03FD">
              <w:rPr>
                <w:b w:val="0"/>
                <w:bCs/>
                <w:lang w:val="en-AU"/>
              </w:rPr>
              <w:t>Change from baseline in utility: 0.2</w:t>
            </w:r>
            <w:r w:rsidR="00511C8B" w:rsidRPr="000A03FD">
              <w:rPr>
                <w:b w:val="0"/>
                <w:bCs/>
                <w:lang w:val="en-AU"/>
              </w:rPr>
              <w:t>21</w:t>
            </w:r>
            <w:r w:rsidR="00017BD3" w:rsidRPr="000A03FD">
              <w:rPr>
                <w:b w:val="0"/>
                <w:bCs/>
                <w:lang w:val="en-AU"/>
              </w:rPr>
              <w:t xml:space="preserve"> (resultant utility value applied:</w:t>
            </w:r>
            <w:r w:rsidR="00044D85" w:rsidRPr="000A03FD">
              <w:rPr>
                <w:b w:val="0"/>
                <w:bCs/>
                <w:lang w:val="en-AU"/>
              </w:rPr>
              <w:t xml:space="preserve"> 0.785)</w:t>
            </w:r>
            <w:r w:rsidR="00017BD3" w:rsidRPr="000A03FD">
              <w:rPr>
                <w:b w:val="0"/>
                <w:bCs/>
                <w:lang w:val="en-AU"/>
              </w:rPr>
              <w:t xml:space="preserve"> </w:t>
            </w:r>
          </w:p>
        </w:tc>
        <w:tc>
          <w:tcPr>
            <w:tcW w:w="1544" w:type="pct"/>
            <w:shd w:val="clear" w:color="auto" w:fill="auto"/>
            <w:vAlign w:val="center"/>
          </w:tcPr>
          <w:p w14:paraId="0B31C9CD" w14:textId="112281AB" w:rsidR="00D274DF" w:rsidRPr="000A03FD" w:rsidRDefault="00FB51FF" w:rsidP="009366F2">
            <w:pPr>
              <w:pStyle w:val="In-tableHeading"/>
              <w:rPr>
                <w:b w:val="0"/>
                <w:bCs/>
                <w:lang w:val="en-AU"/>
              </w:rPr>
            </w:pPr>
            <w:r w:rsidRPr="000A03FD">
              <w:rPr>
                <w:b w:val="0"/>
                <w:bCs/>
                <w:lang w:val="en-AU"/>
              </w:rPr>
              <w:t>Moderate, favours mepolizumab given ESC requested the use of the lower SoC responder utility value. Using the 95% confidence intervals</w:t>
            </w:r>
            <w:r w:rsidR="00975D48" w:rsidRPr="000A03FD">
              <w:rPr>
                <w:b w:val="0"/>
                <w:bCs/>
                <w:lang w:val="en-AU"/>
              </w:rPr>
              <w:t xml:space="preserve"> (upper</w:t>
            </w:r>
            <w:r w:rsidR="00E91837" w:rsidRPr="000A03FD">
              <w:rPr>
                <w:b w:val="0"/>
                <w:bCs/>
                <w:lang w:val="en-AU"/>
              </w:rPr>
              <w:t>0.836, lower 0.734)</w:t>
            </w:r>
            <w:r w:rsidRPr="000A03FD">
              <w:rPr>
                <w:b w:val="0"/>
                <w:bCs/>
                <w:lang w:val="en-AU"/>
              </w:rPr>
              <w:t xml:space="preserve"> changed the ICER </w:t>
            </w:r>
            <w:r w:rsidR="00F56F5C" w:rsidRPr="000A03FD">
              <w:rPr>
                <w:b w:val="0"/>
                <w:bCs/>
                <w:lang w:val="en-AU"/>
              </w:rPr>
              <w:t>by +19.4% and -14.0%</w:t>
            </w:r>
            <w:r w:rsidR="00E91837" w:rsidRPr="000A03FD">
              <w:rPr>
                <w:b w:val="0"/>
                <w:bCs/>
                <w:lang w:val="en-AU"/>
              </w:rPr>
              <w:t xml:space="preserve"> respectively</w:t>
            </w:r>
          </w:p>
        </w:tc>
      </w:tr>
    </w:tbl>
    <w:p w14:paraId="30E97087" w14:textId="3F712919" w:rsidR="00D110BD" w:rsidRPr="000A03FD" w:rsidRDefault="009D792E" w:rsidP="00BB00B3">
      <w:pPr>
        <w:pStyle w:val="FooterTableFigure"/>
      </w:pPr>
      <w:r w:rsidRPr="000A03FD">
        <w:t xml:space="preserve">Source: </w:t>
      </w:r>
      <w:r w:rsidR="00BF66C9" w:rsidRPr="000A03FD">
        <w:t>Compiled during the evaluation from Section 3 of the resubmission.</w:t>
      </w:r>
    </w:p>
    <w:p w14:paraId="73428230" w14:textId="23C1A806" w:rsidR="00A27E29" w:rsidRPr="000A03FD" w:rsidRDefault="00A27E29" w:rsidP="00BB00B3">
      <w:pPr>
        <w:pStyle w:val="FooterTableFigure"/>
      </w:pPr>
      <w:r w:rsidRPr="000A03FD">
        <w:t xml:space="preserve">a. </w:t>
      </w:r>
      <w:r w:rsidR="00B02EC9" w:rsidRPr="000A03FD">
        <w:t>This was applied to non-responders in either arm after week 52, but was derived from the SoC arm in SYNAPSE</w:t>
      </w:r>
    </w:p>
    <w:p w14:paraId="01BFFB8F" w14:textId="3A52D37D" w:rsidR="00B02EC9" w:rsidRPr="000A03FD" w:rsidRDefault="004A040A" w:rsidP="00BB00B3">
      <w:pPr>
        <w:pStyle w:val="FooterTableFigure"/>
      </w:pPr>
      <w:r w:rsidRPr="000A03FD">
        <w:t>b. This was applied to patients in these health states in either arm after week 52</w:t>
      </w:r>
    </w:p>
    <w:bookmarkStart w:id="73" w:name="_Ref119401211"/>
    <w:p w14:paraId="686E088E" w14:textId="44229444" w:rsidR="00AE6EC7" w:rsidRPr="000A03FD" w:rsidRDefault="00E16AD8" w:rsidP="00414666">
      <w:pPr>
        <w:pStyle w:val="3-BodyText"/>
      </w:pPr>
      <w:r w:rsidRPr="000A03FD">
        <w:fldChar w:fldCharType="begin" w:fldLock="1"/>
      </w:r>
      <w:r w:rsidRPr="000A03FD">
        <w:instrText xml:space="preserve"> REF _Ref104805181 \h  \* MERGEFORMAT </w:instrText>
      </w:r>
      <w:r w:rsidRPr="000A03FD">
        <w:fldChar w:fldCharType="separate"/>
      </w:r>
      <w:r w:rsidR="00625A18" w:rsidRPr="000A03FD">
        <w:t>Table 14</w:t>
      </w:r>
      <w:r w:rsidRPr="000A03FD">
        <w:fldChar w:fldCharType="end"/>
      </w:r>
      <w:r w:rsidR="000C4CF2" w:rsidRPr="000A03FD">
        <w:t xml:space="preserve"> </w:t>
      </w:r>
      <w:r w:rsidR="00806ADB" w:rsidRPr="000A03FD">
        <w:t xml:space="preserve">summarises the results of the economic evaluation presented in the resubmission. </w:t>
      </w:r>
      <w:r w:rsidR="00E34574" w:rsidRPr="000A03FD">
        <w:rPr>
          <w:iCs/>
        </w:rPr>
        <w:t>A cost per responder analysis for the within trial period (52 weeks) was conducted during the evaluation.</w:t>
      </w:r>
      <w:r w:rsidR="00D5552F" w:rsidRPr="000A03FD">
        <w:t xml:space="preserve"> The pre-PBAC response</w:t>
      </w:r>
      <w:r w:rsidR="00414666" w:rsidRPr="000A03FD">
        <w:t xml:space="preserve"> provided a re</w:t>
      </w:r>
      <w:r w:rsidR="004B533B" w:rsidRPr="000A03FD">
        <w:t>-specified</w:t>
      </w:r>
      <w:r w:rsidR="00414666" w:rsidRPr="000A03FD">
        <w:t xml:space="preserve"> base case incorporating: (1) a revised mepolizumab price ($</w:t>
      </w:r>
      <w:r w:rsidR="0020233B" w:rsidRPr="00685AB3">
        <w:rPr>
          <w:color w:val="000000"/>
          <w:w w:val="15"/>
          <w:shd w:val="solid" w:color="000000" w:fill="000000"/>
          <w:fitText w:val="-20" w:id="-1303140600"/>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600"/>
          <w14:textFill>
            <w14:solidFill>
              <w14:srgbClr w14:val="000000">
                <w14:alpha w14:val="100000"/>
              </w14:srgbClr>
            </w14:solidFill>
          </w14:textFill>
        </w:rPr>
        <w:t>|</w:t>
      </w:r>
      <w:r w:rsidR="00414666" w:rsidRPr="000A03FD">
        <w:t xml:space="preserve">), (2) differential loss of response (mepolizumab 27.6%, SoC 47.1%), (3) </w:t>
      </w:r>
      <w:r w:rsidR="004B533B" w:rsidRPr="000A03FD">
        <w:t>50% of 24 week mepolizumab cost allocated for mepolizumab week 52+ non-responders</w:t>
      </w:r>
      <w:r w:rsidR="00414666" w:rsidRPr="000A03FD">
        <w:t>, (4) application of 94.56% compliance</w:t>
      </w:r>
      <w:r w:rsidR="004B533B" w:rsidRPr="000A03FD">
        <w:t xml:space="preserve"> </w:t>
      </w:r>
      <w:r w:rsidR="00414666" w:rsidRPr="000A03FD">
        <w:t>for mepolizumab</w:t>
      </w:r>
      <w:bookmarkEnd w:id="73"/>
      <w:r w:rsidR="000A03FD">
        <w:t xml:space="preserve">. </w:t>
      </w:r>
    </w:p>
    <w:p w14:paraId="2C1B62F3" w14:textId="0FB4DD95" w:rsidR="001F4081" w:rsidRPr="000A03FD" w:rsidRDefault="00E16AD8" w:rsidP="00CC45E7">
      <w:pPr>
        <w:pStyle w:val="Caption"/>
        <w:rPr>
          <w:rStyle w:val="CommentReference"/>
          <w:b/>
          <w:szCs w:val="24"/>
        </w:rPr>
      </w:pPr>
      <w:bookmarkStart w:id="74" w:name="_Ref104805181"/>
      <w:r w:rsidRPr="000A03FD">
        <w:lastRenderedPageBreak/>
        <w:t xml:space="preserve">Table </w:t>
      </w:r>
      <w:fldSimple w:instr=" SEQ Table \* ARABIC " w:fldLock="1">
        <w:r w:rsidR="00A0401C" w:rsidRPr="000A03FD">
          <w:t>14</w:t>
        </w:r>
      </w:fldSimple>
      <w:bookmarkEnd w:id="74"/>
      <w:r w:rsidR="001F4081" w:rsidRPr="000A03FD">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30"/>
        <w:gridCol w:w="2425"/>
        <w:gridCol w:w="2272"/>
        <w:gridCol w:w="1589"/>
      </w:tblGrid>
      <w:tr w:rsidR="00133912" w:rsidRPr="000A03FD" w14:paraId="74E0C4DA" w14:textId="77777777" w:rsidTr="00113672">
        <w:trPr>
          <w:tblHeader/>
        </w:trPr>
        <w:tc>
          <w:tcPr>
            <w:tcW w:w="1514" w:type="pct"/>
            <w:vAlign w:val="center"/>
          </w:tcPr>
          <w:p w14:paraId="5ABA5F53" w14:textId="77777777" w:rsidR="00AC6680" w:rsidRPr="000A03FD" w:rsidRDefault="00AC6680" w:rsidP="00CC45E7">
            <w:pPr>
              <w:pStyle w:val="Tabletext"/>
              <w:keepNext/>
              <w:keepLines/>
              <w:rPr>
                <w:b/>
              </w:rPr>
            </w:pPr>
            <w:r w:rsidRPr="000A03FD">
              <w:rPr>
                <w:b/>
              </w:rPr>
              <w:t>Step and component</w:t>
            </w:r>
          </w:p>
        </w:tc>
        <w:tc>
          <w:tcPr>
            <w:tcW w:w="1345" w:type="pct"/>
            <w:vAlign w:val="center"/>
          </w:tcPr>
          <w:p w14:paraId="3AE7CA25" w14:textId="77777777" w:rsidR="00AC6680" w:rsidRPr="000A03FD" w:rsidRDefault="00AC6680" w:rsidP="00CC45E7">
            <w:pPr>
              <w:pStyle w:val="Tabletext"/>
              <w:keepNext/>
              <w:keepLines/>
              <w:jc w:val="center"/>
              <w:rPr>
                <w:b/>
              </w:rPr>
            </w:pPr>
            <w:r w:rsidRPr="000A03FD">
              <w:rPr>
                <w:b/>
              </w:rPr>
              <w:t>Mepolizumab</w:t>
            </w:r>
          </w:p>
        </w:tc>
        <w:tc>
          <w:tcPr>
            <w:tcW w:w="1260" w:type="pct"/>
            <w:vAlign w:val="center"/>
          </w:tcPr>
          <w:p w14:paraId="6942C2DC" w14:textId="77777777" w:rsidR="00AC6680" w:rsidRPr="000A03FD" w:rsidRDefault="00AC6680" w:rsidP="00CC45E7">
            <w:pPr>
              <w:pStyle w:val="Tabletext"/>
              <w:keepNext/>
              <w:keepLines/>
              <w:jc w:val="center"/>
              <w:rPr>
                <w:b/>
              </w:rPr>
            </w:pPr>
            <w:r w:rsidRPr="000A03FD">
              <w:rPr>
                <w:b/>
              </w:rPr>
              <w:t>Standard of care</w:t>
            </w:r>
          </w:p>
        </w:tc>
        <w:tc>
          <w:tcPr>
            <w:tcW w:w="881" w:type="pct"/>
            <w:vAlign w:val="center"/>
          </w:tcPr>
          <w:p w14:paraId="413A4E75" w14:textId="77777777" w:rsidR="00AC6680" w:rsidRPr="000A03FD" w:rsidRDefault="00AC6680" w:rsidP="00CC45E7">
            <w:pPr>
              <w:pStyle w:val="Tabletext"/>
              <w:keepNext/>
              <w:keepLines/>
              <w:jc w:val="center"/>
              <w:rPr>
                <w:b/>
              </w:rPr>
            </w:pPr>
            <w:r w:rsidRPr="000A03FD">
              <w:rPr>
                <w:b/>
              </w:rPr>
              <w:t>Increment</w:t>
            </w:r>
          </w:p>
        </w:tc>
      </w:tr>
      <w:tr w:rsidR="00133912" w:rsidRPr="000A03FD" w14:paraId="33F555C9" w14:textId="77777777" w:rsidTr="00113672">
        <w:trPr>
          <w:tblHeader/>
        </w:trPr>
        <w:tc>
          <w:tcPr>
            <w:tcW w:w="5000" w:type="pct"/>
            <w:gridSpan w:val="4"/>
            <w:vAlign w:val="center"/>
          </w:tcPr>
          <w:p w14:paraId="6DECE40A" w14:textId="77777777" w:rsidR="00AC6680" w:rsidRPr="000A03FD" w:rsidRDefault="00AC6680" w:rsidP="00CC45E7">
            <w:pPr>
              <w:pStyle w:val="Tabletext"/>
              <w:keepNext/>
              <w:keepLines/>
              <w:rPr>
                <w:b/>
              </w:rPr>
            </w:pPr>
            <w:r w:rsidRPr="000A03FD">
              <w:rPr>
                <w:b/>
              </w:rPr>
              <w:t>Trial-based (52 weeks) costs and outcomes (responders)</w:t>
            </w:r>
          </w:p>
        </w:tc>
      </w:tr>
      <w:tr w:rsidR="00133912" w:rsidRPr="000A03FD" w14:paraId="53835D0F" w14:textId="77777777" w:rsidTr="0020233B">
        <w:trPr>
          <w:tblHeader/>
        </w:trPr>
        <w:tc>
          <w:tcPr>
            <w:tcW w:w="1514" w:type="pct"/>
            <w:vAlign w:val="center"/>
          </w:tcPr>
          <w:p w14:paraId="65E8C720" w14:textId="623DAE30" w:rsidR="00AC6680" w:rsidRPr="00B36C72" w:rsidRDefault="00AC6680" w:rsidP="00CC45E7">
            <w:pPr>
              <w:pStyle w:val="Tabletext"/>
              <w:keepNext/>
              <w:keepLines/>
            </w:pPr>
            <w:r w:rsidRPr="000A03FD">
              <w:t xml:space="preserve">Costs </w:t>
            </w:r>
            <w:r w:rsidRPr="000A03FD">
              <w:rPr>
                <w:vertAlign w:val="superscript"/>
              </w:rPr>
              <w:t>a</w:t>
            </w:r>
            <w:r w:rsidR="00B36C72">
              <w:rPr>
                <w:vertAlign w:val="superscript"/>
              </w:rPr>
              <w:t xml:space="preserve"> </w:t>
            </w:r>
            <w:r w:rsidR="00B36C72">
              <w:t>($)</w:t>
            </w:r>
          </w:p>
        </w:tc>
        <w:tc>
          <w:tcPr>
            <w:tcW w:w="1345" w:type="pct"/>
            <w:shd w:val="solid" w:color="000000" w:fill="000000"/>
            <w:vAlign w:val="center"/>
          </w:tcPr>
          <w:p w14:paraId="2E2BFEED" w14:textId="078B5477" w:rsidR="00AC6680" w:rsidRPr="000A03FD" w:rsidRDefault="0020233B" w:rsidP="00CC45E7">
            <w:pPr>
              <w:pStyle w:val="Tabletext"/>
              <w:keepNext/>
              <w:keepLines/>
              <w:jc w:val="center"/>
            </w:pPr>
            <w:r w:rsidRPr="0020233B">
              <w:rPr>
                <w:color w:val="000000"/>
                <w14:textFill>
                  <w14:solidFill>
                    <w14:srgbClr w14:val="000000">
                      <w14:alpha w14:val="100000"/>
                    </w14:srgbClr>
                  </w14:solidFill>
                </w14:textFill>
              </w:rPr>
              <w:t>|</w:t>
            </w:r>
          </w:p>
        </w:tc>
        <w:tc>
          <w:tcPr>
            <w:tcW w:w="1260" w:type="pct"/>
            <w:vAlign w:val="center"/>
          </w:tcPr>
          <w:p w14:paraId="68DF9DF1" w14:textId="77777777" w:rsidR="00AC6680" w:rsidRPr="000A03FD" w:rsidRDefault="00AC6680" w:rsidP="00CC45E7">
            <w:pPr>
              <w:pStyle w:val="Tabletext"/>
              <w:keepNext/>
              <w:keepLines/>
              <w:jc w:val="center"/>
            </w:pPr>
            <w:r w:rsidRPr="000A03FD">
              <w:t>$1,820</w:t>
            </w:r>
          </w:p>
        </w:tc>
        <w:tc>
          <w:tcPr>
            <w:tcW w:w="881" w:type="pct"/>
            <w:shd w:val="solid" w:color="000000" w:fill="000000"/>
            <w:vAlign w:val="center"/>
          </w:tcPr>
          <w:p w14:paraId="65BB0A34" w14:textId="3F68DA43" w:rsidR="00AC6680" w:rsidRPr="000A03FD" w:rsidRDefault="0020233B" w:rsidP="00CC45E7">
            <w:pPr>
              <w:pStyle w:val="Tabletext"/>
              <w:keepNext/>
              <w:keepLines/>
              <w:jc w:val="center"/>
            </w:pPr>
            <w:r w:rsidRPr="0020233B">
              <w:rPr>
                <w:color w:val="000000"/>
                <w14:textFill>
                  <w14:solidFill>
                    <w14:srgbClr w14:val="000000">
                      <w14:alpha w14:val="100000"/>
                    </w14:srgbClr>
                  </w14:solidFill>
                </w14:textFill>
              </w:rPr>
              <w:t>|</w:t>
            </w:r>
          </w:p>
        </w:tc>
      </w:tr>
      <w:tr w:rsidR="00133912" w:rsidRPr="000A03FD" w14:paraId="59401049" w14:textId="77777777" w:rsidTr="00113672">
        <w:trPr>
          <w:tblHeader/>
        </w:trPr>
        <w:tc>
          <w:tcPr>
            <w:tcW w:w="1514" w:type="pct"/>
            <w:vAlign w:val="center"/>
          </w:tcPr>
          <w:p w14:paraId="7195DF10" w14:textId="77777777" w:rsidR="00AC6680" w:rsidRPr="000A03FD" w:rsidRDefault="00AC6680" w:rsidP="00CC45E7">
            <w:pPr>
              <w:pStyle w:val="Tabletext"/>
              <w:keepNext/>
              <w:keepLines/>
            </w:pPr>
            <w:r w:rsidRPr="000A03FD">
              <w:t>Response rate</w:t>
            </w:r>
          </w:p>
        </w:tc>
        <w:tc>
          <w:tcPr>
            <w:tcW w:w="1345" w:type="pct"/>
            <w:vAlign w:val="center"/>
          </w:tcPr>
          <w:p w14:paraId="1D9B681E" w14:textId="77777777" w:rsidR="00AC6680" w:rsidRPr="000A03FD" w:rsidRDefault="00AC6680" w:rsidP="00CC45E7">
            <w:pPr>
              <w:pStyle w:val="Tabletext"/>
              <w:keepNext/>
              <w:keepLines/>
              <w:jc w:val="center"/>
            </w:pPr>
            <w:r w:rsidRPr="000A03FD">
              <w:t>0.617</w:t>
            </w:r>
          </w:p>
        </w:tc>
        <w:tc>
          <w:tcPr>
            <w:tcW w:w="1260" w:type="pct"/>
            <w:vAlign w:val="center"/>
          </w:tcPr>
          <w:p w14:paraId="6DF611C0" w14:textId="77777777" w:rsidR="00AC6680" w:rsidRPr="000A03FD" w:rsidRDefault="00AC6680" w:rsidP="00CC45E7">
            <w:pPr>
              <w:pStyle w:val="Tabletext"/>
              <w:keepNext/>
              <w:keepLines/>
              <w:jc w:val="center"/>
            </w:pPr>
            <w:r w:rsidRPr="000A03FD">
              <w:t>0.316</w:t>
            </w:r>
          </w:p>
        </w:tc>
        <w:tc>
          <w:tcPr>
            <w:tcW w:w="881" w:type="pct"/>
            <w:vAlign w:val="center"/>
          </w:tcPr>
          <w:p w14:paraId="1413DE33" w14:textId="77777777" w:rsidR="00AC6680" w:rsidRPr="000A03FD" w:rsidRDefault="00AC6680" w:rsidP="00CC45E7">
            <w:pPr>
              <w:pStyle w:val="Tabletext"/>
              <w:keepNext/>
              <w:keepLines/>
              <w:jc w:val="center"/>
            </w:pPr>
            <w:r w:rsidRPr="000A03FD">
              <w:t>0.301</w:t>
            </w:r>
          </w:p>
        </w:tc>
      </w:tr>
      <w:tr w:rsidR="00133912" w:rsidRPr="000A03FD" w14:paraId="1E6D6B19" w14:textId="77777777" w:rsidTr="00113672">
        <w:trPr>
          <w:tblHeader/>
        </w:trPr>
        <w:tc>
          <w:tcPr>
            <w:tcW w:w="4119" w:type="pct"/>
            <w:gridSpan w:val="3"/>
            <w:vAlign w:val="center"/>
          </w:tcPr>
          <w:p w14:paraId="09BD9E7C" w14:textId="10BE0932" w:rsidR="00AC6680" w:rsidRPr="000A03FD" w:rsidRDefault="00AC6680" w:rsidP="00CC45E7">
            <w:pPr>
              <w:pStyle w:val="Tabletext"/>
              <w:keepNext/>
              <w:keepLines/>
            </w:pPr>
            <w:r w:rsidRPr="000A03FD">
              <w:t>Incremental cost/extra responder gained</w:t>
            </w:r>
            <w:r w:rsidR="008E0D35">
              <w:t xml:space="preserve"> ($)</w:t>
            </w:r>
          </w:p>
        </w:tc>
        <w:tc>
          <w:tcPr>
            <w:tcW w:w="881" w:type="pct"/>
            <w:vAlign w:val="center"/>
          </w:tcPr>
          <w:p w14:paraId="4A75A5FB" w14:textId="34B47CA4" w:rsidR="00AC6680" w:rsidRPr="000A03FD" w:rsidRDefault="0020233B" w:rsidP="00CC45E7">
            <w:pPr>
              <w:pStyle w:val="Tabletext"/>
              <w:keepNext/>
              <w:keepLines/>
              <w:jc w:val="center"/>
            </w:pPr>
            <w:r w:rsidRPr="0020233B">
              <w:rPr>
                <w:color w:val="000000"/>
                <w:shd w:val="solid" w:color="000000" w:fill="000000"/>
                <w14:textFill>
                  <w14:solidFill>
                    <w14:srgbClr w14:val="000000">
                      <w14:alpha w14:val="100000"/>
                    </w14:srgbClr>
                  </w14:solidFill>
                </w14:textFill>
              </w:rPr>
              <w:t>|</w:t>
            </w:r>
            <w:r w:rsidR="00B36C72" w:rsidRPr="00B36C72">
              <w:rPr>
                <w:rFonts w:cs="Arial"/>
                <w:iCs/>
                <w:sz w:val="18"/>
                <w:szCs w:val="18"/>
                <w:vertAlign w:val="superscript"/>
              </w:rPr>
              <w:t>1</w:t>
            </w:r>
          </w:p>
        </w:tc>
      </w:tr>
      <w:tr w:rsidR="00133912" w:rsidRPr="000A03FD" w14:paraId="63489D1A" w14:textId="77777777" w:rsidTr="00113672">
        <w:trPr>
          <w:tblHeader/>
        </w:trPr>
        <w:tc>
          <w:tcPr>
            <w:tcW w:w="5000" w:type="pct"/>
            <w:gridSpan w:val="4"/>
            <w:vAlign w:val="center"/>
          </w:tcPr>
          <w:p w14:paraId="66B25A8C" w14:textId="77777777" w:rsidR="00AC6680" w:rsidRPr="000A03FD" w:rsidRDefault="00AC6680" w:rsidP="00CC45E7">
            <w:pPr>
              <w:pStyle w:val="Tabletext"/>
              <w:keepNext/>
              <w:keepLines/>
              <w:rPr>
                <w:b/>
              </w:rPr>
            </w:pPr>
            <w:r w:rsidRPr="000A03FD">
              <w:rPr>
                <w:b/>
              </w:rPr>
              <w:t>Time horizon extended to 5 years (QALYs)</w:t>
            </w:r>
          </w:p>
        </w:tc>
      </w:tr>
      <w:tr w:rsidR="00133912" w:rsidRPr="000A03FD" w14:paraId="1A8641BF" w14:textId="77777777" w:rsidTr="0020233B">
        <w:tc>
          <w:tcPr>
            <w:tcW w:w="1514" w:type="pct"/>
            <w:vAlign w:val="center"/>
          </w:tcPr>
          <w:p w14:paraId="73BFCC07" w14:textId="4B379644" w:rsidR="00AC6680" w:rsidRPr="000A03FD" w:rsidRDefault="00AC6680" w:rsidP="00CC45E7">
            <w:pPr>
              <w:pStyle w:val="Tabletext"/>
              <w:keepNext/>
              <w:keepLines/>
              <w:rPr>
                <w:rFonts w:ascii="Times" w:hAnsi="Times"/>
              </w:rPr>
            </w:pPr>
            <w:r w:rsidRPr="000A03FD">
              <w:t>Costs</w:t>
            </w:r>
            <w:r w:rsidR="00B36C72">
              <w:t xml:space="preserve"> ($)</w:t>
            </w:r>
          </w:p>
        </w:tc>
        <w:tc>
          <w:tcPr>
            <w:tcW w:w="1345" w:type="pct"/>
            <w:shd w:val="solid" w:color="000000" w:fill="000000"/>
            <w:vAlign w:val="center"/>
          </w:tcPr>
          <w:p w14:paraId="200323BA" w14:textId="13A614E0" w:rsidR="00AC6680" w:rsidRPr="000A03FD" w:rsidRDefault="0020233B" w:rsidP="00CC45E7">
            <w:pPr>
              <w:pStyle w:val="Tabletext"/>
              <w:keepNext/>
              <w:keepLines/>
              <w:jc w:val="center"/>
            </w:pPr>
            <w:r w:rsidRPr="0020233B">
              <w:rPr>
                <w:color w:val="000000"/>
                <w14:textFill>
                  <w14:solidFill>
                    <w14:srgbClr w14:val="000000">
                      <w14:alpha w14:val="100000"/>
                    </w14:srgbClr>
                  </w14:solidFill>
                </w14:textFill>
              </w:rPr>
              <w:t>|</w:t>
            </w:r>
          </w:p>
        </w:tc>
        <w:tc>
          <w:tcPr>
            <w:tcW w:w="1260" w:type="pct"/>
            <w:vAlign w:val="center"/>
          </w:tcPr>
          <w:p w14:paraId="337E61B9" w14:textId="77777777" w:rsidR="00AC6680" w:rsidRPr="000A03FD" w:rsidRDefault="00AC6680" w:rsidP="00CC45E7">
            <w:pPr>
              <w:pStyle w:val="Tabletext"/>
              <w:keepNext/>
              <w:keepLines/>
              <w:jc w:val="center"/>
            </w:pPr>
            <w:r w:rsidRPr="000A03FD">
              <w:t>$5,252</w:t>
            </w:r>
          </w:p>
        </w:tc>
        <w:tc>
          <w:tcPr>
            <w:tcW w:w="881" w:type="pct"/>
            <w:shd w:val="solid" w:color="000000" w:fill="000000"/>
            <w:vAlign w:val="center"/>
          </w:tcPr>
          <w:p w14:paraId="1277D72B" w14:textId="2E7560B0" w:rsidR="00AC6680" w:rsidRPr="000A03FD" w:rsidRDefault="0020233B" w:rsidP="00CC45E7">
            <w:pPr>
              <w:pStyle w:val="Tabletext"/>
              <w:keepNext/>
              <w:keepLines/>
              <w:jc w:val="center"/>
            </w:pPr>
            <w:r w:rsidRPr="0020233B">
              <w:rPr>
                <w:color w:val="000000"/>
                <w14:textFill>
                  <w14:solidFill>
                    <w14:srgbClr w14:val="000000">
                      <w14:alpha w14:val="100000"/>
                    </w14:srgbClr>
                  </w14:solidFill>
                </w14:textFill>
              </w:rPr>
              <w:t>|</w:t>
            </w:r>
          </w:p>
        </w:tc>
      </w:tr>
      <w:tr w:rsidR="00133912" w:rsidRPr="000A03FD" w14:paraId="257F6818" w14:textId="77777777" w:rsidTr="00113672">
        <w:tc>
          <w:tcPr>
            <w:tcW w:w="1514" w:type="pct"/>
            <w:vAlign w:val="center"/>
          </w:tcPr>
          <w:p w14:paraId="2B950DE9" w14:textId="77777777" w:rsidR="00AC6680" w:rsidRPr="000A03FD" w:rsidRDefault="00AC6680" w:rsidP="00CC45E7">
            <w:pPr>
              <w:pStyle w:val="Tabletext"/>
              <w:keepNext/>
              <w:keepLines/>
            </w:pPr>
            <w:r w:rsidRPr="000A03FD">
              <w:t>LYs</w:t>
            </w:r>
          </w:p>
        </w:tc>
        <w:tc>
          <w:tcPr>
            <w:tcW w:w="1345" w:type="pct"/>
            <w:vAlign w:val="center"/>
          </w:tcPr>
          <w:p w14:paraId="10436F1A" w14:textId="77777777" w:rsidR="00AC6680" w:rsidRPr="000A03FD" w:rsidRDefault="00AC6680" w:rsidP="00CC45E7">
            <w:pPr>
              <w:pStyle w:val="Tabletext"/>
              <w:keepNext/>
              <w:keepLines/>
              <w:jc w:val="center"/>
            </w:pPr>
            <w:r w:rsidRPr="000A03FD">
              <w:t>4.436</w:t>
            </w:r>
          </w:p>
        </w:tc>
        <w:tc>
          <w:tcPr>
            <w:tcW w:w="1260" w:type="pct"/>
            <w:vAlign w:val="center"/>
          </w:tcPr>
          <w:p w14:paraId="0609E88E" w14:textId="77777777" w:rsidR="00AC6680" w:rsidRPr="000A03FD" w:rsidRDefault="00AC6680" w:rsidP="00CC45E7">
            <w:pPr>
              <w:pStyle w:val="Tabletext"/>
              <w:keepNext/>
              <w:keepLines/>
              <w:jc w:val="center"/>
            </w:pPr>
            <w:r w:rsidRPr="000A03FD">
              <w:t>4.436</w:t>
            </w:r>
          </w:p>
        </w:tc>
        <w:tc>
          <w:tcPr>
            <w:tcW w:w="881" w:type="pct"/>
            <w:vAlign w:val="center"/>
          </w:tcPr>
          <w:p w14:paraId="452B343A" w14:textId="77777777" w:rsidR="00AC6680" w:rsidRPr="000A03FD" w:rsidRDefault="00AC6680" w:rsidP="00CC45E7">
            <w:pPr>
              <w:pStyle w:val="Tabletext"/>
              <w:keepNext/>
              <w:keepLines/>
              <w:jc w:val="center"/>
            </w:pPr>
            <w:r w:rsidRPr="000A03FD">
              <w:t>0.000</w:t>
            </w:r>
          </w:p>
        </w:tc>
      </w:tr>
      <w:tr w:rsidR="00133912" w:rsidRPr="000A03FD" w14:paraId="78CFD618" w14:textId="77777777" w:rsidTr="00113672">
        <w:tc>
          <w:tcPr>
            <w:tcW w:w="1514" w:type="pct"/>
            <w:vAlign w:val="center"/>
          </w:tcPr>
          <w:p w14:paraId="23C91E16" w14:textId="77777777" w:rsidR="00AC6680" w:rsidRPr="000A03FD" w:rsidRDefault="00AC6680" w:rsidP="00CC45E7">
            <w:pPr>
              <w:pStyle w:val="Tabletext"/>
              <w:keepNext/>
              <w:keepLines/>
              <w:rPr>
                <w:rFonts w:ascii="Times" w:hAnsi="Times"/>
              </w:rPr>
            </w:pPr>
            <w:r w:rsidRPr="000A03FD">
              <w:t>QALYs</w:t>
            </w:r>
          </w:p>
        </w:tc>
        <w:tc>
          <w:tcPr>
            <w:tcW w:w="1345" w:type="pct"/>
            <w:vAlign w:val="center"/>
          </w:tcPr>
          <w:p w14:paraId="759402C3" w14:textId="77777777" w:rsidR="00AC6680" w:rsidRPr="000A03FD" w:rsidRDefault="00AC6680" w:rsidP="00CC45E7">
            <w:pPr>
              <w:pStyle w:val="Tabletext"/>
              <w:keepNext/>
              <w:keepLines/>
              <w:jc w:val="center"/>
            </w:pPr>
            <w:r w:rsidRPr="000A03FD">
              <w:t>2.957</w:t>
            </w:r>
          </w:p>
        </w:tc>
        <w:tc>
          <w:tcPr>
            <w:tcW w:w="1260" w:type="pct"/>
            <w:vAlign w:val="center"/>
          </w:tcPr>
          <w:p w14:paraId="4A3AEBB3" w14:textId="77777777" w:rsidR="00AC6680" w:rsidRPr="000A03FD" w:rsidRDefault="00AC6680" w:rsidP="00CC45E7">
            <w:pPr>
              <w:pStyle w:val="Tabletext"/>
              <w:keepNext/>
              <w:keepLines/>
              <w:jc w:val="center"/>
            </w:pPr>
            <w:r w:rsidRPr="000A03FD">
              <w:t>2.778</w:t>
            </w:r>
          </w:p>
        </w:tc>
        <w:tc>
          <w:tcPr>
            <w:tcW w:w="881" w:type="pct"/>
            <w:vAlign w:val="center"/>
          </w:tcPr>
          <w:p w14:paraId="51710B6B" w14:textId="77777777" w:rsidR="00AC6680" w:rsidRPr="000A03FD" w:rsidRDefault="00AC6680" w:rsidP="00CC45E7">
            <w:pPr>
              <w:pStyle w:val="Tabletext"/>
              <w:keepNext/>
              <w:keepLines/>
              <w:jc w:val="center"/>
            </w:pPr>
            <w:r w:rsidRPr="000A03FD">
              <w:t>0.179</w:t>
            </w:r>
          </w:p>
        </w:tc>
      </w:tr>
      <w:tr w:rsidR="00133912" w:rsidRPr="000A03FD" w14:paraId="2C632499" w14:textId="77777777" w:rsidTr="00113672">
        <w:tc>
          <w:tcPr>
            <w:tcW w:w="4119" w:type="pct"/>
            <w:gridSpan w:val="3"/>
            <w:vAlign w:val="center"/>
          </w:tcPr>
          <w:p w14:paraId="585548D5" w14:textId="245D8F9B" w:rsidR="00AC6680" w:rsidRPr="000A03FD" w:rsidRDefault="00AC6680" w:rsidP="00CC45E7">
            <w:pPr>
              <w:pStyle w:val="Tabletext"/>
              <w:keepNext/>
              <w:keepLines/>
              <w:rPr>
                <w:rFonts w:ascii="Times" w:hAnsi="Times"/>
                <w:bCs/>
              </w:rPr>
            </w:pPr>
            <w:r w:rsidRPr="000A03FD">
              <w:rPr>
                <w:bCs/>
              </w:rPr>
              <w:t>Incremental cost/extra QALYs gained (base-case)</w:t>
            </w:r>
            <w:r w:rsidR="008E0D35">
              <w:rPr>
                <w:bCs/>
              </w:rPr>
              <w:t xml:space="preserve"> ($)</w:t>
            </w:r>
          </w:p>
        </w:tc>
        <w:tc>
          <w:tcPr>
            <w:tcW w:w="881" w:type="pct"/>
            <w:vAlign w:val="center"/>
          </w:tcPr>
          <w:p w14:paraId="5AD805CB" w14:textId="508EAB53" w:rsidR="00AC6680" w:rsidRPr="000A03FD" w:rsidRDefault="0020233B" w:rsidP="00CC45E7">
            <w:pPr>
              <w:pStyle w:val="Tabletext"/>
              <w:keepNext/>
              <w:keepLines/>
              <w:jc w:val="center"/>
              <w:rPr>
                <w:rFonts w:ascii="Times" w:hAnsi="Times"/>
                <w:b/>
              </w:rPr>
            </w:pPr>
            <w:r w:rsidRPr="0020233B">
              <w:rPr>
                <w:b/>
                <w:color w:val="000000"/>
                <w:shd w:val="solid" w:color="000000" w:fill="000000"/>
                <w14:textFill>
                  <w14:solidFill>
                    <w14:srgbClr w14:val="000000">
                      <w14:alpha w14:val="100000"/>
                    </w14:srgbClr>
                  </w14:solidFill>
                </w14:textFill>
              </w:rPr>
              <w:t>|</w:t>
            </w:r>
            <w:r w:rsidR="00B36C72" w:rsidRPr="00B36C72">
              <w:rPr>
                <w:rFonts w:cs="Arial"/>
                <w:iCs/>
                <w:sz w:val="18"/>
                <w:szCs w:val="18"/>
                <w:vertAlign w:val="superscript"/>
              </w:rPr>
              <w:t>2</w:t>
            </w:r>
          </w:p>
        </w:tc>
      </w:tr>
      <w:tr w:rsidR="00FD53DC" w:rsidRPr="000A03FD" w14:paraId="66B46585" w14:textId="77777777" w:rsidTr="00146960">
        <w:trPr>
          <w:tblHeader/>
        </w:trPr>
        <w:tc>
          <w:tcPr>
            <w:tcW w:w="5000" w:type="pct"/>
            <w:gridSpan w:val="4"/>
            <w:vAlign w:val="center"/>
          </w:tcPr>
          <w:p w14:paraId="4AEFA5B1" w14:textId="7F2CCB3E" w:rsidR="00FD53DC" w:rsidRPr="000A03FD" w:rsidRDefault="00FD53DC" w:rsidP="00146960">
            <w:pPr>
              <w:pStyle w:val="Tabletext"/>
              <w:keepNext/>
              <w:keepLines/>
              <w:rPr>
                <w:b/>
              </w:rPr>
            </w:pPr>
            <w:r w:rsidRPr="000A03FD">
              <w:rPr>
                <w:b/>
              </w:rPr>
              <w:t>Pre-PBAC response re</w:t>
            </w:r>
            <w:r w:rsidR="004B533B" w:rsidRPr="000A03FD">
              <w:rPr>
                <w:b/>
              </w:rPr>
              <w:t>-specified</w:t>
            </w:r>
            <w:r w:rsidRPr="000A03FD">
              <w:rPr>
                <w:b/>
              </w:rPr>
              <w:t xml:space="preserve"> base</w:t>
            </w:r>
            <w:r w:rsidR="00EF76DD" w:rsidRPr="000A03FD">
              <w:rPr>
                <w:b/>
              </w:rPr>
              <w:t>-</w:t>
            </w:r>
            <w:r w:rsidRPr="000A03FD">
              <w:rPr>
                <w:b/>
              </w:rPr>
              <w:t>case</w:t>
            </w:r>
          </w:p>
        </w:tc>
      </w:tr>
      <w:tr w:rsidR="00FD53DC" w:rsidRPr="000A03FD" w14:paraId="1500B0E4" w14:textId="77777777" w:rsidTr="0020233B">
        <w:tc>
          <w:tcPr>
            <w:tcW w:w="1514" w:type="pct"/>
            <w:vAlign w:val="center"/>
          </w:tcPr>
          <w:p w14:paraId="31A78093" w14:textId="2C5D29BB" w:rsidR="00FD53DC" w:rsidRPr="000A03FD" w:rsidRDefault="00FD53DC" w:rsidP="00146960">
            <w:pPr>
              <w:pStyle w:val="Tabletext"/>
              <w:keepNext/>
              <w:keepLines/>
              <w:rPr>
                <w:rFonts w:ascii="Times" w:hAnsi="Times"/>
              </w:rPr>
            </w:pPr>
            <w:r w:rsidRPr="000A03FD">
              <w:t>Costs</w:t>
            </w:r>
            <w:r w:rsidR="008E0D35">
              <w:t xml:space="preserve"> ($)</w:t>
            </w:r>
          </w:p>
        </w:tc>
        <w:tc>
          <w:tcPr>
            <w:tcW w:w="1345" w:type="pct"/>
            <w:shd w:val="solid" w:color="000000" w:fill="000000"/>
            <w:vAlign w:val="center"/>
          </w:tcPr>
          <w:p w14:paraId="01FC5867" w14:textId="67524120" w:rsidR="00FD53DC" w:rsidRPr="000A03FD" w:rsidRDefault="0020233B" w:rsidP="00146960">
            <w:pPr>
              <w:pStyle w:val="Tabletext"/>
              <w:keepNext/>
              <w:keepLines/>
              <w:jc w:val="center"/>
            </w:pPr>
            <w:r w:rsidRPr="0020233B">
              <w:rPr>
                <w:color w:val="000000"/>
                <w14:textFill>
                  <w14:solidFill>
                    <w14:srgbClr w14:val="000000">
                      <w14:alpha w14:val="100000"/>
                    </w14:srgbClr>
                  </w14:solidFill>
                </w14:textFill>
              </w:rPr>
              <w:t>|</w:t>
            </w:r>
          </w:p>
        </w:tc>
        <w:tc>
          <w:tcPr>
            <w:tcW w:w="1260" w:type="pct"/>
            <w:vAlign w:val="center"/>
          </w:tcPr>
          <w:p w14:paraId="48D82875" w14:textId="5DCDD617" w:rsidR="00FD53DC" w:rsidRPr="000A03FD" w:rsidRDefault="00FD53DC" w:rsidP="00146960">
            <w:pPr>
              <w:pStyle w:val="Tabletext"/>
              <w:keepNext/>
              <w:keepLines/>
              <w:jc w:val="center"/>
            </w:pPr>
            <w:r w:rsidRPr="000A03FD">
              <w:t>$5,154</w:t>
            </w:r>
          </w:p>
        </w:tc>
        <w:tc>
          <w:tcPr>
            <w:tcW w:w="881" w:type="pct"/>
            <w:shd w:val="solid" w:color="000000" w:fill="000000"/>
            <w:vAlign w:val="center"/>
          </w:tcPr>
          <w:p w14:paraId="2794DD76" w14:textId="6F5149CD" w:rsidR="00FD53DC" w:rsidRPr="000A03FD" w:rsidRDefault="0020233B" w:rsidP="00146960">
            <w:pPr>
              <w:pStyle w:val="Tabletext"/>
              <w:keepNext/>
              <w:keepLines/>
              <w:jc w:val="center"/>
            </w:pPr>
            <w:r w:rsidRPr="0020233B">
              <w:rPr>
                <w:color w:val="000000"/>
                <w14:textFill>
                  <w14:solidFill>
                    <w14:srgbClr w14:val="000000">
                      <w14:alpha w14:val="100000"/>
                    </w14:srgbClr>
                  </w14:solidFill>
                </w14:textFill>
              </w:rPr>
              <w:t>|</w:t>
            </w:r>
          </w:p>
        </w:tc>
      </w:tr>
      <w:tr w:rsidR="00FD53DC" w:rsidRPr="000A03FD" w14:paraId="082E8C8E" w14:textId="77777777" w:rsidTr="00146960">
        <w:tc>
          <w:tcPr>
            <w:tcW w:w="1514" w:type="pct"/>
            <w:vAlign w:val="center"/>
          </w:tcPr>
          <w:p w14:paraId="568ED712" w14:textId="77777777" w:rsidR="00FD53DC" w:rsidRPr="000A03FD" w:rsidRDefault="00FD53DC" w:rsidP="00146960">
            <w:pPr>
              <w:pStyle w:val="Tabletext"/>
              <w:keepNext/>
              <w:keepLines/>
            </w:pPr>
            <w:r w:rsidRPr="000A03FD">
              <w:t>LYs</w:t>
            </w:r>
          </w:p>
        </w:tc>
        <w:tc>
          <w:tcPr>
            <w:tcW w:w="1345" w:type="pct"/>
            <w:vAlign w:val="center"/>
          </w:tcPr>
          <w:p w14:paraId="40DDA8E0" w14:textId="772BD895" w:rsidR="00FD53DC" w:rsidRPr="000A03FD" w:rsidRDefault="00FD53DC" w:rsidP="00146960">
            <w:pPr>
              <w:pStyle w:val="Tabletext"/>
              <w:keepNext/>
              <w:keepLines/>
              <w:jc w:val="center"/>
            </w:pPr>
            <w:r w:rsidRPr="000A03FD">
              <w:t>4.436</w:t>
            </w:r>
          </w:p>
        </w:tc>
        <w:tc>
          <w:tcPr>
            <w:tcW w:w="1260" w:type="pct"/>
            <w:vAlign w:val="center"/>
          </w:tcPr>
          <w:p w14:paraId="12A48354" w14:textId="7DEE5EBD" w:rsidR="00FD53DC" w:rsidRPr="000A03FD" w:rsidRDefault="00FD53DC" w:rsidP="00146960">
            <w:pPr>
              <w:pStyle w:val="Tabletext"/>
              <w:keepNext/>
              <w:keepLines/>
              <w:jc w:val="center"/>
            </w:pPr>
            <w:r w:rsidRPr="000A03FD">
              <w:t>4.436</w:t>
            </w:r>
          </w:p>
        </w:tc>
        <w:tc>
          <w:tcPr>
            <w:tcW w:w="881" w:type="pct"/>
            <w:vAlign w:val="center"/>
          </w:tcPr>
          <w:p w14:paraId="4C4EDAD9" w14:textId="5491CFE2" w:rsidR="00FD53DC" w:rsidRPr="000A03FD" w:rsidRDefault="00FD53DC" w:rsidP="00146960">
            <w:pPr>
              <w:pStyle w:val="Tabletext"/>
              <w:keepNext/>
              <w:keepLines/>
              <w:jc w:val="center"/>
            </w:pPr>
            <w:r w:rsidRPr="000A03FD">
              <w:t>0.000</w:t>
            </w:r>
          </w:p>
        </w:tc>
      </w:tr>
      <w:tr w:rsidR="00FD53DC" w:rsidRPr="000A03FD" w14:paraId="7232A850" w14:textId="77777777" w:rsidTr="00146960">
        <w:tc>
          <w:tcPr>
            <w:tcW w:w="1514" w:type="pct"/>
            <w:vAlign w:val="center"/>
          </w:tcPr>
          <w:p w14:paraId="7CD2CF44" w14:textId="77777777" w:rsidR="00FD53DC" w:rsidRPr="000A03FD" w:rsidRDefault="00FD53DC" w:rsidP="00146960">
            <w:pPr>
              <w:pStyle w:val="Tabletext"/>
              <w:keepNext/>
              <w:keepLines/>
              <w:rPr>
                <w:rFonts w:ascii="Times" w:hAnsi="Times"/>
              </w:rPr>
            </w:pPr>
            <w:r w:rsidRPr="000A03FD">
              <w:t>QALYs</w:t>
            </w:r>
          </w:p>
        </w:tc>
        <w:tc>
          <w:tcPr>
            <w:tcW w:w="1345" w:type="pct"/>
            <w:vAlign w:val="center"/>
          </w:tcPr>
          <w:p w14:paraId="3E665FEF" w14:textId="2DF0369E" w:rsidR="00FD53DC" w:rsidRPr="000A03FD" w:rsidRDefault="00FD53DC" w:rsidP="00146960">
            <w:pPr>
              <w:pStyle w:val="Tabletext"/>
              <w:keepNext/>
              <w:keepLines/>
              <w:jc w:val="center"/>
            </w:pPr>
            <w:r w:rsidRPr="000A03FD">
              <w:t>2.957</w:t>
            </w:r>
          </w:p>
        </w:tc>
        <w:tc>
          <w:tcPr>
            <w:tcW w:w="1260" w:type="pct"/>
            <w:vAlign w:val="center"/>
          </w:tcPr>
          <w:p w14:paraId="787B33F4" w14:textId="56D38E69" w:rsidR="00FD53DC" w:rsidRPr="000A03FD" w:rsidRDefault="00FD53DC" w:rsidP="00146960">
            <w:pPr>
              <w:pStyle w:val="Tabletext"/>
              <w:keepNext/>
              <w:keepLines/>
              <w:jc w:val="center"/>
            </w:pPr>
            <w:r w:rsidRPr="000A03FD">
              <w:t>2.803</w:t>
            </w:r>
          </w:p>
        </w:tc>
        <w:tc>
          <w:tcPr>
            <w:tcW w:w="881" w:type="pct"/>
            <w:vAlign w:val="center"/>
          </w:tcPr>
          <w:p w14:paraId="29851991" w14:textId="78983107" w:rsidR="00FD53DC" w:rsidRPr="000A03FD" w:rsidRDefault="00FD53DC" w:rsidP="00146960">
            <w:pPr>
              <w:pStyle w:val="Tabletext"/>
              <w:keepNext/>
              <w:keepLines/>
              <w:jc w:val="center"/>
            </w:pPr>
            <w:r w:rsidRPr="000A03FD">
              <w:t>0.154</w:t>
            </w:r>
          </w:p>
        </w:tc>
      </w:tr>
      <w:tr w:rsidR="00FD53DC" w:rsidRPr="000A03FD" w14:paraId="58A667AD" w14:textId="77777777" w:rsidTr="00146960">
        <w:tc>
          <w:tcPr>
            <w:tcW w:w="4119" w:type="pct"/>
            <w:gridSpan w:val="3"/>
            <w:vAlign w:val="center"/>
          </w:tcPr>
          <w:p w14:paraId="1C7000B2" w14:textId="2B343FEF" w:rsidR="00FD53DC" w:rsidRPr="000A03FD" w:rsidRDefault="00FD53DC" w:rsidP="00146960">
            <w:pPr>
              <w:pStyle w:val="Tabletext"/>
              <w:keepNext/>
              <w:keepLines/>
              <w:rPr>
                <w:rFonts w:ascii="Times" w:hAnsi="Times"/>
                <w:bCs/>
              </w:rPr>
            </w:pPr>
            <w:r w:rsidRPr="000A03FD">
              <w:rPr>
                <w:bCs/>
              </w:rPr>
              <w:t>Incremental cost/extra QALYs gained (</w:t>
            </w:r>
            <w:r w:rsidR="00D5552F" w:rsidRPr="000A03FD">
              <w:rPr>
                <w:bCs/>
              </w:rPr>
              <w:t xml:space="preserve">revised </w:t>
            </w:r>
            <w:r w:rsidRPr="000A03FD">
              <w:rPr>
                <w:bCs/>
              </w:rPr>
              <w:t>base-case)</w:t>
            </w:r>
            <w:r w:rsidR="008E0D35">
              <w:rPr>
                <w:bCs/>
              </w:rPr>
              <w:t xml:space="preserve"> ($)</w:t>
            </w:r>
          </w:p>
        </w:tc>
        <w:tc>
          <w:tcPr>
            <w:tcW w:w="881" w:type="pct"/>
            <w:vAlign w:val="center"/>
          </w:tcPr>
          <w:p w14:paraId="0FD77B6B" w14:textId="74F01A56" w:rsidR="00FD53DC" w:rsidRPr="000A03FD" w:rsidRDefault="0020233B" w:rsidP="00146960">
            <w:pPr>
              <w:pStyle w:val="Tabletext"/>
              <w:keepNext/>
              <w:keepLines/>
              <w:jc w:val="center"/>
              <w:rPr>
                <w:rFonts w:ascii="Times" w:hAnsi="Times"/>
                <w:b/>
              </w:rPr>
            </w:pPr>
            <w:r w:rsidRPr="0020233B">
              <w:rPr>
                <w:b/>
                <w:color w:val="000000"/>
                <w:shd w:val="solid" w:color="000000" w:fill="000000"/>
                <w14:textFill>
                  <w14:solidFill>
                    <w14:srgbClr w14:val="000000">
                      <w14:alpha w14:val="100000"/>
                    </w14:srgbClr>
                  </w14:solidFill>
                </w14:textFill>
              </w:rPr>
              <w:t>|</w:t>
            </w:r>
            <w:r w:rsidR="00B36C72" w:rsidRPr="00B36C72">
              <w:rPr>
                <w:rFonts w:cs="Arial"/>
                <w:iCs/>
                <w:sz w:val="18"/>
                <w:szCs w:val="18"/>
                <w:vertAlign w:val="superscript"/>
              </w:rPr>
              <w:t>2</w:t>
            </w:r>
          </w:p>
        </w:tc>
      </w:tr>
      <w:tr w:rsidR="00F068A4" w:rsidRPr="000A03FD" w14:paraId="4821BC3A" w14:textId="77777777" w:rsidTr="00F068A4">
        <w:tc>
          <w:tcPr>
            <w:tcW w:w="5000" w:type="pct"/>
            <w:gridSpan w:val="4"/>
            <w:shd w:val="clear" w:color="auto" w:fill="C6D9F1" w:themeFill="text2" w:themeFillTint="33"/>
            <w:vAlign w:val="center"/>
          </w:tcPr>
          <w:p w14:paraId="23AD3D9F" w14:textId="77777777" w:rsidR="00F068A4" w:rsidRPr="000A03FD" w:rsidRDefault="00F068A4" w:rsidP="00CC45E7">
            <w:pPr>
              <w:pStyle w:val="Tabletext"/>
              <w:keepNext/>
              <w:keepLines/>
              <w:rPr>
                <w:b/>
                <w:bCs/>
              </w:rPr>
            </w:pPr>
            <w:r w:rsidRPr="000A03FD">
              <w:rPr>
                <w:b/>
                <w:bCs/>
              </w:rPr>
              <w:t>Previous submission (November 2021, 30-year time horizon)</w:t>
            </w:r>
          </w:p>
        </w:tc>
      </w:tr>
      <w:tr w:rsidR="00F068A4" w:rsidRPr="000A03FD" w14:paraId="6858BA81" w14:textId="77777777" w:rsidTr="0020233B">
        <w:tc>
          <w:tcPr>
            <w:tcW w:w="1514" w:type="pct"/>
            <w:shd w:val="clear" w:color="auto" w:fill="C6D9F1" w:themeFill="text2" w:themeFillTint="33"/>
            <w:vAlign w:val="center"/>
          </w:tcPr>
          <w:p w14:paraId="513ED124" w14:textId="1CF5275F" w:rsidR="00F068A4" w:rsidRPr="000A03FD" w:rsidRDefault="00F068A4" w:rsidP="00CC45E7">
            <w:pPr>
              <w:pStyle w:val="Tabletext"/>
              <w:keepNext/>
              <w:keepLines/>
            </w:pPr>
            <w:r w:rsidRPr="000A03FD">
              <w:t>Costs</w:t>
            </w:r>
            <w:r w:rsidR="008E0D35">
              <w:t xml:space="preserve"> ($)</w:t>
            </w:r>
          </w:p>
        </w:tc>
        <w:tc>
          <w:tcPr>
            <w:tcW w:w="1345" w:type="pct"/>
            <w:shd w:val="solid" w:color="000000" w:fill="000000"/>
            <w:vAlign w:val="center"/>
          </w:tcPr>
          <w:p w14:paraId="71EA2446" w14:textId="50902162" w:rsidR="00F068A4" w:rsidRPr="000A03FD" w:rsidRDefault="0020233B" w:rsidP="00CC45E7">
            <w:pPr>
              <w:pStyle w:val="Tabletext"/>
              <w:keepNext/>
              <w:keepLines/>
              <w:jc w:val="center"/>
            </w:pPr>
            <w:r w:rsidRPr="0020233B">
              <w:rPr>
                <w:color w:val="000000"/>
                <w14:textFill>
                  <w14:solidFill>
                    <w14:srgbClr w14:val="000000">
                      <w14:alpha w14:val="100000"/>
                    </w14:srgbClr>
                  </w14:solidFill>
                </w14:textFill>
              </w:rPr>
              <w:t>|</w:t>
            </w:r>
          </w:p>
        </w:tc>
        <w:tc>
          <w:tcPr>
            <w:tcW w:w="1260" w:type="pct"/>
            <w:shd w:val="clear" w:color="auto" w:fill="C6D9F1" w:themeFill="text2" w:themeFillTint="33"/>
            <w:vAlign w:val="center"/>
          </w:tcPr>
          <w:p w14:paraId="3E7E753C" w14:textId="77777777" w:rsidR="00F068A4" w:rsidRPr="000A03FD" w:rsidRDefault="00F068A4" w:rsidP="00CC45E7">
            <w:pPr>
              <w:pStyle w:val="Tabletext"/>
              <w:keepNext/>
              <w:keepLines/>
              <w:jc w:val="center"/>
            </w:pPr>
            <w:r w:rsidRPr="000A03FD">
              <w:t>$9,714</w:t>
            </w:r>
          </w:p>
        </w:tc>
        <w:tc>
          <w:tcPr>
            <w:tcW w:w="881" w:type="pct"/>
            <w:shd w:val="solid" w:color="000000" w:fill="000000"/>
            <w:vAlign w:val="center"/>
          </w:tcPr>
          <w:p w14:paraId="1464568A" w14:textId="128FE51F" w:rsidR="00F068A4" w:rsidRPr="000A03FD" w:rsidRDefault="0020233B" w:rsidP="00CC45E7">
            <w:pPr>
              <w:pStyle w:val="Tabletext"/>
              <w:keepNext/>
              <w:keepLines/>
              <w:jc w:val="center"/>
            </w:pPr>
            <w:r w:rsidRPr="0020233B">
              <w:rPr>
                <w:color w:val="000000"/>
                <w14:textFill>
                  <w14:solidFill>
                    <w14:srgbClr w14:val="000000">
                      <w14:alpha w14:val="100000"/>
                    </w14:srgbClr>
                  </w14:solidFill>
                </w14:textFill>
              </w:rPr>
              <w:t>|</w:t>
            </w:r>
          </w:p>
        </w:tc>
      </w:tr>
      <w:tr w:rsidR="00F068A4" w:rsidRPr="000A03FD" w14:paraId="2C10FBB6" w14:textId="77777777" w:rsidTr="00F068A4">
        <w:tc>
          <w:tcPr>
            <w:tcW w:w="1514" w:type="pct"/>
            <w:shd w:val="clear" w:color="auto" w:fill="C6D9F1" w:themeFill="text2" w:themeFillTint="33"/>
            <w:vAlign w:val="center"/>
          </w:tcPr>
          <w:p w14:paraId="2EF7E6EB" w14:textId="77777777" w:rsidR="00F068A4" w:rsidRPr="000A03FD" w:rsidRDefault="00F068A4" w:rsidP="00CC45E7">
            <w:pPr>
              <w:pStyle w:val="Tabletext"/>
              <w:keepNext/>
              <w:keepLines/>
            </w:pPr>
            <w:r w:rsidRPr="000A03FD">
              <w:t>QALYs</w:t>
            </w:r>
          </w:p>
        </w:tc>
        <w:tc>
          <w:tcPr>
            <w:tcW w:w="1345" w:type="pct"/>
            <w:shd w:val="clear" w:color="auto" w:fill="C6D9F1" w:themeFill="text2" w:themeFillTint="33"/>
            <w:vAlign w:val="center"/>
          </w:tcPr>
          <w:p w14:paraId="7762891A" w14:textId="77777777" w:rsidR="00F068A4" w:rsidRPr="000A03FD" w:rsidRDefault="00F068A4" w:rsidP="00CC45E7">
            <w:pPr>
              <w:pStyle w:val="Tabletext"/>
              <w:keepNext/>
              <w:keepLines/>
              <w:jc w:val="center"/>
            </w:pPr>
            <w:r w:rsidRPr="000A03FD">
              <w:t>9.692</w:t>
            </w:r>
          </w:p>
        </w:tc>
        <w:tc>
          <w:tcPr>
            <w:tcW w:w="1260" w:type="pct"/>
            <w:shd w:val="clear" w:color="auto" w:fill="C6D9F1" w:themeFill="text2" w:themeFillTint="33"/>
            <w:vAlign w:val="center"/>
          </w:tcPr>
          <w:p w14:paraId="1A32B271" w14:textId="77777777" w:rsidR="00F068A4" w:rsidRPr="000A03FD" w:rsidRDefault="00F068A4" w:rsidP="00CC45E7">
            <w:pPr>
              <w:pStyle w:val="Tabletext"/>
              <w:keepNext/>
              <w:keepLines/>
              <w:jc w:val="center"/>
            </w:pPr>
            <w:r w:rsidRPr="000A03FD">
              <w:t>8.876</w:t>
            </w:r>
          </w:p>
        </w:tc>
        <w:tc>
          <w:tcPr>
            <w:tcW w:w="881" w:type="pct"/>
            <w:shd w:val="clear" w:color="auto" w:fill="C6D9F1" w:themeFill="text2" w:themeFillTint="33"/>
            <w:vAlign w:val="center"/>
          </w:tcPr>
          <w:p w14:paraId="25F4669A" w14:textId="77777777" w:rsidR="00F068A4" w:rsidRPr="000A03FD" w:rsidRDefault="00F068A4" w:rsidP="00CC45E7">
            <w:pPr>
              <w:pStyle w:val="Tabletext"/>
              <w:keepNext/>
              <w:keepLines/>
              <w:jc w:val="center"/>
            </w:pPr>
            <w:r w:rsidRPr="000A03FD">
              <w:t>0.905</w:t>
            </w:r>
          </w:p>
        </w:tc>
      </w:tr>
      <w:tr w:rsidR="00F068A4" w:rsidRPr="000A03FD" w14:paraId="6695DE52" w14:textId="77777777" w:rsidTr="00F068A4">
        <w:trPr>
          <w:trHeight w:val="58"/>
        </w:trPr>
        <w:tc>
          <w:tcPr>
            <w:tcW w:w="4119" w:type="pct"/>
            <w:gridSpan w:val="3"/>
            <w:shd w:val="clear" w:color="auto" w:fill="C6D9F1" w:themeFill="text2" w:themeFillTint="33"/>
            <w:vAlign w:val="center"/>
          </w:tcPr>
          <w:p w14:paraId="22953FD3" w14:textId="16FCBFE7" w:rsidR="00F068A4" w:rsidRPr="000A03FD" w:rsidRDefault="00F068A4" w:rsidP="00CC45E7">
            <w:pPr>
              <w:pStyle w:val="Tabletext"/>
              <w:keepNext/>
              <w:keepLines/>
              <w:rPr>
                <w:rFonts w:ascii="Times" w:hAnsi="Times"/>
                <w:bCs/>
              </w:rPr>
            </w:pPr>
            <w:r w:rsidRPr="000A03FD">
              <w:rPr>
                <w:b/>
              </w:rPr>
              <w:t>Incremental cost/extra QALYs gained (base</w:t>
            </w:r>
            <w:r w:rsidR="001B3701" w:rsidRPr="000A03FD">
              <w:rPr>
                <w:b/>
              </w:rPr>
              <w:t>-</w:t>
            </w:r>
            <w:r w:rsidRPr="000A03FD">
              <w:rPr>
                <w:b/>
              </w:rPr>
              <w:t>case)</w:t>
            </w:r>
            <w:r w:rsidR="008E0D35">
              <w:rPr>
                <w:b/>
              </w:rPr>
              <w:t xml:space="preserve"> ($)</w:t>
            </w:r>
          </w:p>
        </w:tc>
        <w:tc>
          <w:tcPr>
            <w:tcW w:w="881" w:type="pct"/>
            <w:shd w:val="clear" w:color="auto" w:fill="C6D9F1" w:themeFill="text2" w:themeFillTint="33"/>
            <w:vAlign w:val="center"/>
          </w:tcPr>
          <w:p w14:paraId="52BE38CC" w14:textId="3FFDAF82" w:rsidR="00F068A4" w:rsidRPr="000A03FD" w:rsidRDefault="0020233B" w:rsidP="00CC45E7">
            <w:pPr>
              <w:pStyle w:val="Tabletext"/>
              <w:keepNext/>
              <w:keepLines/>
              <w:jc w:val="center"/>
              <w:rPr>
                <w:rFonts w:ascii="Times" w:hAnsi="Times"/>
                <w:b/>
              </w:rPr>
            </w:pPr>
            <w:r w:rsidRPr="0020233B">
              <w:rPr>
                <w:b/>
                <w:color w:val="000000"/>
                <w:shd w:val="solid" w:color="000000" w:fill="000000"/>
                <w14:textFill>
                  <w14:solidFill>
                    <w14:srgbClr w14:val="000000">
                      <w14:alpha w14:val="100000"/>
                    </w14:srgbClr>
                  </w14:solidFill>
                </w14:textFill>
              </w:rPr>
              <w:t>|</w:t>
            </w:r>
            <w:r w:rsidR="00B36C72" w:rsidRPr="00B36C72">
              <w:rPr>
                <w:rFonts w:cs="Arial"/>
                <w:iCs/>
                <w:sz w:val="18"/>
                <w:szCs w:val="18"/>
                <w:vertAlign w:val="superscript"/>
              </w:rPr>
              <w:t>2</w:t>
            </w:r>
          </w:p>
        </w:tc>
      </w:tr>
    </w:tbl>
    <w:p w14:paraId="727FD1FA" w14:textId="4925D79F" w:rsidR="00AC6680" w:rsidRPr="000A03FD" w:rsidRDefault="00AC6680" w:rsidP="00AE6EC7">
      <w:pPr>
        <w:pStyle w:val="TableFooter"/>
        <w:keepNext/>
      </w:pPr>
      <w:r w:rsidRPr="000A03FD">
        <w:t>Source: Table 3-28, p180 of the submission</w:t>
      </w:r>
      <w:r w:rsidR="00414666" w:rsidRPr="000A03FD">
        <w:t xml:space="preserve">, Table 3, p3 pre-PBAC response </w:t>
      </w:r>
    </w:p>
    <w:p w14:paraId="5FAAC926" w14:textId="5491A885" w:rsidR="001544B4" w:rsidRPr="000A03FD" w:rsidRDefault="001544B4" w:rsidP="001544B4">
      <w:pPr>
        <w:pStyle w:val="TableFooter"/>
      </w:pPr>
      <w:r w:rsidRPr="000A03FD">
        <w:t>a</w:t>
      </w:r>
      <w:r w:rsidR="00505A30" w:rsidRPr="000A03FD">
        <w:t>.</w:t>
      </w:r>
      <w:r w:rsidRPr="000A03FD">
        <w:t xml:space="preserve"> includes all costs accrued up to 52 weeks as estimated by the economic model</w:t>
      </w:r>
    </w:p>
    <w:p w14:paraId="2C227273" w14:textId="0A357377" w:rsidR="00AC6680" w:rsidRPr="000A03FD" w:rsidRDefault="00AC6680" w:rsidP="00AE6EC7">
      <w:pPr>
        <w:pStyle w:val="TableFooter"/>
        <w:keepNext/>
      </w:pPr>
      <w:r w:rsidRPr="000A03FD">
        <w:t>LY = life year; QALY= quality-adjusted life year</w:t>
      </w:r>
    </w:p>
    <w:p w14:paraId="3F9B50E8" w14:textId="2E8C7E94" w:rsidR="00F068A4" w:rsidRDefault="00F068A4" w:rsidP="00AE6EC7">
      <w:pPr>
        <w:pStyle w:val="TableFooter"/>
        <w:keepNext/>
      </w:pPr>
      <w:r w:rsidRPr="000A03FD">
        <w:t>Blue shaded cells indicate values previously considered by PBAC</w:t>
      </w:r>
    </w:p>
    <w:p w14:paraId="7F0C8BC4" w14:textId="77777777" w:rsidR="00B36C72" w:rsidRPr="009A6D58" w:rsidRDefault="00B36C72" w:rsidP="00B36C7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F5ADD22" w14:textId="764D81DB" w:rsidR="00B36C72" w:rsidRPr="009A6D58" w:rsidRDefault="00B36C72" w:rsidP="00B36C7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$5,000 to &lt; $15,000/QALY</w:t>
      </w:r>
    </w:p>
    <w:p w14:paraId="6C95DFD3" w14:textId="1794376F" w:rsidR="0059719F" w:rsidRPr="000A03FD" w:rsidRDefault="00B36C72" w:rsidP="00053156">
      <w:pPr>
        <w:spacing w:after="120"/>
      </w:pPr>
      <w:r w:rsidRPr="009A6D58">
        <w:rPr>
          <w:rFonts w:ascii="Arial Narrow" w:hAnsi="Arial Narrow"/>
          <w:i/>
          <w:sz w:val="18"/>
          <w:szCs w:val="18"/>
          <w:vertAlign w:val="superscript"/>
        </w:rPr>
        <w:t>2</w:t>
      </w:r>
      <w:r>
        <w:rPr>
          <w:rFonts w:ascii="Arial Narrow" w:hAnsi="Arial Narrow"/>
          <w:i/>
          <w:sz w:val="18"/>
          <w:szCs w:val="18"/>
        </w:rPr>
        <w:t xml:space="preserve"> $55,000 to &lt; $75,000/QALY</w:t>
      </w:r>
    </w:p>
    <w:p w14:paraId="74731D21" w14:textId="7D248923" w:rsidR="005A373D" w:rsidRPr="000A03FD" w:rsidRDefault="00A97524" w:rsidP="00093ADF">
      <w:pPr>
        <w:pStyle w:val="3-BodyText"/>
      </w:pPr>
      <w:r w:rsidRPr="000A03FD">
        <w:t>The largest contribution to the incremental cost in the model was drug acquisition costs (116% of total incremental cost). Surgery had a larger contribution to the incremental cost (-15.6%) than in the previous submission (-6.4%).</w:t>
      </w:r>
      <w:r w:rsidR="00866C33" w:rsidRPr="000A03FD">
        <w:t xml:space="preserve"> This was expected given no loss of response after 52 weeks was applied in the previous submission, and only patients who were non-responders could have surgery after 52 weeks.</w:t>
      </w:r>
      <w:r w:rsidRPr="000A03FD">
        <w:t xml:space="preserve"> </w:t>
      </w:r>
      <w:r w:rsidR="0097323E" w:rsidRPr="000A03FD">
        <w:t>Overall, the base-case ICER decreased by $</w:t>
      </w:r>
      <w:r w:rsidR="00C40D7F">
        <w:t>5,000 to &lt; $10,000</w:t>
      </w:r>
      <w:r w:rsidR="0097323E" w:rsidRPr="000A03FD">
        <w:t xml:space="preserve"> per QALY from the previous submission.</w:t>
      </w:r>
    </w:p>
    <w:p w14:paraId="05C3B94A" w14:textId="2ED533A9" w:rsidR="00093ADF" w:rsidRDefault="00D23D11" w:rsidP="00BB732D">
      <w:pPr>
        <w:pStyle w:val="3-BodyText"/>
      </w:pPr>
      <w:r w:rsidRPr="000A03FD">
        <w:t xml:space="preserve">The results of key univariate </w:t>
      </w:r>
      <w:r w:rsidR="007B511E" w:rsidRPr="000A03FD">
        <w:t>and</w:t>
      </w:r>
      <w:r w:rsidRPr="000A03FD">
        <w:t xml:space="preserve"> multivariate sensitivity analyses are summarised </w:t>
      </w:r>
      <w:r w:rsidR="00E16AD8" w:rsidRPr="000A03FD">
        <w:t xml:space="preserve">in </w:t>
      </w:r>
      <w:r w:rsidR="00E16AD8" w:rsidRPr="000A03FD">
        <w:fldChar w:fldCharType="begin" w:fldLock="1"/>
      </w:r>
      <w:r w:rsidR="00E16AD8" w:rsidRPr="000A03FD">
        <w:instrText xml:space="preserve"> REF _Ref104804865 \h </w:instrText>
      </w:r>
      <w:r w:rsidR="00E16AD8" w:rsidRPr="000A03FD">
        <w:fldChar w:fldCharType="separate"/>
      </w:r>
      <w:r w:rsidR="00625A18" w:rsidRPr="000A03FD">
        <w:t>Table 15</w:t>
      </w:r>
      <w:r w:rsidR="00E16AD8" w:rsidRPr="000A03FD">
        <w:fldChar w:fldCharType="end"/>
      </w:r>
      <w:r w:rsidRPr="000A03FD">
        <w:t xml:space="preserve">. </w:t>
      </w:r>
    </w:p>
    <w:p w14:paraId="442B9477" w14:textId="77777777" w:rsidR="00C03C65" w:rsidRPr="000A03FD" w:rsidRDefault="00C03C65" w:rsidP="00C03C65">
      <w:pPr>
        <w:pStyle w:val="3-BodyText"/>
        <w:numPr>
          <w:ilvl w:val="0"/>
          <w:numId w:val="0"/>
        </w:numPr>
        <w:ind w:left="720"/>
      </w:pPr>
    </w:p>
    <w:p w14:paraId="3A64F4E7" w14:textId="6D59C4BF" w:rsidR="00D23D11" w:rsidRPr="000A03FD" w:rsidRDefault="00E16AD8" w:rsidP="00053156">
      <w:pPr>
        <w:pStyle w:val="Caption"/>
        <w:rPr>
          <w:rStyle w:val="CommentReference"/>
          <w:b/>
          <w:szCs w:val="24"/>
        </w:rPr>
      </w:pPr>
      <w:bookmarkStart w:id="75" w:name="_Ref104804865"/>
      <w:bookmarkStart w:id="76" w:name="_Hlk113889355"/>
      <w:r w:rsidRPr="000A03FD">
        <w:lastRenderedPageBreak/>
        <w:t xml:space="preserve">Table </w:t>
      </w:r>
      <w:fldSimple w:instr=" SEQ Table \* ARABIC " w:fldLock="1">
        <w:r w:rsidR="00A0401C" w:rsidRPr="000A03FD">
          <w:t>15</w:t>
        </w:r>
      </w:fldSimple>
      <w:bookmarkEnd w:id="75"/>
      <w:r w:rsidRPr="000A03FD">
        <w:t>:</w:t>
      </w:r>
      <w:r w:rsidR="00354F64" w:rsidRPr="000A03FD">
        <w:rPr>
          <w:rStyle w:val="CommentReference"/>
          <w:b/>
          <w:szCs w:val="24"/>
        </w:rPr>
        <w:t xml:space="preserve"> </w:t>
      </w:r>
      <w:r w:rsidR="00D928EF" w:rsidRPr="000A03FD">
        <w:rPr>
          <w:rStyle w:val="CommentReference"/>
          <w:b/>
          <w:szCs w:val="24"/>
        </w:rPr>
        <w:t>Results of s</w:t>
      </w:r>
      <w:r w:rsidR="00D15314" w:rsidRPr="000A03FD">
        <w:rPr>
          <w:rStyle w:val="CommentReference"/>
          <w:b/>
          <w:szCs w:val="24"/>
        </w:rPr>
        <w:t>ensitivity analyses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985"/>
        <w:gridCol w:w="1134"/>
        <w:gridCol w:w="1134"/>
        <w:gridCol w:w="992"/>
        <w:gridCol w:w="850"/>
      </w:tblGrid>
      <w:tr w:rsidR="00133912" w:rsidRPr="000A03FD" w14:paraId="2AE39C84" w14:textId="77777777" w:rsidTr="0020233B">
        <w:trPr>
          <w:cantSplit/>
          <w:tblHeader/>
        </w:trPr>
        <w:tc>
          <w:tcPr>
            <w:tcW w:w="1413" w:type="dxa"/>
            <w:tcBorders>
              <w:bottom w:val="single" w:sz="4" w:space="0" w:color="auto"/>
            </w:tcBorders>
          </w:tcPr>
          <w:p w14:paraId="6137EB0C" w14:textId="77777777" w:rsidR="00535838" w:rsidRPr="000A03FD" w:rsidRDefault="00535838" w:rsidP="000B1FB6">
            <w:pPr>
              <w:pStyle w:val="Tabletext"/>
              <w:keepNext/>
              <w:tabs>
                <w:tab w:val="left" w:pos="142"/>
              </w:tabs>
              <w:rPr>
                <w:b/>
              </w:rPr>
            </w:pPr>
            <w:r w:rsidRPr="000A03FD">
              <w:rPr>
                <w:b/>
              </w:rPr>
              <w:t>Variable</w:t>
            </w:r>
          </w:p>
        </w:tc>
        <w:tc>
          <w:tcPr>
            <w:tcW w:w="1559" w:type="dxa"/>
            <w:tcBorders>
              <w:bottom w:val="single" w:sz="4" w:space="0" w:color="auto"/>
            </w:tcBorders>
          </w:tcPr>
          <w:p w14:paraId="394115D5" w14:textId="5286A51B" w:rsidR="00535838" w:rsidRPr="000A03FD" w:rsidRDefault="00535838" w:rsidP="000B1FB6">
            <w:pPr>
              <w:pStyle w:val="Tabletext"/>
              <w:keepNext/>
              <w:tabs>
                <w:tab w:val="left" w:pos="142"/>
              </w:tabs>
              <w:rPr>
                <w:b/>
              </w:rPr>
            </w:pPr>
            <w:r w:rsidRPr="000A03FD">
              <w:rPr>
                <w:b/>
              </w:rPr>
              <w:t>Base</w:t>
            </w:r>
            <w:r w:rsidR="001B3701" w:rsidRPr="000A03FD">
              <w:rPr>
                <w:b/>
              </w:rPr>
              <w:t>-</w:t>
            </w:r>
            <w:r w:rsidRPr="000A03FD">
              <w:rPr>
                <w:b/>
              </w:rPr>
              <w:t>case</w:t>
            </w:r>
          </w:p>
        </w:tc>
        <w:tc>
          <w:tcPr>
            <w:tcW w:w="1985" w:type="dxa"/>
            <w:tcBorders>
              <w:bottom w:val="single" w:sz="4" w:space="0" w:color="auto"/>
            </w:tcBorders>
          </w:tcPr>
          <w:p w14:paraId="10EF6A7E" w14:textId="77777777" w:rsidR="00535838" w:rsidRPr="000A03FD" w:rsidRDefault="00535838" w:rsidP="000B1FB6">
            <w:pPr>
              <w:pStyle w:val="Tabletext"/>
              <w:keepNext/>
              <w:tabs>
                <w:tab w:val="left" w:pos="142"/>
              </w:tabs>
              <w:rPr>
                <w:b/>
              </w:rPr>
            </w:pPr>
            <w:r w:rsidRPr="000A03FD">
              <w:rPr>
                <w:b/>
              </w:rPr>
              <w:t>Scenario</w:t>
            </w:r>
          </w:p>
        </w:tc>
        <w:tc>
          <w:tcPr>
            <w:tcW w:w="1134" w:type="dxa"/>
            <w:tcBorders>
              <w:bottom w:val="single" w:sz="4" w:space="0" w:color="auto"/>
            </w:tcBorders>
          </w:tcPr>
          <w:p w14:paraId="4BD51CA5" w14:textId="75C1C5D2" w:rsidR="00535838" w:rsidRPr="000A03FD" w:rsidRDefault="00535838" w:rsidP="000B1FB6">
            <w:pPr>
              <w:pStyle w:val="Tabletext"/>
              <w:keepNext/>
              <w:jc w:val="center"/>
              <w:rPr>
                <w:b/>
              </w:rPr>
            </w:pPr>
            <w:r w:rsidRPr="000A03FD">
              <w:rPr>
                <w:b/>
              </w:rPr>
              <w:t>Increment cost</w:t>
            </w:r>
            <w:r w:rsidR="00180A8E">
              <w:rPr>
                <w:b/>
              </w:rPr>
              <w:t xml:space="preserve"> ($)</w:t>
            </w:r>
          </w:p>
        </w:tc>
        <w:tc>
          <w:tcPr>
            <w:tcW w:w="1134" w:type="dxa"/>
            <w:tcBorders>
              <w:bottom w:val="single" w:sz="4" w:space="0" w:color="auto"/>
            </w:tcBorders>
          </w:tcPr>
          <w:p w14:paraId="49B8BA9C" w14:textId="77777777" w:rsidR="00535838" w:rsidRPr="000A03FD" w:rsidRDefault="00535838" w:rsidP="000B1FB6">
            <w:pPr>
              <w:pStyle w:val="Tabletext"/>
              <w:keepNext/>
              <w:jc w:val="center"/>
              <w:rPr>
                <w:b/>
              </w:rPr>
            </w:pPr>
            <w:r w:rsidRPr="000A03FD">
              <w:rPr>
                <w:b/>
              </w:rPr>
              <w:t>Increment QALY</w:t>
            </w:r>
          </w:p>
        </w:tc>
        <w:tc>
          <w:tcPr>
            <w:tcW w:w="992" w:type="dxa"/>
            <w:tcBorders>
              <w:bottom w:val="single" w:sz="4" w:space="0" w:color="auto"/>
            </w:tcBorders>
          </w:tcPr>
          <w:p w14:paraId="4EDBD640" w14:textId="5741474C" w:rsidR="00535838" w:rsidRPr="000A03FD" w:rsidRDefault="00535838" w:rsidP="000B1FB6">
            <w:pPr>
              <w:pStyle w:val="Tabletext"/>
              <w:keepNext/>
              <w:jc w:val="center"/>
              <w:rPr>
                <w:b/>
              </w:rPr>
            </w:pPr>
            <w:r w:rsidRPr="000A03FD">
              <w:rPr>
                <w:b/>
              </w:rPr>
              <w:t>ICER</w:t>
            </w:r>
            <w:r w:rsidR="00567CD1" w:rsidRPr="000A03FD">
              <w:rPr>
                <w:b/>
              </w:rPr>
              <w:t xml:space="preserve"> $/QALY</w:t>
            </w:r>
          </w:p>
        </w:tc>
        <w:tc>
          <w:tcPr>
            <w:tcW w:w="850" w:type="dxa"/>
            <w:tcBorders>
              <w:bottom w:val="single" w:sz="4" w:space="0" w:color="auto"/>
            </w:tcBorders>
          </w:tcPr>
          <w:p w14:paraId="62B73E73" w14:textId="77777777" w:rsidR="00535838" w:rsidRPr="000A03FD" w:rsidRDefault="00535838" w:rsidP="000B1FB6">
            <w:pPr>
              <w:pStyle w:val="Tabletext"/>
              <w:keepNext/>
              <w:jc w:val="center"/>
              <w:rPr>
                <w:b/>
              </w:rPr>
            </w:pPr>
            <w:r w:rsidRPr="000A03FD">
              <w:rPr>
                <w:b/>
              </w:rPr>
              <w:t>% change</w:t>
            </w:r>
          </w:p>
        </w:tc>
      </w:tr>
      <w:tr w:rsidR="00133912" w:rsidRPr="000A03FD" w14:paraId="53D8ECBB" w14:textId="77777777" w:rsidTr="0020233B">
        <w:tc>
          <w:tcPr>
            <w:tcW w:w="4957" w:type="dxa"/>
            <w:gridSpan w:val="3"/>
            <w:tcBorders>
              <w:top w:val="single" w:sz="4" w:space="0" w:color="auto"/>
              <w:left w:val="single" w:sz="4" w:space="0" w:color="auto"/>
              <w:bottom w:val="single" w:sz="4" w:space="0" w:color="auto"/>
              <w:right w:val="single" w:sz="4" w:space="0" w:color="auto"/>
            </w:tcBorders>
          </w:tcPr>
          <w:p w14:paraId="78F84C84" w14:textId="1278CE1C" w:rsidR="00535838" w:rsidRPr="000A03FD" w:rsidRDefault="00535838" w:rsidP="000B1FB6">
            <w:pPr>
              <w:pStyle w:val="Tabletext"/>
              <w:keepNext/>
              <w:tabs>
                <w:tab w:val="left" w:pos="142"/>
              </w:tabs>
              <w:rPr>
                <w:b/>
              </w:rPr>
            </w:pPr>
            <w:r w:rsidRPr="000A03FD">
              <w:rPr>
                <w:b/>
              </w:rPr>
              <w:t>Base</w:t>
            </w:r>
            <w:r w:rsidR="001B3701" w:rsidRPr="000A03FD">
              <w:rPr>
                <w:b/>
              </w:rPr>
              <w:t>-</w:t>
            </w:r>
            <w:r w:rsidRPr="000A03FD">
              <w:rPr>
                <w:b/>
              </w:rPr>
              <w:t>case</w:t>
            </w:r>
          </w:p>
        </w:tc>
        <w:tc>
          <w:tcPr>
            <w:tcW w:w="1134" w:type="dxa"/>
            <w:tcBorders>
              <w:top w:val="single" w:sz="4" w:space="0" w:color="auto"/>
              <w:left w:val="single" w:sz="4" w:space="0" w:color="auto"/>
              <w:bottom w:val="single" w:sz="4" w:space="0" w:color="auto"/>
              <w:right w:val="single" w:sz="4" w:space="0" w:color="auto"/>
            </w:tcBorders>
            <w:shd w:val="solid" w:color="000000" w:fill="000000"/>
          </w:tcPr>
          <w:p w14:paraId="689C589D" w14:textId="25B6372A" w:rsidR="00535838" w:rsidRPr="00E96B9A" w:rsidRDefault="0020233B" w:rsidP="000B1FB6">
            <w:pPr>
              <w:pStyle w:val="Tabletext"/>
              <w:keepNext/>
              <w:jc w:val="center"/>
              <w:rPr>
                <w:b/>
                <w:highlight w:val="lightGray"/>
              </w:rPr>
            </w:pPr>
            <w:r w:rsidRPr="0020233B">
              <w:rPr>
                <w:rFonts w:hint="eastAsia"/>
                <w:b/>
                <w:color w:val="000000"/>
                <w:w w:val="30"/>
                <w:fitText w:val="136" w:id="-1303140599"/>
                <w14:textFill>
                  <w14:solidFill>
                    <w14:srgbClr w14:val="000000">
                      <w14:alpha w14:val="100000"/>
                    </w14:srgbClr>
                  </w14:solidFill>
                </w14:textFill>
              </w:rPr>
              <w:t xml:space="preserve">　</w:t>
            </w:r>
            <w:r w:rsidRPr="0020233B">
              <w:rPr>
                <w:b/>
                <w:color w:val="000000"/>
                <w:w w:val="30"/>
                <w:fitText w:val="136" w:id="-1303140599"/>
                <w14:textFill>
                  <w14:solidFill>
                    <w14:srgbClr w14:val="000000">
                      <w14:alpha w14:val="100000"/>
                    </w14:srgbClr>
                  </w14:solidFill>
                </w14:textFill>
              </w:rPr>
              <w:t>|</w:t>
            </w:r>
            <w:r w:rsidRPr="0020233B">
              <w:rPr>
                <w:rFonts w:hint="eastAsia"/>
                <w:b/>
                <w:color w:val="000000"/>
                <w:w w:val="30"/>
                <w:fitText w:val="136" w:id="-1303140599"/>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tcPr>
          <w:p w14:paraId="51007832" w14:textId="77777777" w:rsidR="00535838" w:rsidRPr="000A03FD" w:rsidRDefault="00535838" w:rsidP="000B1FB6">
            <w:pPr>
              <w:pStyle w:val="Tabletext"/>
              <w:keepNext/>
              <w:jc w:val="center"/>
              <w:rPr>
                <w:b/>
              </w:rPr>
            </w:pPr>
            <w:r w:rsidRPr="000A03FD">
              <w:rPr>
                <w:b/>
              </w:rPr>
              <w:t>0.179</w:t>
            </w:r>
          </w:p>
        </w:tc>
        <w:tc>
          <w:tcPr>
            <w:tcW w:w="992" w:type="dxa"/>
            <w:tcBorders>
              <w:top w:val="single" w:sz="4" w:space="0" w:color="auto"/>
              <w:left w:val="single" w:sz="4" w:space="0" w:color="auto"/>
              <w:bottom w:val="single" w:sz="4" w:space="0" w:color="auto"/>
              <w:right w:val="single" w:sz="4" w:space="0" w:color="auto"/>
            </w:tcBorders>
          </w:tcPr>
          <w:p w14:paraId="1A0FE4FE" w14:textId="3042A559" w:rsidR="00535838" w:rsidRPr="000A03FD" w:rsidRDefault="0020233B" w:rsidP="000B1FB6">
            <w:pPr>
              <w:pStyle w:val="Tabletext"/>
              <w:keepNext/>
              <w:jc w:val="center"/>
              <w:rPr>
                <w:b/>
              </w:rPr>
            </w:pPr>
            <w:r w:rsidRPr="0020233B">
              <w:rPr>
                <w:b/>
                <w:color w:val="000000"/>
                <w:spacing w:val="45"/>
                <w:shd w:val="solid" w:color="000000" w:fill="000000"/>
                <w:fitText w:val="228" w:id="-1303140598"/>
                <w14:textFill>
                  <w14:solidFill>
                    <w14:srgbClr w14:val="000000">
                      <w14:alpha w14:val="100000"/>
                    </w14:srgbClr>
                  </w14:solidFill>
                </w14:textFill>
              </w:rPr>
              <w:t>||</w:t>
            </w:r>
            <w:r w:rsidRPr="0020233B">
              <w:rPr>
                <w:b/>
                <w:color w:val="000000"/>
                <w:spacing w:val="1"/>
                <w:shd w:val="solid" w:color="000000" w:fill="000000"/>
                <w:fitText w:val="228" w:id="-1303140598"/>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6ED09B0B" w14:textId="77777777" w:rsidR="00535838" w:rsidRPr="000A03FD" w:rsidRDefault="00535838" w:rsidP="000B1FB6">
            <w:pPr>
              <w:pStyle w:val="Tabletext"/>
              <w:keepNext/>
              <w:jc w:val="center"/>
              <w:rPr>
                <w:b/>
              </w:rPr>
            </w:pPr>
            <w:r w:rsidRPr="000A03FD">
              <w:rPr>
                <w:b/>
              </w:rPr>
              <w:t>-</w:t>
            </w:r>
          </w:p>
        </w:tc>
      </w:tr>
      <w:tr w:rsidR="00133912" w:rsidRPr="000A03FD" w14:paraId="1B31BB04" w14:textId="77777777" w:rsidTr="00053156">
        <w:tc>
          <w:tcPr>
            <w:tcW w:w="9067" w:type="dxa"/>
            <w:gridSpan w:val="7"/>
            <w:tcBorders>
              <w:top w:val="single" w:sz="4" w:space="0" w:color="auto"/>
              <w:left w:val="single" w:sz="4" w:space="0" w:color="auto"/>
              <w:right w:val="single" w:sz="4" w:space="0" w:color="auto"/>
            </w:tcBorders>
          </w:tcPr>
          <w:p w14:paraId="43FEA5F7" w14:textId="77777777" w:rsidR="00535838" w:rsidRPr="000A03FD" w:rsidRDefault="00535838" w:rsidP="000B1FB6">
            <w:pPr>
              <w:pStyle w:val="Tabletext"/>
              <w:keepNext/>
              <w:rPr>
                <w:b/>
                <w:highlight w:val="yellow"/>
              </w:rPr>
            </w:pPr>
            <w:r w:rsidRPr="000A03FD">
              <w:rPr>
                <w:b/>
              </w:rPr>
              <w:t>Univariate analyses</w:t>
            </w:r>
          </w:p>
        </w:tc>
      </w:tr>
      <w:tr w:rsidR="00133912" w:rsidRPr="000A03FD" w14:paraId="18DBDBDC" w14:textId="77777777" w:rsidTr="0020233B">
        <w:tc>
          <w:tcPr>
            <w:tcW w:w="1413" w:type="dxa"/>
            <w:tcBorders>
              <w:top w:val="single" w:sz="4" w:space="0" w:color="auto"/>
              <w:left w:val="single" w:sz="4" w:space="0" w:color="auto"/>
              <w:bottom w:val="single" w:sz="4" w:space="0" w:color="auto"/>
              <w:right w:val="single" w:sz="4" w:space="0" w:color="auto"/>
            </w:tcBorders>
            <w:vAlign w:val="center"/>
          </w:tcPr>
          <w:p w14:paraId="4D0210DF" w14:textId="77777777" w:rsidR="00535838" w:rsidRPr="000A03FD" w:rsidRDefault="00535838" w:rsidP="000B1FB6">
            <w:pPr>
              <w:pStyle w:val="Tabletext"/>
              <w:keepNext/>
              <w:tabs>
                <w:tab w:val="left" w:pos="142"/>
              </w:tabs>
            </w:pPr>
            <w:r w:rsidRPr="000A03FD">
              <w:t>Application of mepolizumab costs after week 52 to ‘responders’</w:t>
            </w:r>
          </w:p>
        </w:tc>
        <w:tc>
          <w:tcPr>
            <w:tcW w:w="1559" w:type="dxa"/>
            <w:tcBorders>
              <w:top w:val="single" w:sz="4" w:space="0" w:color="auto"/>
              <w:left w:val="single" w:sz="4" w:space="0" w:color="auto"/>
              <w:bottom w:val="single" w:sz="4" w:space="0" w:color="auto"/>
              <w:right w:val="single" w:sz="4" w:space="0" w:color="auto"/>
            </w:tcBorders>
            <w:vAlign w:val="center"/>
          </w:tcPr>
          <w:p w14:paraId="634E2961" w14:textId="77777777" w:rsidR="00535838" w:rsidRPr="000A03FD" w:rsidRDefault="00535838" w:rsidP="000B1FB6">
            <w:pPr>
              <w:pStyle w:val="Tabletext"/>
              <w:keepNext/>
              <w:tabs>
                <w:tab w:val="left" w:pos="142"/>
              </w:tabs>
            </w:pPr>
            <w:r w:rsidRPr="000A03FD">
              <w:t>Patients able to transition out of ‘responder’ HS in any cycle and no longer receive mepolizumab costs</w:t>
            </w:r>
          </w:p>
        </w:tc>
        <w:tc>
          <w:tcPr>
            <w:tcW w:w="1985" w:type="dxa"/>
            <w:tcBorders>
              <w:top w:val="single" w:sz="4" w:space="0" w:color="auto"/>
              <w:left w:val="single" w:sz="4" w:space="0" w:color="auto"/>
              <w:bottom w:val="single" w:sz="4" w:space="0" w:color="auto"/>
              <w:right w:val="single" w:sz="4" w:space="0" w:color="auto"/>
            </w:tcBorders>
            <w:vAlign w:val="center"/>
          </w:tcPr>
          <w:p w14:paraId="48965D6F" w14:textId="72FACF8E" w:rsidR="00535838" w:rsidRPr="000A03FD" w:rsidRDefault="00535838" w:rsidP="000B1FB6">
            <w:pPr>
              <w:pStyle w:val="Tabletext"/>
              <w:keepNext/>
              <w:tabs>
                <w:tab w:val="left" w:pos="142"/>
              </w:tabs>
            </w:pPr>
            <w:r w:rsidRPr="000A03FD">
              <w:t xml:space="preserve">The 43.6% of responders who transitioned out of ‘response’ (but remained alive) receive an additional 50% of mepolizumab costs for a 24-week treatment block ($1,398.21) </w:t>
            </w:r>
            <w:r w:rsidR="00194DC0" w:rsidRPr="000A03FD">
              <w:rPr>
                <w:vertAlign w:val="superscript"/>
              </w:rPr>
              <w:t>a</w:t>
            </w:r>
            <w:r w:rsidRPr="000A03FD">
              <w:t xml:space="preserve"> </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4B8B3414" w14:textId="45A242A0" w:rsidR="00535838" w:rsidRPr="00E96B9A" w:rsidRDefault="0020233B" w:rsidP="000B1FB6">
            <w:pPr>
              <w:pStyle w:val="Tabletext"/>
              <w:keepNext/>
              <w:jc w:val="center"/>
              <w:rPr>
                <w:highlight w:val="lightGray"/>
              </w:rPr>
            </w:pPr>
            <w:r w:rsidRPr="0020233B">
              <w:rPr>
                <w:rFonts w:hint="eastAsia"/>
                <w:color w:val="000000"/>
                <w:w w:val="20"/>
                <w:fitText w:val="91" w:id="-1303140597"/>
                <w14:textFill>
                  <w14:solidFill>
                    <w14:srgbClr w14:val="000000">
                      <w14:alpha w14:val="100000"/>
                    </w14:srgbClr>
                  </w14:solidFill>
                </w14:textFill>
              </w:rPr>
              <w:t xml:space="preserve">　</w:t>
            </w:r>
            <w:r w:rsidRPr="0020233B">
              <w:rPr>
                <w:color w:val="000000"/>
                <w:w w:val="20"/>
                <w:fitText w:val="91" w:id="-1303140597"/>
                <w14:textFill>
                  <w14:solidFill>
                    <w14:srgbClr w14:val="000000">
                      <w14:alpha w14:val="100000"/>
                    </w14:srgbClr>
                  </w14:solidFill>
                </w14:textFill>
              </w:rPr>
              <w:t>|</w:t>
            </w:r>
            <w:r w:rsidRPr="0020233B">
              <w:rPr>
                <w:rFonts w:hint="eastAsia"/>
                <w:color w:val="000000"/>
                <w:w w:val="20"/>
                <w:fitText w:val="91" w:id="-1303140597"/>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659CB6B" w14:textId="77777777" w:rsidR="00535838" w:rsidRPr="000A03FD" w:rsidRDefault="00535838" w:rsidP="000B1FB6">
            <w:pPr>
              <w:pStyle w:val="Tabletext"/>
              <w:keepNext/>
              <w:jc w:val="center"/>
            </w:pPr>
            <w:r w:rsidRPr="000A03FD">
              <w:t>0.179</w:t>
            </w:r>
          </w:p>
        </w:tc>
        <w:tc>
          <w:tcPr>
            <w:tcW w:w="992" w:type="dxa"/>
            <w:tcBorders>
              <w:top w:val="single" w:sz="4" w:space="0" w:color="auto"/>
              <w:left w:val="single" w:sz="4" w:space="0" w:color="auto"/>
              <w:bottom w:val="single" w:sz="4" w:space="0" w:color="auto"/>
              <w:right w:val="single" w:sz="4" w:space="0" w:color="auto"/>
            </w:tcBorders>
            <w:vAlign w:val="center"/>
          </w:tcPr>
          <w:p w14:paraId="2DDD8DC8" w14:textId="14EE68E9" w:rsidR="00535838" w:rsidRPr="00180A8E" w:rsidRDefault="0020233B" w:rsidP="000B1FB6">
            <w:pPr>
              <w:pStyle w:val="Tabletext"/>
              <w:keepNext/>
              <w:jc w:val="center"/>
              <w:rPr>
                <w:highlight w:val="yellow"/>
              </w:rPr>
            </w:pPr>
            <w:r w:rsidRPr="0020233B">
              <w:rPr>
                <w:color w:val="000000"/>
                <w:spacing w:val="96"/>
                <w:shd w:val="solid" w:color="000000" w:fill="000000"/>
                <w:fitText w:val="182" w:id="-1303140596"/>
                <w14:textFill>
                  <w14:solidFill>
                    <w14:srgbClr w14:val="000000">
                      <w14:alpha w14:val="100000"/>
                    </w14:srgbClr>
                  </w14:solidFill>
                </w14:textFill>
              </w:rPr>
              <w:t>|</w:t>
            </w:r>
            <w:r w:rsidRPr="0020233B">
              <w:rPr>
                <w:color w:val="000000"/>
                <w:spacing w:val="1"/>
                <w:shd w:val="solid" w:color="000000" w:fill="000000"/>
                <w:fitText w:val="182" w:id="-1303140596"/>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2794F731" w14:textId="77777777" w:rsidR="00535838" w:rsidRPr="000A03FD" w:rsidRDefault="00535838" w:rsidP="000B1FB6">
            <w:pPr>
              <w:pStyle w:val="Tabletext"/>
              <w:keepNext/>
              <w:jc w:val="center"/>
            </w:pPr>
            <w:r w:rsidRPr="000A03FD">
              <w:t>+5.9%</w:t>
            </w:r>
          </w:p>
        </w:tc>
      </w:tr>
      <w:tr w:rsidR="00072D21" w:rsidRPr="000A03FD" w14:paraId="148F4FD9" w14:textId="77777777" w:rsidTr="0020233B">
        <w:tc>
          <w:tcPr>
            <w:tcW w:w="1413" w:type="dxa"/>
            <w:vMerge w:val="restart"/>
            <w:tcBorders>
              <w:top w:val="single" w:sz="4" w:space="0" w:color="auto"/>
              <w:left w:val="single" w:sz="4" w:space="0" w:color="auto"/>
              <w:right w:val="single" w:sz="4" w:space="0" w:color="auto"/>
            </w:tcBorders>
            <w:vAlign w:val="center"/>
          </w:tcPr>
          <w:p w14:paraId="47843A8B" w14:textId="5F737027" w:rsidR="00072D21" w:rsidRPr="000A03FD" w:rsidRDefault="00072D21" w:rsidP="00113672">
            <w:pPr>
              <w:pStyle w:val="Tabletext"/>
              <w:tabs>
                <w:tab w:val="left" w:pos="142"/>
              </w:tabs>
            </w:pPr>
            <w:bookmarkStart w:id="77" w:name="_Hlk111521156"/>
            <w:r w:rsidRPr="000A03FD">
              <w:t>Response rate at week 24</w:t>
            </w:r>
          </w:p>
        </w:tc>
        <w:tc>
          <w:tcPr>
            <w:tcW w:w="1559" w:type="dxa"/>
            <w:vMerge w:val="restart"/>
            <w:tcBorders>
              <w:top w:val="single" w:sz="4" w:space="0" w:color="auto"/>
              <w:left w:val="single" w:sz="4" w:space="0" w:color="auto"/>
              <w:right w:val="single" w:sz="4" w:space="0" w:color="auto"/>
            </w:tcBorders>
            <w:vAlign w:val="center"/>
          </w:tcPr>
          <w:p w14:paraId="36C6CF79" w14:textId="0CC5A23C" w:rsidR="00072D21" w:rsidRPr="000A03FD" w:rsidRDefault="00072D21" w:rsidP="00113672">
            <w:pPr>
              <w:pStyle w:val="Tabletext"/>
              <w:tabs>
                <w:tab w:val="left" w:pos="142"/>
              </w:tabs>
            </w:pPr>
            <w:r w:rsidRPr="000A03FD">
              <w:t>Mep</w:t>
            </w:r>
            <w:r w:rsidR="009F319C" w:rsidRPr="000A03FD">
              <w:t xml:space="preserve"> - </w:t>
            </w:r>
            <w:r w:rsidRPr="000A03FD">
              <w:t>72.7%</w:t>
            </w:r>
          </w:p>
        </w:tc>
        <w:tc>
          <w:tcPr>
            <w:tcW w:w="1985" w:type="dxa"/>
            <w:tcBorders>
              <w:top w:val="single" w:sz="4" w:space="0" w:color="auto"/>
              <w:left w:val="single" w:sz="4" w:space="0" w:color="auto"/>
              <w:bottom w:val="single" w:sz="4" w:space="0" w:color="auto"/>
              <w:right w:val="single" w:sz="4" w:space="0" w:color="auto"/>
            </w:tcBorders>
            <w:vAlign w:val="center"/>
          </w:tcPr>
          <w:p w14:paraId="04121ACB" w14:textId="64A1AC29" w:rsidR="00072D21" w:rsidRPr="000A03FD" w:rsidRDefault="00072D21" w:rsidP="00113672">
            <w:pPr>
              <w:pStyle w:val="Tabletext"/>
              <w:tabs>
                <w:tab w:val="left" w:pos="142"/>
              </w:tabs>
            </w:pPr>
            <w:r w:rsidRPr="000A03FD">
              <w:t>68.9% (lower 95%CI)</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459A9C50" w14:textId="3D31C3F5" w:rsidR="00072D21" w:rsidRPr="00E96B9A" w:rsidRDefault="0020233B" w:rsidP="00113672">
            <w:pPr>
              <w:pStyle w:val="Tabletext"/>
              <w:jc w:val="center"/>
              <w:rPr>
                <w:highlight w:val="lightGray"/>
              </w:rPr>
            </w:pPr>
            <w:r w:rsidRPr="0020233B">
              <w:rPr>
                <w:rFonts w:hint="eastAsia"/>
                <w:color w:val="000000"/>
                <w:w w:val="20"/>
                <w:fitText w:val="91" w:id="-1303140595"/>
                <w14:textFill>
                  <w14:solidFill>
                    <w14:srgbClr w14:val="000000">
                      <w14:alpha w14:val="100000"/>
                    </w14:srgbClr>
                  </w14:solidFill>
                </w14:textFill>
              </w:rPr>
              <w:t xml:space="preserve">　</w:t>
            </w:r>
            <w:r w:rsidRPr="0020233B">
              <w:rPr>
                <w:color w:val="000000"/>
                <w:w w:val="20"/>
                <w:fitText w:val="91" w:id="-1303140595"/>
                <w14:textFill>
                  <w14:solidFill>
                    <w14:srgbClr w14:val="000000">
                      <w14:alpha w14:val="100000"/>
                    </w14:srgbClr>
                  </w14:solidFill>
                </w14:textFill>
              </w:rPr>
              <w:t>|</w:t>
            </w:r>
            <w:r w:rsidRPr="0020233B">
              <w:rPr>
                <w:rFonts w:hint="eastAsia"/>
                <w:color w:val="000000"/>
                <w:w w:val="20"/>
                <w:fitText w:val="91" w:id="-1303140595"/>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6B763D" w14:textId="34715A62" w:rsidR="00072D21" w:rsidRPr="000A03FD" w:rsidRDefault="00072D21" w:rsidP="00113672">
            <w:pPr>
              <w:pStyle w:val="Tabletext"/>
              <w:jc w:val="center"/>
            </w:pPr>
            <w:r w:rsidRPr="000A03FD">
              <w:t>0.164</w:t>
            </w:r>
          </w:p>
        </w:tc>
        <w:tc>
          <w:tcPr>
            <w:tcW w:w="992" w:type="dxa"/>
            <w:tcBorders>
              <w:top w:val="single" w:sz="4" w:space="0" w:color="auto"/>
              <w:left w:val="single" w:sz="4" w:space="0" w:color="auto"/>
              <w:bottom w:val="single" w:sz="4" w:space="0" w:color="auto"/>
              <w:right w:val="single" w:sz="4" w:space="0" w:color="auto"/>
            </w:tcBorders>
            <w:vAlign w:val="center"/>
          </w:tcPr>
          <w:p w14:paraId="50A3DF72" w14:textId="41B08752" w:rsidR="00072D21" w:rsidRPr="00180A8E" w:rsidRDefault="0020233B" w:rsidP="00113672">
            <w:pPr>
              <w:pStyle w:val="Tabletext"/>
              <w:jc w:val="center"/>
              <w:rPr>
                <w:highlight w:val="yellow"/>
              </w:rPr>
            </w:pPr>
            <w:r w:rsidRPr="0020233B">
              <w:rPr>
                <w:color w:val="000000"/>
                <w:spacing w:val="96"/>
                <w:shd w:val="solid" w:color="000000" w:fill="000000"/>
                <w:fitText w:val="182" w:id="-1303140594"/>
                <w14:textFill>
                  <w14:solidFill>
                    <w14:srgbClr w14:val="000000">
                      <w14:alpha w14:val="100000"/>
                    </w14:srgbClr>
                  </w14:solidFill>
                </w14:textFill>
              </w:rPr>
              <w:t>|</w:t>
            </w:r>
            <w:r w:rsidRPr="0020233B">
              <w:rPr>
                <w:color w:val="000000"/>
                <w:spacing w:val="1"/>
                <w:shd w:val="solid" w:color="000000" w:fill="000000"/>
                <w:fitText w:val="182" w:id="-1303140594"/>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39BFF7B9" w14:textId="66CFBBDA" w:rsidR="00072D21" w:rsidRPr="000A03FD" w:rsidRDefault="00072D21" w:rsidP="00113672">
            <w:pPr>
              <w:pStyle w:val="Tabletext"/>
              <w:jc w:val="center"/>
            </w:pPr>
            <w:r w:rsidRPr="000A03FD">
              <w:t>+4.9%</w:t>
            </w:r>
          </w:p>
        </w:tc>
      </w:tr>
      <w:tr w:rsidR="00072D21" w:rsidRPr="000A03FD" w14:paraId="24E6851F" w14:textId="77777777" w:rsidTr="0020233B">
        <w:trPr>
          <w:cantSplit/>
        </w:trPr>
        <w:tc>
          <w:tcPr>
            <w:tcW w:w="1413" w:type="dxa"/>
            <w:vMerge/>
            <w:tcBorders>
              <w:left w:val="single" w:sz="4" w:space="0" w:color="auto"/>
              <w:right w:val="single" w:sz="4" w:space="0" w:color="auto"/>
            </w:tcBorders>
            <w:vAlign w:val="center"/>
          </w:tcPr>
          <w:p w14:paraId="58F6F0ED" w14:textId="77777777" w:rsidR="00072D21" w:rsidRPr="000A03FD" w:rsidRDefault="00072D21" w:rsidP="00113672">
            <w:pPr>
              <w:pStyle w:val="Tabletext"/>
              <w:tabs>
                <w:tab w:val="left" w:pos="142"/>
              </w:tabs>
            </w:pPr>
          </w:p>
        </w:tc>
        <w:tc>
          <w:tcPr>
            <w:tcW w:w="1559" w:type="dxa"/>
            <w:vMerge/>
            <w:tcBorders>
              <w:left w:val="single" w:sz="4" w:space="0" w:color="auto"/>
              <w:right w:val="single" w:sz="4" w:space="0" w:color="auto"/>
            </w:tcBorders>
            <w:vAlign w:val="center"/>
          </w:tcPr>
          <w:p w14:paraId="14859DAD" w14:textId="77777777" w:rsidR="00072D21" w:rsidRPr="000A03FD" w:rsidRDefault="00072D21" w:rsidP="00113672">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64FEA6B3" w14:textId="41CA0BA0" w:rsidR="00072D21" w:rsidRPr="000A03FD" w:rsidRDefault="00072D21" w:rsidP="00113672">
            <w:pPr>
              <w:pStyle w:val="Tabletext"/>
              <w:tabs>
                <w:tab w:val="left" w:pos="142"/>
              </w:tabs>
            </w:pPr>
            <w:r w:rsidRPr="000A03FD">
              <w:t>76.4%(upper 95%CI)</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184E0B5A" w14:textId="43AAC83C" w:rsidR="00072D21" w:rsidRPr="00E96B9A" w:rsidRDefault="0020233B" w:rsidP="00113672">
            <w:pPr>
              <w:pStyle w:val="Tabletext"/>
              <w:jc w:val="center"/>
              <w:rPr>
                <w:highlight w:val="lightGray"/>
              </w:rPr>
            </w:pPr>
            <w:r w:rsidRPr="0020233B">
              <w:rPr>
                <w:rFonts w:hint="eastAsia"/>
                <w:color w:val="000000"/>
                <w:w w:val="20"/>
                <w:fitText w:val="91" w:id="-1303140593"/>
                <w14:textFill>
                  <w14:solidFill>
                    <w14:srgbClr w14:val="000000">
                      <w14:alpha w14:val="100000"/>
                    </w14:srgbClr>
                  </w14:solidFill>
                </w14:textFill>
              </w:rPr>
              <w:t xml:space="preserve">　</w:t>
            </w:r>
            <w:r w:rsidRPr="0020233B">
              <w:rPr>
                <w:color w:val="000000"/>
                <w:w w:val="20"/>
                <w:fitText w:val="91" w:id="-1303140593"/>
                <w14:textFill>
                  <w14:solidFill>
                    <w14:srgbClr w14:val="000000">
                      <w14:alpha w14:val="100000"/>
                    </w14:srgbClr>
                  </w14:solidFill>
                </w14:textFill>
              </w:rPr>
              <w:t>|</w:t>
            </w:r>
            <w:r w:rsidRPr="0020233B">
              <w:rPr>
                <w:rFonts w:hint="eastAsia"/>
                <w:color w:val="000000"/>
                <w:w w:val="20"/>
                <w:fitText w:val="91" w:id="-1303140593"/>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5164BDF" w14:textId="3CBF59AC" w:rsidR="00072D21" w:rsidRPr="000A03FD" w:rsidRDefault="00072D21" w:rsidP="00113672">
            <w:pPr>
              <w:pStyle w:val="Tabletext"/>
              <w:jc w:val="center"/>
            </w:pPr>
            <w:r w:rsidRPr="000A03FD">
              <w:t>0.194</w:t>
            </w:r>
          </w:p>
        </w:tc>
        <w:tc>
          <w:tcPr>
            <w:tcW w:w="992" w:type="dxa"/>
            <w:tcBorders>
              <w:top w:val="single" w:sz="4" w:space="0" w:color="auto"/>
              <w:left w:val="single" w:sz="4" w:space="0" w:color="auto"/>
              <w:bottom w:val="single" w:sz="4" w:space="0" w:color="auto"/>
              <w:right w:val="single" w:sz="4" w:space="0" w:color="auto"/>
            </w:tcBorders>
            <w:vAlign w:val="center"/>
          </w:tcPr>
          <w:p w14:paraId="43696B20" w14:textId="082A8D64" w:rsidR="00072D21" w:rsidRPr="00180A8E" w:rsidRDefault="0020233B" w:rsidP="00113672">
            <w:pPr>
              <w:pStyle w:val="Tabletext"/>
              <w:jc w:val="center"/>
              <w:rPr>
                <w:highlight w:val="yellow"/>
              </w:rPr>
            </w:pPr>
            <w:r w:rsidRPr="0020233B">
              <w:rPr>
                <w:color w:val="000000"/>
                <w:spacing w:val="96"/>
                <w:shd w:val="solid" w:color="000000" w:fill="000000"/>
                <w:fitText w:val="182" w:id="-1303140592"/>
                <w14:textFill>
                  <w14:solidFill>
                    <w14:srgbClr w14:val="000000">
                      <w14:alpha w14:val="100000"/>
                    </w14:srgbClr>
                  </w14:solidFill>
                </w14:textFill>
              </w:rPr>
              <w:t>|</w:t>
            </w:r>
            <w:r w:rsidRPr="0020233B">
              <w:rPr>
                <w:color w:val="000000"/>
                <w:spacing w:val="1"/>
                <w:shd w:val="solid" w:color="000000" w:fill="000000"/>
                <w:fitText w:val="182" w:id="-1303140592"/>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3E3F7E8C" w14:textId="49B5F70F" w:rsidR="00072D21" w:rsidRPr="000A03FD" w:rsidRDefault="00072D21" w:rsidP="00113672">
            <w:pPr>
              <w:pStyle w:val="Tabletext"/>
              <w:jc w:val="center"/>
            </w:pPr>
            <w:r w:rsidRPr="000A03FD">
              <w:t>-4.1%</w:t>
            </w:r>
          </w:p>
        </w:tc>
      </w:tr>
      <w:tr w:rsidR="00072D21" w:rsidRPr="000A03FD" w14:paraId="42519139" w14:textId="77777777" w:rsidTr="0020233B">
        <w:trPr>
          <w:cantSplit/>
        </w:trPr>
        <w:tc>
          <w:tcPr>
            <w:tcW w:w="1413" w:type="dxa"/>
            <w:vMerge/>
            <w:tcBorders>
              <w:left w:val="single" w:sz="4" w:space="0" w:color="auto"/>
              <w:right w:val="single" w:sz="4" w:space="0" w:color="auto"/>
            </w:tcBorders>
            <w:vAlign w:val="center"/>
          </w:tcPr>
          <w:p w14:paraId="3A8DBBF2" w14:textId="77777777" w:rsidR="00072D21" w:rsidRPr="000A03FD" w:rsidRDefault="00072D21" w:rsidP="00113672">
            <w:pPr>
              <w:pStyle w:val="Tabletext"/>
              <w:tabs>
                <w:tab w:val="left" w:pos="142"/>
              </w:tabs>
            </w:pPr>
          </w:p>
        </w:tc>
        <w:tc>
          <w:tcPr>
            <w:tcW w:w="1559" w:type="dxa"/>
            <w:vMerge w:val="restart"/>
            <w:tcBorders>
              <w:top w:val="single" w:sz="4" w:space="0" w:color="auto"/>
              <w:left w:val="single" w:sz="4" w:space="0" w:color="auto"/>
              <w:right w:val="single" w:sz="4" w:space="0" w:color="auto"/>
            </w:tcBorders>
            <w:vAlign w:val="center"/>
          </w:tcPr>
          <w:p w14:paraId="6A7009E7" w14:textId="14ED83EF" w:rsidR="00072D21" w:rsidRPr="000A03FD" w:rsidRDefault="00072D21" w:rsidP="00113672">
            <w:pPr>
              <w:pStyle w:val="Tabletext"/>
              <w:tabs>
                <w:tab w:val="left" w:pos="142"/>
              </w:tabs>
            </w:pPr>
            <w:r w:rsidRPr="000A03FD">
              <w:t>SoC</w:t>
            </w:r>
            <w:r w:rsidR="009F319C" w:rsidRPr="000A03FD">
              <w:t xml:space="preserve"> - </w:t>
            </w:r>
            <w:r w:rsidRPr="000A03FD">
              <w:t>47.5%</w:t>
            </w:r>
          </w:p>
        </w:tc>
        <w:tc>
          <w:tcPr>
            <w:tcW w:w="1985" w:type="dxa"/>
            <w:tcBorders>
              <w:top w:val="single" w:sz="4" w:space="0" w:color="auto"/>
              <w:left w:val="single" w:sz="4" w:space="0" w:color="auto"/>
              <w:bottom w:val="single" w:sz="4" w:space="0" w:color="auto"/>
              <w:right w:val="single" w:sz="4" w:space="0" w:color="auto"/>
            </w:tcBorders>
            <w:vAlign w:val="center"/>
          </w:tcPr>
          <w:p w14:paraId="6738DEB3" w14:textId="5A4CD267" w:rsidR="00072D21" w:rsidRPr="000A03FD" w:rsidRDefault="00072D21" w:rsidP="00113672">
            <w:pPr>
              <w:pStyle w:val="Tabletext"/>
              <w:tabs>
                <w:tab w:val="left" w:pos="142"/>
              </w:tabs>
            </w:pPr>
            <w:r w:rsidRPr="000A03FD">
              <w:t>43.2% (lower 95%CI)</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0BC45591" w14:textId="49DE99C1" w:rsidR="00072D21" w:rsidRPr="00E96B9A" w:rsidRDefault="0020233B" w:rsidP="00113672">
            <w:pPr>
              <w:pStyle w:val="Tabletext"/>
              <w:jc w:val="center"/>
              <w:rPr>
                <w:highlight w:val="lightGray"/>
              </w:rPr>
            </w:pPr>
            <w:r w:rsidRPr="0020233B">
              <w:rPr>
                <w:rFonts w:hint="eastAsia"/>
                <w:color w:val="000000"/>
                <w:w w:val="20"/>
                <w:fitText w:val="91" w:id="-1303140608"/>
                <w14:textFill>
                  <w14:solidFill>
                    <w14:srgbClr w14:val="000000">
                      <w14:alpha w14:val="100000"/>
                    </w14:srgbClr>
                  </w14:solidFill>
                </w14:textFill>
              </w:rPr>
              <w:t xml:space="preserve">　</w:t>
            </w:r>
            <w:r w:rsidRPr="0020233B">
              <w:rPr>
                <w:color w:val="000000"/>
                <w:w w:val="20"/>
                <w:fitText w:val="91" w:id="-1303140608"/>
                <w14:textFill>
                  <w14:solidFill>
                    <w14:srgbClr w14:val="000000">
                      <w14:alpha w14:val="100000"/>
                    </w14:srgbClr>
                  </w14:solidFill>
                </w14:textFill>
              </w:rPr>
              <w:t>|</w:t>
            </w:r>
            <w:r w:rsidRPr="0020233B">
              <w:rPr>
                <w:rFonts w:hint="eastAsia"/>
                <w:color w:val="000000"/>
                <w:w w:val="20"/>
                <w:fitText w:val="91" w:id="-1303140608"/>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6135BAB" w14:textId="5C9E9EAF" w:rsidR="00072D21" w:rsidRPr="000A03FD" w:rsidRDefault="00072D21" w:rsidP="00113672">
            <w:pPr>
              <w:pStyle w:val="Tabletext"/>
              <w:jc w:val="center"/>
            </w:pPr>
            <w:r w:rsidRPr="000A03FD">
              <w:t>0.187</w:t>
            </w:r>
          </w:p>
        </w:tc>
        <w:tc>
          <w:tcPr>
            <w:tcW w:w="992" w:type="dxa"/>
            <w:tcBorders>
              <w:top w:val="single" w:sz="4" w:space="0" w:color="auto"/>
              <w:left w:val="single" w:sz="4" w:space="0" w:color="auto"/>
              <w:bottom w:val="single" w:sz="4" w:space="0" w:color="auto"/>
              <w:right w:val="single" w:sz="4" w:space="0" w:color="auto"/>
            </w:tcBorders>
            <w:vAlign w:val="center"/>
          </w:tcPr>
          <w:p w14:paraId="2FB0673E" w14:textId="0B43096C" w:rsidR="00072D21" w:rsidRPr="00180A8E" w:rsidRDefault="0020233B" w:rsidP="00113672">
            <w:pPr>
              <w:pStyle w:val="Tabletext"/>
              <w:jc w:val="center"/>
              <w:rPr>
                <w:highlight w:val="yellow"/>
              </w:rPr>
            </w:pPr>
            <w:r w:rsidRPr="0020233B">
              <w:rPr>
                <w:color w:val="000000"/>
                <w:spacing w:val="96"/>
                <w:shd w:val="solid" w:color="000000" w:fill="000000"/>
                <w:fitText w:val="182" w:id="-1303140607"/>
                <w14:textFill>
                  <w14:solidFill>
                    <w14:srgbClr w14:val="000000">
                      <w14:alpha w14:val="100000"/>
                    </w14:srgbClr>
                  </w14:solidFill>
                </w14:textFill>
              </w:rPr>
              <w:t>|</w:t>
            </w:r>
            <w:r w:rsidRPr="0020233B">
              <w:rPr>
                <w:color w:val="000000"/>
                <w:spacing w:val="1"/>
                <w:shd w:val="solid" w:color="000000" w:fill="000000"/>
                <w:fitText w:val="182" w:id="-1303140607"/>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1D75913D" w14:textId="4B233907" w:rsidR="00072D21" w:rsidRPr="000A03FD" w:rsidRDefault="00072D21" w:rsidP="00113672">
            <w:pPr>
              <w:pStyle w:val="Tabletext"/>
              <w:jc w:val="center"/>
            </w:pPr>
            <w:r w:rsidRPr="000A03FD">
              <w:t>-4.8%</w:t>
            </w:r>
          </w:p>
        </w:tc>
      </w:tr>
      <w:tr w:rsidR="00072D21" w:rsidRPr="000A03FD" w14:paraId="4526D540" w14:textId="77777777" w:rsidTr="0020233B">
        <w:trPr>
          <w:cantSplit/>
        </w:trPr>
        <w:tc>
          <w:tcPr>
            <w:tcW w:w="1413" w:type="dxa"/>
            <w:vMerge/>
            <w:tcBorders>
              <w:left w:val="single" w:sz="4" w:space="0" w:color="auto"/>
              <w:right w:val="single" w:sz="4" w:space="0" w:color="auto"/>
            </w:tcBorders>
            <w:vAlign w:val="center"/>
          </w:tcPr>
          <w:p w14:paraId="4E3D1D29" w14:textId="77777777" w:rsidR="00072D21" w:rsidRPr="000A03FD" w:rsidRDefault="00072D21" w:rsidP="00113672">
            <w:pPr>
              <w:pStyle w:val="Tabletext"/>
              <w:tabs>
                <w:tab w:val="left" w:pos="142"/>
              </w:tabs>
            </w:pPr>
          </w:p>
        </w:tc>
        <w:tc>
          <w:tcPr>
            <w:tcW w:w="1559" w:type="dxa"/>
            <w:vMerge/>
            <w:tcBorders>
              <w:left w:val="single" w:sz="4" w:space="0" w:color="auto"/>
              <w:right w:val="single" w:sz="4" w:space="0" w:color="auto"/>
            </w:tcBorders>
            <w:vAlign w:val="center"/>
          </w:tcPr>
          <w:p w14:paraId="1994857D" w14:textId="77777777" w:rsidR="00072D21" w:rsidRPr="000A03FD" w:rsidRDefault="00072D21" w:rsidP="00113672">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71D1CCD9" w14:textId="7ACF67BF" w:rsidR="00072D21" w:rsidRPr="000A03FD" w:rsidRDefault="00072D21" w:rsidP="00113672">
            <w:pPr>
              <w:pStyle w:val="Tabletext"/>
              <w:tabs>
                <w:tab w:val="left" w:pos="142"/>
              </w:tabs>
            </w:pPr>
            <w:r w:rsidRPr="000A03FD">
              <w:t>51.7% (upper 95%CI)</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18AC82C4" w14:textId="307EF4B1" w:rsidR="00072D21" w:rsidRPr="00E96B9A" w:rsidRDefault="0020233B" w:rsidP="00113672">
            <w:pPr>
              <w:pStyle w:val="Tabletext"/>
              <w:jc w:val="center"/>
              <w:rPr>
                <w:highlight w:val="lightGray"/>
              </w:rPr>
            </w:pPr>
            <w:r w:rsidRPr="0020233B">
              <w:rPr>
                <w:rFonts w:hint="eastAsia"/>
                <w:color w:val="000000"/>
                <w:w w:val="20"/>
                <w:fitText w:val="91" w:id="-1303140606"/>
                <w14:textFill>
                  <w14:solidFill>
                    <w14:srgbClr w14:val="000000">
                      <w14:alpha w14:val="100000"/>
                    </w14:srgbClr>
                  </w14:solidFill>
                </w14:textFill>
              </w:rPr>
              <w:t xml:space="preserve">　</w:t>
            </w:r>
            <w:r w:rsidRPr="0020233B">
              <w:rPr>
                <w:color w:val="000000"/>
                <w:w w:val="20"/>
                <w:fitText w:val="91" w:id="-1303140606"/>
                <w14:textFill>
                  <w14:solidFill>
                    <w14:srgbClr w14:val="000000">
                      <w14:alpha w14:val="100000"/>
                    </w14:srgbClr>
                  </w14:solidFill>
                </w14:textFill>
              </w:rPr>
              <w:t>|</w:t>
            </w:r>
            <w:r w:rsidRPr="0020233B">
              <w:rPr>
                <w:rFonts w:hint="eastAsia"/>
                <w:color w:val="000000"/>
                <w:w w:val="20"/>
                <w:fitText w:val="91" w:id="-1303140606"/>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D215C44" w14:textId="6ACAAC8B" w:rsidR="00072D21" w:rsidRPr="000A03FD" w:rsidRDefault="00072D21" w:rsidP="00113672">
            <w:pPr>
              <w:pStyle w:val="Tabletext"/>
              <w:jc w:val="center"/>
            </w:pPr>
            <w:r w:rsidRPr="000A03FD">
              <w:t>0.170</w:t>
            </w:r>
          </w:p>
        </w:tc>
        <w:tc>
          <w:tcPr>
            <w:tcW w:w="992" w:type="dxa"/>
            <w:tcBorders>
              <w:top w:val="single" w:sz="4" w:space="0" w:color="auto"/>
              <w:left w:val="single" w:sz="4" w:space="0" w:color="auto"/>
              <w:bottom w:val="single" w:sz="4" w:space="0" w:color="auto"/>
              <w:right w:val="single" w:sz="4" w:space="0" w:color="auto"/>
            </w:tcBorders>
            <w:vAlign w:val="center"/>
          </w:tcPr>
          <w:p w14:paraId="73DD65FB" w14:textId="07AFEB92" w:rsidR="00072D21" w:rsidRPr="00180A8E" w:rsidRDefault="0020233B" w:rsidP="00113672">
            <w:pPr>
              <w:pStyle w:val="Tabletext"/>
              <w:jc w:val="center"/>
              <w:rPr>
                <w:highlight w:val="yellow"/>
              </w:rPr>
            </w:pPr>
            <w:r w:rsidRPr="0020233B">
              <w:rPr>
                <w:color w:val="000000"/>
                <w:spacing w:val="96"/>
                <w:shd w:val="solid" w:color="000000" w:fill="000000"/>
                <w:fitText w:val="182" w:id="-1303140605"/>
                <w14:textFill>
                  <w14:solidFill>
                    <w14:srgbClr w14:val="000000">
                      <w14:alpha w14:val="100000"/>
                    </w14:srgbClr>
                  </w14:solidFill>
                </w14:textFill>
              </w:rPr>
              <w:t>|</w:t>
            </w:r>
            <w:r w:rsidRPr="0020233B">
              <w:rPr>
                <w:color w:val="000000"/>
                <w:spacing w:val="1"/>
                <w:shd w:val="solid" w:color="000000" w:fill="000000"/>
                <w:fitText w:val="182" w:id="-1303140605"/>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0F9E40C1" w14:textId="57718B9A" w:rsidR="00072D21" w:rsidRPr="000A03FD" w:rsidRDefault="00072D21" w:rsidP="00113672">
            <w:pPr>
              <w:pStyle w:val="Tabletext"/>
              <w:jc w:val="center"/>
            </w:pPr>
            <w:r w:rsidRPr="000A03FD">
              <w:t>+5.3%</w:t>
            </w:r>
          </w:p>
        </w:tc>
      </w:tr>
      <w:bookmarkEnd w:id="77"/>
      <w:tr w:rsidR="00133912" w:rsidRPr="000A03FD" w14:paraId="3E253543" w14:textId="77777777" w:rsidTr="0020233B">
        <w:trPr>
          <w:cantSplit/>
        </w:trPr>
        <w:tc>
          <w:tcPr>
            <w:tcW w:w="1413" w:type="dxa"/>
            <w:vMerge w:val="restart"/>
            <w:tcBorders>
              <w:top w:val="single" w:sz="4" w:space="0" w:color="auto"/>
              <w:left w:val="single" w:sz="4" w:space="0" w:color="auto"/>
              <w:right w:val="single" w:sz="4" w:space="0" w:color="auto"/>
            </w:tcBorders>
            <w:vAlign w:val="center"/>
          </w:tcPr>
          <w:p w14:paraId="365C2DA2" w14:textId="77777777" w:rsidR="00535838" w:rsidRPr="000A03FD" w:rsidRDefault="00535838" w:rsidP="00113672">
            <w:pPr>
              <w:pStyle w:val="Tabletext"/>
              <w:tabs>
                <w:tab w:val="left" w:pos="142"/>
              </w:tabs>
            </w:pPr>
            <w:r w:rsidRPr="000A03FD">
              <w:t>Loss of response after 52 weeks</w:t>
            </w:r>
          </w:p>
        </w:tc>
        <w:tc>
          <w:tcPr>
            <w:tcW w:w="1559" w:type="dxa"/>
            <w:vMerge w:val="restart"/>
            <w:tcBorders>
              <w:top w:val="single" w:sz="4" w:space="0" w:color="auto"/>
              <w:left w:val="single" w:sz="4" w:space="0" w:color="auto"/>
              <w:right w:val="single" w:sz="4" w:space="0" w:color="auto"/>
            </w:tcBorders>
            <w:vAlign w:val="center"/>
          </w:tcPr>
          <w:p w14:paraId="094F67B6" w14:textId="77777777" w:rsidR="00535838" w:rsidRPr="000A03FD" w:rsidRDefault="00535838" w:rsidP="00113672">
            <w:pPr>
              <w:pStyle w:val="Tabletext"/>
              <w:tabs>
                <w:tab w:val="left" w:pos="142"/>
              </w:tabs>
            </w:pPr>
            <w:r w:rsidRPr="000A03FD">
              <w:t>Mep – 27.6%</w:t>
            </w:r>
          </w:p>
          <w:p w14:paraId="464A6C03" w14:textId="77777777" w:rsidR="00535838" w:rsidRPr="000A03FD" w:rsidRDefault="00535838" w:rsidP="00113672">
            <w:pPr>
              <w:pStyle w:val="Tabletext"/>
              <w:tabs>
                <w:tab w:val="left" w:pos="142"/>
              </w:tabs>
            </w:pPr>
            <w:r w:rsidRPr="000A03FD">
              <w:t>SoC – 61.9%</w:t>
            </w:r>
          </w:p>
        </w:tc>
        <w:tc>
          <w:tcPr>
            <w:tcW w:w="1985" w:type="dxa"/>
            <w:tcBorders>
              <w:top w:val="single" w:sz="4" w:space="0" w:color="auto"/>
              <w:left w:val="single" w:sz="4" w:space="0" w:color="auto"/>
              <w:bottom w:val="single" w:sz="4" w:space="0" w:color="auto"/>
              <w:right w:val="single" w:sz="4" w:space="0" w:color="auto"/>
            </w:tcBorders>
            <w:vAlign w:val="center"/>
          </w:tcPr>
          <w:p w14:paraId="301E8017" w14:textId="1AF9613E" w:rsidR="00535838" w:rsidRPr="000A03FD" w:rsidRDefault="00535838" w:rsidP="00113672">
            <w:pPr>
              <w:pStyle w:val="Tabletext"/>
              <w:tabs>
                <w:tab w:val="left" w:pos="142"/>
              </w:tabs>
              <w:rPr>
                <w:vertAlign w:val="superscript"/>
              </w:rPr>
            </w:pPr>
            <w:r w:rsidRPr="000A03FD">
              <w:t xml:space="preserve">Mep – 31.6% </w:t>
            </w:r>
            <w:r w:rsidR="00194DC0" w:rsidRPr="000A03FD">
              <w:rPr>
                <w:vertAlign w:val="superscript"/>
              </w:rPr>
              <w:t>b</w:t>
            </w:r>
          </w:p>
          <w:p w14:paraId="1D24B365" w14:textId="77777777" w:rsidR="00535838" w:rsidRPr="000A03FD" w:rsidRDefault="00535838" w:rsidP="00113672">
            <w:pPr>
              <w:pStyle w:val="Tabletext"/>
              <w:tabs>
                <w:tab w:val="left" w:pos="142"/>
              </w:tabs>
            </w:pPr>
            <w:r w:rsidRPr="000A03FD">
              <w:t>SoC – 61.9%</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2402F6A5" w14:textId="78174F19" w:rsidR="00535838" w:rsidRPr="00E96B9A" w:rsidRDefault="0020233B" w:rsidP="00113672">
            <w:pPr>
              <w:pStyle w:val="Tabletext"/>
              <w:jc w:val="center"/>
              <w:rPr>
                <w:highlight w:val="lightGray"/>
              </w:rPr>
            </w:pPr>
            <w:r w:rsidRPr="0020233B">
              <w:rPr>
                <w:rFonts w:hint="eastAsia"/>
                <w:color w:val="000000"/>
                <w:w w:val="20"/>
                <w:fitText w:val="91" w:id="-1303140604"/>
                <w14:textFill>
                  <w14:solidFill>
                    <w14:srgbClr w14:val="000000">
                      <w14:alpha w14:val="100000"/>
                    </w14:srgbClr>
                  </w14:solidFill>
                </w14:textFill>
              </w:rPr>
              <w:t xml:space="preserve">　</w:t>
            </w:r>
            <w:r w:rsidRPr="0020233B">
              <w:rPr>
                <w:color w:val="000000"/>
                <w:w w:val="20"/>
                <w:fitText w:val="91" w:id="-1303140604"/>
                <w14:textFill>
                  <w14:solidFill>
                    <w14:srgbClr w14:val="000000">
                      <w14:alpha w14:val="100000"/>
                    </w14:srgbClr>
                  </w14:solidFill>
                </w14:textFill>
              </w:rPr>
              <w:t>|</w:t>
            </w:r>
            <w:r w:rsidRPr="0020233B">
              <w:rPr>
                <w:rFonts w:hint="eastAsia"/>
                <w:color w:val="000000"/>
                <w:w w:val="20"/>
                <w:fitText w:val="91" w:id="-1303140604"/>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0BCE053" w14:textId="77777777" w:rsidR="00535838" w:rsidRPr="000A03FD" w:rsidRDefault="00535838" w:rsidP="00113672">
            <w:pPr>
              <w:pStyle w:val="Tabletext"/>
              <w:jc w:val="center"/>
            </w:pPr>
            <w:r w:rsidRPr="000A03FD">
              <w:t>0.157</w:t>
            </w:r>
          </w:p>
        </w:tc>
        <w:tc>
          <w:tcPr>
            <w:tcW w:w="992" w:type="dxa"/>
            <w:tcBorders>
              <w:top w:val="single" w:sz="4" w:space="0" w:color="auto"/>
              <w:left w:val="single" w:sz="4" w:space="0" w:color="auto"/>
              <w:bottom w:val="single" w:sz="4" w:space="0" w:color="auto"/>
              <w:right w:val="single" w:sz="4" w:space="0" w:color="auto"/>
            </w:tcBorders>
            <w:vAlign w:val="center"/>
          </w:tcPr>
          <w:p w14:paraId="08F69577" w14:textId="2E00F2E0" w:rsidR="00535838" w:rsidRPr="00180A8E" w:rsidRDefault="0020233B" w:rsidP="00113672">
            <w:pPr>
              <w:pStyle w:val="Tabletext"/>
              <w:jc w:val="center"/>
              <w:rPr>
                <w:highlight w:val="yellow"/>
              </w:rPr>
            </w:pPr>
            <w:r w:rsidRPr="0020233B">
              <w:rPr>
                <w:color w:val="000000"/>
                <w:spacing w:val="96"/>
                <w:shd w:val="solid" w:color="000000" w:fill="000000"/>
                <w:fitText w:val="182" w:id="-1303140603"/>
                <w14:textFill>
                  <w14:solidFill>
                    <w14:srgbClr w14:val="000000">
                      <w14:alpha w14:val="100000"/>
                    </w14:srgbClr>
                  </w14:solidFill>
                </w14:textFill>
              </w:rPr>
              <w:t>|</w:t>
            </w:r>
            <w:r w:rsidRPr="0020233B">
              <w:rPr>
                <w:color w:val="000000"/>
                <w:spacing w:val="1"/>
                <w:shd w:val="solid" w:color="000000" w:fill="000000"/>
                <w:fitText w:val="182" w:id="-1303140603"/>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76D0AA61" w14:textId="77777777" w:rsidR="00535838" w:rsidRPr="000A03FD" w:rsidRDefault="00535838" w:rsidP="00113672">
            <w:pPr>
              <w:pStyle w:val="Tabletext"/>
              <w:jc w:val="center"/>
            </w:pPr>
            <w:r w:rsidRPr="000A03FD">
              <w:t>+8%</w:t>
            </w:r>
          </w:p>
        </w:tc>
      </w:tr>
      <w:tr w:rsidR="00133912" w:rsidRPr="000A03FD" w14:paraId="725BF125" w14:textId="77777777" w:rsidTr="0020233B">
        <w:trPr>
          <w:cantSplit/>
        </w:trPr>
        <w:tc>
          <w:tcPr>
            <w:tcW w:w="1413" w:type="dxa"/>
            <w:vMerge/>
            <w:tcBorders>
              <w:left w:val="single" w:sz="4" w:space="0" w:color="auto"/>
              <w:right w:val="single" w:sz="4" w:space="0" w:color="auto"/>
            </w:tcBorders>
            <w:vAlign w:val="center"/>
          </w:tcPr>
          <w:p w14:paraId="34792614" w14:textId="77777777" w:rsidR="00535838" w:rsidRPr="000A03FD" w:rsidRDefault="00535838" w:rsidP="00113672">
            <w:pPr>
              <w:pStyle w:val="Tabletext"/>
              <w:tabs>
                <w:tab w:val="left" w:pos="142"/>
              </w:tabs>
            </w:pPr>
          </w:p>
        </w:tc>
        <w:tc>
          <w:tcPr>
            <w:tcW w:w="1559" w:type="dxa"/>
            <w:vMerge/>
            <w:tcBorders>
              <w:left w:val="single" w:sz="4" w:space="0" w:color="auto"/>
              <w:right w:val="single" w:sz="4" w:space="0" w:color="auto"/>
            </w:tcBorders>
            <w:vAlign w:val="center"/>
          </w:tcPr>
          <w:p w14:paraId="26B6A5D5" w14:textId="77777777" w:rsidR="00535838" w:rsidRPr="000A03FD" w:rsidRDefault="00535838" w:rsidP="00113672">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4804AAAE" w14:textId="04DC581E" w:rsidR="00535838" w:rsidRPr="000A03FD" w:rsidRDefault="00535838" w:rsidP="00113672">
            <w:pPr>
              <w:pStyle w:val="Tabletext"/>
              <w:tabs>
                <w:tab w:val="left" w:pos="142"/>
              </w:tabs>
              <w:rPr>
                <w:vertAlign w:val="superscript"/>
              </w:rPr>
            </w:pPr>
            <w:r w:rsidRPr="000A03FD">
              <w:t xml:space="preserve">Use Mep rate </w:t>
            </w:r>
            <w:r w:rsidR="00A249A2" w:rsidRPr="000A03FD">
              <w:t xml:space="preserve">(27.6%) </w:t>
            </w:r>
            <w:r w:rsidRPr="000A03FD">
              <w:t>in both arms</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7614A7EE" w14:textId="5BF5EDA9" w:rsidR="00535838" w:rsidRPr="00E96B9A" w:rsidRDefault="0020233B" w:rsidP="00113672">
            <w:pPr>
              <w:pStyle w:val="Tabletext"/>
              <w:jc w:val="center"/>
              <w:rPr>
                <w:highlight w:val="lightGray"/>
              </w:rPr>
            </w:pPr>
            <w:r w:rsidRPr="0020233B">
              <w:rPr>
                <w:rFonts w:hint="eastAsia"/>
                <w:color w:val="000000"/>
                <w:w w:val="20"/>
                <w:fitText w:val="91" w:id="-1303140602"/>
                <w14:textFill>
                  <w14:solidFill>
                    <w14:srgbClr w14:val="000000">
                      <w14:alpha w14:val="100000"/>
                    </w14:srgbClr>
                  </w14:solidFill>
                </w14:textFill>
              </w:rPr>
              <w:t xml:space="preserve">　</w:t>
            </w:r>
            <w:r w:rsidRPr="0020233B">
              <w:rPr>
                <w:color w:val="000000"/>
                <w:w w:val="20"/>
                <w:fitText w:val="91" w:id="-1303140602"/>
                <w14:textFill>
                  <w14:solidFill>
                    <w14:srgbClr w14:val="000000">
                      <w14:alpha w14:val="100000"/>
                    </w14:srgbClr>
                  </w14:solidFill>
                </w14:textFill>
              </w:rPr>
              <w:t>|</w:t>
            </w:r>
            <w:r w:rsidRPr="0020233B">
              <w:rPr>
                <w:rFonts w:hint="eastAsia"/>
                <w:color w:val="000000"/>
                <w:w w:val="20"/>
                <w:fitText w:val="91" w:id="-1303140602"/>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17B43AF" w14:textId="77777777" w:rsidR="00535838" w:rsidRPr="000A03FD" w:rsidRDefault="00535838" w:rsidP="00113672">
            <w:pPr>
              <w:pStyle w:val="Tabletext"/>
              <w:jc w:val="center"/>
            </w:pPr>
            <w:r w:rsidRPr="000A03FD">
              <w:t>0.11</w:t>
            </w:r>
          </w:p>
        </w:tc>
        <w:tc>
          <w:tcPr>
            <w:tcW w:w="992" w:type="dxa"/>
            <w:tcBorders>
              <w:top w:val="single" w:sz="4" w:space="0" w:color="auto"/>
              <w:left w:val="single" w:sz="4" w:space="0" w:color="auto"/>
              <w:bottom w:val="single" w:sz="4" w:space="0" w:color="auto"/>
              <w:right w:val="single" w:sz="4" w:space="0" w:color="auto"/>
            </w:tcBorders>
            <w:vAlign w:val="center"/>
          </w:tcPr>
          <w:p w14:paraId="40E04B8B" w14:textId="3EE61E06" w:rsidR="00535838" w:rsidRPr="00180A8E" w:rsidRDefault="0020233B" w:rsidP="00113672">
            <w:pPr>
              <w:pStyle w:val="Tabletext"/>
              <w:jc w:val="center"/>
              <w:rPr>
                <w:highlight w:val="yellow"/>
              </w:rPr>
            </w:pPr>
            <w:r w:rsidRPr="0020233B">
              <w:rPr>
                <w:color w:val="000000"/>
                <w:spacing w:val="96"/>
                <w:shd w:val="solid" w:color="000000" w:fill="000000"/>
                <w:fitText w:val="182" w:id="-1303140601"/>
                <w14:textFill>
                  <w14:solidFill>
                    <w14:srgbClr w14:val="000000">
                      <w14:alpha w14:val="100000"/>
                    </w14:srgbClr>
                  </w14:solidFill>
                </w14:textFill>
              </w:rPr>
              <w:t>|</w:t>
            </w:r>
            <w:r w:rsidRPr="0020233B">
              <w:rPr>
                <w:color w:val="000000"/>
                <w:spacing w:val="1"/>
                <w:shd w:val="solid" w:color="000000" w:fill="000000"/>
                <w:fitText w:val="182" w:id="-1303140601"/>
                <w14:textFill>
                  <w14:solidFill>
                    <w14:srgbClr w14:val="000000">
                      <w14:alpha w14:val="100000"/>
                    </w14:srgbClr>
                  </w14:solidFill>
                </w14:textFill>
              </w:rPr>
              <w:t>|</w:t>
            </w:r>
            <w:r w:rsidR="00775E82" w:rsidRPr="00775E82">
              <w:rPr>
                <w:rFonts w:cs="Arial"/>
                <w:iCs/>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tcPr>
          <w:p w14:paraId="77BEEB75" w14:textId="77777777" w:rsidR="00535838" w:rsidRPr="000A03FD" w:rsidRDefault="00535838" w:rsidP="00113672">
            <w:pPr>
              <w:pStyle w:val="Tabletext"/>
              <w:jc w:val="center"/>
            </w:pPr>
            <w:r w:rsidRPr="000A03FD">
              <w:t>+70.7%</w:t>
            </w:r>
          </w:p>
        </w:tc>
      </w:tr>
      <w:tr w:rsidR="00133912" w:rsidRPr="000A03FD" w14:paraId="7EAF90A3" w14:textId="77777777" w:rsidTr="0020233B">
        <w:trPr>
          <w:cantSplit/>
        </w:trPr>
        <w:tc>
          <w:tcPr>
            <w:tcW w:w="1413" w:type="dxa"/>
            <w:vMerge/>
            <w:tcBorders>
              <w:left w:val="single" w:sz="4" w:space="0" w:color="auto"/>
              <w:right w:val="single" w:sz="4" w:space="0" w:color="auto"/>
            </w:tcBorders>
            <w:vAlign w:val="center"/>
          </w:tcPr>
          <w:p w14:paraId="4C3F0C35" w14:textId="77777777" w:rsidR="00535838" w:rsidRPr="000A03FD" w:rsidRDefault="00535838" w:rsidP="00113672">
            <w:pPr>
              <w:pStyle w:val="Tabletext"/>
              <w:tabs>
                <w:tab w:val="left" w:pos="142"/>
              </w:tabs>
            </w:pPr>
          </w:p>
        </w:tc>
        <w:tc>
          <w:tcPr>
            <w:tcW w:w="1559" w:type="dxa"/>
            <w:vMerge/>
            <w:tcBorders>
              <w:left w:val="single" w:sz="4" w:space="0" w:color="auto"/>
              <w:right w:val="single" w:sz="4" w:space="0" w:color="auto"/>
            </w:tcBorders>
            <w:vAlign w:val="center"/>
          </w:tcPr>
          <w:p w14:paraId="29C41928" w14:textId="77777777" w:rsidR="00535838" w:rsidRPr="000A03FD" w:rsidRDefault="00535838" w:rsidP="00113672">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6305ED72" w14:textId="59915EF7" w:rsidR="00535838" w:rsidRPr="000A03FD" w:rsidRDefault="00535838" w:rsidP="00113672">
            <w:pPr>
              <w:pStyle w:val="Tabletext"/>
              <w:tabs>
                <w:tab w:val="left" w:pos="142"/>
              </w:tabs>
            </w:pPr>
            <w:r w:rsidRPr="000A03FD">
              <w:t xml:space="preserve">Use SoC rate </w:t>
            </w:r>
            <w:r w:rsidR="00A249A2" w:rsidRPr="000A03FD">
              <w:t xml:space="preserve">(61.9%) </w:t>
            </w:r>
            <w:r w:rsidRPr="000A03FD">
              <w:t>in both arms</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7573070D" w14:textId="0787600C" w:rsidR="00535838" w:rsidRPr="00E96B9A" w:rsidRDefault="0020233B" w:rsidP="00113672">
            <w:pPr>
              <w:pStyle w:val="Tabletext"/>
              <w:jc w:val="center"/>
              <w:rPr>
                <w:highlight w:val="lightGray"/>
              </w:rPr>
            </w:pPr>
            <w:r w:rsidRPr="0020233B">
              <w:rPr>
                <w:rFonts w:hint="eastAsia"/>
                <w:color w:val="000000"/>
                <w:w w:val="20"/>
                <w:fitText w:val="91" w:id="-1303140600"/>
                <w14:textFill>
                  <w14:solidFill>
                    <w14:srgbClr w14:val="000000">
                      <w14:alpha w14:val="100000"/>
                    </w14:srgbClr>
                  </w14:solidFill>
                </w14:textFill>
              </w:rPr>
              <w:t xml:space="preserve">　</w:t>
            </w:r>
            <w:r w:rsidRPr="0020233B">
              <w:rPr>
                <w:color w:val="000000"/>
                <w:w w:val="20"/>
                <w:fitText w:val="91" w:id="-1303140600"/>
                <w14:textFill>
                  <w14:solidFill>
                    <w14:srgbClr w14:val="000000">
                      <w14:alpha w14:val="100000"/>
                    </w14:srgbClr>
                  </w14:solidFill>
                </w14:textFill>
              </w:rPr>
              <w:t>|</w:t>
            </w:r>
            <w:r w:rsidRPr="0020233B">
              <w:rPr>
                <w:rFonts w:hint="eastAsia"/>
                <w:color w:val="000000"/>
                <w:w w:val="20"/>
                <w:fitText w:val="91" w:id="-1303140600"/>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8E2795A" w14:textId="77777777" w:rsidR="00535838" w:rsidRPr="000A03FD" w:rsidRDefault="00535838" w:rsidP="00113672">
            <w:pPr>
              <w:pStyle w:val="Tabletext"/>
              <w:jc w:val="center"/>
            </w:pPr>
            <w:r w:rsidRPr="000A03FD">
              <w:t>0.04</w:t>
            </w:r>
          </w:p>
        </w:tc>
        <w:tc>
          <w:tcPr>
            <w:tcW w:w="992" w:type="dxa"/>
            <w:tcBorders>
              <w:top w:val="single" w:sz="4" w:space="0" w:color="auto"/>
              <w:left w:val="single" w:sz="4" w:space="0" w:color="auto"/>
              <w:bottom w:val="single" w:sz="4" w:space="0" w:color="auto"/>
              <w:right w:val="single" w:sz="4" w:space="0" w:color="auto"/>
            </w:tcBorders>
            <w:vAlign w:val="center"/>
          </w:tcPr>
          <w:p w14:paraId="035666D0" w14:textId="3068D400" w:rsidR="00535838" w:rsidRPr="00180A8E" w:rsidRDefault="0020233B" w:rsidP="00113672">
            <w:pPr>
              <w:pStyle w:val="Tabletext"/>
              <w:jc w:val="center"/>
              <w:rPr>
                <w:highlight w:val="yellow"/>
              </w:rPr>
            </w:pPr>
            <w:r w:rsidRPr="0020233B">
              <w:rPr>
                <w:color w:val="000000"/>
                <w:spacing w:val="96"/>
                <w:shd w:val="solid" w:color="000000" w:fill="000000"/>
                <w:fitText w:val="182" w:id="-1303140599"/>
                <w14:textFill>
                  <w14:solidFill>
                    <w14:srgbClr w14:val="000000">
                      <w14:alpha w14:val="100000"/>
                    </w14:srgbClr>
                  </w14:solidFill>
                </w14:textFill>
              </w:rPr>
              <w:t>|</w:t>
            </w:r>
            <w:r w:rsidRPr="0020233B">
              <w:rPr>
                <w:color w:val="000000"/>
                <w:spacing w:val="1"/>
                <w:shd w:val="solid" w:color="000000" w:fill="000000"/>
                <w:fitText w:val="182" w:id="-1303140599"/>
                <w14:textFill>
                  <w14:solidFill>
                    <w14:srgbClr w14:val="000000">
                      <w14:alpha w14:val="100000"/>
                    </w14:srgbClr>
                  </w14:solidFill>
                </w14:textFill>
              </w:rPr>
              <w:t>|</w:t>
            </w:r>
            <w:r w:rsidR="00775E82" w:rsidRPr="00775E82">
              <w:rPr>
                <w:rFonts w:cs="Arial"/>
                <w:iCs/>
                <w:sz w:val="18"/>
                <w:szCs w:val="18"/>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14:paraId="24B2E95E" w14:textId="77777777" w:rsidR="00535838" w:rsidRPr="000A03FD" w:rsidRDefault="00535838" w:rsidP="00113672">
            <w:pPr>
              <w:pStyle w:val="Tabletext"/>
              <w:jc w:val="center"/>
            </w:pPr>
            <w:r w:rsidRPr="000A03FD">
              <w:t>+222%</w:t>
            </w:r>
          </w:p>
        </w:tc>
      </w:tr>
      <w:tr w:rsidR="00133912" w:rsidRPr="000A03FD" w14:paraId="2A15DF44" w14:textId="77777777" w:rsidTr="0020233B">
        <w:trPr>
          <w:cantSplit/>
        </w:trPr>
        <w:tc>
          <w:tcPr>
            <w:tcW w:w="1413" w:type="dxa"/>
            <w:vMerge/>
            <w:tcBorders>
              <w:left w:val="single" w:sz="4" w:space="0" w:color="auto"/>
              <w:bottom w:val="single" w:sz="4" w:space="0" w:color="auto"/>
              <w:right w:val="single" w:sz="4" w:space="0" w:color="auto"/>
            </w:tcBorders>
            <w:vAlign w:val="center"/>
          </w:tcPr>
          <w:p w14:paraId="304CC716" w14:textId="77777777" w:rsidR="00535838" w:rsidRPr="000A03FD" w:rsidRDefault="00535838" w:rsidP="00113672">
            <w:pPr>
              <w:pStyle w:val="Tabletext"/>
              <w:tabs>
                <w:tab w:val="left" w:pos="142"/>
              </w:tabs>
            </w:pPr>
          </w:p>
        </w:tc>
        <w:tc>
          <w:tcPr>
            <w:tcW w:w="1559" w:type="dxa"/>
            <w:vMerge/>
            <w:tcBorders>
              <w:left w:val="single" w:sz="4" w:space="0" w:color="auto"/>
              <w:bottom w:val="single" w:sz="4" w:space="0" w:color="auto"/>
              <w:right w:val="single" w:sz="4" w:space="0" w:color="auto"/>
            </w:tcBorders>
            <w:vAlign w:val="center"/>
          </w:tcPr>
          <w:p w14:paraId="0C7E52DD" w14:textId="77777777" w:rsidR="00535838" w:rsidRPr="000A03FD" w:rsidRDefault="00535838" w:rsidP="00113672">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653DA0C7" w14:textId="77777777" w:rsidR="00535838" w:rsidRPr="000A03FD" w:rsidRDefault="00535838" w:rsidP="00113672">
            <w:pPr>
              <w:pStyle w:val="Tabletext"/>
              <w:tabs>
                <w:tab w:val="left" w:pos="142"/>
              </w:tabs>
            </w:pPr>
            <w:r w:rsidRPr="000A03FD">
              <w:t>No loss of response</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084DF0DA" w14:textId="4B89EA46" w:rsidR="00535838" w:rsidRPr="00E96B9A" w:rsidRDefault="0020233B" w:rsidP="00113672">
            <w:pPr>
              <w:pStyle w:val="Tabletext"/>
              <w:jc w:val="center"/>
              <w:rPr>
                <w:highlight w:val="lightGray"/>
              </w:rPr>
            </w:pPr>
            <w:r w:rsidRPr="0020233B">
              <w:rPr>
                <w:rFonts w:hint="eastAsia"/>
                <w:color w:val="000000"/>
                <w:w w:val="20"/>
                <w:fitText w:val="91" w:id="-1303140598"/>
                <w14:textFill>
                  <w14:solidFill>
                    <w14:srgbClr w14:val="000000">
                      <w14:alpha w14:val="100000"/>
                    </w14:srgbClr>
                  </w14:solidFill>
                </w14:textFill>
              </w:rPr>
              <w:t xml:space="preserve">　</w:t>
            </w:r>
            <w:r w:rsidRPr="0020233B">
              <w:rPr>
                <w:color w:val="000000"/>
                <w:w w:val="20"/>
                <w:fitText w:val="91" w:id="-1303140598"/>
                <w14:textFill>
                  <w14:solidFill>
                    <w14:srgbClr w14:val="000000">
                      <w14:alpha w14:val="100000"/>
                    </w14:srgbClr>
                  </w14:solidFill>
                </w14:textFill>
              </w:rPr>
              <w:t>|</w:t>
            </w:r>
            <w:r w:rsidRPr="0020233B">
              <w:rPr>
                <w:rFonts w:hint="eastAsia"/>
                <w:color w:val="000000"/>
                <w:w w:val="20"/>
                <w:fitText w:val="91" w:id="-1303140598"/>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1D86A8" w14:textId="77777777" w:rsidR="00535838" w:rsidRPr="000A03FD" w:rsidRDefault="00535838" w:rsidP="00113672">
            <w:pPr>
              <w:pStyle w:val="Tabletext"/>
              <w:jc w:val="center"/>
            </w:pPr>
            <w:r w:rsidRPr="000A03FD">
              <w:t>0.21</w:t>
            </w:r>
          </w:p>
        </w:tc>
        <w:tc>
          <w:tcPr>
            <w:tcW w:w="992" w:type="dxa"/>
            <w:tcBorders>
              <w:top w:val="single" w:sz="4" w:space="0" w:color="auto"/>
              <w:left w:val="single" w:sz="4" w:space="0" w:color="auto"/>
              <w:bottom w:val="single" w:sz="4" w:space="0" w:color="auto"/>
              <w:right w:val="single" w:sz="4" w:space="0" w:color="auto"/>
            </w:tcBorders>
            <w:vAlign w:val="center"/>
          </w:tcPr>
          <w:p w14:paraId="54C39BFE" w14:textId="0FC974A0" w:rsidR="00535838" w:rsidRPr="00295B9B" w:rsidRDefault="0020233B" w:rsidP="00113672">
            <w:pPr>
              <w:pStyle w:val="Tabletext"/>
              <w:jc w:val="center"/>
              <w:rPr>
                <w:highlight w:val="yellow"/>
                <w:vertAlign w:val="superscript"/>
              </w:rPr>
            </w:pPr>
            <w:r w:rsidRPr="0020233B">
              <w:rPr>
                <w:color w:val="000000"/>
                <w:spacing w:val="105"/>
                <w:shd w:val="solid" w:color="000000" w:fill="000000"/>
                <w:fitText w:val="191" w:id="-1303140597"/>
                <w14:textFill>
                  <w14:solidFill>
                    <w14:srgbClr w14:val="000000">
                      <w14:alpha w14:val="100000"/>
                    </w14:srgbClr>
                  </w14:solidFill>
                </w14:textFill>
              </w:rPr>
              <w:t>|</w:t>
            </w:r>
            <w:r w:rsidRPr="0020233B">
              <w:rPr>
                <w:color w:val="000000"/>
                <w:spacing w:val="1"/>
                <w:shd w:val="solid" w:color="000000" w:fill="000000"/>
                <w:fitText w:val="191" w:id="-1303140597"/>
                <w14:textFill>
                  <w14:solidFill>
                    <w14:srgbClr w14:val="000000">
                      <w14:alpha w14:val="100000"/>
                    </w14:srgbClr>
                  </w14:solidFill>
                </w14:textFill>
              </w:rPr>
              <w:t>|</w:t>
            </w:r>
            <w:r w:rsidR="00295B9B" w:rsidRPr="00295B9B">
              <w:rPr>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14:paraId="6F444B9E" w14:textId="77777777" w:rsidR="00535838" w:rsidRPr="000A03FD" w:rsidRDefault="00535838" w:rsidP="00113672">
            <w:pPr>
              <w:pStyle w:val="Tabletext"/>
              <w:jc w:val="center"/>
            </w:pPr>
            <w:r w:rsidRPr="000A03FD">
              <w:t>+30.1%</w:t>
            </w:r>
          </w:p>
        </w:tc>
      </w:tr>
      <w:tr w:rsidR="00133912" w:rsidRPr="000A03FD" w14:paraId="2E193D8E" w14:textId="77777777" w:rsidTr="0020233B">
        <w:trPr>
          <w:cantSplit/>
        </w:trPr>
        <w:tc>
          <w:tcPr>
            <w:tcW w:w="1413" w:type="dxa"/>
            <w:vMerge w:val="restart"/>
            <w:tcBorders>
              <w:top w:val="single" w:sz="4" w:space="0" w:color="auto"/>
              <w:left w:val="single" w:sz="4" w:space="0" w:color="auto"/>
              <w:right w:val="single" w:sz="4" w:space="0" w:color="auto"/>
            </w:tcBorders>
            <w:vAlign w:val="center"/>
          </w:tcPr>
          <w:p w14:paraId="2422F8B7" w14:textId="77777777" w:rsidR="00516650" w:rsidRPr="000A03FD" w:rsidRDefault="00516650" w:rsidP="00113672">
            <w:pPr>
              <w:pStyle w:val="Tabletext"/>
              <w:tabs>
                <w:tab w:val="left" w:pos="142"/>
              </w:tabs>
            </w:pPr>
            <w:r w:rsidRPr="000A03FD">
              <w:t>Utility</w:t>
            </w:r>
          </w:p>
        </w:tc>
        <w:tc>
          <w:tcPr>
            <w:tcW w:w="1559" w:type="dxa"/>
            <w:tcBorders>
              <w:top w:val="single" w:sz="4" w:space="0" w:color="auto"/>
              <w:left w:val="single" w:sz="4" w:space="0" w:color="auto"/>
              <w:bottom w:val="single" w:sz="4" w:space="0" w:color="auto"/>
              <w:right w:val="single" w:sz="4" w:space="0" w:color="auto"/>
            </w:tcBorders>
            <w:vAlign w:val="center"/>
          </w:tcPr>
          <w:p w14:paraId="6CAC431E" w14:textId="77777777" w:rsidR="00516650" w:rsidRPr="000A03FD" w:rsidRDefault="00516650" w:rsidP="00113672">
            <w:pPr>
              <w:pStyle w:val="Tabletext"/>
              <w:tabs>
                <w:tab w:val="left" w:pos="142"/>
              </w:tabs>
            </w:pPr>
            <w:r w:rsidRPr="000A03FD">
              <w:t>Utility value for non-responder at week 52 onwards = 0.551</w:t>
            </w:r>
          </w:p>
        </w:tc>
        <w:tc>
          <w:tcPr>
            <w:tcW w:w="1985" w:type="dxa"/>
            <w:tcBorders>
              <w:top w:val="single" w:sz="4" w:space="0" w:color="auto"/>
              <w:left w:val="single" w:sz="4" w:space="0" w:color="auto"/>
              <w:bottom w:val="single" w:sz="4" w:space="0" w:color="auto"/>
              <w:right w:val="single" w:sz="4" w:space="0" w:color="auto"/>
            </w:tcBorders>
            <w:vAlign w:val="center"/>
          </w:tcPr>
          <w:p w14:paraId="2797D068" w14:textId="77777777" w:rsidR="00516650" w:rsidRPr="000A03FD" w:rsidRDefault="00516650" w:rsidP="00113672">
            <w:pPr>
              <w:pStyle w:val="Tabletext"/>
              <w:tabs>
                <w:tab w:val="left" w:pos="142"/>
              </w:tabs>
            </w:pPr>
            <w:r w:rsidRPr="000A03FD">
              <w:t>Baseline utility value (0.564) applied instead</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0622FF06" w14:textId="3FAE1030" w:rsidR="00516650" w:rsidRPr="00E96B9A" w:rsidRDefault="0020233B" w:rsidP="00113672">
            <w:pPr>
              <w:pStyle w:val="Tabletext"/>
              <w:jc w:val="center"/>
              <w:rPr>
                <w:highlight w:val="lightGray"/>
              </w:rPr>
            </w:pPr>
            <w:r w:rsidRPr="0020233B">
              <w:rPr>
                <w:rFonts w:hint="eastAsia"/>
                <w:color w:val="000000"/>
                <w:w w:val="20"/>
                <w:fitText w:val="91" w:id="-1303140596"/>
                <w14:textFill>
                  <w14:solidFill>
                    <w14:srgbClr w14:val="000000">
                      <w14:alpha w14:val="100000"/>
                    </w14:srgbClr>
                  </w14:solidFill>
                </w14:textFill>
              </w:rPr>
              <w:t xml:space="preserve">　</w:t>
            </w:r>
            <w:r w:rsidRPr="0020233B">
              <w:rPr>
                <w:color w:val="000000"/>
                <w:w w:val="20"/>
                <w:fitText w:val="91" w:id="-1303140596"/>
                <w14:textFill>
                  <w14:solidFill>
                    <w14:srgbClr w14:val="000000">
                      <w14:alpha w14:val="100000"/>
                    </w14:srgbClr>
                  </w14:solidFill>
                </w14:textFill>
              </w:rPr>
              <w:t>|</w:t>
            </w:r>
            <w:r w:rsidRPr="0020233B">
              <w:rPr>
                <w:rFonts w:hint="eastAsia"/>
                <w:color w:val="000000"/>
                <w:w w:val="20"/>
                <w:fitText w:val="91" w:id="-1303140596"/>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79E4979" w14:textId="77777777" w:rsidR="00516650" w:rsidRPr="000A03FD" w:rsidRDefault="00516650" w:rsidP="00113672">
            <w:pPr>
              <w:pStyle w:val="Tabletext"/>
              <w:jc w:val="center"/>
            </w:pPr>
            <w:r w:rsidRPr="000A03FD">
              <w:t>0.174</w:t>
            </w:r>
          </w:p>
        </w:tc>
        <w:tc>
          <w:tcPr>
            <w:tcW w:w="992" w:type="dxa"/>
            <w:tcBorders>
              <w:top w:val="single" w:sz="4" w:space="0" w:color="auto"/>
              <w:left w:val="single" w:sz="4" w:space="0" w:color="auto"/>
              <w:bottom w:val="single" w:sz="4" w:space="0" w:color="auto"/>
              <w:right w:val="single" w:sz="4" w:space="0" w:color="auto"/>
            </w:tcBorders>
            <w:vAlign w:val="center"/>
          </w:tcPr>
          <w:p w14:paraId="5E755496" w14:textId="16C29D2B" w:rsidR="00516650" w:rsidRPr="00180A8E" w:rsidRDefault="0020233B" w:rsidP="00113672">
            <w:pPr>
              <w:pStyle w:val="Tabletext"/>
              <w:jc w:val="center"/>
              <w:rPr>
                <w:highlight w:val="yellow"/>
              </w:rPr>
            </w:pPr>
            <w:r w:rsidRPr="0020233B">
              <w:rPr>
                <w:color w:val="000000"/>
                <w:spacing w:val="96"/>
                <w:shd w:val="solid" w:color="000000" w:fill="000000"/>
                <w:fitText w:val="182" w:id="-1303140595"/>
                <w14:textFill>
                  <w14:solidFill>
                    <w14:srgbClr w14:val="000000">
                      <w14:alpha w14:val="100000"/>
                    </w14:srgbClr>
                  </w14:solidFill>
                </w14:textFill>
              </w:rPr>
              <w:t>|</w:t>
            </w:r>
            <w:r w:rsidRPr="0020233B">
              <w:rPr>
                <w:color w:val="000000"/>
                <w:spacing w:val="1"/>
                <w:shd w:val="solid" w:color="000000" w:fill="000000"/>
                <w:fitText w:val="182" w:id="-1303140595"/>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563AF015" w14:textId="77777777" w:rsidR="00516650" w:rsidRPr="000A03FD" w:rsidRDefault="00516650" w:rsidP="00113672">
            <w:pPr>
              <w:pStyle w:val="Tabletext"/>
              <w:jc w:val="center"/>
            </w:pPr>
            <w:r w:rsidRPr="000A03FD">
              <w:t>+2.5%</w:t>
            </w:r>
          </w:p>
        </w:tc>
      </w:tr>
      <w:tr w:rsidR="00133912" w:rsidRPr="000A03FD" w14:paraId="18E280C2" w14:textId="77777777" w:rsidTr="0020233B">
        <w:trPr>
          <w:cantSplit/>
        </w:trPr>
        <w:tc>
          <w:tcPr>
            <w:tcW w:w="1413" w:type="dxa"/>
            <w:vMerge/>
            <w:tcBorders>
              <w:left w:val="single" w:sz="4" w:space="0" w:color="auto"/>
              <w:right w:val="single" w:sz="4" w:space="0" w:color="auto"/>
            </w:tcBorders>
            <w:vAlign w:val="center"/>
          </w:tcPr>
          <w:p w14:paraId="195B47F4" w14:textId="77777777" w:rsidR="00516650" w:rsidRPr="000A03FD" w:rsidRDefault="00516650" w:rsidP="00113672">
            <w:pPr>
              <w:pStyle w:val="Tabletext"/>
              <w:tabs>
                <w:tab w:val="left" w:pos="142"/>
              </w:tabs>
            </w:pPr>
          </w:p>
        </w:tc>
        <w:tc>
          <w:tcPr>
            <w:tcW w:w="1559" w:type="dxa"/>
            <w:tcBorders>
              <w:top w:val="single" w:sz="4" w:space="0" w:color="auto"/>
              <w:left w:val="single" w:sz="4" w:space="0" w:color="auto"/>
              <w:bottom w:val="single" w:sz="4" w:space="0" w:color="auto"/>
              <w:right w:val="single" w:sz="4" w:space="0" w:color="auto"/>
            </w:tcBorders>
            <w:vAlign w:val="center"/>
          </w:tcPr>
          <w:p w14:paraId="5DE42D89" w14:textId="77777777" w:rsidR="00516650" w:rsidRPr="000A03FD" w:rsidRDefault="00516650" w:rsidP="00113672">
            <w:pPr>
              <w:pStyle w:val="Tabletext"/>
              <w:tabs>
                <w:tab w:val="left" w:pos="142"/>
              </w:tabs>
            </w:pPr>
            <w:r w:rsidRPr="000A03FD">
              <w:t>Mean of responder utility in both arms (0.785) used to inform both arms of ‘responders’ after week 52, and ‘effective surgery’</w:t>
            </w:r>
          </w:p>
        </w:tc>
        <w:tc>
          <w:tcPr>
            <w:tcW w:w="1985" w:type="dxa"/>
            <w:tcBorders>
              <w:top w:val="single" w:sz="4" w:space="0" w:color="auto"/>
              <w:left w:val="single" w:sz="4" w:space="0" w:color="auto"/>
              <w:bottom w:val="single" w:sz="4" w:space="0" w:color="auto"/>
              <w:right w:val="single" w:sz="4" w:space="0" w:color="auto"/>
            </w:tcBorders>
            <w:vAlign w:val="center"/>
          </w:tcPr>
          <w:p w14:paraId="15B3CF11" w14:textId="77777777" w:rsidR="00516650" w:rsidRPr="000A03FD" w:rsidRDefault="00516650" w:rsidP="00113672">
            <w:pPr>
              <w:pStyle w:val="Tabletext"/>
              <w:tabs>
                <w:tab w:val="left" w:pos="142"/>
              </w:tabs>
            </w:pPr>
            <w:bookmarkStart w:id="78" w:name="_Hlk112082226"/>
            <w:r w:rsidRPr="000A03FD">
              <w:t>SoC responder utility (0.780) used</w:t>
            </w:r>
            <w:bookmarkEnd w:id="78"/>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2E1B810A" w14:textId="6C4591F8" w:rsidR="00516650" w:rsidRPr="00180A8E" w:rsidRDefault="0020233B" w:rsidP="00E96B9A">
            <w:pPr>
              <w:pStyle w:val="Tabletext"/>
              <w:jc w:val="center"/>
              <w:rPr>
                <w:highlight w:val="yellow"/>
              </w:rPr>
            </w:pPr>
            <w:r w:rsidRPr="0020233B">
              <w:rPr>
                <w:rFonts w:hint="eastAsia"/>
                <w:color w:val="000000"/>
                <w:w w:val="20"/>
                <w:fitText w:val="91" w:id="-1303140594"/>
                <w14:textFill>
                  <w14:solidFill>
                    <w14:srgbClr w14:val="000000">
                      <w14:alpha w14:val="100000"/>
                    </w14:srgbClr>
                  </w14:solidFill>
                </w14:textFill>
              </w:rPr>
              <w:t xml:space="preserve">　</w:t>
            </w:r>
            <w:r w:rsidRPr="0020233B">
              <w:rPr>
                <w:color w:val="000000"/>
                <w:w w:val="20"/>
                <w:fitText w:val="91" w:id="-1303140594"/>
                <w14:textFill>
                  <w14:solidFill>
                    <w14:srgbClr w14:val="000000">
                      <w14:alpha w14:val="100000"/>
                    </w14:srgbClr>
                  </w14:solidFill>
                </w14:textFill>
              </w:rPr>
              <w:t>|</w:t>
            </w:r>
            <w:r w:rsidRPr="0020233B">
              <w:rPr>
                <w:rFonts w:hint="eastAsia"/>
                <w:color w:val="000000"/>
                <w:w w:val="20"/>
                <w:fitText w:val="91" w:id="-1303140594"/>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0322982" w14:textId="77777777" w:rsidR="00516650" w:rsidRPr="000A03FD" w:rsidRDefault="00516650" w:rsidP="00113672">
            <w:pPr>
              <w:pStyle w:val="Tabletext"/>
              <w:jc w:val="center"/>
            </w:pPr>
            <w:r w:rsidRPr="000A03FD">
              <w:t>0.176</w:t>
            </w:r>
          </w:p>
        </w:tc>
        <w:tc>
          <w:tcPr>
            <w:tcW w:w="992" w:type="dxa"/>
            <w:tcBorders>
              <w:top w:val="single" w:sz="4" w:space="0" w:color="auto"/>
              <w:left w:val="single" w:sz="4" w:space="0" w:color="auto"/>
              <w:bottom w:val="single" w:sz="4" w:space="0" w:color="auto"/>
              <w:right w:val="single" w:sz="4" w:space="0" w:color="auto"/>
            </w:tcBorders>
            <w:vAlign w:val="center"/>
          </w:tcPr>
          <w:p w14:paraId="4F6F4800" w14:textId="1FFCFC1D" w:rsidR="00516650" w:rsidRPr="00180A8E" w:rsidRDefault="0020233B" w:rsidP="00113672">
            <w:pPr>
              <w:pStyle w:val="Tabletext"/>
              <w:jc w:val="center"/>
              <w:rPr>
                <w:highlight w:val="yellow"/>
              </w:rPr>
            </w:pPr>
            <w:r w:rsidRPr="0020233B">
              <w:rPr>
                <w:color w:val="000000"/>
                <w:spacing w:val="96"/>
                <w:shd w:val="solid" w:color="000000" w:fill="000000"/>
                <w:fitText w:val="182" w:id="-1303140593"/>
                <w14:textFill>
                  <w14:solidFill>
                    <w14:srgbClr w14:val="000000">
                      <w14:alpha w14:val="100000"/>
                    </w14:srgbClr>
                  </w14:solidFill>
                </w14:textFill>
              </w:rPr>
              <w:t>|</w:t>
            </w:r>
            <w:r w:rsidRPr="0020233B">
              <w:rPr>
                <w:color w:val="000000"/>
                <w:spacing w:val="1"/>
                <w:shd w:val="solid" w:color="000000" w:fill="000000"/>
                <w:fitText w:val="182" w:id="-1303140593"/>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7B2A17DD" w14:textId="77777777" w:rsidR="00516650" w:rsidRPr="000A03FD" w:rsidRDefault="00516650" w:rsidP="00113672">
            <w:pPr>
              <w:pStyle w:val="Tabletext"/>
              <w:jc w:val="center"/>
            </w:pPr>
            <w:r w:rsidRPr="000A03FD">
              <w:t>+1.6%</w:t>
            </w:r>
          </w:p>
        </w:tc>
      </w:tr>
      <w:tr w:rsidR="00133912" w:rsidRPr="000A03FD" w14:paraId="3010E4B5" w14:textId="77777777" w:rsidTr="00E65832">
        <w:trPr>
          <w:cantSplit/>
        </w:trPr>
        <w:tc>
          <w:tcPr>
            <w:tcW w:w="1413" w:type="dxa"/>
            <w:vMerge/>
            <w:tcBorders>
              <w:left w:val="single" w:sz="4" w:space="0" w:color="auto"/>
              <w:right w:val="single" w:sz="4" w:space="0" w:color="auto"/>
            </w:tcBorders>
            <w:vAlign w:val="center"/>
          </w:tcPr>
          <w:p w14:paraId="2CAE92A7" w14:textId="77777777" w:rsidR="00251B1E" w:rsidRPr="000A03FD" w:rsidRDefault="00251B1E" w:rsidP="00251B1E">
            <w:pPr>
              <w:pStyle w:val="Tabletext"/>
              <w:tabs>
                <w:tab w:val="left" w:pos="142"/>
              </w:tabs>
            </w:pPr>
          </w:p>
        </w:tc>
        <w:tc>
          <w:tcPr>
            <w:tcW w:w="1559" w:type="dxa"/>
            <w:vMerge w:val="restart"/>
            <w:tcBorders>
              <w:top w:val="single" w:sz="4" w:space="0" w:color="auto"/>
              <w:left w:val="single" w:sz="4" w:space="0" w:color="auto"/>
              <w:right w:val="single" w:sz="4" w:space="0" w:color="auto"/>
            </w:tcBorders>
            <w:vAlign w:val="center"/>
          </w:tcPr>
          <w:p w14:paraId="403CED34" w14:textId="2D5F2A6C" w:rsidR="00251B1E" w:rsidRPr="000A03FD" w:rsidRDefault="00251B1E" w:rsidP="00251B1E">
            <w:pPr>
              <w:pStyle w:val="Tabletext"/>
              <w:tabs>
                <w:tab w:val="left" w:pos="142"/>
              </w:tabs>
            </w:pPr>
            <w:r w:rsidRPr="000A03FD">
              <w:t>SoC CFB utility non-responder week 52+ : -0.013</w:t>
            </w:r>
          </w:p>
        </w:tc>
        <w:tc>
          <w:tcPr>
            <w:tcW w:w="1985" w:type="dxa"/>
            <w:tcBorders>
              <w:top w:val="single" w:sz="4" w:space="0" w:color="auto"/>
              <w:left w:val="single" w:sz="4" w:space="0" w:color="auto"/>
              <w:bottom w:val="single" w:sz="4" w:space="0" w:color="auto"/>
              <w:right w:val="single" w:sz="4" w:space="0" w:color="auto"/>
            </w:tcBorders>
            <w:vAlign w:val="center"/>
          </w:tcPr>
          <w:p w14:paraId="7C64CA3D" w14:textId="3E57AC1F" w:rsidR="00251B1E" w:rsidRPr="000A03FD" w:rsidRDefault="00251B1E" w:rsidP="00251B1E">
            <w:pPr>
              <w:pStyle w:val="Tabletext"/>
              <w:tabs>
                <w:tab w:val="left" w:pos="142"/>
              </w:tabs>
            </w:pPr>
            <w:r w:rsidRPr="000A03FD">
              <w:t>Lower 95% CI: -0.107</w:t>
            </w:r>
          </w:p>
        </w:tc>
        <w:tc>
          <w:tcPr>
            <w:tcW w:w="1134" w:type="dxa"/>
            <w:tcBorders>
              <w:top w:val="single" w:sz="4" w:space="0" w:color="auto"/>
              <w:left w:val="single" w:sz="4" w:space="0" w:color="auto"/>
              <w:bottom w:val="single" w:sz="4" w:space="0" w:color="auto"/>
              <w:right w:val="single" w:sz="4" w:space="0" w:color="auto"/>
            </w:tcBorders>
            <w:vAlign w:val="center"/>
          </w:tcPr>
          <w:p w14:paraId="41AF8B02" w14:textId="0D4C7E45" w:rsidR="00251B1E" w:rsidRPr="000A03FD" w:rsidRDefault="00251B1E" w:rsidP="00251B1E">
            <w:pPr>
              <w:pStyle w:val="Tabletext"/>
              <w:jc w:val="center"/>
            </w:pPr>
            <w:r w:rsidRPr="000A03FD">
              <w:t>NR</w:t>
            </w:r>
          </w:p>
        </w:tc>
        <w:tc>
          <w:tcPr>
            <w:tcW w:w="1134" w:type="dxa"/>
            <w:tcBorders>
              <w:top w:val="single" w:sz="4" w:space="0" w:color="auto"/>
              <w:left w:val="single" w:sz="4" w:space="0" w:color="auto"/>
              <w:bottom w:val="single" w:sz="4" w:space="0" w:color="auto"/>
              <w:right w:val="single" w:sz="4" w:space="0" w:color="auto"/>
            </w:tcBorders>
            <w:vAlign w:val="center"/>
          </w:tcPr>
          <w:p w14:paraId="0674A784" w14:textId="19549912" w:rsidR="00251B1E" w:rsidRPr="000A03FD" w:rsidRDefault="00251B1E" w:rsidP="00251B1E">
            <w:pPr>
              <w:pStyle w:val="Tabletext"/>
              <w:jc w:val="center"/>
            </w:pPr>
            <w:r w:rsidRPr="000A03FD">
              <w:t>NR</w:t>
            </w:r>
          </w:p>
        </w:tc>
        <w:tc>
          <w:tcPr>
            <w:tcW w:w="992" w:type="dxa"/>
            <w:tcBorders>
              <w:top w:val="single" w:sz="4" w:space="0" w:color="auto"/>
              <w:left w:val="single" w:sz="4" w:space="0" w:color="auto"/>
              <w:bottom w:val="single" w:sz="4" w:space="0" w:color="auto"/>
              <w:right w:val="single" w:sz="4" w:space="0" w:color="auto"/>
            </w:tcBorders>
            <w:vAlign w:val="center"/>
          </w:tcPr>
          <w:p w14:paraId="444B39FC" w14:textId="50D7AF6C" w:rsidR="00251B1E" w:rsidRPr="00180A8E" w:rsidRDefault="0020233B" w:rsidP="00251B1E">
            <w:pPr>
              <w:pStyle w:val="Tabletext"/>
              <w:jc w:val="center"/>
              <w:rPr>
                <w:highlight w:val="yellow"/>
              </w:rPr>
            </w:pPr>
            <w:r w:rsidRPr="0020233B">
              <w:rPr>
                <w:color w:val="000000"/>
                <w:spacing w:val="96"/>
                <w:szCs w:val="20"/>
                <w:shd w:val="solid" w:color="000000" w:fill="000000"/>
                <w:fitText w:val="182" w:id="-1303140592"/>
                <w14:textFill>
                  <w14:solidFill>
                    <w14:srgbClr w14:val="000000">
                      <w14:alpha w14:val="100000"/>
                    </w14:srgbClr>
                  </w14:solidFill>
                </w14:textFill>
              </w:rPr>
              <w:t>|</w:t>
            </w:r>
            <w:r w:rsidRPr="0020233B">
              <w:rPr>
                <w:color w:val="000000"/>
                <w:spacing w:val="1"/>
                <w:szCs w:val="20"/>
                <w:shd w:val="solid" w:color="000000" w:fill="000000"/>
                <w:fitText w:val="182" w:id="-1303140592"/>
                <w14:textFill>
                  <w14:solidFill>
                    <w14:srgbClr w14:val="000000">
                      <w14:alpha w14:val="100000"/>
                    </w14:srgbClr>
                  </w14:solidFill>
                </w14:textFill>
              </w:rPr>
              <w:t>|</w:t>
            </w:r>
            <w:r w:rsidR="00A62E98" w:rsidRPr="00A62E98">
              <w:rPr>
                <w:rFonts w:cs="Arial"/>
                <w:iCs/>
                <w:sz w:val="18"/>
                <w:szCs w:val="18"/>
                <w:vertAlign w:val="superscript"/>
              </w:rPr>
              <w:t>4</w:t>
            </w:r>
          </w:p>
        </w:tc>
        <w:tc>
          <w:tcPr>
            <w:tcW w:w="850" w:type="dxa"/>
            <w:tcBorders>
              <w:top w:val="single" w:sz="4" w:space="0" w:color="auto"/>
              <w:left w:val="single" w:sz="4" w:space="0" w:color="auto"/>
              <w:bottom w:val="single" w:sz="4" w:space="0" w:color="auto"/>
              <w:right w:val="single" w:sz="4" w:space="0" w:color="auto"/>
            </w:tcBorders>
            <w:vAlign w:val="center"/>
          </w:tcPr>
          <w:p w14:paraId="14FC59E2" w14:textId="1B51D17C" w:rsidR="00251B1E" w:rsidRPr="000A03FD" w:rsidRDefault="00D50253" w:rsidP="00251B1E">
            <w:pPr>
              <w:pStyle w:val="Tabletext"/>
              <w:jc w:val="center"/>
            </w:pPr>
            <w:r w:rsidRPr="000A03FD">
              <w:t>-15.3%</w:t>
            </w:r>
          </w:p>
        </w:tc>
      </w:tr>
      <w:tr w:rsidR="00133912" w:rsidRPr="000A03FD" w14:paraId="1C7C420E" w14:textId="77777777" w:rsidTr="00E65832">
        <w:trPr>
          <w:cantSplit/>
        </w:trPr>
        <w:tc>
          <w:tcPr>
            <w:tcW w:w="1413" w:type="dxa"/>
            <w:vMerge/>
            <w:tcBorders>
              <w:left w:val="single" w:sz="4" w:space="0" w:color="auto"/>
              <w:right w:val="single" w:sz="4" w:space="0" w:color="auto"/>
            </w:tcBorders>
            <w:vAlign w:val="center"/>
          </w:tcPr>
          <w:p w14:paraId="230C7563" w14:textId="77777777" w:rsidR="004E5555" w:rsidRPr="000A03FD" w:rsidRDefault="004E5555" w:rsidP="004E5555">
            <w:pPr>
              <w:pStyle w:val="Tabletext"/>
              <w:tabs>
                <w:tab w:val="left" w:pos="142"/>
              </w:tabs>
            </w:pPr>
          </w:p>
        </w:tc>
        <w:tc>
          <w:tcPr>
            <w:tcW w:w="1559" w:type="dxa"/>
            <w:vMerge/>
            <w:tcBorders>
              <w:left w:val="single" w:sz="4" w:space="0" w:color="auto"/>
              <w:bottom w:val="single" w:sz="4" w:space="0" w:color="auto"/>
              <w:right w:val="single" w:sz="4" w:space="0" w:color="auto"/>
            </w:tcBorders>
            <w:vAlign w:val="center"/>
          </w:tcPr>
          <w:p w14:paraId="300012AF" w14:textId="77777777" w:rsidR="004E5555" w:rsidRPr="000A03FD" w:rsidRDefault="004E5555" w:rsidP="004E5555">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0DD99480" w14:textId="661E07D3" w:rsidR="004E5555" w:rsidRPr="000A03FD" w:rsidRDefault="004E5555" w:rsidP="004E5555">
            <w:pPr>
              <w:pStyle w:val="Tabletext"/>
              <w:tabs>
                <w:tab w:val="left" w:pos="142"/>
              </w:tabs>
            </w:pPr>
            <w:r w:rsidRPr="000A03FD">
              <w:t>Upper 95% CI: 0.081</w:t>
            </w:r>
          </w:p>
        </w:tc>
        <w:tc>
          <w:tcPr>
            <w:tcW w:w="1134" w:type="dxa"/>
            <w:tcBorders>
              <w:top w:val="single" w:sz="4" w:space="0" w:color="auto"/>
              <w:left w:val="single" w:sz="4" w:space="0" w:color="auto"/>
              <w:bottom w:val="single" w:sz="4" w:space="0" w:color="auto"/>
              <w:right w:val="single" w:sz="4" w:space="0" w:color="auto"/>
            </w:tcBorders>
            <w:vAlign w:val="center"/>
          </w:tcPr>
          <w:p w14:paraId="6F22AC91" w14:textId="28A70E35" w:rsidR="004E5555" w:rsidRPr="000A03FD" w:rsidRDefault="004E5555" w:rsidP="004E5555">
            <w:pPr>
              <w:pStyle w:val="Tabletext"/>
              <w:jc w:val="center"/>
            </w:pPr>
            <w:r w:rsidRPr="000A03FD">
              <w:t>NR</w:t>
            </w:r>
          </w:p>
        </w:tc>
        <w:tc>
          <w:tcPr>
            <w:tcW w:w="1134" w:type="dxa"/>
            <w:tcBorders>
              <w:top w:val="single" w:sz="4" w:space="0" w:color="auto"/>
              <w:left w:val="single" w:sz="4" w:space="0" w:color="auto"/>
              <w:bottom w:val="single" w:sz="4" w:space="0" w:color="auto"/>
              <w:right w:val="single" w:sz="4" w:space="0" w:color="auto"/>
            </w:tcBorders>
            <w:vAlign w:val="center"/>
          </w:tcPr>
          <w:p w14:paraId="20432E1D" w14:textId="5B885C95" w:rsidR="004E5555" w:rsidRPr="000A03FD" w:rsidRDefault="004E5555" w:rsidP="004E5555">
            <w:pPr>
              <w:pStyle w:val="Tabletext"/>
              <w:jc w:val="center"/>
            </w:pPr>
            <w:r w:rsidRPr="000A03FD">
              <w:t>NR</w:t>
            </w:r>
          </w:p>
        </w:tc>
        <w:tc>
          <w:tcPr>
            <w:tcW w:w="992" w:type="dxa"/>
            <w:tcBorders>
              <w:top w:val="single" w:sz="4" w:space="0" w:color="auto"/>
              <w:left w:val="single" w:sz="4" w:space="0" w:color="auto"/>
              <w:bottom w:val="single" w:sz="4" w:space="0" w:color="auto"/>
              <w:right w:val="single" w:sz="4" w:space="0" w:color="auto"/>
            </w:tcBorders>
            <w:vAlign w:val="center"/>
          </w:tcPr>
          <w:p w14:paraId="4C4CD6B1" w14:textId="4330A764" w:rsidR="004E5555" w:rsidRPr="00180A8E" w:rsidRDefault="0020233B" w:rsidP="004E5555">
            <w:pPr>
              <w:pStyle w:val="Tabletext"/>
              <w:jc w:val="center"/>
              <w:rPr>
                <w:highlight w:val="yellow"/>
              </w:rPr>
            </w:pPr>
            <w:r w:rsidRPr="0020233B">
              <w:rPr>
                <w:color w:val="000000"/>
                <w:spacing w:val="96"/>
                <w:szCs w:val="20"/>
                <w:shd w:val="solid" w:color="000000" w:fill="000000"/>
                <w:fitText w:val="182" w:id="-1303140608"/>
                <w14:textFill>
                  <w14:solidFill>
                    <w14:srgbClr w14:val="000000">
                      <w14:alpha w14:val="100000"/>
                    </w14:srgbClr>
                  </w14:solidFill>
                </w14:textFill>
              </w:rPr>
              <w:t>|</w:t>
            </w:r>
            <w:r w:rsidRPr="0020233B">
              <w:rPr>
                <w:color w:val="000000"/>
                <w:spacing w:val="1"/>
                <w:szCs w:val="20"/>
                <w:shd w:val="solid" w:color="000000" w:fill="000000"/>
                <w:fitText w:val="182" w:id="-1303140608"/>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3AD51B12" w14:textId="37E3CD1D" w:rsidR="004E5555" w:rsidRPr="000A03FD" w:rsidRDefault="00D50253" w:rsidP="004E5555">
            <w:pPr>
              <w:pStyle w:val="Tabletext"/>
              <w:jc w:val="center"/>
            </w:pPr>
            <w:r w:rsidRPr="000A03FD">
              <w:t>+22.0%</w:t>
            </w:r>
          </w:p>
        </w:tc>
      </w:tr>
      <w:tr w:rsidR="00133912" w:rsidRPr="000A03FD" w14:paraId="1FA39D8E" w14:textId="77777777" w:rsidTr="00E65832">
        <w:trPr>
          <w:cantSplit/>
        </w:trPr>
        <w:tc>
          <w:tcPr>
            <w:tcW w:w="1413" w:type="dxa"/>
            <w:vMerge/>
            <w:tcBorders>
              <w:left w:val="single" w:sz="4" w:space="0" w:color="auto"/>
              <w:right w:val="single" w:sz="4" w:space="0" w:color="auto"/>
            </w:tcBorders>
            <w:vAlign w:val="center"/>
          </w:tcPr>
          <w:p w14:paraId="304CA9C9" w14:textId="77777777" w:rsidR="004E5555" w:rsidRPr="000A03FD" w:rsidRDefault="004E5555" w:rsidP="004E5555">
            <w:pPr>
              <w:pStyle w:val="Tabletext"/>
              <w:tabs>
                <w:tab w:val="left" w:pos="142"/>
              </w:tabs>
            </w:pPr>
          </w:p>
        </w:tc>
        <w:tc>
          <w:tcPr>
            <w:tcW w:w="1559" w:type="dxa"/>
            <w:vMerge w:val="restart"/>
            <w:tcBorders>
              <w:top w:val="single" w:sz="4" w:space="0" w:color="auto"/>
              <w:left w:val="single" w:sz="4" w:space="0" w:color="auto"/>
              <w:right w:val="single" w:sz="4" w:space="0" w:color="auto"/>
            </w:tcBorders>
            <w:vAlign w:val="center"/>
          </w:tcPr>
          <w:p w14:paraId="081A4BBB" w14:textId="6C14354D" w:rsidR="004E5555" w:rsidRPr="000A03FD" w:rsidRDefault="004E5555" w:rsidP="004E5555">
            <w:pPr>
              <w:pStyle w:val="Tabletext"/>
              <w:tabs>
                <w:tab w:val="left" w:pos="142"/>
              </w:tabs>
            </w:pPr>
            <w:r w:rsidRPr="000A03FD">
              <w:t>Responder / effective surgery CFB utility week 52+</w:t>
            </w:r>
            <w:r w:rsidR="00BA6C01" w:rsidRPr="000A03FD">
              <w:t xml:space="preserve"> </w:t>
            </w:r>
            <w:r w:rsidR="00194DC0" w:rsidRPr="000A03FD">
              <w:rPr>
                <w:vertAlign w:val="superscript"/>
              </w:rPr>
              <w:t>c</w:t>
            </w:r>
            <w:r w:rsidRPr="000A03FD">
              <w:t xml:space="preserve"> : 0.221</w:t>
            </w:r>
          </w:p>
        </w:tc>
        <w:tc>
          <w:tcPr>
            <w:tcW w:w="1985" w:type="dxa"/>
            <w:tcBorders>
              <w:top w:val="single" w:sz="4" w:space="0" w:color="auto"/>
              <w:left w:val="single" w:sz="4" w:space="0" w:color="auto"/>
              <w:bottom w:val="single" w:sz="4" w:space="0" w:color="auto"/>
              <w:right w:val="single" w:sz="4" w:space="0" w:color="auto"/>
            </w:tcBorders>
            <w:vAlign w:val="center"/>
          </w:tcPr>
          <w:p w14:paraId="73D7F1E3" w14:textId="150DAC63" w:rsidR="004E5555" w:rsidRPr="000A03FD" w:rsidRDefault="004E5555" w:rsidP="004E5555">
            <w:pPr>
              <w:pStyle w:val="Tabletext"/>
              <w:tabs>
                <w:tab w:val="left" w:pos="142"/>
              </w:tabs>
            </w:pPr>
            <w:r w:rsidRPr="000A03FD">
              <w:t>Lower 95% CI: -0.170</w:t>
            </w:r>
          </w:p>
        </w:tc>
        <w:tc>
          <w:tcPr>
            <w:tcW w:w="1134" w:type="dxa"/>
            <w:tcBorders>
              <w:top w:val="single" w:sz="4" w:space="0" w:color="auto"/>
              <w:left w:val="single" w:sz="4" w:space="0" w:color="auto"/>
              <w:bottom w:val="single" w:sz="4" w:space="0" w:color="auto"/>
              <w:right w:val="single" w:sz="4" w:space="0" w:color="auto"/>
            </w:tcBorders>
            <w:vAlign w:val="center"/>
          </w:tcPr>
          <w:p w14:paraId="3E679111" w14:textId="2BD8C931" w:rsidR="004E5555" w:rsidRPr="000A03FD" w:rsidRDefault="004E5555" w:rsidP="004E5555">
            <w:pPr>
              <w:pStyle w:val="Tabletext"/>
              <w:jc w:val="center"/>
            </w:pPr>
            <w:r w:rsidRPr="000A03FD">
              <w:t>NR</w:t>
            </w:r>
          </w:p>
        </w:tc>
        <w:tc>
          <w:tcPr>
            <w:tcW w:w="1134" w:type="dxa"/>
            <w:tcBorders>
              <w:top w:val="single" w:sz="4" w:space="0" w:color="auto"/>
              <w:left w:val="single" w:sz="4" w:space="0" w:color="auto"/>
              <w:bottom w:val="single" w:sz="4" w:space="0" w:color="auto"/>
              <w:right w:val="single" w:sz="4" w:space="0" w:color="auto"/>
            </w:tcBorders>
            <w:vAlign w:val="center"/>
          </w:tcPr>
          <w:p w14:paraId="26351FE8" w14:textId="2BF47063" w:rsidR="004E5555" w:rsidRPr="000A03FD" w:rsidRDefault="004E5555" w:rsidP="004E5555">
            <w:pPr>
              <w:pStyle w:val="Tabletext"/>
              <w:jc w:val="center"/>
            </w:pPr>
            <w:r w:rsidRPr="000A03FD">
              <w:t>NR</w:t>
            </w:r>
          </w:p>
        </w:tc>
        <w:tc>
          <w:tcPr>
            <w:tcW w:w="992" w:type="dxa"/>
            <w:tcBorders>
              <w:top w:val="single" w:sz="4" w:space="0" w:color="auto"/>
              <w:left w:val="single" w:sz="4" w:space="0" w:color="auto"/>
              <w:bottom w:val="single" w:sz="4" w:space="0" w:color="auto"/>
              <w:right w:val="single" w:sz="4" w:space="0" w:color="auto"/>
            </w:tcBorders>
            <w:vAlign w:val="center"/>
          </w:tcPr>
          <w:p w14:paraId="5F15BBE1" w14:textId="1615E3B0" w:rsidR="004E5555" w:rsidRPr="00180A8E" w:rsidRDefault="0020233B" w:rsidP="004E5555">
            <w:pPr>
              <w:pStyle w:val="Tabletext"/>
              <w:jc w:val="center"/>
              <w:rPr>
                <w:highlight w:val="yellow"/>
              </w:rPr>
            </w:pPr>
            <w:r w:rsidRPr="0020233B">
              <w:rPr>
                <w:color w:val="000000"/>
                <w:spacing w:val="96"/>
                <w:szCs w:val="20"/>
                <w:shd w:val="solid" w:color="000000" w:fill="000000"/>
                <w:fitText w:val="182" w:id="-1303140607"/>
                <w14:textFill>
                  <w14:solidFill>
                    <w14:srgbClr w14:val="000000">
                      <w14:alpha w14:val="100000"/>
                    </w14:srgbClr>
                  </w14:solidFill>
                </w14:textFill>
              </w:rPr>
              <w:t>|</w:t>
            </w:r>
            <w:r w:rsidRPr="0020233B">
              <w:rPr>
                <w:color w:val="000000"/>
                <w:spacing w:val="1"/>
                <w:szCs w:val="20"/>
                <w:shd w:val="solid" w:color="000000" w:fill="000000"/>
                <w:fitText w:val="182" w:id="-1303140607"/>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5FD59435" w14:textId="4D4C359A" w:rsidR="004E5555" w:rsidRPr="000A03FD" w:rsidRDefault="007B511E" w:rsidP="004E5555">
            <w:pPr>
              <w:pStyle w:val="Tabletext"/>
              <w:jc w:val="center"/>
            </w:pPr>
            <w:r w:rsidRPr="000A03FD">
              <w:t>+19.4%</w:t>
            </w:r>
          </w:p>
        </w:tc>
      </w:tr>
      <w:tr w:rsidR="00133912" w:rsidRPr="000A03FD" w14:paraId="358288F0" w14:textId="77777777" w:rsidTr="0020233B">
        <w:trPr>
          <w:cantSplit/>
        </w:trPr>
        <w:tc>
          <w:tcPr>
            <w:tcW w:w="1413" w:type="dxa"/>
            <w:vMerge/>
            <w:tcBorders>
              <w:left w:val="single" w:sz="4" w:space="0" w:color="auto"/>
              <w:bottom w:val="single" w:sz="4" w:space="0" w:color="auto"/>
              <w:right w:val="single" w:sz="4" w:space="0" w:color="auto"/>
            </w:tcBorders>
            <w:vAlign w:val="center"/>
          </w:tcPr>
          <w:p w14:paraId="5A1DC7AE" w14:textId="77777777" w:rsidR="004E5555" w:rsidRPr="000A03FD" w:rsidRDefault="004E5555" w:rsidP="004E5555">
            <w:pPr>
              <w:pStyle w:val="Tabletext"/>
              <w:tabs>
                <w:tab w:val="left" w:pos="142"/>
              </w:tabs>
            </w:pPr>
          </w:p>
        </w:tc>
        <w:tc>
          <w:tcPr>
            <w:tcW w:w="1559" w:type="dxa"/>
            <w:vMerge/>
            <w:tcBorders>
              <w:left w:val="single" w:sz="4" w:space="0" w:color="auto"/>
              <w:bottom w:val="single" w:sz="4" w:space="0" w:color="auto"/>
              <w:right w:val="single" w:sz="4" w:space="0" w:color="auto"/>
            </w:tcBorders>
            <w:vAlign w:val="center"/>
          </w:tcPr>
          <w:p w14:paraId="43824337" w14:textId="77777777" w:rsidR="004E5555" w:rsidRPr="000A03FD" w:rsidRDefault="004E5555" w:rsidP="004E5555">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7759691F" w14:textId="03C99EE0" w:rsidR="004E5555" w:rsidRPr="000A03FD" w:rsidRDefault="004E5555" w:rsidP="004E5555">
            <w:pPr>
              <w:pStyle w:val="Tabletext"/>
              <w:tabs>
                <w:tab w:val="left" w:pos="142"/>
              </w:tabs>
            </w:pPr>
            <w:r w:rsidRPr="000A03FD">
              <w:t>Upper 95% CI: 0.272</w:t>
            </w:r>
          </w:p>
        </w:tc>
        <w:tc>
          <w:tcPr>
            <w:tcW w:w="1134" w:type="dxa"/>
            <w:tcBorders>
              <w:top w:val="single" w:sz="4" w:space="0" w:color="auto"/>
              <w:left w:val="single" w:sz="4" w:space="0" w:color="auto"/>
              <w:bottom w:val="single" w:sz="4" w:space="0" w:color="auto"/>
              <w:right w:val="single" w:sz="4" w:space="0" w:color="auto"/>
            </w:tcBorders>
            <w:vAlign w:val="center"/>
          </w:tcPr>
          <w:p w14:paraId="3C22C9CA" w14:textId="36AB30A5" w:rsidR="004E5555" w:rsidRPr="000A03FD" w:rsidRDefault="004E5555" w:rsidP="004E5555">
            <w:pPr>
              <w:pStyle w:val="Tabletext"/>
              <w:jc w:val="center"/>
            </w:pPr>
            <w:r w:rsidRPr="000A03FD">
              <w:t>NR</w:t>
            </w:r>
          </w:p>
        </w:tc>
        <w:tc>
          <w:tcPr>
            <w:tcW w:w="1134" w:type="dxa"/>
            <w:tcBorders>
              <w:top w:val="single" w:sz="4" w:space="0" w:color="auto"/>
              <w:left w:val="single" w:sz="4" w:space="0" w:color="auto"/>
              <w:bottom w:val="single" w:sz="4" w:space="0" w:color="auto"/>
              <w:right w:val="single" w:sz="4" w:space="0" w:color="auto"/>
            </w:tcBorders>
            <w:vAlign w:val="center"/>
          </w:tcPr>
          <w:p w14:paraId="1DA42A38" w14:textId="60760D98" w:rsidR="004E5555" w:rsidRPr="000A03FD" w:rsidRDefault="004E5555" w:rsidP="004E5555">
            <w:pPr>
              <w:pStyle w:val="Tabletext"/>
              <w:jc w:val="center"/>
            </w:pPr>
            <w:r w:rsidRPr="000A03FD">
              <w:t>NR</w:t>
            </w:r>
          </w:p>
        </w:tc>
        <w:tc>
          <w:tcPr>
            <w:tcW w:w="992" w:type="dxa"/>
            <w:tcBorders>
              <w:top w:val="single" w:sz="4" w:space="0" w:color="auto"/>
              <w:left w:val="single" w:sz="4" w:space="0" w:color="auto"/>
              <w:bottom w:val="single" w:sz="4" w:space="0" w:color="auto"/>
              <w:right w:val="single" w:sz="4" w:space="0" w:color="auto"/>
            </w:tcBorders>
            <w:vAlign w:val="center"/>
          </w:tcPr>
          <w:p w14:paraId="3DF46609" w14:textId="28C1A54C" w:rsidR="004E5555" w:rsidRPr="00180A8E" w:rsidRDefault="0020233B" w:rsidP="004E5555">
            <w:pPr>
              <w:pStyle w:val="Tabletext"/>
              <w:jc w:val="center"/>
              <w:rPr>
                <w:highlight w:val="yellow"/>
              </w:rPr>
            </w:pPr>
            <w:r w:rsidRPr="0020233B">
              <w:rPr>
                <w:color w:val="000000"/>
                <w:spacing w:val="96"/>
                <w:szCs w:val="20"/>
                <w:shd w:val="solid" w:color="000000" w:fill="000000"/>
                <w:fitText w:val="182" w:id="-1303140606"/>
                <w14:textFill>
                  <w14:solidFill>
                    <w14:srgbClr w14:val="000000">
                      <w14:alpha w14:val="100000"/>
                    </w14:srgbClr>
                  </w14:solidFill>
                </w14:textFill>
              </w:rPr>
              <w:t>|</w:t>
            </w:r>
            <w:r w:rsidRPr="0020233B">
              <w:rPr>
                <w:color w:val="000000"/>
                <w:spacing w:val="1"/>
                <w:szCs w:val="20"/>
                <w:shd w:val="solid" w:color="000000" w:fill="000000"/>
                <w:fitText w:val="182" w:id="-1303140606"/>
                <w14:textFill>
                  <w14:solidFill>
                    <w14:srgbClr w14:val="000000">
                      <w14:alpha w14:val="100000"/>
                    </w14:srgbClr>
                  </w14:solidFill>
                </w14:textFill>
              </w:rPr>
              <w:t>|</w:t>
            </w:r>
            <w:r w:rsidR="00775E82" w:rsidRPr="00775E82">
              <w:rPr>
                <w:rFonts w:cs="Arial"/>
                <w:iCs/>
                <w:sz w:val="18"/>
                <w:szCs w:val="18"/>
                <w:vertAlign w:val="superscript"/>
              </w:rPr>
              <w:t>4</w:t>
            </w:r>
          </w:p>
        </w:tc>
        <w:tc>
          <w:tcPr>
            <w:tcW w:w="850" w:type="dxa"/>
            <w:tcBorders>
              <w:top w:val="single" w:sz="4" w:space="0" w:color="auto"/>
              <w:left w:val="single" w:sz="4" w:space="0" w:color="auto"/>
              <w:bottom w:val="single" w:sz="4" w:space="0" w:color="auto"/>
              <w:right w:val="single" w:sz="4" w:space="0" w:color="auto"/>
            </w:tcBorders>
            <w:vAlign w:val="center"/>
          </w:tcPr>
          <w:p w14:paraId="63FB29E1" w14:textId="4B4C4012" w:rsidR="004E5555" w:rsidRPr="000A03FD" w:rsidRDefault="007B511E" w:rsidP="004E5555">
            <w:pPr>
              <w:pStyle w:val="Tabletext"/>
              <w:jc w:val="center"/>
            </w:pPr>
            <w:r w:rsidRPr="000A03FD">
              <w:t>-14.0%</w:t>
            </w:r>
          </w:p>
        </w:tc>
      </w:tr>
      <w:tr w:rsidR="00133912" w:rsidRPr="000A03FD" w14:paraId="1AF223AE" w14:textId="77777777" w:rsidTr="0020233B">
        <w:trPr>
          <w:cantSplit/>
        </w:trPr>
        <w:tc>
          <w:tcPr>
            <w:tcW w:w="1413" w:type="dxa"/>
            <w:vMerge w:val="restart"/>
            <w:tcBorders>
              <w:top w:val="single" w:sz="4" w:space="0" w:color="auto"/>
              <w:left w:val="single" w:sz="4" w:space="0" w:color="auto"/>
              <w:right w:val="single" w:sz="4" w:space="0" w:color="auto"/>
            </w:tcBorders>
            <w:vAlign w:val="center"/>
          </w:tcPr>
          <w:p w14:paraId="6316D48C" w14:textId="77777777" w:rsidR="004E5555" w:rsidRPr="000A03FD" w:rsidRDefault="004E5555" w:rsidP="004E5555">
            <w:pPr>
              <w:pStyle w:val="Tabletext"/>
              <w:tabs>
                <w:tab w:val="left" w:pos="142"/>
              </w:tabs>
            </w:pPr>
            <w:r w:rsidRPr="000A03FD">
              <w:t>Surgery unit cost</w:t>
            </w:r>
          </w:p>
        </w:tc>
        <w:tc>
          <w:tcPr>
            <w:tcW w:w="1559" w:type="dxa"/>
            <w:vMerge w:val="restart"/>
            <w:tcBorders>
              <w:top w:val="single" w:sz="4" w:space="0" w:color="auto"/>
              <w:left w:val="single" w:sz="4" w:space="0" w:color="auto"/>
              <w:right w:val="single" w:sz="4" w:space="0" w:color="auto"/>
            </w:tcBorders>
            <w:vAlign w:val="center"/>
          </w:tcPr>
          <w:p w14:paraId="7DE4E3EF" w14:textId="07994499" w:rsidR="004E5555" w:rsidRPr="000A03FD" w:rsidRDefault="004E5555" w:rsidP="004E5555">
            <w:pPr>
              <w:pStyle w:val="Tabletext"/>
              <w:tabs>
                <w:tab w:val="left" w:pos="142"/>
              </w:tabs>
            </w:pPr>
            <w:r w:rsidRPr="000A03FD">
              <w:t>$8,453.32 (based on 55% : 45% split of AR-DRG D067 and D10Z codes</w:t>
            </w:r>
            <w:r w:rsidR="00AE2004" w:rsidRPr="000A03FD">
              <w:t>)</w:t>
            </w:r>
            <w:r w:rsidRPr="000A03FD">
              <w:t>.</w:t>
            </w:r>
          </w:p>
        </w:tc>
        <w:tc>
          <w:tcPr>
            <w:tcW w:w="1985" w:type="dxa"/>
            <w:tcBorders>
              <w:top w:val="single" w:sz="4" w:space="0" w:color="auto"/>
              <w:left w:val="single" w:sz="4" w:space="0" w:color="auto"/>
              <w:bottom w:val="single" w:sz="4" w:space="0" w:color="auto"/>
              <w:right w:val="single" w:sz="4" w:space="0" w:color="auto"/>
            </w:tcBorders>
            <w:vAlign w:val="center"/>
          </w:tcPr>
          <w:p w14:paraId="5109494D" w14:textId="77777777" w:rsidR="004E5555" w:rsidRPr="000A03FD" w:rsidRDefault="004E5555" w:rsidP="004E5555">
            <w:pPr>
              <w:pStyle w:val="Tabletext"/>
              <w:tabs>
                <w:tab w:val="left" w:pos="142"/>
              </w:tabs>
            </w:pPr>
            <w:r w:rsidRPr="000A03FD">
              <w:t>Assumed cost of surgery to be $790.84 based on previous submission evaluation of MBS items proposed by advisory board</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6C4DE404" w14:textId="304D0D1D" w:rsidR="004E5555" w:rsidRPr="00E96B9A" w:rsidRDefault="0020233B" w:rsidP="004E5555">
            <w:pPr>
              <w:pStyle w:val="Tabletext"/>
              <w:jc w:val="center"/>
              <w:rPr>
                <w:highlight w:val="lightGray"/>
              </w:rPr>
            </w:pPr>
            <w:r w:rsidRPr="0020233B">
              <w:rPr>
                <w:rFonts w:hint="eastAsia"/>
                <w:color w:val="000000"/>
                <w:w w:val="20"/>
                <w:fitText w:val="91" w:id="-1303140605"/>
                <w14:textFill>
                  <w14:solidFill>
                    <w14:srgbClr w14:val="000000">
                      <w14:alpha w14:val="100000"/>
                    </w14:srgbClr>
                  </w14:solidFill>
                </w14:textFill>
              </w:rPr>
              <w:t xml:space="preserve">　</w:t>
            </w:r>
            <w:r w:rsidRPr="0020233B">
              <w:rPr>
                <w:color w:val="000000"/>
                <w:w w:val="20"/>
                <w:fitText w:val="91" w:id="-1303140605"/>
                <w14:textFill>
                  <w14:solidFill>
                    <w14:srgbClr w14:val="000000">
                      <w14:alpha w14:val="100000"/>
                    </w14:srgbClr>
                  </w14:solidFill>
                </w14:textFill>
              </w:rPr>
              <w:t>|</w:t>
            </w:r>
            <w:r w:rsidRPr="0020233B">
              <w:rPr>
                <w:rFonts w:hint="eastAsia"/>
                <w:color w:val="000000"/>
                <w:w w:val="20"/>
                <w:fitText w:val="91" w:id="-1303140605"/>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3314D84" w14:textId="77777777" w:rsidR="004E5555" w:rsidRPr="001700D2" w:rsidRDefault="004E5555" w:rsidP="004E5555">
            <w:pPr>
              <w:pStyle w:val="Tabletext"/>
              <w:jc w:val="center"/>
            </w:pPr>
            <w:r w:rsidRPr="001700D2">
              <w:t>0.179</w:t>
            </w:r>
          </w:p>
        </w:tc>
        <w:tc>
          <w:tcPr>
            <w:tcW w:w="992" w:type="dxa"/>
            <w:tcBorders>
              <w:top w:val="single" w:sz="4" w:space="0" w:color="auto"/>
              <w:left w:val="single" w:sz="4" w:space="0" w:color="auto"/>
              <w:bottom w:val="single" w:sz="4" w:space="0" w:color="auto"/>
              <w:right w:val="single" w:sz="4" w:space="0" w:color="auto"/>
            </w:tcBorders>
            <w:vAlign w:val="center"/>
          </w:tcPr>
          <w:p w14:paraId="15776F56" w14:textId="07E9B574" w:rsidR="004E5555" w:rsidRPr="00775E82" w:rsidRDefault="0020233B" w:rsidP="004E5555">
            <w:pPr>
              <w:pStyle w:val="Tabletext"/>
              <w:jc w:val="center"/>
              <w:rPr>
                <w:highlight w:val="yellow"/>
              </w:rPr>
            </w:pPr>
            <w:r w:rsidRPr="0020233B">
              <w:rPr>
                <w:color w:val="000000"/>
                <w:spacing w:val="96"/>
                <w:shd w:val="solid" w:color="000000" w:fill="000000"/>
                <w:fitText w:val="182" w:id="-1303140604"/>
                <w14:textFill>
                  <w14:solidFill>
                    <w14:srgbClr w14:val="000000">
                      <w14:alpha w14:val="100000"/>
                    </w14:srgbClr>
                  </w14:solidFill>
                </w14:textFill>
              </w:rPr>
              <w:t>|</w:t>
            </w:r>
            <w:r w:rsidRPr="0020233B">
              <w:rPr>
                <w:color w:val="000000"/>
                <w:spacing w:val="1"/>
                <w:shd w:val="solid" w:color="000000" w:fill="000000"/>
                <w:fitText w:val="182" w:id="-1303140604"/>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21F6FA6E" w14:textId="77777777" w:rsidR="004E5555" w:rsidRPr="000A03FD" w:rsidRDefault="004E5555" w:rsidP="004E5555">
            <w:pPr>
              <w:pStyle w:val="Tabletext"/>
              <w:jc w:val="center"/>
            </w:pPr>
            <w:r w:rsidRPr="000A03FD">
              <w:t>+14.1%</w:t>
            </w:r>
          </w:p>
        </w:tc>
      </w:tr>
      <w:tr w:rsidR="00133912" w:rsidRPr="000A03FD" w14:paraId="1F3A6579" w14:textId="77777777" w:rsidTr="0020233B">
        <w:trPr>
          <w:cantSplit/>
        </w:trPr>
        <w:tc>
          <w:tcPr>
            <w:tcW w:w="1413" w:type="dxa"/>
            <w:vMerge/>
            <w:tcBorders>
              <w:left w:val="single" w:sz="4" w:space="0" w:color="auto"/>
              <w:bottom w:val="single" w:sz="4" w:space="0" w:color="auto"/>
              <w:right w:val="single" w:sz="4" w:space="0" w:color="auto"/>
            </w:tcBorders>
            <w:vAlign w:val="center"/>
          </w:tcPr>
          <w:p w14:paraId="564F9C42" w14:textId="77777777" w:rsidR="004E5555" w:rsidRPr="000A03FD" w:rsidRDefault="004E5555" w:rsidP="004E5555">
            <w:pPr>
              <w:pStyle w:val="Tabletext"/>
              <w:tabs>
                <w:tab w:val="left" w:pos="142"/>
              </w:tabs>
            </w:pPr>
          </w:p>
        </w:tc>
        <w:tc>
          <w:tcPr>
            <w:tcW w:w="1559" w:type="dxa"/>
            <w:vMerge/>
            <w:tcBorders>
              <w:left w:val="single" w:sz="4" w:space="0" w:color="auto"/>
              <w:bottom w:val="single" w:sz="4" w:space="0" w:color="auto"/>
              <w:right w:val="single" w:sz="4" w:space="0" w:color="auto"/>
            </w:tcBorders>
            <w:vAlign w:val="center"/>
          </w:tcPr>
          <w:p w14:paraId="472A65D8" w14:textId="77777777" w:rsidR="004E5555" w:rsidRPr="000A03FD" w:rsidRDefault="004E5555" w:rsidP="004E5555">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4091EF74" w14:textId="77777777" w:rsidR="004E5555" w:rsidRPr="000A03FD" w:rsidRDefault="004E5555" w:rsidP="004E5555">
            <w:pPr>
              <w:pStyle w:val="Tabletext"/>
              <w:tabs>
                <w:tab w:val="left" w:pos="142"/>
              </w:tabs>
            </w:pPr>
            <w:r w:rsidRPr="000A03FD">
              <w:t>Assumed cost applied in the previous submission ($9,600.43)</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399C02C4" w14:textId="1F0F6E22" w:rsidR="004E5555" w:rsidRPr="00E96B9A" w:rsidRDefault="0020233B" w:rsidP="004E5555">
            <w:pPr>
              <w:pStyle w:val="Tabletext"/>
              <w:jc w:val="center"/>
              <w:rPr>
                <w:highlight w:val="lightGray"/>
              </w:rPr>
            </w:pPr>
            <w:r w:rsidRPr="0020233B">
              <w:rPr>
                <w:rFonts w:hint="eastAsia"/>
                <w:color w:val="000000"/>
                <w:w w:val="20"/>
                <w:fitText w:val="91" w:id="-1303140603"/>
                <w14:textFill>
                  <w14:solidFill>
                    <w14:srgbClr w14:val="000000">
                      <w14:alpha w14:val="100000"/>
                    </w14:srgbClr>
                  </w14:solidFill>
                </w14:textFill>
              </w:rPr>
              <w:t xml:space="preserve">　</w:t>
            </w:r>
            <w:r w:rsidRPr="0020233B">
              <w:rPr>
                <w:color w:val="000000"/>
                <w:w w:val="20"/>
                <w:fitText w:val="91" w:id="-1303140603"/>
                <w14:textFill>
                  <w14:solidFill>
                    <w14:srgbClr w14:val="000000">
                      <w14:alpha w14:val="100000"/>
                    </w14:srgbClr>
                  </w14:solidFill>
                </w14:textFill>
              </w:rPr>
              <w:t>|</w:t>
            </w:r>
            <w:r w:rsidRPr="0020233B">
              <w:rPr>
                <w:rFonts w:hint="eastAsia"/>
                <w:color w:val="000000"/>
                <w:w w:val="20"/>
                <w:fitText w:val="91" w:id="-1303140603"/>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22F9F0" w14:textId="77777777" w:rsidR="004E5555" w:rsidRPr="001700D2" w:rsidRDefault="004E5555" w:rsidP="004E5555">
            <w:pPr>
              <w:pStyle w:val="Tabletext"/>
              <w:jc w:val="center"/>
            </w:pPr>
            <w:r w:rsidRPr="001700D2">
              <w:t>0.179</w:t>
            </w:r>
          </w:p>
        </w:tc>
        <w:tc>
          <w:tcPr>
            <w:tcW w:w="992" w:type="dxa"/>
            <w:tcBorders>
              <w:top w:val="single" w:sz="4" w:space="0" w:color="auto"/>
              <w:left w:val="single" w:sz="4" w:space="0" w:color="auto"/>
              <w:bottom w:val="single" w:sz="4" w:space="0" w:color="auto"/>
              <w:right w:val="single" w:sz="4" w:space="0" w:color="auto"/>
            </w:tcBorders>
            <w:vAlign w:val="center"/>
          </w:tcPr>
          <w:p w14:paraId="25DB32C6" w14:textId="68C575CE" w:rsidR="004E5555" w:rsidRPr="00775E82" w:rsidRDefault="0020233B" w:rsidP="004E5555">
            <w:pPr>
              <w:pStyle w:val="Tabletext"/>
              <w:jc w:val="center"/>
              <w:rPr>
                <w:highlight w:val="yellow"/>
              </w:rPr>
            </w:pPr>
            <w:r w:rsidRPr="0020233B">
              <w:rPr>
                <w:color w:val="000000"/>
                <w:spacing w:val="96"/>
                <w:shd w:val="solid" w:color="000000" w:fill="000000"/>
                <w:fitText w:val="182" w:id="-1303140602"/>
                <w14:textFill>
                  <w14:solidFill>
                    <w14:srgbClr w14:val="000000">
                      <w14:alpha w14:val="100000"/>
                    </w14:srgbClr>
                  </w14:solidFill>
                </w14:textFill>
              </w:rPr>
              <w:t>|</w:t>
            </w:r>
            <w:r w:rsidRPr="0020233B">
              <w:rPr>
                <w:color w:val="000000"/>
                <w:spacing w:val="1"/>
                <w:shd w:val="solid" w:color="000000" w:fill="000000"/>
                <w:fitText w:val="182" w:id="-1303140602"/>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65378D73" w14:textId="77777777" w:rsidR="004E5555" w:rsidRPr="000A03FD" w:rsidRDefault="004E5555" w:rsidP="004E5555">
            <w:pPr>
              <w:pStyle w:val="Tabletext"/>
              <w:jc w:val="center"/>
            </w:pPr>
            <w:r w:rsidRPr="000A03FD">
              <w:t>-2.1%</w:t>
            </w:r>
          </w:p>
        </w:tc>
      </w:tr>
      <w:tr w:rsidR="00595715" w:rsidRPr="000A03FD" w14:paraId="38B66D9D" w14:textId="77777777" w:rsidTr="0020233B">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4881242A" w14:textId="7AA647AD" w:rsidR="00595715" w:rsidRPr="000A03FD" w:rsidRDefault="00595715" w:rsidP="004E5555">
            <w:pPr>
              <w:pStyle w:val="Tabletext"/>
              <w:tabs>
                <w:tab w:val="left" w:pos="142"/>
              </w:tabs>
            </w:pPr>
            <w:r w:rsidRPr="000A03FD">
              <w:lastRenderedPageBreak/>
              <w:t>Surgery public/private setting</w:t>
            </w:r>
          </w:p>
        </w:tc>
        <w:tc>
          <w:tcPr>
            <w:tcW w:w="1559" w:type="dxa"/>
            <w:tcBorders>
              <w:top w:val="single" w:sz="4" w:space="0" w:color="auto"/>
              <w:left w:val="single" w:sz="4" w:space="0" w:color="auto"/>
              <w:bottom w:val="single" w:sz="4" w:space="0" w:color="auto"/>
              <w:right w:val="single" w:sz="4" w:space="0" w:color="auto"/>
            </w:tcBorders>
            <w:vAlign w:val="center"/>
          </w:tcPr>
          <w:p w14:paraId="1D55495C" w14:textId="03790579" w:rsidR="00595715" w:rsidRPr="000A03FD" w:rsidRDefault="00595715" w:rsidP="004E5555">
            <w:pPr>
              <w:pStyle w:val="Tabletext"/>
              <w:tabs>
                <w:tab w:val="left" w:pos="142"/>
              </w:tabs>
            </w:pPr>
            <w:r w:rsidRPr="000A03FD">
              <w:t>-Surgery wait time: private = 4 weeks, public = 52 weeks</w:t>
            </w:r>
          </w:p>
        </w:tc>
        <w:tc>
          <w:tcPr>
            <w:tcW w:w="1985" w:type="dxa"/>
            <w:tcBorders>
              <w:top w:val="single" w:sz="4" w:space="0" w:color="auto"/>
              <w:left w:val="single" w:sz="4" w:space="0" w:color="auto"/>
              <w:bottom w:val="single" w:sz="4" w:space="0" w:color="auto"/>
              <w:right w:val="single" w:sz="4" w:space="0" w:color="auto"/>
            </w:tcBorders>
            <w:vAlign w:val="center"/>
          </w:tcPr>
          <w:p w14:paraId="6BEC09B0" w14:textId="55F08E7D" w:rsidR="00595715" w:rsidRPr="000A03FD" w:rsidRDefault="00595715" w:rsidP="004E5555">
            <w:pPr>
              <w:pStyle w:val="Tabletext"/>
              <w:tabs>
                <w:tab w:val="left" w:pos="142"/>
              </w:tabs>
            </w:pPr>
            <w:r w:rsidRPr="000A03FD">
              <w:t>-Surgery wait time: private = 4 weeks</w:t>
            </w:r>
            <w:r w:rsidR="00B60C88" w:rsidRPr="000A03FD">
              <w:t>,</w:t>
            </w:r>
            <w:r w:rsidR="00B60C88" w:rsidRPr="000A03FD">
              <w:br/>
            </w:r>
            <w:r w:rsidRPr="000A03FD">
              <w:t>public = 3 years</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593C98C7" w14:textId="3345D94A" w:rsidR="00595715" w:rsidRPr="00E96B9A" w:rsidRDefault="0020233B" w:rsidP="004E5555">
            <w:pPr>
              <w:pStyle w:val="Tabletext"/>
              <w:jc w:val="center"/>
              <w:rPr>
                <w:highlight w:val="lightGray"/>
              </w:rPr>
            </w:pPr>
            <w:r w:rsidRPr="0020233B">
              <w:rPr>
                <w:rFonts w:hint="eastAsia"/>
                <w:color w:val="000000"/>
                <w:w w:val="20"/>
                <w:fitText w:val="91" w:id="-1303140601"/>
                <w14:textFill>
                  <w14:solidFill>
                    <w14:srgbClr w14:val="000000">
                      <w14:alpha w14:val="100000"/>
                    </w14:srgbClr>
                  </w14:solidFill>
                </w14:textFill>
              </w:rPr>
              <w:t xml:space="preserve">　</w:t>
            </w:r>
            <w:r w:rsidRPr="0020233B">
              <w:rPr>
                <w:color w:val="000000"/>
                <w:w w:val="20"/>
                <w:fitText w:val="91" w:id="-1303140601"/>
                <w14:textFill>
                  <w14:solidFill>
                    <w14:srgbClr w14:val="000000">
                      <w14:alpha w14:val="100000"/>
                    </w14:srgbClr>
                  </w14:solidFill>
                </w14:textFill>
              </w:rPr>
              <w:t>|</w:t>
            </w:r>
            <w:r w:rsidRPr="0020233B">
              <w:rPr>
                <w:rFonts w:hint="eastAsia"/>
                <w:color w:val="000000"/>
                <w:w w:val="20"/>
                <w:fitText w:val="91" w:id="-1303140601"/>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BDDD3E" w14:textId="1DBE3F3D" w:rsidR="00595715" w:rsidRPr="001700D2" w:rsidRDefault="00B60C88" w:rsidP="004E5555">
            <w:pPr>
              <w:pStyle w:val="Tabletext"/>
              <w:jc w:val="center"/>
            </w:pPr>
            <w:r w:rsidRPr="001700D2">
              <w:t>0.184</w:t>
            </w:r>
          </w:p>
        </w:tc>
        <w:tc>
          <w:tcPr>
            <w:tcW w:w="992" w:type="dxa"/>
            <w:tcBorders>
              <w:top w:val="single" w:sz="4" w:space="0" w:color="auto"/>
              <w:left w:val="single" w:sz="4" w:space="0" w:color="auto"/>
              <w:bottom w:val="single" w:sz="4" w:space="0" w:color="auto"/>
              <w:right w:val="single" w:sz="4" w:space="0" w:color="auto"/>
            </w:tcBorders>
            <w:vAlign w:val="center"/>
          </w:tcPr>
          <w:p w14:paraId="02DD49ED" w14:textId="215E6406" w:rsidR="00595715" w:rsidRPr="00775E82" w:rsidRDefault="0020233B" w:rsidP="004E5555">
            <w:pPr>
              <w:pStyle w:val="Tabletext"/>
              <w:jc w:val="center"/>
              <w:rPr>
                <w:highlight w:val="yellow"/>
              </w:rPr>
            </w:pPr>
            <w:r w:rsidRPr="0020233B">
              <w:rPr>
                <w:color w:val="000000"/>
                <w:spacing w:val="96"/>
                <w:shd w:val="solid" w:color="000000" w:fill="000000"/>
                <w:fitText w:val="182" w:id="-1303140600"/>
                <w14:textFill>
                  <w14:solidFill>
                    <w14:srgbClr w14:val="000000">
                      <w14:alpha w14:val="100000"/>
                    </w14:srgbClr>
                  </w14:solidFill>
                </w14:textFill>
              </w:rPr>
              <w:t>|</w:t>
            </w:r>
            <w:r w:rsidRPr="0020233B">
              <w:rPr>
                <w:color w:val="000000"/>
                <w:spacing w:val="1"/>
                <w:shd w:val="solid" w:color="000000" w:fill="000000"/>
                <w:fitText w:val="182" w:id="-1303140600"/>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7E69B7A0" w14:textId="64D3591D" w:rsidR="00595715" w:rsidRPr="000A03FD" w:rsidRDefault="00B60C88" w:rsidP="004E5555">
            <w:pPr>
              <w:pStyle w:val="Tabletext"/>
              <w:jc w:val="center"/>
            </w:pPr>
            <w:r w:rsidRPr="000A03FD">
              <w:t>-2.1%</w:t>
            </w:r>
          </w:p>
        </w:tc>
      </w:tr>
      <w:tr w:rsidR="00133912" w:rsidRPr="000A03FD" w14:paraId="2FEDB82C" w14:textId="77777777" w:rsidTr="0020233B">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1E538DA1" w14:textId="77777777" w:rsidR="004E5555" w:rsidRPr="000A03FD" w:rsidRDefault="004E5555" w:rsidP="004E5555">
            <w:pPr>
              <w:pStyle w:val="Tabletext"/>
              <w:tabs>
                <w:tab w:val="left" w:pos="142"/>
              </w:tabs>
            </w:pPr>
            <w:r w:rsidRPr="000A03FD">
              <w:t>Mepolizumab compliance rate</w:t>
            </w:r>
          </w:p>
        </w:tc>
        <w:tc>
          <w:tcPr>
            <w:tcW w:w="1559" w:type="dxa"/>
            <w:tcBorders>
              <w:top w:val="single" w:sz="4" w:space="0" w:color="auto"/>
              <w:left w:val="single" w:sz="4" w:space="0" w:color="auto"/>
              <w:bottom w:val="single" w:sz="4" w:space="0" w:color="auto"/>
              <w:right w:val="single" w:sz="4" w:space="0" w:color="auto"/>
            </w:tcBorders>
            <w:vAlign w:val="center"/>
          </w:tcPr>
          <w:p w14:paraId="066D1596" w14:textId="5E4DCA80" w:rsidR="004E5555" w:rsidRPr="000A03FD" w:rsidRDefault="004E5555" w:rsidP="004E5555">
            <w:pPr>
              <w:pStyle w:val="Tabletext"/>
              <w:tabs>
                <w:tab w:val="left" w:pos="142"/>
              </w:tabs>
              <w:rPr>
                <w:vertAlign w:val="superscript"/>
              </w:rPr>
            </w:pPr>
            <w:r w:rsidRPr="000A03FD">
              <w:t xml:space="preserve">100% </w:t>
            </w:r>
            <w:r w:rsidR="00194DC0" w:rsidRPr="000A03FD">
              <w:rPr>
                <w:vertAlign w:val="superscript"/>
              </w:rPr>
              <w:t>d</w:t>
            </w:r>
          </w:p>
        </w:tc>
        <w:tc>
          <w:tcPr>
            <w:tcW w:w="1985" w:type="dxa"/>
            <w:tcBorders>
              <w:top w:val="single" w:sz="4" w:space="0" w:color="auto"/>
              <w:left w:val="single" w:sz="4" w:space="0" w:color="auto"/>
              <w:bottom w:val="single" w:sz="4" w:space="0" w:color="auto"/>
              <w:right w:val="single" w:sz="4" w:space="0" w:color="auto"/>
            </w:tcBorders>
            <w:vAlign w:val="center"/>
          </w:tcPr>
          <w:p w14:paraId="21E1C288" w14:textId="77777777" w:rsidR="004E5555" w:rsidRPr="000A03FD" w:rsidRDefault="004E5555" w:rsidP="004E5555">
            <w:pPr>
              <w:pStyle w:val="Tabletext"/>
              <w:tabs>
                <w:tab w:val="left" w:pos="142"/>
              </w:tabs>
            </w:pPr>
            <w:r w:rsidRPr="000A03FD">
              <w:t>94.56%</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6CF0A73B" w14:textId="7EC6C7DD" w:rsidR="004E5555" w:rsidRPr="00E96B9A" w:rsidRDefault="0020233B" w:rsidP="004E5555">
            <w:pPr>
              <w:pStyle w:val="Tabletext"/>
              <w:jc w:val="center"/>
              <w:rPr>
                <w:highlight w:val="lightGray"/>
              </w:rPr>
            </w:pPr>
            <w:r w:rsidRPr="0020233B">
              <w:rPr>
                <w:rFonts w:hint="eastAsia"/>
                <w:color w:val="000000"/>
                <w:w w:val="20"/>
                <w:fitText w:val="91" w:id="-1303140599"/>
                <w14:textFill>
                  <w14:solidFill>
                    <w14:srgbClr w14:val="000000">
                      <w14:alpha w14:val="100000"/>
                    </w14:srgbClr>
                  </w14:solidFill>
                </w14:textFill>
              </w:rPr>
              <w:t xml:space="preserve">　</w:t>
            </w:r>
            <w:r w:rsidRPr="0020233B">
              <w:rPr>
                <w:color w:val="000000"/>
                <w:w w:val="20"/>
                <w:fitText w:val="91" w:id="-1303140599"/>
                <w14:textFill>
                  <w14:solidFill>
                    <w14:srgbClr w14:val="000000">
                      <w14:alpha w14:val="100000"/>
                    </w14:srgbClr>
                  </w14:solidFill>
                </w14:textFill>
              </w:rPr>
              <w:t>|</w:t>
            </w:r>
            <w:r w:rsidRPr="0020233B">
              <w:rPr>
                <w:rFonts w:hint="eastAsia"/>
                <w:color w:val="000000"/>
                <w:w w:val="20"/>
                <w:fitText w:val="91" w:id="-1303140599"/>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74C7BBE" w14:textId="77777777" w:rsidR="004E5555" w:rsidRPr="001700D2" w:rsidRDefault="004E5555" w:rsidP="004E5555">
            <w:pPr>
              <w:pStyle w:val="Tabletext"/>
              <w:jc w:val="center"/>
            </w:pPr>
            <w:r w:rsidRPr="001700D2">
              <w:t>0.179</w:t>
            </w:r>
          </w:p>
        </w:tc>
        <w:tc>
          <w:tcPr>
            <w:tcW w:w="992" w:type="dxa"/>
            <w:tcBorders>
              <w:top w:val="single" w:sz="4" w:space="0" w:color="auto"/>
              <w:left w:val="single" w:sz="4" w:space="0" w:color="auto"/>
              <w:bottom w:val="single" w:sz="4" w:space="0" w:color="auto"/>
              <w:right w:val="single" w:sz="4" w:space="0" w:color="auto"/>
            </w:tcBorders>
            <w:vAlign w:val="center"/>
          </w:tcPr>
          <w:p w14:paraId="7C3404DB" w14:textId="18757335" w:rsidR="004E5555" w:rsidRPr="00775E82" w:rsidRDefault="0020233B" w:rsidP="004E5555">
            <w:pPr>
              <w:pStyle w:val="Tabletext"/>
              <w:jc w:val="center"/>
              <w:rPr>
                <w:highlight w:val="yellow"/>
              </w:rPr>
            </w:pPr>
            <w:r w:rsidRPr="0020233B">
              <w:rPr>
                <w:color w:val="000000"/>
                <w:spacing w:val="96"/>
                <w:shd w:val="solid" w:color="000000" w:fill="000000"/>
                <w:fitText w:val="182" w:id="-1303140598"/>
                <w14:textFill>
                  <w14:solidFill>
                    <w14:srgbClr w14:val="000000">
                      <w14:alpha w14:val="100000"/>
                    </w14:srgbClr>
                  </w14:solidFill>
                </w14:textFill>
              </w:rPr>
              <w:t>|</w:t>
            </w:r>
            <w:r w:rsidRPr="0020233B">
              <w:rPr>
                <w:color w:val="000000"/>
                <w:spacing w:val="1"/>
                <w:shd w:val="solid" w:color="000000" w:fill="000000"/>
                <w:fitText w:val="182" w:id="-1303140598"/>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72AB47C8" w14:textId="77777777" w:rsidR="004E5555" w:rsidRPr="000A03FD" w:rsidRDefault="004E5555" w:rsidP="004E5555">
            <w:pPr>
              <w:pStyle w:val="Tabletext"/>
              <w:jc w:val="center"/>
            </w:pPr>
            <w:r w:rsidRPr="000A03FD">
              <w:t>-6.3%</w:t>
            </w:r>
          </w:p>
        </w:tc>
      </w:tr>
      <w:tr w:rsidR="00133912" w:rsidRPr="000A03FD" w14:paraId="74194C83" w14:textId="77777777" w:rsidTr="0020233B">
        <w:trPr>
          <w:cantSplit/>
        </w:trPr>
        <w:tc>
          <w:tcPr>
            <w:tcW w:w="1413" w:type="dxa"/>
            <w:vMerge w:val="restart"/>
            <w:tcBorders>
              <w:top w:val="single" w:sz="4" w:space="0" w:color="auto"/>
              <w:left w:val="single" w:sz="4" w:space="0" w:color="auto"/>
              <w:right w:val="single" w:sz="4" w:space="0" w:color="auto"/>
            </w:tcBorders>
            <w:vAlign w:val="center"/>
          </w:tcPr>
          <w:p w14:paraId="6C6C9548" w14:textId="084D114F" w:rsidR="005717B7" w:rsidRPr="000A03FD" w:rsidRDefault="005717B7" w:rsidP="005717B7">
            <w:pPr>
              <w:pStyle w:val="Tabletext"/>
              <w:tabs>
                <w:tab w:val="left" w:pos="142"/>
              </w:tabs>
            </w:pPr>
            <w:r w:rsidRPr="000A03FD">
              <w:t>Discount rate</w:t>
            </w:r>
          </w:p>
        </w:tc>
        <w:tc>
          <w:tcPr>
            <w:tcW w:w="1559" w:type="dxa"/>
            <w:vMerge w:val="restart"/>
            <w:tcBorders>
              <w:top w:val="single" w:sz="4" w:space="0" w:color="auto"/>
              <w:left w:val="single" w:sz="4" w:space="0" w:color="auto"/>
              <w:right w:val="single" w:sz="4" w:space="0" w:color="auto"/>
            </w:tcBorders>
            <w:vAlign w:val="center"/>
          </w:tcPr>
          <w:p w14:paraId="1CA7D81B" w14:textId="0F9DBEF9" w:rsidR="005717B7" w:rsidRPr="000A03FD" w:rsidRDefault="005717B7" w:rsidP="005717B7">
            <w:pPr>
              <w:pStyle w:val="Tabletext"/>
              <w:tabs>
                <w:tab w:val="left" w:pos="142"/>
              </w:tabs>
            </w:pPr>
            <w:r w:rsidRPr="000A03FD">
              <w:t>5% costs and effects</w:t>
            </w:r>
          </w:p>
        </w:tc>
        <w:tc>
          <w:tcPr>
            <w:tcW w:w="1985" w:type="dxa"/>
            <w:tcBorders>
              <w:top w:val="single" w:sz="4" w:space="0" w:color="auto"/>
              <w:left w:val="single" w:sz="4" w:space="0" w:color="auto"/>
              <w:bottom w:val="single" w:sz="4" w:space="0" w:color="auto"/>
              <w:right w:val="single" w:sz="4" w:space="0" w:color="auto"/>
            </w:tcBorders>
            <w:vAlign w:val="center"/>
          </w:tcPr>
          <w:p w14:paraId="6E1A3B7A" w14:textId="31B3FD92" w:rsidR="005717B7" w:rsidRPr="000A03FD" w:rsidRDefault="005717B7" w:rsidP="005717B7">
            <w:pPr>
              <w:pStyle w:val="Tabletext"/>
              <w:tabs>
                <w:tab w:val="left" w:pos="142"/>
              </w:tabs>
            </w:pPr>
            <w:r w:rsidRPr="000A03FD">
              <w:t>0%</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7F68B5F2" w14:textId="682C3C1A" w:rsidR="005717B7" w:rsidRPr="00E96B9A" w:rsidRDefault="0020233B" w:rsidP="005717B7">
            <w:pPr>
              <w:pStyle w:val="Tabletext"/>
              <w:jc w:val="center"/>
              <w:rPr>
                <w:highlight w:val="lightGray"/>
              </w:rPr>
            </w:pPr>
            <w:r w:rsidRPr="0020233B">
              <w:rPr>
                <w:rFonts w:hint="eastAsia"/>
                <w:color w:val="000000"/>
                <w:w w:val="20"/>
                <w:fitText w:val="91" w:id="-1303140597"/>
                <w14:textFill>
                  <w14:solidFill>
                    <w14:srgbClr w14:val="000000">
                      <w14:alpha w14:val="100000"/>
                    </w14:srgbClr>
                  </w14:solidFill>
                </w14:textFill>
              </w:rPr>
              <w:t xml:space="preserve">　</w:t>
            </w:r>
            <w:r w:rsidRPr="0020233B">
              <w:rPr>
                <w:color w:val="000000"/>
                <w:w w:val="20"/>
                <w:fitText w:val="91" w:id="-1303140597"/>
                <w14:textFill>
                  <w14:solidFill>
                    <w14:srgbClr w14:val="000000">
                      <w14:alpha w14:val="100000"/>
                    </w14:srgbClr>
                  </w14:solidFill>
                </w14:textFill>
              </w:rPr>
              <w:t>|</w:t>
            </w:r>
            <w:r w:rsidRPr="0020233B">
              <w:rPr>
                <w:rFonts w:hint="eastAsia"/>
                <w:color w:val="000000"/>
                <w:w w:val="20"/>
                <w:fitText w:val="91" w:id="-1303140597"/>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F190437" w14:textId="48748C91" w:rsidR="005717B7" w:rsidRPr="000A03FD" w:rsidRDefault="005717B7" w:rsidP="005717B7">
            <w:pPr>
              <w:pStyle w:val="Tabletext"/>
              <w:jc w:val="center"/>
            </w:pPr>
            <w:r w:rsidRPr="000A03FD">
              <w:t>0.202</w:t>
            </w:r>
          </w:p>
        </w:tc>
        <w:tc>
          <w:tcPr>
            <w:tcW w:w="992" w:type="dxa"/>
            <w:tcBorders>
              <w:top w:val="single" w:sz="4" w:space="0" w:color="auto"/>
              <w:left w:val="single" w:sz="4" w:space="0" w:color="auto"/>
              <w:bottom w:val="single" w:sz="4" w:space="0" w:color="auto"/>
              <w:right w:val="single" w:sz="4" w:space="0" w:color="auto"/>
            </w:tcBorders>
            <w:vAlign w:val="center"/>
          </w:tcPr>
          <w:p w14:paraId="2DC3A333" w14:textId="5398A089" w:rsidR="005717B7" w:rsidRPr="00775E82" w:rsidRDefault="0020233B" w:rsidP="005717B7">
            <w:pPr>
              <w:pStyle w:val="Tabletext"/>
              <w:jc w:val="center"/>
              <w:rPr>
                <w:highlight w:val="yellow"/>
              </w:rPr>
            </w:pPr>
            <w:r w:rsidRPr="0020233B">
              <w:rPr>
                <w:color w:val="000000"/>
                <w:spacing w:val="96"/>
                <w:shd w:val="solid" w:color="000000" w:fill="000000"/>
                <w:fitText w:val="182" w:id="-1303140596"/>
                <w14:textFill>
                  <w14:solidFill>
                    <w14:srgbClr w14:val="000000">
                      <w14:alpha w14:val="100000"/>
                    </w14:srgbClr>
                  </w14:solidFill>
                </w14:textFill>
              </w:rPr>
              <w:t>|</w:t>
            </w:r>
            <w:r w:rsidRPr="0020233B">
              <w:rPr>
                <w:color w:val="000000"/>
                <w:spacing w:val="1"/>
                <w:shd w:val="solid" w:color="000000" w:fill="000000"/>
                <w:fitText w:val="182" w:id="-1303140596"/>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4558A0B0" w14:textId="7C04C3EE" w:rsidR="005717B7" w:rsidRPr="000A03FD" w:rsidRDefault="005717B7" w:rsidP="005717B7">
            <w:pPr>
              <w:pStyle w:val="Tabletext"/>
              <w:jc w:val="center"/>
            </w:pPr>
            <w:r w:rsidRPr="000A03FD">
              <w:t>-3%</w:t>
            </w:r>
          </w:p>
        </w:tc>
      </w:tr>
      <w:tr w:rsidR="00133912" w:rsidRPr="000A03FD" w14:paraId="092C8125" w14:textId="77777777" w:rsidTr="0020233B">
        <w:trPr>
          <w:cantSplit/>
        </w:trPr>
        <w:tc>
          <w:tcPr>
            <w:tcW w:w="1413" w:type="dxa"/>
            <w:vMerge/>
            <w:tcBorders>
              <w:left w:val="single" w:sz="4" w:space="0" w:color="auto"/>
              <w:bottom w:val="single" w:sz="4" w:space="0" w:color="auto"/>
              <w:right w:val="single" w:sz="4" w:space="0" w:color="auto"/>
            </w:tcBorders>
            <w:vAlign w:val="center"/>
          </w:tcPr>
          <w:p w14:paraId="2FCF675C" w14:textId="77777777" w:rsidR="005717B7" w:rsidRPr="000A03FD" w:rsidRDefault="005717B7" w:rsidP="005717B7">
            <w:pPr>
              <w:pStyle w:val="Tabletext"/>
              <w:tabs>
                <w:tab w:val="left" w:pos="142"/>
              </w:tabs>
            </w:pPr>
          </w:p>
        </w:tc>
        <w:tc>
          <w:tcPr>
            <w:tcW w:w="1559" w:type="dxa"/>
            <w:vMerge/>
            <w:tcBorders>
              <w:left w:val="single" w:sz="4" w:space="0" w:color="auto"/>
              <w:bottom w:val="single" w:sz="4" w:space="0" w:color="auto"/>
              <w:right w:val="single" w:sz="4" w:space="0" w:color="auto"/>
            </w:tcBorders>
            <w:vAlign w:val="center"/>
          </w:tcPr>
          <w:p w14:paraId="42BD00D9" w14:textId="77777777" w:rsidR="005717B7" w:rsidRPr="000A03FD" w:rsidRDefault="005717B7" w:rsidP="005717B7">
            <w:pPr>
              <w:pStyle w:val="Tabletext"/>
              <w:tabs>
                <w:tab w:val="left" w:pos="142"/>
              </w:tabs>
            </w:pPr>
          </w:p>
        </w:tc>
        <w:tc>
          <w:tcPr>
            <w:tcW w:w="1985" w:type="dxa"/>
            <w:tcBorders>
              <w:top w:val="single" w:sz="4" w:space="0" w:color="auto"/>
              <w:left w:val="single" w:sz="4" w:space="0" w:color="auto"/>
              <w:bottom w:val="single" w:sz="4" w:space="0" w:color="auto"/>
              <w:right w:val="single" w:sz="4" w:space="0" w:color="auto"/>
            </w:tcBorders>
            <w:vAlign w:val="center"/>
          </w:tcPr>
          <w:p w14:paraId="67D66929" w14:textId="5DDD8BB4" w:rsidR="005717B7" w:rsidRPr="000A03FD" w:rsidRDefault="005717B7" w:rsidP="005717B7">
            <w:pPr>
              <w:pStyle w:val="Tabletext"/>
              <w:tabs>
                <w:tab w:val="left" w:pos="142"/>
              </w:tabs>
            </w:pPr>
            <w:r w:rsidRPr="000A03FD">
              <w:t>3.5%</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278D2C0D" w14:textId="2B26CE47" w:rsidR="005717B7" w:rsidRPr="00E96B9A" w:rsidRDefault="0020233B" w:rsidP="005717B7">
            <w:pPr>
              <w:pStyle w:val="Tabletext"/>
              <w:jc w:val="center"/>
              <w:rPr>
                <w:highlight w:val="lightGray"/>
              </w:rPr>
            </w:pPr>
            <w:r w:rsidRPr="0020233B">
              <w:rPr>
                <w:rFonts w:hint="eastAsia"/>
                <w:color w:val="000000"/>
                <w:w w:val="20"/>
                <w:fitText w:val="91" w:id="-1303140595"/>
                <w14:textFill>
                  <w14:solidFill>
                    <w14:srgbClr w14:val="000000">
                      <w14:alpha w14:val="100000"/>
                    </w14:srgbClr>
                  </w14:solidFill>
                </w14:textFill>
              </w:rPr>
              <w:t xml:space="preserve">　</w:t>
            </w:r>
            <w:r w:rsidRPr="0020233B">
              <w:rPr>
                <w:color w:val="000000"/>
                <w:w w:val="20"/>
                <w:fitText w:val="91" w:id="-1303140595"/>
                <w14:textFill>
                  <w14:solidFill>
                    <w14:srgbClr w14:val="000000">
                      <w14:alpha w14:val="100000"/>
                    </w14:srgbClr>
                  </w14:solidFill>
                </w14:textFill>
              </w:rPr>
              <w:t>|</w:t>
            </w:r>
            <w:r w:rsidRPr="0020233B">
              <w:rPr>
                <w:rFonts w:hint="eastAsia"/>
                <w:color w:val="000000"/>
                <w:w w:val="20"/>
                <w:fitText w:val="91" w:id="-1303140595"/>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DFC69C" w14:textId="5A2E2A92" w:rsidR="005717B7" w:rsidRPr="000A03FD" w:rsidRDefault="005717B7" w:rsidP="005717B7">
            <w:pPr>
              <w:pStyle w:val="Tabletext"/>
              <w:jc w:val="center"/>
            </w:pPr>
            <w:r w:rsidRPr="000A03FD">
              <w:t>0.185</w:t>
            </w:r>
          </w:p>
        </w:tc>
        <w:tc>
          <w:tcPr>
            <w:tcW w:w="992" w:type="dxa"/>
            <w:tcBorders>
              <w:top w:val="single" w:sz="4" w:space="0" w:color="auto"/>
              <w:left w:val="single" w:sz="4" w:space="0" w:color="auto"/>
              <w:bottom w:val="single" w:sz="4" w:space="0" w:color="auto"/>
              <w:right w:val="single" w:sz="4" w:space="0" w:color="auto"/>
            </w:tcBorders>
            <w:vAlign w:val="center"/>
          </w:tcPr>
          <w:p w14:paraId="3CD35159" w14:textId="54A71FDA" w:rsidR="005717B7" w:rsidRPr="00775E82" w:rsidRDefault="0020233B" w:rsidP="005717B7">
            <w:pPr>
              <w:pStyle w:val="Tabletext"/>
              <w:jc w:val="center"/>
              <w:rPr>
                <w:highlight w:val="yellow"/>
              </w:rPr>
            </w:pPr>
            <w:r w:rsidRPr="0020233B">
              <w:rPr>
                <w:color w:val="000000"/>
                <w:spacing w:val="96"/>
                <w:shd w:val="solid" w:color="000000" w:fill="000000"/>
                <w:fitText w:val="182" w:id="-1303140594"/>
                <w14:textFill>
                  <w14:solidFill>
                    <w14:srgbClr w14:val="000000">
                      <w14:alpha w14:val="100000"/>
                    </w14:srgbClr>
                  </w14:solidFill>
                </w14:textFill>
              </w:rPr>
              <w:t>|</w:t>
            </w:r>
            <w:r w:rsidRPr="0020233B">
              <w:rPr>
                <w:color w:val="000000"/>
                <w:spacing w:val="1"/>
                <w:shd w:val="solid" w:color="000000" w:fill="000000"/>
                <w:fitText w:val="182" w:id="-1303140594"/>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11E494C8" w14:textId="57139C22" w:rsidR="005717B7" w:rsidRPr="000A03FD" w:rsidRDefault="005717B7" w:rsidP="005717B7">
            <w:pPr>
              <w:pStyle w:val="Tabletext"/>
              <w:jc w:val="center"/>
            </w:pPr>
            <w:r w:rsidRPr="000A03FD">
              <w:t>-1%</w:t>
            </w:r>
          </w:p>
        </w:tc>
      </w:tr>
      <w:tr w:rsidR="00133912" w:rsidRPr="000A03FD" w14:paraId="0BE4DAF6" w14:textId="77777777" w:rsidTr="000F7013">
        <w:trPr>
          <w:cantSplit/>
        </w:trPr>
        <w:tc>
          <w:tcPr>
            <w:tcW w:w="9067" w:type="dxa"/>
            <w:gridSpan w:val="7"/>
            <w:tcBorders>
              <w:top w:val="single" w:sz="4" w:space="0" w:color="auto"/>
              <w:left w:val="single" w:sz="4" w:space="0" w:color="auto"/>
              <w:bottom w:val="single" w:sz="4" w:space="0" w:color="auto"/>
              <w:right w:val="single" w:sz="4" w:space="0" w:color="auto"/>
            </w:tcBorders>
            <w:vAlign w:val="center"/>
          </w:tcPr>
          <w:p w14:paraId="4EAE32EF" w14:textId="77777777" w:rsidR="005717B7" w:rsidRPr="000A03FD" w:rsidRDefault="005717B7" w:rsidP="005717B7">
            <w:pPr>
              <w:pStyle w:val="Tabletext"/>
              <w:rPr>
                <w:b/>
              </w:rPr>
            </w:pPr>
            <w:r w:rsidRPr="000A03FD">
              <w:rPr>
                <w:b/>
              </w:rPr>
              <w:t>Multivariate analyses</w:t>
            </w:r>
          </w:p>
        </w:tc>
      </w:tr>
      <w:tr w:rsidR="00133912" w:rsidRPr="000A03FD" w14:paraId="79AB4070" w14:textId="77777777" w:rsidTr="0020233B">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22A4D407" w14:textId="77777777" w:rsidR="005717B7" w:rsidRPr="000A03FD" w:rsidRDefault="005717B7" w:rsidP="005717B7">
            <w:pPr>
              <w:pStyle w:val="Tabletext"/>
              <w:tabs>
                <w:tab w:val="left" w:pos="142"/>
              </w:tabs>
            </w:pPr>
            <w:r w:rsidRPr="000A03FD">
              <w:t>Utility values during weeks 4-48</w:t>
            </w:r>
          </w:p>
        </w:tc>
        <w:tc>
          <w:tcPr>
            <w:tcW w:w="1559" w:type="dxa"/>
            <w:tcBorders>
              <w:top w:val="single" w:sz="4" w:space="0" w:color="auto"/>
              <w:left w:val="single" w:sz="4" w:space="0" w:color="auto"/>
              <w:bottom w:val="single" w:sz="4" w:space="0" w:color="auto"/>
              <w:right w:val="single" w:sz="4" w:space="0" w:color="auto"/>
            </w:tcBorders>
            <w:vAlign w:val="center"/>
          </w:tcPr>
          <w:p w14:paraId="2866C5D2" w14:textId="77777777" w:rsidR="005717B7" w:rsidRPr="000A03FD" w:rsidRDefault="005717B7" w:rsidP="005717B7">
            <w:pPr>
              <w:pStyle w:val="Tabletext"/>
              <w:tabs>
                <w:tab w:val="left" w:pos="142"/>
              </w:tabs>
            </w:pPr>
            <w:r w:rsidRPr="000A03FD">
              <w:t>Between weeks 4 and 24 utility values based on total arm values, between weeks 28-42 utility values for responder applied based on values observed per arm</w:t>
            </w:r>
          </w:p>
        </w:tc>
        <w:tc>
          <w:tcPr>
            <w:tcW w:w="1985" w:type="dxa"/>
            <w:tcBorders>
              <w:top w:val="single" w:sz="4" w:space="0" w:color="auto"/>
              <w:left w:val="single" w:sz="4" w:space="0" w:color="auto"/>
              <w:bottom w:val="single" w:sz="4" w:space="0" w:color="auto"/>
              <w:right w:val="single" w:sz="4" w:space="0" w:color="auto"/>
            </w:tcBorders>
            <w:vAlign w:val="center"/>
          </w:tcPr>
          <w:p w14:paraId="09BFC263" w14:textId="77777777" w:rsidR="005717B7" w:rsidRPr="000A03FD" w:rsidRDefault="005717B7" w:rsidP="005717B7">
            <w:pPr>
              <w:pStyle w:val="Tabletext"/>
              <w:tabs>
                <w:tab w:val="left" w:pos="142"/>
              </w:tabs>
              <w:rPr>
                <w:b/>
                <w:bCs/>
              </w:rPr>
            </w:pPr>
            <w:r w:rsidRPr="000A03FD">
              <w:t>Between weeks 4 and 24 mean baseline value applied equally to both arms, between weeks 28-42 SoC arm responder utility applied to responders in both arms</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1C91132E" w14:textId="30F9F6FF" w:rsidR="005717B7" w:rsidRPr="001700D2" w:rsidRDefault="0020233B" w:rsidP="005717B7">
            <w:pPr>
              <w:pStyle w:val="Tabletext"/>
              <w:jc w:val="center"/>
              <w:rPr>
                <w:highlight w:val="yellow"/>
              </w:rPr>
            </w:pPr>
            <w:r w:rsidRPr="0020233B">
              <w:rPr>
                <w:rFonts w:hint="eastAsia"/>
                <w:color w:val="000000"/>
                <w:w w:val="20"/>
                <w:fitText w:val="91" w:id="-1303140593"/>
                <w14:textFill>
                  <w14:solidFill>
                    <w14:srgbClr w14:val="000000">
                      <w14:alpha w14:val="100000"/>
                    </w14:srgbClr>
                  </w14:solidFill>
                </w14:textFill>
              </w:rPr>
              <w:t xml:space="preserve">　</w:t>
            </w:r>
            <w:r w:rsidRPr="0020233B">
              <w:rPr>
                <w:color w:val="000000"/>
                <w:w w:val="20"/>
                <w:fitText w:val="91" w:id="-1303140593"/>
                <w14:textFill>
                  <w14:solidFill>
                    <w14:srgbClr w14:val="000000">
                      <w14:alpha w14:val="100000"/>
                    </w14:srgbClr>
                  </w14:solidFill>
                </w14:textFill>
              </w:rPr>
              <w:t>|</w:t>
            </w:r>
            <w:r w:rsidRPr="0020233B">
              <w:rPr>
                <w:rFonts w:hint="eastAsia"/>
                <w:color w:val="000000"/>
                <w:w w:val="20"/>
                <w:fitText w:val="91" w:id="-1303140593"/>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97C91" w14:textId="77777777" w:rsidR="005717B7" w:rsidRPr="000A03FD" w:rsidRDefault="005717B7" w:rsidP="005717B7">
            <w:pPr>
              <w:pStyle w:val="Tabletext"/>
              <w:jc w:val="center"/>
            </w:pPr>
            <w:r w:rsidRPr="000A03FD">
              <w:t>0.157</w:t>
            </w:r>
          </w:p>
        </w:tc>
        <w:tc>
          <w:tcPr>
            <w:tcW w:w="992" w:type="dxa"/>
            <w:tcBorders>
              <w:top w:val="single" w:sz="4" w:space="0" w:color="auto"/>
              <w:left w:val="single" w:sz="4" w:space="0" w:color="auto"/>
              <w:bottom w:val="single" w:sz="4" w:space="0" w:color="auto"/>
              <w:right w:val="single" w:sz="4" w:space="0" w:color="auto"/>
            </w:tcBorders>
            <w:vAlign w:val="center"/>
          </w:tcPr>
          <w:p w14:paraId="0F4C8AA4" w14:textId="772D4D70" w:rsidR="005717B7" w:rsidRPr="001700D2" w:rsidRDefault="0020233B" w:rsidP="005717B7">
            <w:pPr>
              <w:pStyle w:val="Tabletext"/>
              <w:jc w:val="center"/>
              <w:rPr>
                <w:highlight w:val="yellow"/>
              </w:rPr>
            </w:pPr>
            <w:r w:rsidRPr="0020233B">
              <w:rPr>
                <w:color w:val="000000"/>
                <w:spacing w:val="96"/>
                <w:shd w:val="solid" w:color="000000" w:fill="000000"/>
                <w:fitText w:val="182" w:id="-1303140592"/>
                <w14:textFill>
                  <w14:solidFill>
                    <w14:srgbClr w14:val="000000">
                      <w14:alpha w14:val="100000"/>
                    </w14:srgbClr>
                  </w14:solidFill>
                </w14:textFill>
              </w:rPr>
              <w:t>|</w:t>
            </w:r>
            <w:r w:rsidRPr="0020233B">
              <w:rPr>
                <w:color w:val="000000"/>
                <w:spacing w:val="1"/>
                <w:shd w:val="solid" w:color="000000" w:fill="000000"/>
                <w:fitText w:val="182" w:id="-1303140592"/>
                <w14:textFill>
                  <w14:solidFill>
                    <w14:srgbClr w14:val="000000">
                      <w14:alpha w14:val="100000"/>
                    </w14:srgbClr>
                  </w14:solidFill>
                </w14:textFill>
              </w:rPr>
              <w:t>|</w:t>
            </w:r>
            <w:r w:rsidR="00775E82" w:rsidRPr="00775E82">
              <w:rPr>
                <w:rFonts w:cs="Arial"/>
                <w:iCs/>
                <w:sz w:val="18"/>
                <w:szCs w:val="18"/>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tcPr>
          <w:p w14:paraId="066F5F64" w14:textId="77777777" w:rsidR="005717B7" w:rsidRPr="000A03FD" w:rsidRDefault="005717B7" w:rsidP="005717B7">
            <w:pPr>
              <w:pStyle w:val="Tabletext"/>
              <w:jc w:val="center"/>
            </w:pPr>
            <w:r w:rsidRPr="000A03FD">
              <w:t>+14.2%</w:t>
            </w:r>
          </w:p>
        </w:tc>
      </w:tr>
      <w:tr w:rsidR="00F64892" w:rsidRPr="000A03FD" w14:paraId="3BD4BFA4" w14:textId="77777777" w:rsidTr="0020233B">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36A45761" w14:textId="670852EE" w:rsidR="00F64892" w:rsidRPr="000A03FD" w:rsidRDefault="00501388" w:rsidP="005717B7">
            <w:pPr>
              <w:pStyle w:val="Tabletext"/>
              <w:tabs>
                <w:tab w:val="left" w:pos="142"/>
              </w:tabs>
              <w:rPr>
                <w:vertAlign w:val="superscript"/>
              </w:rPr>
            </w:pPr>
            <w:r w:rsidRPr="000A03FD">
              <w:t>Re-specified base-case requested by ESC during previous submission</w:t>
            </w:r>
            <w:r w:rsidR="00194DC0" w:rsidRPr="000A03FD">
              <w:rPr>
                <w:vertAlign w:val="superscript"/>
              </w:rPr>
              <w:t xml:space="preserve"> e</w:t>
            </w:r>
          </w:p>
        </w:tc>
        <w:tc>
          <w:tcPr>
            <w:tcW w:w="1559" w:type="dxa"/>
            <w:tcBorders>
              <w:top w:val="single" w:sz="4" w:space="0" w:color="auto"/>
              <w:left w:val="single" w:sz="4" w:space="0" w:color="auto"/>
              <w:bottom w:val="single" w:sz="4" w:space="0" w:color="auto"/>
              <w:right w:val="single" w:sz="4" w:space="0" w:color="auto"/>
            </w:tcBorders>
            <w:vAlign w:val="center"/>
          </w:tcPr>
          <w:p w14:paraId="6429F652" w14:textId="41557BE5" w:rsidR="00365F27" w:rsidRPr="000A03FD" w:rsidRDefault="00365F27" w:rsidP="005717B7">
            <w:pPr>
              <w:pStyle w:val="Tabletext"/>
              <w:tabs>
                <w:tab w:val="left" w:pos="142"/>
              </w:tabs>
            </w:pPr>
            <w:r w:rsidRPr="000A03FD">
              <w:t>(</w:t>
            </w:r>
            <w:r w:rsidR="00595715" w:rsidRPr="000A03FD">
              <w:t>A</w:t>
            </w:r>
            <w:r w:rsidRPr="000A03FD">
              <w:t xml:space="preserve">) </w:t>
            </w:r>
            <w:r w:rsidRPr="000A03FD">
              <w:br/>
            </w:r>
            <w:r w:rsidR="00406F48" w:rsidRPr="000A03FD">
              <w:t xml:space="preserve">Annual loss of response after 52 weeks = </w:t>
            </w:r>
            <w:r w:rsidR="006428A2" w:rsidRPr="000A03FD">
              <w:t>27.6% (mep) and 61.9% (SoC).</w:t>
            </w:r>
          </w:p>
          <w:p w14:paraId="506EC144" w14:textId="77777777" w:rsidR="006428A2" w:rsidRPr="000A03FD" w:rsidRDefault="006428A2" w:rsidP="005717B7">
            <w:pPr>
              <w:pStyle w:val="Tabletext"/>
              <w:tabs>
                <w:tab w:val="left" w:pos="142"/>
              </w:tabs>
            </w:pPr>
          </w:p>
          <w:p w14:paraId="59B8F22A" w14:textId="551165BA" w:rsidR="00F64892" w:rsidRPr="000A03FD" w:rsidRDefault="008318D5" w:rsidP="005717B7">
            <w:pPr>
              <w:pStyle w:val="Tabletext"/>
              <w:tabs>
                <w:tab w:val="left" w:pos="142"/>
              </w:tabs>
            </w:pPr>
            <w:r w:rsidRPr="000A03FD">
              <w:t>Responder week 52+ / effective surgery utility = 0.785 in both arms</w:t>
            </w:r>
          </w:p>
        </w:tc>
        <w:tc>
          <w:tcPr>
            <w:tcW w:w="1985" w:type="dxa"/>
            <w:tcBorders>
              <w:top w:val="single" w:sz="4" w:space="0" w:color="auto"/>
              <w:left w:val="single" w:sz="4" w:space="0" w:color="auto"/>
              <w:bottom w:val="single" w:sz="4" w:space="0" w:color="auto"/>
              <w:right w:val="single" w:sz="4" w:space="0" w:color="auto"/>
            </w:tcBorders>
            <w:vAlign w:val="center"/>
          </w:tcPr>
          <w:p w14:paraId="5BCBFB79" w14:textId="077ECBDF" w:rsidR="00D66DAA" w:rsidRPr="000A03FD" w:rsidRDefault="00C77C84" w:rsidP="00D66DAA">
            <w:pPr>
              <w:pStyle w:val="Tabletext"/>
              <w:tabs>
                <w:tab w:val="left" w:pos="142"/>
              </w:tabs>
            </w:pPr>
            <w:r w:rsidRPr="000A03FD">
              <w:t>(</w:t>
            </w:r>
            <w:r w:rsidR="00595715" w:rsidRPr="000A03FD">
              <w:t>B</w:t>
            </w:r>
            <w:r w:rsidRPr="000A03FD">
              <w:t>)</w:t>
            </w:r>
            <w:r w:rsidRPr="000A03FD">
              <w:br/>
            </w:r>
            <w:r w:rsidR="00D66DAA" w:rsidRPr="000A03FD">
              <w:t>Annual loss of response after 52 weeks = 27.6% applied to both arms</w:t>
            </w:r>
          </w:p>
          <w:p w14:paraId="3B7B319D" w14:textId="77777777" w:rsidR="00D66DAA" w:rsidRPr="000A03FD" w:rsidRDefault="00D66DAA" w:rsidP="00D66DAA">
            <w:pPr>
              <w:pStyle w:val="Tabletext"/>
              <w:tabs>
                <w:tab w:val="left" w:pos="142"/>
              </w:tabs>
            </w:pPr>
          </w:p>
          <w:p w14:paraId="272F0B81" w14:textId="3A0442DB" w:rsidR="00F64892" w:rsidRPr="000A03FD" w:rsidRDefault="00D66DAA" w:rsidP="00D66DAA">
            <w:pPr>
              <w:pStyle w:val="Tabletext"/>
              <w:tabs>
                <w:tab w:val="left" w:pos="142"/>
              </w:tabs>
            </w:pPr>
            <w:r w:rsidRPr="000A03FD">
              <w:t>Responder week 52+ / effective surgery utility = 0.780 in both arms (derived from</w:t>
            </w:r>
            <w:r w:rsidR="00E65832" w:rsidRPr="000A03FD">
              <w:t xml:space="preserve"> </w:t>
            </w:r>
            <w:r w:rsidRPr="000A03FD">
              <w:t>SoC arm responders in SYNPASE)</w:t>
            </w:r>
          </w:p>
        </w:tc>
        <w:tc>
          <w:tcPr>
            <w:tcW w:w="1134" w:type="dxa"/>
            <w:tcBorders>
              <w:top w:val="single" w:sz="4" w:space="0" w:color="auto"/>
              <w:left w:val="single" w:sz="4" w:space="0" w:color="auto"/>
              <w:bottom w:val="single" w:sz="4" w:space="0" w:color="auto"/>
              <w:right w:val="single" w:sz="4" w:space="0" w:color="auto"/>
            </w:tcBorders>
            <w:shd w:val="solid" w:color="000000" w:fill="000000"/>
            <w:vAlign w:val="center"/>
          </w:tcPr>
          <w:p w14:paraId="52D909F6" w14:textId="3204276B" w:rsidR="00F64892" w:rsidRPr="00E96B9A" w:rsidRDefault="0020233B" w:rsidP="005717B7">
            <w:pPr>
              <w:pStyle w:val="Tabletext"/>
              <w:jc w:val="center"/>
              <w:rPr>
                <w:highlight w:val="lightGray"/>
              </w:rPr>
            </w:pPr>
            <w:r w:rsidRPr="0020233B">
              <w:rPr>
                <w:rFonts w:hint="eastAsia"/>
                <w:color w:val="000000"/>
                <w:w w:val="20"/>
                <w:fitText w:val="91" w:id="-1303140608"/>
                <w14:textFill>
                  <w14:solidFill>
                    <w14:srgbClr w14:val="000000">
                      <w14:alpha w14:val="100000"/>
                    </w14:srgbClr>
                  </w14:solidFill>
                </w14:textFill>
              </w:rPr>
              <w:t xml:space="preserve">　</w:t>
            </w:r>
            <w:r w:rsidRPr="0020233B">
              <w:rPr>
                <w:color w:val="000000"/>
                <w:w w:val="20"/>
                <w:fitText w:val="91" w:id="-1303140608"/>
                <w14:textFill>
                  <w14:solidFill>
                    <w14:srgbClr w14:val="000000">
                      <w14:alpha w14:val="100000"/>
                    </w14:srgbClr>
                  </w14:solidFill>
                </w14:textFill>
              </w:rPr>
              <w:t>|</w:t>
            </w:r>
            <w:r w:rsidRPr="0020233B">
              <w:rPr>
                <w:rFonts w:hint="eastAsia"/>
                <w:color w:val="000000"/>
                <w:w w:val="20"/>
                <w:fitText w:val="91" w:id="-1303140608"/>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6001C0" w14:textId="0AB5109E" w:rsidR="00F64892" w:rsidRPr="000A03FD" w:rsidRDefault="00647BA7" w:rsidP="005717B7">
            <w:pPr>
              <w:pStyle w:val="Tabletext"/>
              <w:jc w:val="center"/>
            </w:pPr>
            <w:r w:rsidRPr="000A03FD">
              <w:t>0.11</w:t>
            </w:r>
          </w:p>
        </w:tc>
        <w:tc>
          <w:tcPr>
            <w:tcW w:w="992" w:type="dxa"/>
            <w:tcBorders>
              <w:top w:val="single" w:sz="4" w:space="0" w:color="auto"/>
              <w:left w:val="single" w:sz="4" w:space="0" w:color="auto"/>
              <w:bottom w:val="single" w:sz="4" w:space="0" w:color="auto"/>
              <w:right w:val="single" w:sz="4" w:space="0" w:color="auto"/>
            </w:tcBorders>
            <w:vAlign w:val="center"/>
          </w:tcPr>
          <w:p w14:paraId="5D30055B" w14:textId="14305836" w:rsidR="00F64892" w:rsidRPr="001700D2" w:rsidRDefault="0020233B" w:rsidP="005717B7">
            <w:pPr>
              <w:pStyle w:val="Tabletext"/>
              <w:jc w:val="center"/>
              <w:rPr>
                <w:highlight w:val="yellow"/>
              </w:rPr>
            </w:pPr>
            <w:r w:rsidRPr="0020233B">
              <w:rPr>
                <w:color w:val="000000"/>
                <w:spacing w:val="96"/>
                <w:shd w:val="solid" w:color="000000" w:fill="000000"/>
                <w:fitText w:val="182" w:id="-1303140607"/>
                <w14:textFill>
                  <w14:solidFill>
                    <w14:srgbClr w14:val="000000">
                      <w14:alpha w14:val="100000"/>
                    </w14:srgbClr>
                  </w14:solidFill>
                </w14:textFill>
              </w:rPr>
              <w:t>|</w:t>
            </w:r>
            <w:r w:rsidRPr="0020233B">
              <w:rPr>
                <w:color w:val="000000"/>
                <w:spacing w:val="1"/>
                <w:shd w:val="solid" w:color="000000" w:fill="000000"/>
                <w:fitText w:val="182" w:id="-1303140607"/>
                <w14:textFill>
                  <w14:solidFill>
                    <w14:srgbClr w14:val="000000">
                      <w14:alpha w14:val="100000"/>
                    </w14:srgbClr>
                  </w14:solidFill>
                </w14:textFill>
              </w:rPr>
              <w:t>|</w:t>
            </w:r>
            <w:r w:rsidR="00775E82" w:rsidRPr="00775E82">
              <w:rPr>
                <w:rFonts w:cs="Arial"/>
                <w:iCs/>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tcPr>
          <w:p w14:paraId="164A4F66" w14:textId="50520C90" w:rsidR="00F64892" w:rsidRPr="000A03FD" w:rsidRDefault="006F1C59" w:rsidP="005717B7">
            <w:pPr>
              <w:pStyle w:val="Tabletext"/>
              <w:jc w:val="center"/>
            </w:pPr>
            <w:r w:rsidRPr="000A03FD">
              <w:t>+72.7%</w:t>
            </w:r>
          </w:p>
        </w:tc>
      </w:tr>
      <w:tr w:rsidR="00D70A34" w:rsidRPr="000A03FD" w14:paraId="3F37560F" w14:textId="77777777" w:rsidTr="0020233B">
        <w:trPr>
          <w:cantSplit/>
          <w:trHeight w:val="1836"/>
        </w:trPr>
        <w:tc>
          <w:tcPr>
            <w:tcW w:w="1413" w:type="dxa"/>
            <w:tcBorders>
              <w:top w:val="single" w:sz="4" w:space="0" w:color="auto"/>
              <w:left w:val="single" w:sz="4" w:space="0" w:color="auto"/>
              <w:right w:val="single" w:sz="4" w:space="0" w:color="auto"/>
            </w:tcBorders>
            <w:vAlign w:val="center"/>
          </w:tcPr>
          <w:p w14:paraId="69EAC81F" w14:textId="4920E3AE" w:rsidR="00D70A34" w:rsidRPr="000A03FD" w:rsidRDefault="00D70A34" w:rsidP="00C77C84">
            <w:pPr>
              <w:pStyle w:val="Tabletext"/>
              <w:tabs>
                <w:tab w:val="left" w:pos="142"/>
              </w:tabs>
            </w:pPr>
            <w:r w:rsidRPr="000A03FD">
              <w:t>Re-specified base-case requested by ESC during resubmission</w:t>
            </w:r>
          </w:p>
        </w:tc>
        <w:tc>
          <w:tcPr>
            <w:tcW w:w="1559" w:type="dxa"/>
            <w:tcBorders>
              <w:top w:val="single" w:sz="4" w:space="0" w:color="auto"/>
              <w:left w:val="single" w:sz="4" w:space="0" w:color="auto"/>
              <w:right w:val="single" w:sz="4" w:space="0" w:color="auto"/>
            </w:tcBorders>
            <w:vAlign w:val="center"/>
          </w:tcPr>
          <w:p w14:paraId="6F0C2B25" w14:textId="265FEF06" w:rsidR="00D70A34" w:rsidRPr="000A03FD" w:rsidRDefault="00D70A34" w:rsidP="00C77C84">
            <w:pPr>
              <w:pStyle w:val="Tabletext"/>
              <w:tabs>
                <w:tab w:val="left" w:pos="142"/>
              </w:tabs>
              <w:rPr>
                <w:b/>
                <w:bCs/>
              </w:rPr>
            </w:pPr>
            <w:r w:rsidRPr="000A03FD">
              <w:t>(A) +</w:t>
            </w:r>
            <w:r w:rsidR="00595715" w:rsidRPr="000A03FD">
              <w:t xml:space="preserve"> </w:t>
            </w:r>
            <w:r w:rsidRPr="000A03FD">
              <w:t xml:space="preserve"> </w:t>
            </w:r>
            <w:r w:rsidRPr="000A03FD">
              <w:rPr>
                <w:b/>
                <w:bCs/>
              </w:rPr>
              <w:br/>
            </w:r>
            <w:r w:rsidRPr="000A03FD">
              <w:t>Mep non-responders do not receive full 24 week mep costs if transitioning before the end of a 24-week cycle</w:t>
            </w:r>
          </w:p>
        </w:tc>
        <w:tc>
          <w:tcPr>
            <w:tcW w:w="1985" w:type="dxa"/>
            <w:tcBorders>
              <w:top w:val="single" w:sz="4" w:space="0" w:color="auto"/>
              <w:left w:val="single" w:sz="4" w:space="0" w:color="auto"/>
              <w:right w:val="single" w:sz="4" w:space="0" w:color="auto"/>
            </w:tcBorders>
            <w:vAlign w:val="center"/>
          </w:tcPr>
          <w:p w14:paraId="40E01B22" w14:textId="3B3E876F" w:rsidR="00D70A34" w:rsidRPr="000A03FD" w:rsidRDefault="00D70A34" w:rsidP="00C77C84">
            <w:pPr>
              <w:pStyle w:val="Tabletext"/>
              <w:tabs>
                <w:tab w:val="left" w:pos="142"/>
              </w:tabs>
            </w:pPr>
            <w:r w:rsidRPr="000A03FD">
              <w:t>(</w:t>
            </w:r>
            <w:r w:rsidR="00595715" w:rsidRPr="000A03FD">
              <w:t>B</w:t>
            </w:r>
            <w:r w:rsidRPr="000A03FD">
              <w:t xml:space="preserve">) +  </w:t>
            </w:r>
            <w:r w:rsidRPr="000A03FD">
              <w:br/>
              <w:t>50% of 24 week mep cost for mep week 52+ non-responders</w:t>
            </w:r>
          </w:p>
        </w:tc>
        <w:tc>
          <w:tcPr>
            <w:tcW w:w="1134" w:type="dxa"/>
            <w:tcBorders>
              <w:top w:val="single" w:sz="4" w:space="0" w:color="auto"/>
              <w:left w:val="single" w:sz="4" w:space="0" w:color="auto"/>
              <w:right w:val="single" w:sz="4" w:space="0" w:color="auto"/>
            </w:tcBorders>
            <w:shd w:val="solid" w:color="000000" w:fill="000000"/>
            <w:vAlign w:val="center"/>
          </w:tcPr>
          <w:p w14:paraId="707DC862" w14:textId="391D3AAF" w:rsidR="00D70A34" w:rsidRPr="00E96B9A" w:rsidRDefault="0020233B" w:rsidP="00C77C84">
            <w:pPr>
              <w:pStyle w:val="Tabletext"/>
              <w:jc w:val="center"/>
              <w:rPr>
                <w:highlight w:val="lightGray"/>
              </w:rPr>
            </w:pPr>
            <w:r w:rsidRPr="0020233B">
              <w:rPr>
                <w:rFonts w:hint="eastAsia"/>
                <w:color w:val="000000"/>
                <w:w w:val="20"/>
                <w:fitText w:val="91" w:id="-1303140606"/>
                <w14:textFill>
                  <w14:solidFill>
                    <w14:srgbClr w14:val="000000">
                      <w14:alpha w14:val="100000"/>
                    </w14:srgbClr>
                  </w14:solidFill>
                </w14:textFill>
              </w:rPr>
              <w:t xml:space="preserve">　</w:t>
            </w:r>
            <w:r w:rsidRPr="0020233B">
              <w:rPr>
                <w:color w:val="000000"/>
                <w:w w:val="20"/>
                <w:fitText w:val="91" w:id="-1303140606"/>
                <w14:textFill>
                  <w14:solidFill>
                    <w14:srgbClr w14:val="000000">
                      <w14:alpha w14:val="100000"/>
                    </w14:srgbClr>
                  </w14:solidFill>
                </w14:textFill>
              </w:rPr>
              <w:t>|</w:t>
            </w:r>
            <w:r w:rsidRPr="0020233B">
              <w:rPr>
                <w:rFonts w:hint="eastAsia"/>
                <w:color w:val="000000"/>
                <w:w w:val="20"/>
                <w:fitText w:val="91" w:id="-1303140606"/>
                <w14:textFill>
                  <w14:solidFill>
                    <w14:srgbClr w14:val="000000">
                      <w14:alpha w14:val="100000"/>
                    </w14:srgbClr>
                  </w14:solidFill>
                </w14:textFill>
              </w:rPr>
              <w:t xml:space="preserve">　</w:t>
            </w:r>
          </w:p>
        </w:tc>
        <w:tc>
          <w:tcPr>
            <w:tcW w:w="1134" w:type="dxa"/>
            <w:tcBorders>
              <w:top w:val="single" w:sz="4" w:space="0" w:color="auto"/>
              <w:left w:val="single" w:sz="4" w:space="0" w:color="auto"/>
              <w:right w:val="single" w:sz="4" w:space="0" w:color="auto"/>
            </w:tcBorders>
            <w:vAlign w:val="center"/>
          </w:tcPr>
          <w:p w14:paraId="247D3A0F" w14:textId="3BDA4918" w:rsidR="00D70A34" w:rsidRPr="000A03FD" w:rsidRDefault="00B60C88" w:rsidP="00C77C84">
            <w:pPr>
              <w:pStyle w:val="Tabletext"/>
              <w:jc w:val="center"/>
            </w:pPr>
            <w:r w:rsidRPr="000A03FD">
              <w:t>0.106</w:t>
            </w:r>
          </w:p>
        </w:tc>
        <w:tc>
          <w:tcPr>
            <w:tcW w:w="992" w:type="dxa"/>
            <w:tcBorders>
              <w:top w:val="single" w:sz="4" w:space="0" w:color="auto"/>
              <w:left w:val="single" w:sz="4" w:space="0" w:color="auto"/>
              <w:right w:val="single" w:sz="4" w:space="0" w:color="auto"/>
            </w:tcBorders>
            <w:vAlign w:val="center"/>
          </w:tcPr>
          <w:p w14:paraId="73291EFF" w14:textId="46A875F7" w:rsidR="00D70A34" w:rsidRPr="001700D2" w:rsidRDefault="0020233B" w:rsidP="00C77C84">
            <w:pPr>
              <w:pStyle w:val="Tabletext"/>
              <w:jc w:val="center"/>
              <w:rPr>
                <w:highlight w:val="yellow"/>
              </w:rPr>
            </w:pPr>
            <w:r w:rsidRPr="0020233B">
              <w:rPr>
                <w:color w:val="000000"/>
                <w:spacing w:val="96"/>
                <w:shd w:val="solid" w:color="000000" w:fill="000000"/>
                <w:fitText w:val="182" w:id="-1303140605"/>
                <w14:textFill>
                  <w14:solidFill>
                    <w14:srgbClr w14:val="000000">
                      <w14:alpha w14:val="100000"/>
                    </w14:srgbClr>
                  </w14:solidFill>
                </w14:textFill>
              </w:rPr>
              <w:t>|</w:t>
            </w:r>
            <w:r w:rsidRPr="0020233B">
              <w:rPr>
                <w:color w:val="000000"/>
                <w:spacing w:val="1"/>
                <w:shd w:val="solid" w:color="000000" w:fill="000000"/>
                <w:fitText w:val="182" w:id="-1303140605"/>
                <w14:textFill>
                  <w14:solidFill>
                    <w14:srgbClr w14:val="000000">
                      <w14:alpha w14:val="100000"/>
                    </w14:srgbClr>
                  </w14:solidFill>
                </w14:textFill>
              </w:rPr>
              <w:t>|</w:t>
            </w:r>
            <w:r w:rsidR="00775E82" w:rsidRPr="00775E82">
              <w:rPr>
                <w:rFonts w:cs="Arial"/>
                <w:iCs/>
                <w:sz w:val="18"/>
                <w:szCs w:val="18"/>
                <w:vertAlign w:val="superscript"/>
              </w:rPr>
              <w:t>2</w:t>
            </w:r>
          </w:p>
        </w:tc>
        <w:tc>
          <w:tcPr>
            <w:tcW w:w="850" w:type="dxa"/>
            <w:tcBorders>
              <w:top w:val="single" w:sz="4" w:space="0" w:color="auto"/>
              <w:left w:val="single" w:sz="4" w:space="0" w:color="auto"/>
              <w:right w:val="single" w:sz="4" w:space="0" w:color="auto"/>
            </w:tcBorders>
            <w:vAlign w:val="center"/>
          </w:tcPr>
          <w:p w14:paraId="0B971CC5" w14:textId="7E0DDD98" w:rsidR="00D70A34" w:rsidRPr="000A03FD" w:rsidRDefault="00B60C88" w:rsidP="00C77C84">
            <w:pPr>
              <w:pStyle w:val="Tabletext"/>
              <w:jc w:val="center"/>
            </w:pPr>
            <w:r w:rsidRPr="000A03FD">
              <w:t>+82.3%</w:t>
            </w:r>
          </w:p>
        </w:tc>
      </w:tr>
    </w:tbl>
    <w:p w14:paraId="3C2F3C82" w14:textId="6D56497B" w:rsidR="00D928EF" w:rsidRPr="000A03FD" w:rsidRDefault="00D928EF" w:rsidP="00D928EF">
      <w:pPr>
        <w:pStyle w:val="TableFooter"/>
      </w:pPr>
      <w:r w:rsidRPr="000A03FD">
        <w:t>Source: Table 3-30 (p184) of the resubmission</w:t>
      </w:r>
      <w:r w:rsidR="008A6225" w:rsidRPr="000A03FD">
        <w:t xml:space="preserve"> &amp; OWSA” sheet, resubmission economic model spreadsheet</w:t>
      </w:r>
    </w:p>
    <w:p w14:paraId="7B310D48" w14:textId="74BD7166" w:rsidR="00D928EF" w:rsidRPr="000A03FD" w:rsidRDefault="00D928EF" w:rsidP="00D928EF">
      <w:pPr>
        <w:pStyle w:val="TableFooter"/>
      </w:pPr>
      <w:r w:rsidRPr="000A03FD">
        <w:t>BEC= blood eosinophil count;</w:t>
      </w:r>
      <w:r w:rsidR="00EA106D" w:rsidRPr="000A03FD">
        <w:t xml:space="preserve"> CFB = change from baseline;</w:t>
      </w:r>
      <w:r w:rsidRPr="000A03FD">
        <w:t xml:space="preserve"> ICER= incremental cost effectiveness ratio; HS = health state; ITT= intent-to-treat; Mep = mepolizumab; QALY= quality-adjusted life years; SoC= standard of care</w:t>
      </w:r>
    </w:p>
    <w:p w14:paraId="1CE2DD3D" w14:textId="3DF33410" w:rsidR="00D928EF" w:rsidRPr="000A03FD" w:rsidRDefault="00194DC0" w:rsidP="00D928EF">
      <w:pPr>
        <w:pStyle w:val="TableFooter"/>
      </w:pPr>
      <w:r w:rsidRPr="000A03FD">
        <w:t>a.</w:t>
      </w:r>
      <w:r w:rsidR="00D928EF" w:rsidRPr="000A03FD">
        <w:t xml:space="preserve"> In order to crudely account for mepolizumab responders who transition out of a responder health state (but remaining alive) not being applied the remainder of any of the allowed 24-week treatment amount under the proposed essential elements. This was calculated as the proportion of mepolizumab responders at week 52 (61.7%) minus the proportion of mepolizumab responders at year 5 (16.8%) minus the proportion of mepolizumab arm patients who had died by Year 5 (1.3%) all multiplied by the cost of 12 weeks’ of mepolizumab treatment ($1,398.21 = 3 x $466.07). This value was then added to the total costs of the mepolizumab arm. </w:t>
      </w:r>
    </w:p>
    <w:p w14:paraId="2DFADAA2" w14:textId="30E5C964" w:rsidR="00194DC0" w:rsidRPr="000A03FD" w:rsidRDefault="00194DC0" w:rsidP="00D928EF">
      <w:pPr>
        <w:pStyle w:val="TableFooter"/>
      </w:pPr>
      <w:r w:rsidRPr="000A03FD">
        <w:t xml:space="preserve">b. The change to mepolizumab annual loss of response was done to make the absolute loss of response between Years 1 and 2 equal between arms. </w:t>
      </w:r>
    </w:p>
    <w:p w14:paraId="0B7A09EC" w14:textId="76118E70" w:rsidR="00BA6C01" w:rsidRPr="000A03FD" w:rsidRDefault="00D928EF" w:rsidP="00D928EF">
      <w:pPr>
        <w:pStyle w:val="TableFooter"/>
      </w:pPr>
      <w:r w:rsidRPr="000A03FD">
        <w:t>c.</w:t>
      </w:r>
      <w:r w:rsidR="00194DC0" w:rsidRPr="000A03FD">
        <w:t xml:space="preserve"> </w:t>
      </w:r>
      <w:r w:rsidR="005442F2" w:rsidRPr="000A03FD">
        <w:t>This was applied to week 52+ responders / effective surgery patients in both arms</w:t>
      </w:r>
    </w:p>
    <w:p w14:paraId="6AF3CDE8" w14:textId="0BD85634" w:rsidR="00194DC0" w:rsidRPr="000A03FD" w:rsidRDefault="00194DC0" w:rsidP="00D928EF">
      <w:pPr>
        <w:pStyle w:val="TableFooter"/>
      </w:pPr>
      <w:r w:rsidRPr="000A03FD">
        <w:t>d. The resubmission stated a compliance rate of 94.56% was applied to mepolizumab doses, however this does not appear to have been applied in the model</w:t>
      </w:r>
    </w:p>
    <w:p w14:paraId="77DEF9FA" w14:textId="690B7F2C" w:rsidR="00E65832" w:rsidRDefault="00595715" w:rsidP="00C03C65">
      <w:pPr>
        <w:pStyle w:val="TableFooter"/>
      </w:pPr>
      <w:r w:rsidRPr="000A03FD">
        <w:t>e</w:t>
      </w:r>
      <w:r w:rsidR="00194DC0" w:rsidRPr="000A03FD">
        <w:t>.</w:t>
      </w:r>
      <w:r w:rsidR="00E65832" w:rsidRPr="000A03FD">
        <w:t xml:space="preserve"> As per paragraph 6.54, mepolizumab </w:t>
      </w:r>
      <w:r w:rsidR="006A1B32">
        <w:t>PSD</w:t>
      </w:r>
      <w:r w:rsidR="00E65832" w:rsidRPr="000A03FD">
        <w:t>, March 2021 PBAC meeting</w:t>
      </w:r>
    </w:p>
    <w:p w14:paraId="45A752A7" w14:textId="77777777" w:rsidR="00775E82" w:rsidRPr="009A6D58" w:rsidRDefault="00775E82" w:rsidP="00775E8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F1AB080" w14:textId="33BB26A5" w:rsidR="00775E82" w:rsidRPr="009A6D58" w:rsidRDefault="00775E82" w:rsidP="00775E82">
      <w:pPr>
        <w:rPr>
          <w:rFonts w:ascii="Arial Narrow" w:hAnsi="Arial Narrow"/>
          <w:i/>
          <w:sz w:val="18"/>
          <w:szCs w:val="18"/>
        </w:rPr>
      </w:pPr>
      <w:r w:rsidRPr="009A6D58">
        <w:rPr>
          <w:rFonts w:ascii="Arial Narrow" w:hAnsi="Arial Narrow"/>
          <w:i/>
          <w:sz w:val="18"/>
          <w:szCs w:val="18"/>
          <w:vertAlign w:val="superscript"/>
        </w:rPr>
        <w:lastRenderedPageBreak/>
        <w:t>1</w:t>
      </w:r>
      <w:r>
        <w:rPr>
          <w:rFonts w:ascii="Arial Narrow" w:hAnsi="Arial Narrow"/>
          <w:i/>
          <w:sz w:val="18"/>
          <w:szCs w:val="18"/>
        </w:rPr>
        <w:t xml:space="preserve"> $55,000 to &lt; $75,000</w:t>
      </w:r>
    </w:p>
    <w:p w14:paraId="7DF2048D" w14:textId="355C4A06" w:rsidR="00775E82" w:rsidRPr="009A6D58" w:rsidRDefault="00775E82" w:rsidP="00775E8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$95,000 to &lt; $115,000</w:t>
      </w:r>
    </w:p>
    <w:p w14:paraId="48A57E32" w14:textId="31439612" w:rsidR="00775E82" w:rsidRDefault="00775E82" w:rsidP="00775E8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$155,000 to &lt; $255,000</w:t>
      </w:r>
    </w:p>
    <w:p w14:paraId="0FE73070" w14:textId="3D2552CE" w:rsidR="00775E82" w:rsidRDefault="00775E82" w:rsidP="00775E8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$45,000 to &lt; $55,000</w:t>
      </w:r>
    </w:p>
    <w:p w14:paraId="101D0638" w14:textId="0BF9D731" w:rsidR="00886025" w:rsidRPr="000A03FD" w:rsidRDefault="00775E82" w:rsidP="008E0D35">
      <w:pPr>
        <w:spacing w:after="120"/>
      </w:pPr>
      <w:r>
        <w:rPr>
          <w:rFonts w:ascii="Arial Narrow" w:hAnsi="Arial Narrow"/>
          <w:i/>
          <w:sz w:val="18"/>
          <w:szCs w:val="18"/>
          <w:vertAlign w:val="superscript"/>
        </w:rPr>
        <w:t>5</w:t>
      </w:r>
      <w:r>
        <w:rPr>
          <w:rFonts w:ascii="Arial Narrow" w:hAnsi="Arial Narrow"/>
          <w:i/>
          <w:sz w:val="18"/>
          <w:szCs w:val="18"/>
        </w:rPr>
        <w:t xml:space="preserve"> </w:t>
      </w:r>
      <w:r w:rsidR="00295B9B">
        <w:rPr>
          <w:rFonts w:ascii="Arial Narrow" w:hAnsi="Arial Narrow"/>
          <w:i/>
          <w:sz w:val="18"/>
          <w:szCs w:val="18"/>
        </w:rPr>
        <w:t>$75,000 to &lt; $95,000</w:t>
      </w:r>
      <w:bookmarkEnd w:id="76"/>
    </w:p>
    <w:p w14:paraId="3CF57C01" w14:textId="667D084A" w:rsidR="00072D21" w:rsidRPr="000A03FD" w:rsidRDefault="00CF67FF" w:rsidP="00072D21">
      <w:pPr>
        <w:pStyle w:val="3-BodyText"/>
        <w:rPr>
          <w:snapToGrid/>
        </w:rPr>
      </w:pPr>
      <w:bookmarkStart w:id="79" w:name="_Hlk111521424"/>
      <w:r w:rsidRPr="000A03FD">
        <w:rPr>
          <w:snapToGrid/>
        </w:rPr>
        <w:t>T</w:t>
      </w:r>
      <w:r w:rsidR="00072D21" w:rsidRPr="000A03FD">
        <w:rPr>
          <w:snapToGrid/>
        </w:rPr>
        <w:t xml:space="preserve">he model was not particularly sensitive to changes </w:t>
      </w:r>
      <w:r w:rsidRPr="000A03FD">
        <w:rPr>
          <w:snapToGrid/>
        </w:rPr>
        <w:t xml:space="preserve">to response rate at week 24, likely because of the assumption of loss of response being a key driver of the model. </w:t>
      </w:r>
    </w:p>
    <w:p w14:paraId="65B3DE90" w14:textId="0C863A93" w:rsidR="009F15E6" w:rsidRPr="000A03FD" w:rsidRDefault="009F15E6" w:rsidP="00072D21">
      <w:pPr>
        <w:pStyle w:val="3-BodyText"/>
        <w:rPr>
          <w:snapToGrid/>
        </w:rPr>
      </w:pPr>
      <w:bookmarkStart w:id="80" w:name="_Ref116305982"/>
      <w:r w:rsidRPr="000A03FD">
        <w:rPr>
          <w:snapToGrid/>
        </w:rPr>
        <w:t>Overall, the structure of the economic model presented remained reasonable</w:t>
      </w:r>
      <w:r w:rsidR="00E20AE7" w:rsidRPr="000A03FD">
        <w:rPr>
          <w:snapToGrid/>
        </w:rPr>
        <w:t xml:space="preserve">. However, the results of the economic evaluation were </w:t>
      </w:r>
      <w:r w:rsidR="00514736" w:rsidRPr="000A03FD">
        <w:rPr>
          <w:snapToGrid/>
        </w:rPr>
        <w:t xml:space="preserve">highly </w:t>
      </w:r>
      <w:r w:rsidR="0088186A" w:rsidRPr="000A03FD">
        <w:rPr>
          <w:snapToGrid/>
        </w:rPr>
        <w:t>sensitive to</w:t>
      </w:r>
      <w:r w:rsidR="005601EC" w:rsidRPr="000A03FD">
        <w:rPr>
          <w:snapToGrid/>
        </w:rPr>
        <w:t xml:space="preserve"> many of</w:t>
      </w:r>
      <w:r w:rsidR="0088186A" w:rsidRPr="000A03FD">
        <w:rPr>
          <w:snapToGrid/>
        </w:rPr>
        <w:t xml:space="preserve"> </w:t>
      </w:r>
      <w:r w:rsidR="005601EC" w:rsidRPr="000A03FD">
        <w:rPr>
          <w:snapToGrid/>
        </w:rPr>
        <w:t xml:space="preserve">the values and assumptions used for maintenance of response rates and </w:t>
      </w:r>
      <w:r w:rsidR="00FD5399" w:rsidRPr="000A03FD">
        <w:rPr>
          <w:snapToGrid/>
        </w:rPr>
        <w:t>for utility values.</w:t>
      </w:r>
      <w:r w:rsidR="00514442" w:rsidRPr="000A03FD">
        <w:rPr>
          <w:snapToGrid/>
        </w:rPr>
        <w:t xml:space="preserve"> An evaluator-conducted multivariate sensitivity analysis using</w:t>
      </w:r>
      <w:r w:rsidR="004839C7" w:rsidRPr="000A03FD">
        <w:rPr>
          <w:snapToGrid/>
        </w:rPr>
        <w:t xml:space="preserve"> the conditions requested by ESC for a re-specified base-case in the previous submission increased the ICER by 72.7% to $</w:t>
      </w:r>
      <w:r w:rsidR="00A570BB">
        <w:rPr>
          <w:snapToGrid/>
        </w:rPr>
        <w:t>95,000 to &lt; $115,000/QALY</w:t>
      </w:r>
      <w:r w:rsidR="00C721F0" w:rsidRPr="000A03FD">
        <w:rPr>
          <w:snapToGrid/>
        </w:rPr>
        <w:t xml:space="preserve">, which illustrates that the model inputs </w:t>
      </w:r>
      <w:r w:rsidR="000A2E38" w:rsidRPr="000A03FD">
        <w:rPr>
          <w:snapToGrid/>
        </w:rPr>
        <w:t xml:space="preserve">and assumptions in the resubmission </w:t>
      </w:r>
      <w:r w:rsidR="00C721F0" w:rsidRPr="000A03FD">
        <w:rPr>
          <w:snapToGrid/>
        </w:rPr>
        <w:t>may have been optimistic</w:t>
      </w:r>
      <w:r w:rsidR="004839C7" w:rsidRPr="000A03FD">
        <w:rPr>
          <w:snapToGrid/>
        </w:rPr>
        <w:t>.</w:t>
      </w:r>
      <w:r w:rsidR="002B4EBC" w:rsidRPr="000A03FD">
        <w:rPr>
          <w:snapToGrid/>
        </w:rPr>
        <w:t xml:space="preserve"> The ESC </w:t>
      </w:r>
      <w:r w:rsidR="001201C8" w:rsidRPr="000A03FD">
        <w:rPr>
          <w:snapToGrid/>
        </w:rPr>
        <w:t>noted the impact of inclusion of appropriate mepolizumab costs for non-responders and considered it should be included in the re-specified base-case</w:t>
      </w:r>
      <w:r w:rsidR="00846C99" w:rsidRPr="000A03FD">
        <w:rPr>
          <w:snapToGrid/>
        </w:rPr>
        <w:t xml:space="preserve"> in addition to th</w:t>
      </w:r>
      <w:r w:rsidR="00E11E48" w:rsidRPr="000A03FD">
        <w:rPr>
          <w:snapToGrid/>
        </w:rPr>
        <w:t>e factors</w:t>
      </w:r>
      <w:r w:rsidR="00846C99" w:rsidRPr="000A03FD">
        <w:rPr>
          <w:snapToGrid/>
        </w:rPr>
        <w:t xml:space="preserve"> identified in November 2021</w:t>
      </w:r>
      <w:r w:rsidR="001201C8" w:rsidRPr="000A03FD">
        <w:rPr>
          <w:snapToGrid/>
        </w:rPr>
        <w:t>. The ESC noted that this increased the base-case ICER by</w:t>
      </w:r>
      <w:r w:rsidR="00E97BB5" w:rsidRPr="000A03FD">
        <w:rPr>
          <w:snapToGrid/>
        </w:rPr>
        <w:t xml:space="preserve"> </w:t>
      </w:r>
      <w:r w:rsidR="00B60C88" w:rsidRPr="000A03FD">
        <w:rPr>
          <w:snapToGrid/>
        </w:rPr>
        <w:t>82%</w:t>
      </w:r>
      <w:r w:rsidR="001201C8" w:rsidRPr="000A03FD">
        <w:rPr>
          <w:snapToGrid/>
        </w:rPr>
        <w:t xml:space="preserve"> from $</w:t>
      </w:r>
      <w:r w:rsidR="00A570BB">
        <w:rPr>
          <w:snapToGrid/>
        </w:rPr>
        <w:t xml:space="preserve">55,000 to </w:t>
      </w:r>
      <w:r w:rsidR="00110681">
        <w:rPr>
          <w:snapToGrid/>
        </w:rPr>
        <w:t>&lt;</w:t>
      </w:r>
      <w:r w:rsidR="00A570BB">
        <w:rPr>
          <w:snapToGrid/>
        </w:rPr>
        <w:t>$75,000/QALY</w:t>
      </w:r>
      <w:r w:rsidR="001201C8" w:rsidRPr="000A03FD">
        <w:rPr>
          <w:snapToGrid/>
        </w:rPr>
        <w:t xml:space="preserve"> to </w:t>
      </w:r>
      <w:r w:rsidR="00B60C88" w:rsidRPr="000A03FD">
        <w:rPr>
          <w:snapToGrid/>
        </w:rPr>
        <w:t>$</w:t>
      </w:r>
      <w:r w:rsidR="00A570BB">
        <w:rPr>
          <w:snapToGrid/>
        </w:rPr>
        <w:t xml:space="preserve">95,000 to </w:t>
      </w:r>
      <w:r w:rsidR="00110681">
        <w:rPr>
          <w:snapToGrid/>
        </w:rPr>
        <w:t>&lt;</w:t>
      </w:r>
      <w:r w:rsidR="00A570BB">
        <w:rPr>
          <w:snapToGrid/>
        </w:rPr>
        <w:t>$115,000/QALY</w:t>
      </w:r>
      <w:r w:rsidR="001201C8" w:rsidRPr="000A03FD">
        <w:rPr>
          <w:snapToGrid/>
        </w:rPr>
        <w:t xml:space="preserve"> gained.</w:t>
      </w:r>
      <w:bookmarkEnd w:id="80"/>
      <w:r w:rsidR="001201C8" w:rsidRPr="000A03FD">
        <w:rPr>
          <w:snapToGrid/>
        </w:rPr>
        <w:t xml:space="preserve"> </w:t>
      </w:r>
    </w:p>
    <w:p w14:paraId="30DC8C3D" w14:textId="01620356" w:rsidR="00194DC0" w:rsidRPr="000A03FD" w:rsidRDefault="00697B89" w:rsidP="00194DC0">
      <w:pPr>
        <w:pStyle w:val="3-BodyText"/>
        <w:rPr>
          <w:snapToGrid/>
        </w:rPr>
      </w:pPr>
      <w:r w:rsidRPr="000A03FD">
        <w:rPr>
          <w:snapToGrid/>
        </w:rPr>
        <w:t xml:space="preserve">The pre-PBAC response re-specified base-case differed from the ESC re-specified base case in that it included a revised mepolizumab price, a differential loss of response across treatment arms and application of 94.56% compliance for mepolizumab (see paragraph </w:t>
      </w:r>
      <w:r w:rsidRPr="000A03FD">
        <w:fldChar w:fldCharType="begin" w:fldLock="1"/>
      </w:r>
      <w:r w:rsidRPr="000A03FD">
        <w:rPr>
          <w:snapToGrid/>
        </w:rPr>
        <w:instrText xml:space="preserve"> REF _Ref119401211 \r \h </w:instrText>
      </w:r>
      <w:r w:rsidR="00505A30" w:rsidRPr="000A03FD">
        <w:rPr>
          <w:snapToGrid/>
        </w:rPr>
        <w:instrText xml:space="preserve"> \* MERGEFORMAT </w:instrText>
      </w:r>
      <w:r w:rsidRPr="000A03FD">
        <w:fldChar w:fldCharType="separate"/>
      </w:r>
      <w:r w:rsidR="009849D7">
        <w:rPr>
          <w:snapToGrid/>
        </w:rPr>
        <w:t>6.48</w:t>
      </w:r>
      <w:r w:rsidRPr="000A03FD">
        <w:fldChar w:fldCharType="end"/>
      </w:r>
      <w:r w:rsidRPr="000A03FD">
        <w:rPr>
          <w:snapToGrid/>
        </w:rPr>
        <w:t xml:space="preserve">). The pre-PBAC response </w:t>
      </w:r>
      <w:r w:rsidR="00194DC0" w:rsidRPr="000A03FD">
        <w:rPr>
          <w:snapToGrid/>
        </w:rPr>
        <w:t xml:space="preserve">stated the </w:t>
      </w:r>
      <w:r w:rsidRPr="000A03FD">
        <w:rPr>
          <w:snapToGrid/>
        </w:rPr>
        <w:t>revised base-case ICER was $</w:t>
      </w:r>
      <w:r w:rsidR="0081171C">
        <w:rPr>
          <w:snapToGrid/>
        </w:rPr>
        <w:t>55,000</w:t>
      </w:r>
      <w:r w:rsidR="008E0D35">
        <w:rPr>
          <w:snapToGrid/>
        </w:rPr>
        <w:t xml:space="preserve"> </w:t>
      </w:r>
      <w:r w:rsidR="0081171C">
        <w:rPr>
          <w:snapToGrid/>
        </w:rPr>
        <w:t>to &lt; $75,000</w:t>
      </w:r>
      <w:r w:rsidRPr="000A03FD">
        <w:rPr>
          <w:snapToGrid/>
        </w:rPr>
        <w:t>/QALY</w:t>
      </w:r>
      <w:r w:rsidR="00DB772C" w:rsidRPr="000A03FD">
        <w:rPr>
          <w:snapToGrid/>
        </w:rPr>
        <w:t xml:space="preserve"> gained</w:t>
      </w:r>
      <w:r w:rsidR="000A03FD">
        <w:rPr>
          <w:snapToGrid/>
        </w:rPr>
        <w:t xml:space="preserve">. </w:t>
      </w:r>
    </w:p>
    <w:p w14:paraId="472842D7" w14:textId="045E52B9" w:rsidR="00C25D9C" w:rsidRPr="000A03FD" w:rsidRDefault="00C25D9C" w:rsidP="00BB732D">
      <w:pPr>
        <w:pStyle w:val="4-SubsectionHeading"/>
      </w:pPr>
      <w:bookmarkStart w:id="81" w:name="_Toc22897646"/>
      <w:bookmarkStart w:id="82" w:name="_Toc113982849"/>
      <w:bookmarkEnd w:id="79"/>
      <w:r w:rsidRPr="000A03FD">
        <w:t>Drug cost/patient/year</w:t>
      </w:r>
      <w:bookmarkEnd w:id="81"/>
      <w:bookmarkEnd w:id="82"/>
    </w:p>
    <w:p w14:paraId="3179F9E7" w14:textId="7F841C33" w:rsidR="00CA1F13" w:rsidRPr="000A03FD" w:rsidRDefault="00604C10" w:rsidP="00D53710">
      <w:pPr>
        <w:pStyle w:val="3-BodyText"/>
        <w:rPr>
          <w:snapToGrid/>
        </w:rPr>
      </w:pPr>
      <w:bookmarkStart w:id="83" w:name="_Hlk107307804"/>
      <w:r w:rsidRPr="000A03FD">
        <w:t>Drug</w:t>
      </w:r>
      <w:r w:rsidRPr="000A03FD">
        <w:rPr>
          <w:snapToGrid/>
        </w:rPr>
        <w:t xml:space="preserve"> ac</w:t>
      </w:r>
      <w:r w:rsidR="00E27549" w:rsidRPr="000A03FD">
        <w:rPr>
          <w:snapToGrid/>
        </w:rPr>
        <w:t xml:space="preserve">quisition costs of mepolizumab are summarised in </w:t>
      </w:r>
      <w:r w:rsidR="00871B0E" w:rsidRPr="000A03FD">
        <w:rPr>
          <w:snapToGrid/>
        </w:rPr>
        <w:fldChar w:fldCharType="begin" w:fldLock="1"/>
      </w:r>
      <w:r w:rsidR="00871B0E" w:rsidRPr="000A03FD">
        <w:rPr>
          <w:snapToGrid/>
        </w:rPr>
        <w:instrText xml:space="preserve"> REF _Ref111521490 \h </w:instrText>
      </w:r>
      <w:r w:rsidR="00F518C5" w:rsidRPr="000A03FD">
        <w:rPr>
          <w:snapToGrid/>
        </w:rPr>
        <w:instrText xml:space="preserve"> \* MERGEFORMAT </w:instrText>
      </w:r>
      <w:r w:rsidR="00871B0E" w:rsidRPr="000A03FD">
        <w:rPr>
          <w:snapToGrid/>
        </w:rPr>
      </w:r>
      <w:r w:rsidR="00871B0E" w:rsidRPr="000A03FD">
        <w:rPr>
          <w:snapToGrid/>
        </w:rPr>
        <w:fldChar w:fldCharType="separate"/>
      </w:r>
      <w:r w:rsidR="00625A18" w:rsidRPr="000A03FD">
        <w:t>Table 16</w:t>
      </w:r>
      <w:r w:rsidR="00871B0E" w:rsidRPr="000A03FD">
        <w:rPr>
          <w:snapToGrid/>
        </w:rPr>
        <w:fldChar w:fldCharType="end"/>
      </w:r>
      <w:r w:rsidR="00871B0E" w:rsidRPr="000A03FD">
        <w:rPr>
          <w:snapToGrid/>
        </w:rPr>
        <w:t xml:space="preserve"> </w:t>
      </w:r>
      <w:r w:rsidR="00E27549" w:rsidRPr="000A03FD">
        <w:rPr>
          <w:snapToGrid/>
        </w:rPr>
        <w:t xml:space="preserve">below. </w:t>
      </w:r>
      <w:r w:rsidR="008A491F" w:rsidRPr="000A03FD">
        <w:rPr>
          <w:snapToGrid/>
        </w:rPr>
        <w:t xml:space="preserve">The </w:t>
      </w:r>
      <w:r w:rsidR="00D805D0" w:rsidRPr="000A03FD">
        <w:rPr>
          <w:snapToGrid/>
        </w:rPr>
        <w:t>resubmission stated a mepolizumab compliance rate of 94.56% was applied in the economic model, however this did not appear to be applied in the actual economic model</w:t>
      </w:r>
      <w:r w:rsidR="00346F19" w:rsidRPr="000A03FD">
        <w:rPr>
          <w:snapToGrid/>
        </w:rPr>
        <w:t>, though a 94.56% compliance rate was applied to the financial estimates.</w:t>
      </w:r>
      <w:r w:rsidR="00D805D0" w:rsidRPr="000A03FD">
        <w:rPr>
          <w:snapToGrid/>
        </w:rPr>
        <w:t xml:space="preserve"> </w:t>
      </w:r>
      <w:r w:rsidR="00F72748" w:rsidRPr="000A03FD">
        <w:rPr>
          <w:snapToGrid/>
        </w:rPr>
        <w:t>T</w:t>
      </w:r>
      <w:r w:rsidR="005B412F" w:rsidRPr="000A03FD">
        <w:rPr>
          <w:snapToGrid/>
        </w:rPr>
        <w:t>h</w:t>
      </w:r>
      <w:r w:rsidR="00F72748" w:rsidRPr="000A03FD">
        <w:rPr>
          <w:snapToGrid/>
        </w:rPr>
        <w:t>is</w:t>
      </w:r>
      <w:r w:rsidR="005B412F" w:rsidRPr="000A03FD">
        <w:rPr>
          <w:snapToGrid/>
        </w:rPr>
        <w:t xml:space="preserve"> inconsistency </w:t>
      </w:r>
      <w:r w:rsidR="00D805D0" w:rsidRPr="000A03FD">
        <w:rPr>
          <w:snapToGrid/>
        </w:rPr>
        <w:t xml:space="preserve">in the application of compliance rate </w:t>
      </w:r>
      <w:r w:rsidR="005B412F" w:rsidRPr="000A03FD">
        <w:rPr>
          <w:snapToGrid/>
        </w:rPr>
        <w:t>between the economic model and the financial estimates</w:t>
      </w:r>
      <w:r w:rsidR="00F72748" w:rsidRPr="000A03FD">
        <w:rPr>
          <w:snapToGrid/>
        </w:rPr>
        <w:t xml:space="preserve"> (as well as the inclusion of </w:t>
      </w:r>
      <w:r w:rsidR="003520F0" w:rsidRPr="000A03FD">
        <w:rPr>
          <w:snapToGrid/>
        </w:rPr>
        <w:t xml:space="preserve">private mark ups used in the financial estimates) </w:t>
      </w:r>
      <w:r w:rsidR="00D805D0" w:rsidRPr="000A03FD">
        <w:rPr>
          <w:snapToGrid/>
        </w:rPr>
        <w:t>explain</w:t>
      </w:r>
      <w:r w:rsidR="00F72748" w:rsidRPr="000A03FD">
        <w:rPr>
          <w:snapToGrid/>
        </w:rPr>
        <w:t>ed</w:t>
      </w:r>
      <w:r w:rsidR="00D805D0" w:rsidRPr="000A03FD">
        <w:rPr>
          <w:snapToGrid/>
        </w:rPr>
        <w:t xml:space="preserve"> the differences in cost/patient/year reported in </w:t>
      </w:r>
      <w:r w:rsidR="00D805D0" w:rsidRPr="000A03FD">
        <w:rPr>
          <w:snapToGrid/>
        </w:rPr>
        <w:fldChar w:fldCharType="begin" w:fldLock="1"/>
      </w:r>
      <w:r w:rsidR="00D805D0" w:rsidRPr="000A03FD">
        <w:rPr>
          <w:snapToGrid/>
        </w:rPr>
        <w:instrText xml:space="preserve"> REF _Ref111521490 \h  \* MERGEFORMAT </w:instrText>
      </w:r>
      <w:r w:rsidR="00D805D0" w:rsidRPr="000A03FD">
        <w:rPr>
          <w:snapToGrid/>
        </w:rPr>
      </w:r>
      <w:r w:rsidR="00D805D0" w:rsidRPr="000A03FD">
        <w:rPr>
          <w:snapToGrid/>
        </w:rPr>
        <w:fldChar w:fldCharType="separate"/>
      </w:r>
      <w:r w:rsidR="00625A18" w:rsidRPr="000A03FD">
        <w:t>Table 16</w:t>
      </w:r>
      <w:r w:rsidR="00D805D0" w:rsidRPr="000A03FD">
        <w:rPr>
          <w:snapToGrid/>
        </w:rPr>
        <w:fldChar w:fldCharType="end"/>
      </w:r>
      <w:r w:rsidR="005B412F" w:rsidRPr="000A03FD">
        <w:rPr>
          <w:snapToGrid/>
        </w:rPr>
        <w:t>.</w:t>
      </w:r>
      <w:r w:rsidR="00194DC0" w:rsidRPr="000A03FD">
        <w:rPr>
          <w:snapToGrid/>
        </w:rPr>
        <w:t xml:space="preserve"> The pre-PBAC response re-specified base-case </w:t>
      </w:r>
      <w:r w:rsidR="00347339">
        <w:rPr>
          <w:snapToGrid/>
        </w:rPr>
        <w:t xml:space="preserve">economic model </w:t>
      </w:r>
      <w:r w:rsidR="00194DC0" w:rsidRPr="000A03FD">
        <w:rPr>
          <w:snapToGrid/>
        </w:rPr>
        <w:t xml:space="preserve">included the application of a 94.56% compliance rate. </w:t>
      </w:r>
    </w:p>
    <w:p w14:paraId="11D6EEF8" w14:textId="27A69698" w:rsidR="00524CAA" w:rsidRPr="000A03FD" w:rsidRDefault="00871B0E" w:rsidP="00871B0E">
      <w:pPr>
        <w:pStyle w:val="Caption"/>
        <w:rPr>
          <w:rStyle w:val="CommentReference"/>
          <w:b/>
          <w:szCs w:val="24"/>
        </w:rPr>
      </w:pPr>
      <w:bookmarkStart w:id="84" w:name="_Ref111521490"/>
      <w:r w:rsidRPr="000A03FD">
        <w:t xml:space="preserve">Table </w:t>
      </w:r>
      <w:fldSimple w:instr=" SEQ Table \* ARABIC " w:fldLock="1">
        <w:r w:rsidR="00A0401C" w:rsidRPr="000A03FD">
          <w:t>16</w:t>
        </w:r>
      </w:fldSimple>
      <w:bookmarkEnd w:id="84"/>
      <w:r w:rsidR="00524CAA" w:rsidRPr="000A03FD">
        <w:rPr>
          <w:rStyle w:val="CommentReference"/>
          <w:b/>
          <w:szCs w:val="24"/>
        </w:rPr>
        <w:t>: Drug cost per patient for mepolizumab</w:t>
      </w:r>
      <w:r w:rsidR="00347339">
        <w:rPr>
          <w:rStyle w:val="CommentReference"/>
          <w:b/>
          <w:szCs w:val="24"/>
        </w:rPr>
        <w:t xml:space="preserve"> (based on price of $</w:t>
      </w:r>
      <w:r w:rsidR="0020233B" w:rsidRPr="0020233B">
        <w:rPr>
          <w:rStyle w:val="CommentReference"/>
          <w:b/>
          <w:color w:val="000000"/>
          <w:spacing w:val="12"/>
          <w:szCs w:val="24"/>
          <w:shd w:val="solid" w:color="000000" w:fill="000000"/>
          <w:fitText w:val="336" w:id="-1303140604"/>
          <w14:textFill>
            <w14:solidFill>
              <w14:srgbClr w14:val="000000">
                <w14:alpha w14:val="100000"/>
              </w14:srgbClr>
            </w14:solidFill>
          </w14:textFill>
        </w:rPr>
        <w:t>||  |</w:t>
      </w:r>
      <w:r w:rsidR="0020233B" w:rsidRPr="0020233B">
        <w:rPr>
          <w:rStyle w:val="CommentReference"/>
          <w:b/>
          <w:color w:val="000000"/>
          <w:spacing w:val="1"/>
          <w:szCs w:val="24"/>
          <w:shd w:val="solid" w:color="000000" w:fill="000000"/>
          <w:fitText w:val="336" w:id="-1303140604"/>
          <w14:textFill>
            <w14:solidFill>
              <w14:srgbClr w14:val="000000">
                <w14:alpha w14:val="100000"/>
              </w14:srgbClr>
            </w14:solidFill>
          </w14:textFill>
        </w:rPr>
        <w:t>|</w:t>
      </w:r>
      <w:r w:rsidR="00347339">
        <w:rPr>
          <w:rStyle w:val="CommentReference"/>
          <w:b/>
          <w:szCs w:val="24"/>
        </w:rPr>
        <w:t xml:space="preserve"> as proposed in the resubmission)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1"/>
        <w:gridCol w:w="2515"/>
        <w:gridCol w:w="2515"/>
        <w:gridCol w:w="2515"/>
      </w:tblGrid>
      <w:tr w:rsidR="000D3A37" w:rsidRPr="000A03FD" w14:paraId="29E25218" w14:textId="77777777" w:rsidTr="00113672">
        <w:trPr>
          <w:jc w:val="center"/>
        </w:trPr>
        <w:tc>
          <w:tcPr>
            <w:tcW w:w="815" w:type="pct"/>
            <w:shd w:val="clear" w:color="auto" w:fill="auto"/>
            <w:vAlign w:val="center"/>
          </w:tcPr>
          <w:p w14:paraId="7B616992" w14:textId="77777777" w:rsidR="00D402F3" w:rsidRPr="000A03FD" w:rsidRDefault="00D402F3" w:rsidP="00113672">
            <w:pPr>
              <w:keepNext/>
              <w:jc w:val="left"/>
              <w:rPr>
                <w:rFonts w:ascii="Arial Narrow" w:hAnsi="Arial Narrow"/>
                <w:b/>
                <w:sz w:val="20"/>
              </w:rPr>
            </w:pPr>
          </w:p>
        </w:tc>
        <w:tc>
          <w:tcPr>
            <w:tcW w:w="1395" w:type="pct"/>
            <w:shd w:val="clear" w:color="auto" w:fill="auto"/>
            <w:vAlign w:val="center"/>
          </w:tcPr>
          <w:p w14:paraId="631C0305" w14:textId="77777777" w:rsidR="00D402F3" w:rsidRPr="000A03FD" w:rsidRDefault="00D402F3" w:rsidP="00113672">
            <w:pPr>
              <w:keepNext/>
              <w:jc w:val="center"/>
              <w:rPr>
                <w:rFonts w:ascii="Arial Narrow" w:hAnsi="Arial Narrow"/>
                <w:b/>
                <w:sz w:val="20"/>
              </w:rPr>
            </w:pPr>
            <w:r w:rsidRPr="000A03FD">
              <w:rPr>
                <w:rFonts w:ascii="Arial Narrow" w:hAnsi="Arial Narrow"/>
                <w:b/>
                <w:sz w:val="20"/>
              </w:rPr>
              <w:t>Trial dose and duration</w:t>
            </w:r>
          </w:p>
        </w:tc>
        <w:tc>
          <w:tcPr>
            <w:tcW w:w="1395" w:type="pct"/>
            <w:shd w:val="clear" w:color="auto" w:fill="auto"/>
            <w:vAlign w:val="center"/>
          </w:tcPr>
          <w:p w14:paraId="44ACAFC2" w14:textId="0BC92207" w:rsidR="00D402F3" w:rsidRPr="000A03FD" w:rsidRDefault="005B412F" w:rsidP="00113672">
            <w:pPr>
              <w:keepNext/>
              <w:jc w:val="center"/>
              <w:rPr>
                <w:rFonts w:ascii="Arial Narrow" w:hAnsi="Arial Narrow"/>
                <w:b/>
                <w:sz w:val="20"/>
              </w:rPr>
            </w:pPr>
            <w:r w:rsidRPr="000A03FD">
              <w:rPr>
                <w:rFonts w:ascii="Arial Narrow" w:hAnsi="Arial Narrow"/>
                <w:b/>
                <w:sz w:val="20"/>
              </w:rPr>
              <w:t xml:space="preserve">Economic </w:t>
            </w:r>
            <w:r w:rsidR="00D402F3" w:rsidRPr="000A03FD">
              <w:rPr>
                <w:rFonts w:ascii="Arial Narrow" w:hAnsi="Arial Narrow"/>
                <w:b/>
                <w:sz w:val="20"/>
              </w:rPr>
              <w:t>Model</w:t>
            </w:r>
          </w:p>
        </w:tc>
        <w:tc>
          <w:tcPr>
            <w:tcW w:w="1395" w:type="pct"/>
            <w:shd w:val="clear" w:color="auto" w:fill="auto"/>
            <w:vAlign w:val="center"/>
          </w:tcPr>
          <w:p w14:paraId="2FDF7042" w14:textId="77777777" w:rsidR="00D402F3" w:rsidRPr="000A03FD" w:rsidRDefault="00D402F3" w:rsidP="00113672">
            <w:pPr>
              <w:keepNext/>
              <w:jc w:val="center"/>
              <w:rPr>
                <w:rFonts w:ascii="Arial Narrow" w:hAnsi="Arial Narrow"/>
                <w:b/>
                <w:sz w:val="20"/>
              </w:rPr>
            </w:pPr>
            <w:r w:rsidRPr="000A03FD">
              <w:rPr>
                <w:rFonts w:ascii="Arial Narrow" w:hAnsi="Arial Narrow"/>
                <w:b/>
                <w:sz w:val="20"/>
              </w:rPr>
              <w:t>Financial estimates</w:t>
            </w:r>
          </w:p>
        </w:tc>
      </w:tr>
      <w:tr w:rsidR="000D3A37" w:rsidRPr="000A03FD" w14:paraId="7DE2681B" w14:textId="77777777" w:rsidTr="00113672">
        <w:trPr>
          <w:jc w:val="center"/>
        </w:trPr>
        <w:tc>
          <w:tcPr>
            <w:tcW w:w="815" w:type="pct"/>
            <w:shd w:val="clear" w:color="auto" w:fill="auto"/>
            <w:vAlign w:val="center"/>
          </w:tcPr>
          <w:p w14:paraId="6A742C72" w14:textId="77777777" w:rsidR="00D402F3" w:rsidRPr="000A03FD" w:rsidRDefault="00D402F3" w:rsidP="00113672">
            <w:pPr>
              <w:keepNext/>
              <w:jc w:val="left"/>
              <w:rPr>
                <w:rFonts w:ascii="Arial Narrow" w:hAnsi="Arial Narrow"/>
                <w:sz w:val="20"/>
              </w:rPr>
            </w:pPr>
            <w:r w:rsidRPr="000A03FD">
              <w:rPr>
                <w:rFonts w:ascii="Arial Narrow" w:hAnsi="Arial Narrow"/>
                <w:sz w:val="20"/>
              </w:rPr>
              <w:t>Mean dose</w:t>
            </w:r>
          </w:p>
        </w:tc>
        <w:tc>
          <w:tcPr>
            <w:tcW w:w="1395" w:type="pct"/>
            <w:shd w:val="clear" w:color="auto" w:fill="auto"/>
            <w:vAlign w:val="center"/>
          </w:tcPr>
          <w:p w14:paraId="05DA076E" w14:textId="77777777" w:rsidR="00D402F3" w:rsidRPr="000A03FD" w:rsidRDefault="00D402F3" w:rsidP="00113672">
            <w:pPr>
              <w:keepNext/>
              <w:jc w:val="center"/>
              <w:rPr>
                <w:rFonts w:ascii="Arial Narrow" w:hAnsi="Arial Narrow"/>
                <w:iCs/>
                <w:sz w:val="20"/>
              </w:rPr>
            </w:pPr>
            <w:r w:rsidRPr="000A03FD">
              <w:rPr>
                <w:rFonts w:ascii="Arial Narrow" w:hAnsi="Arial Narrow"/>
                <w:iCs/>
                <w:sz w:val="20"/>
              </w:rPr>
              <w:t>100mg Q4W</w:t>
            </w:r>
          </w:p>
        </w:tc>
        <w:tc>
          <w:tcPr>
            <w:tcW w:w="1395" w:type="pct"/>
            <w:shd w:val="clear" w:color="auto" w:fill="auto"/>
            <w:vAlign w:val="center"/>
          </w:tcPr>
          <w:p w14:paraId="185BBDA9" w14:textId="77777777" w:rsidR="00D402F3" w:rsidRPr="000A03FD" w:rsidRDefault="00D402F3" w:rsidP="00113672">
            <w:pPr>
              <w:keepNext/>
              <w:jc w:val="center"/>
              <w:rPr>
                <w:rFonts w:ascii="Arial Narrow" w:hAnsi="Arial Narrow"/>
                <w:iCs/>
                <w:sz w:val="20"/>
              </w:rPr>
            </w:pPr>
            <w:r w:rsidRPr="000A03FD">
              <w:rPr>
                <w:rFonts w:ascii="Arial Narrow" w:hAnsi="Arial Narrow"/>
                <w:iCs/>
                <w:sz w:val="20"/>
              </w:rPr>
              <w:t>100mg Q4W</w:t>
            </w:r>
          </w:p>
        </w:tc>
        <w:tc>
          <w:tcPr>
            <w:tcW w:w="1395" w:type="pct"/>
            <w:shd w:val="clear" w:color="auto" w:fill="auto"/>
            <w:vAlign w:val="center"/>
          </w:tcPr>
          <w:p w14:paraId="1287C6CD" w14:textId="77777777" w:rsidR="00D402F3" w:rsidRPr="000A03FD" w:rsidRDefault="00D402F3" w:rsidP="00113672">
            <w:pPr>
              <w:keepNext/>
              <w:jc w:val="center"/>
              <w:rPr>
                <w:rFonts w:ascii="Arial Narrow" w:hAnsi="Arial Narrow"/>
                <w:iCs/>
                <w:sz w:val="20"/>
              </w:rPr>
            </w:pPr>
            <w:r w:rsidRPr="000A03FD">
              <w:rPr>
                <w:rFonts w:ascii="Arial Narrow" w:hAnsi="Arial Narrow"/>
                <w:iCs/>
                <w:sz w:val="20"/>
              </w:rPr>
              <w:t>100mg Q4W</w:t>
            </w:r>
          </w:p>
        </w:tc>
      </w:tr>
      <w:tr w:rsidR="000D3A37" w:rsidRPr="000A03FD" w14:paraId="5D33CE61" w14:textId="77777777" w:rsidTr="00113672">
        <w:trPr>
          <w:jc w:val="center"/>
        </w:trPr>
        <w:tc>
          <w:tcPr>
            <w:tcW w:w="815" w:type="pct"/>
            <w:shd w:val="clear" w:color="auto" w:fill="auto"/>
            <w:vAlign w:val="center"/>
          </w:tcPr>
          <w:p w14:paraId="71C0D881" w14:textId="77777777" w:rsidR="00D402F3" w:rsidRPr="000A03FD" w:rsidRDefault="00D402F3" w:rsidP="00113672">
            <w:pPr>
              <w:keepNext/>
              <w:jc w:val="left"/>
              <w:rPr>
                <w:rFonts w:ascii="Arial Narrow" w:hAnsi="Arial Narrow"/>
                <w:sz w:val="20"/>
              </w:rPr>
            </w:pPr>
            <w:r w:rsidRPr="000A03FD">
              <w:rPr>
                <w:rFonts w:ascii="Arial Narrow" w:hAnsi="Arial Narrow"/>
                <w:sz w:val="20"/>
              </w:rPr>
              <w:t>Mean duration</w:t>
            </w:r>
          </w:p>
        </w:tc>
        <w:tc>
          <w:tcPr>
            <w:tcW w:w="1395" w:type="pct"/>
            <w:shd w:val="clear" w:color="auto" w:fill="auto"/>
            <w:vAlign w:val="center"/>
          </w:tcPr>
          <w:p w14:paraId="0E3EC115" w14:textId="77777777" w:rsidR="00D402F3" w:rsidRPr="000A03FD" w:rsidRDefault="00D402F3" w:rsidP="00113672">
            <w:pPr>
              <w:keepNext/>
              <w:jc w:val="center"/>
              <w:rPr>
                <w:rFonts w:ascii="Arial Narrow" w:hAnsi="Arial Narrow"/>
                <w:iCs/>
                <w:sz w:val="20"/>
              </w:rPr>
            </w:pPr>
            <w:r w:rsidRPr="000A03FD">
              <w:rPr>
                <w:rFonts w:ascii="Arial Narrow" w:hAnsi="Arial Narrow"/>
                <w:iCs/>
                <w:sz w:val="20"/>
              </w:rPr>
              <w:t>11.3 months</w:t>
            </w:r>
          </w:p>
        </w:tc>
        <w:tc>
          <w:tcPr>
            <w:tcW w:w="1395" w:type="pct"/>
            <w:shd w:val="clear" w:color="auto" w:fill="auto"/>
            <w:vAlign w:val="center"/>
          </w:tcPr>
          <w:p w14:paraId="1881EB9E" w14:textId="0F6912CB" w:rsidR="00D402F3" w:rsidRPr="000A03FD" w:rsidRDefault="000C5468" w:rsidP="00113672">
            <w:pPr>
              <w:keepNext/>
              <w:jc w:val="center"/>
              <w:rPr>
                <w:rFonts w:ascii="Arial Narrow" w:hAnsi="Arial Narrow"/>
                <w:iCs/>
                <w:sz w:val="20"/>
              </w:rPr>
            </w:pPr>
            <w:r w:rsidRPr="000A03FD">
              <w:rPr>
                <w:rFonts w:ascii="Arial Narrow" w:hAnsi="Arial Narrow"/>
                <w:iCs/>
                <w:sz w:val="20"/>
              </w:rPr>
              <w:t>2.</w:t>
            </w:r>
            <w:r w:rsidR="00706A81" w:rsidRPr="000A03FD">
              <w:rPr>
                <w:rFonts w:ascii="Arial Narrow" w:hAnsi="Arial Narrow"/>
                <w:iCs/>
                <w:sz w:val="20"/>
              </w:rPr>
              <w:t>2</w:t>
            </w:r>
            <w:r w:rsidR="00665EE5" w:rsidRPr="000A03FD">
              <w:rPr>
                <w:rFonts w:ascii="Arial Narrow" w:hAnsi="Arial Narrow"/>
                <w:iCs/>
                <w:sz w:val="20"/>
              </w:rPr>
              <w:t>4</w:t>
            </w:r>
            <w:r w:rsidRPr="000A03FD">
              <w:rPr>
                <w:rFonts w:ascii="Arial Narrow" w:hAnsi="Arial Narrow"/>
                <w:iCs/>
                <w:sz w:val="20"/>
              </w:rPr>
              <w:t xml:space="preserve"> </w:t>
            </w:r>
            <w:r w:rsidR="00D402F3" w:rsidRPr="000A03FD">
              <w:rPr>
                <w:rFonts w:ascii="Arial Narrow" w:hAnsi="Arial Narrow"/>
                <w:iCs/>
                <w:sz w:val="20"/>
              </w:rPr>
              <w:t>years</w:t>
            </w:r>
          </w:p>
        </w:tc>
        <w:tc>
          <w:tcPr>
            <w:tcW w:w="1395" w:type="pct"/>
            <w:shd w:val="clear" w:color="auto" w:fill="auto"/>
            <w:vAlign w:val="center"/>
          </w:tcPr>
          <w:p w14:paraId="4B38CD96" w14:textId="3299DB36" w:rsidR="00D402F3" w:rsidRPr="000A03FD" w:rsidRDefault="00EE4EC9" w:rsidP="00113672">
            <w:pPr>
              <w:keepNext/>
              <w:jc w:val="center"/>
              <w:rPr>
                <w:rFonts w:ascii="Arial Narrow" w:hAnsi="Arial Narrow"/>
                <w:iCs/>
                <w:sz w:val="20"/>
                <w:vertAlign w:val="superscript"/>
              </w:rPr>
            </w:pPr>
            <w:r w:rsidRPr="000A03FD">
              <w:rPr>
                <w:rFonts w:ascii="Arial Narrow" w:hAnsi="Arial Narrow"/>
                <w:iCs/>
                <w:sz w:val="20"/>
              </w:rPr>
              <w:t>116.5</w:t>
            </w:r>
            <w:r w:rsidR="00AE060C" w:rsidRPr="000A03FD">
              <w:rPr>
                <w:rFonts w:ascii="Arial Narrow" w:hAnsi="Arial Narrow"/>
                <w:iCs/>
                <w:sz w:val="20"/>
              </w:rPr>
              <w:t xml:space="preserve"> weeks</w:t>
            </w:r>
            <w:r w:rsidR="005E2E5C" w:rsidRPr="000A03FD">
              <w:rPr>
                <w:rFonts w:ascii="Arial Narrow" w:hAnsi="Arial Narrow"/>
                <w:iCs/>
                <w:sz w:val="20"/>
              </w:rPr>
              <w:t xml:space="preserve"> </w:t>
            </w:r>
            <w:r w:rsidR="005E2E5C" w:rsidRPr="000A03FD">
              <w:rPr>
                <w:rFonts w:ascii="Arial Narrow" w:hAnsi="Arial Narrow"/>
                <w:iCs/>
                <w:sz w:val="20"/>
                <w:vertAlign w:val="superscript"/>
              </w:rPr>
              <w:t>c</w:t>
            </w:r>
          </w:p>
        </w:tc>
      </w:tr>
      <w:tr w:rsidR="000D3A37" w:rsidRPr="000A03FD" w14:paraId="4B792163" w14:textId="77777777" w:rsidTr="00113672">
        <w:trPr>
          <w:jc w:val="center"/>
        </w:trPr>
        <w:tc>
          <w:tcPr>
            <w:tcW w:w="815" w:type="pct"/>
            <w:shd w:val="clear" w:color="auto" w:fill="auto"/>
            <w:vAlign w:val="center"/>
          </w:tcPr>
          <w:p w14:paraId="278145BE" w14:textId="4024A64F" w:rsidR="00D402F3" w:rsidRPr="000A03FD" w:rsidRDefault="00D402F3" w:rsidP="00113672">
            <w:pPr>
              <w:keepNext/>
              <w:jc w:val="left"/>
              <w:rPr>
                <w:rFonts w:ascii="Arial Narrow" w:hAnsi="Arial Narrow"/>
                <w:sz w:val="20"/>
              </w:rPr>
            </w:pPr>
            <w:r w:rsidRPr="000A03FD">
              <w:rPr>
                <w:rFonts w:ascii="Arial Narrow" w:hAnsi="Arial Narrow"/>
                <w:sz w:val="20"/>
              </w:rPr>
              <w:t>Cost/patient/year</w:t>
            </w:r>
            <w:r w:rsidR="00E96B9A">
              <w:rPr>
                <w:rFonts w:ascii="Arial Narrow" w:hAnsi="Arial Narrow"/>
                <w:sz w:val="20"/>
              </w:rPr>
              <w:t xml:space="preserve"> ($)</w:t>
            </w:r>
          </w:p>
        </w:tc>
        <w:tc>
          <w:tcPr>
            <w:tcW w:w="1395" w:type="pct"/>
            <w:shd w:val="clear" w:color="auto" w:fill="auto"/>
            <w:vAlign w:val="center"/>
          </w:tcPr>
          <w:p w14:paraId="255D5015" w14:textId="7D4D407A" w:rsidR="00D402F3" w:rsidRPr="000A03FD" w:rsidRDefault="0020233B" w:rsidP="00113672">
            <w:pPr>
              <w:keepNext/>
              <w:jc w:val="center"/>
              <w:rPr>
                <w:rFonts w:ascii="Arial Narrow" w:hAnsi="Arial Narrow"/>
                <w:iCs/>
                <w:sz w:val="20"/>
                <w:vertAlign w:val="superscript"/>
              </w:rPr>
            </w:pPr>
            <w:r w:rsidRPr="0020233B">
              <w:rPr>
                <w:rFonts w:ascii="Arial Narrow" w:hAnsi="Arial Narrow"/>
                <w:iCs/>
                <w:color w:val="000000"/>
                <w:sz w:val="20"/>
                <w:shd w:val="solid" w:color="000000" w:fill="000000"/>
                <w14:textFill>
                  <w14:solidFill>
                    <w14:srgbClr w14:val="000000">
                      <w14:alpha w14:val="100000"/>
                    </w14:srgbClr>
                  </w14:solidFill>
                </w14:textFill>
              </w:rPr>
              <w:t>|</w:t>
            </w:r>
            <w:r w:rsidR="003520F0" w:rsidRPr="000A03FD">
              <w:rPr>
                <w:rFonts w:ascii="Arial Narrow" w:hAnsi="Arial Narrow"/>
                <w:iCs/>
                <w:sz w:val="20"/>
              </w:rPr>
              <w:t xml:space="preserve"> </w:t>
            </w:r>
            <w:r w:rsidR="00D402F3" w:rsidRPr="000A03FD">
              <w:rPr>
                <w:rFonts w:ascii="Arial Narrow" w:hAnsi="Arial Narrow"/>
                <w:iCs/>
                <w:sz w:val="20"/>
                <w:vertAlign w:val="superscript"/>
              </w:rPr>
              <w:t>a</w:t>
            </w:r>
          </w:p>
        </w:tc>
        <w:tc>
          <w:tcPr>
            <w:tcW w:w="1395" w:type="pct"/>
            <w:shd w:val="clear" w:color="auto" w:fill="auto"/>
            <w:vAlign w:val="center"/>
          </w:tcPr>
          <w:p w14:paraId="07D6091A" w14:textId="14B8848D" w:rsidR="00D402F3" w:rsidRPr="000A03FD" w:rsidRDefault="0020233B" w:rsidP="00113672">
            <w:pPr>
              <w:keepNext/>
              <w:jc w:val="center"/>
              <w:rPr>
                <w:rFonts w:ascii="Arial Narrow" w:hAnsi="Arial Narrow"/>
                <w:iCs/>
                <w:sz w:val="20"/>
              </w:rPr>
            </w:pPr>
            <w:r w:rsidRPr="0020233B">
              <w:rPr>
                <w:rFonts w:ascii="Arial Narrow" w:hAnsi="Arial Narrow"/>
                <w:iCs/>
                <w:color w:val="000000"/>
                <w:sz w:val="20"/>
                <w:shd w:val="solid" w:color="000000" w:fill="000000"/>
                <w14:textFill>
                  <w14:solidFill>
                    <w14:srgbClr w14:val="000000">
                      <w14:alpha w14:val="100000"/>
                    </w14:srgbClr>
                  </w14:solidFill>
                </w14:textFill>
              </w:rPr>
              <w:t>|</w:t>
            </w:r>
            <w:r w:rsidR="00B71310" w:rsidRPr="000A03FD">
              <w:rPr>
                <w:rFonts w:ascii="Arial Narrow" w:hAnsi="Arial Narrow"/>
                <w:iCs/>
                <w:sz w:val="20"/>
                <w:vertAlign w:val="superscript"/>
              </w:rPr>
              <w:t>b</w:t>
            </w:r>
          </w:p>
        </w:tc>
        <w:tc>
          <w:tcPr>
            <w:tcW w:w="1395" w:type="pct"/>
            <w:shd w:val="clear" w:color="auto" w:fill="auto"/>
            <w:vAlign w:val="center"/>
          </w:tcPr>
          <w:p w14:paraId="3927EB42" w14:textId="5A13D03C" w:rsidR="00D402F3" w:rsidRPr="000A03FD" w:rsidRDefault="0020233B" w:rsidP="00113672">
            <w:pPr>
              <w:keepNext/>
              <w:jc w:val="center"/>
              <w:rPr>
                <w:rFonts w:ascii="Arial Narrow" w:hAnsi="Arial Narrow"/>
                <w:iCs/>
                <w:sz w:val="20"/>
                <w:vertAlign w:val="superscript"/>
              </w:rPr>
            </w:pPr>
            <w:r w:rsidRPr="0020233B">
              <w:rPr>
                <w:rFonts w:ascii="Arial Narrow" w:hAnsi="Arial Narrow"/>
                <w:iCs/>
                <w:color w:val="000000"/>
                <w:sz w:val="20"/>
                <w:shd w:val="solid" w:color="000000" w:fill="000000"/>
                <w14:textFill>
                  <w14:solidFill>
                    <w14:srgbClr w14:val="000000">
                      <w14:alpha w14:val="100000"/>
                    </w14:srgbClr>
                  </w14:solidFill>
                </w14:textFill>
              </w:rPr>
              <w:t>|</w:t>
            </w:r>
            <w:r w:rsidR="00B71310" w:rsidRPr="000A03FD">
              <w:rPr>
                <w:rFonts w:ascii="Arial Narrow" w:hAnsi="Arial Narrow"/>
                <w:iCs/>
                <w:sz w:val="20"/>
              </w:rPr>
              <w:t xml:space="preserve"> </w:t>
            </w:r>
            <w:r w:rsidR="00B71310" w:rsidRPr="000A03FD">
              <w:rPr>
                <w:rFonts w:ascii="Arial Narrow" w:hAnsi="Arial Narrow"/>
                <w:iCs/>
                <w:sz w:val="20"/>
                <w:vertAlign w:val="superscript"/>
              </w:rPr>
              <w:t>d</w:t>
            </w:r>
          </w:p>
        </w:tc>
      </w:tr>
    </w:tbl>
    <w:p w14:paraId="0102A7B7" w14:textId="061ACEEF" w:rsidR="00D402F3" w:rsidRPr="000A03FD" w:rsidRDefault="00D402F3" w:rsidP="00D402F3">
      <w:pPr>
        <w:pStyle w:val="TableFooter"/>
      </w:pPr>
      <w:r w:rsidRPr="000A03FD">
        <w:t>Source: Table 21, p 70 of the Clinical Study Report and</w:t>
      </w:r>
      <w:r w:rsidR="004F148F" w:rsidRPr="000A03FD">
        <w:t xml:space="preserve"> the economic model Excel spreadsheet</w:t>
      </w:r>
      <w:r w:rsidRPr="000A03FD">
        <w:t>.</w:t>
      </w:r>
    </w:p>
    <w:p w14:paraId="5DE8B54D" w14:textId="786CAF36" w:rsidR="00D402F3" w:rsidRPr="000A03FD" w:rsidRDefault="00D402F3" w:rsidP="00D402F3">
      <w:pPr>
        <w:pStyle w:val="TableFooter"/>
      </w:pPr>
      <w:r w:rsidRPr="000A03FD">
        <w:t>a</w:t>
      </w:r>
      <w:r w:rsidR="00194DC0" w:rsidRPr="000A03FD">
        <w:t>.</w:t>
      </w:r>
      <w:r w:rsidRPr="000A03FD">
        <w:t xml:space="preserve"> estimated as (365.25 days ÷ 12 months) × (11.3 months ÷ 28 days) × $</w:t>
      </w:r>
      <w:r w:rsidR="0020233B" w:rsidRPr="0020233B">
        <w:rPr>
          <w:color w:val="000000"/>
          <w:spacing w:val="9"/>
          <w:shd w:val="solid" w:color="000000" w:fill="000000"/>
          <w:fitText w:val="281" w:id="-1303140603"/>
          <w14:textFill>
            <w14:solidFill>
              <w14:srgbClr w14:val="000000">
                <w14:alpha w14:val="100000"/>
              </w14:srgbClr>
            </w14:solidFill>
          </w14:textFill>
        </w:rPr>
        <w:t>||  |</w:t>
      </w:r>
      <w:r w:rsidR="0020233B" w:rsidRPr="0020233B">
        <w:rPr>
          <w:color w:val="000000"/>
          <w:spacing w:val="1"/>
          <w:shd w:val="solid" w:color="000000" w:fill="000000"/>
          <w:fitText w:val="281" w:id="-1303140603"/>
          <w14:textFill>
            <w14:solidFill>
              <w14:srgbClr w14:val="000000">
                <w14:alpha w14:val="100000"/>
              </w14:srgbClr>
            </w14:solidFill>
          </w14:textFill>
        </w:rPr>
        <w:t>|</w:t>
      </w:r>
      <w:r w:rsidRPr="000A03FD">
        <w:t>/dose</w:t>
      </w:r>
    </w:p>
    <w:p w14:paraId="4380300D" w14:textId="1418552B" w:rsidR="00D402F3" w:rsidRPr="000A03FD" w:rsidRDefault="00D402F3" w:rsidP="00D402F3">
      <w:pPr>
        <w:pStyle w:val="TableFooter"/>
      </w:pPr>
      <w:r w:rsidRPr="000A03FD">
        <w:t>b</w:t>
      </w:r>
      <w:r w:rsidR="00194DC0" w:rsidRPr="000A03FD">
        <w:t>.</w:t>
      </w:r>
      <w:r w:rsidRPr="000A03FD">
        <w:t xml:space="preserve"> estimated </w:t>
      </w:r>
      <w:r w:rsidR="00B71310" w:rsidRPr="000A03FD">
        <w:t xml:space="preserve">by dividing the </w:t>
      </w:r>
      <w:r w:rsidR="000A345A" w:rsidRPr="000A03FD">
        <w:t>undiscounted drug acquisition cost in the model ($</w:t>
      </w:r>
      <w:r w:rsidR="0020233B" w:rsidRPr="0020233B">
        <w:rPr>
          <w:color w:val="000000"/>
          <w:spacing w:val="37"/>
          <w:shd w:val="solid" w:color="000000" w:fill="000000"/>
          <w:fitText w:val="272" w:id="-1303140602"/>
          <w14:textFill>
            <w14:solidFill>
              <w14:srgbClr w14:val="000000">
                <w14:alpha w14:val="100000"/>
              </w14:srgbClr>
            </w14:solidFill>
          </w14:textFill>
        </w:rPr>
        <w:t xml:space="preserve">|  </w:t>
      </w:r>
      <w:r w:rsidR="0020233B" w:rsidRPr="0020233B">
        <w:rPr>
          <w:color w:val="000000"/>
          <w:spacing w:val="3"/>
          <w:shd w:val="solid" w:color="000000" w:fill="000000"/>
          <w:fitText w:val="272" w:id="-1303140602"/>
          <w14:textFill>
            <w14:solidFill>
              <w14:srgbClr w14:val="000000">
                <w14:alpha w14:val="100000"/>
              </w14:srgbClr>
            </w14:solidFill>
          </w14:textFill>
        </w:rPr>
        <w:t>|</w:t>
      </w:r>
      <w:r w:rsidR="000A345A" w:rsidRPr="000A03FD">
        <w:t xml:space="preserve"> </w:t>
      </w:r>
      <w:r w:rsidR="001165D3" w:rsidRPr="000A03FD">
        <w:t>by the mean duration of treatment</w:t>
      </w:r>
    </w:p>
    <w:p w14:paraId="2AB9D167" w14:textId="25B569FB" w:rsidR="005E2E5C" w:rsidRPr="000A03FD" w:rsidRDefault="005E2E5C" w:rsidP="00D402F3">
      <w:pPr>
        <w:pStyle w:val="TableFooter"/>
      </w:pPr>
      <w:r w:rsidRPr="000A03FD">
        <w:t>c</w:t>
      </w:r>
      <w:r w:rsidR="000A03FD">
        <w:t xml:space="preserve">. </w:t>
      </w:r>
      <w:r w:rsidR="00BD7C24" w:rsidRPr="000A03FD">
        <w:t xml:space="preserve">24 weeks initial treatment plus 92.46 </w:t>
      </w:r>
      <w:r w:rsidR="008B01B2" w:rsidRPr="000A03FD">
        <w:t>weeks continuing treatment</w:t>
      </w:r>
    </w:p>
    <w:p w14:paraId="7E81F546" w14:textId="7CF7F4E2" w:rsidR="00A65989" w:rsidRPr="000A03FD" w:rsidRDefault="00B71310" w:rsidP="00C03C65">
      <w:pPr>
        <w:pStyle w:val="TableFooter"/>
        <w:spacing w:after="120"/>
      </w:pPr>
      <w:r w:rsidRPr="000A03FD">
        <w:lastRenderedPageBreak/>
        <w:t>d</w:t>
      </w:r>
      <w:r w:rsidR="00194DC0" w:rsidRPr="000A03FD">
        <w:t>.</w:t>
      </w:r>
      <w:r w:rsidRPr="000A03FD">
        <w:t xml:space="preserve"> estimated as 12.</w:t>
      </w:r>
      <w:r w:rsidR="006509E1" w:rsidRPr="000A03FD">
        <w:t>34</w:t>
      </w:r>
      <w:r w:rsidRPr="000A03FD">
        <w:t xml:space="preserve"> doses (94</w:t>
      </w:r>
      <w:r w:rsidR="00D53710" w:rsidRPr="000A03FD">
        <w:t>.56</w:t>
      </w:r>
      <w:r w:rsidRPr="000A03FD">
        <w:t>% compliance of 13</w:t>
      </w:r>
      <w:r w:rsidR="00623D95" w:rsidRPr="000A03FD">
        <w:t>.04</w:t>
      </w:r>
      <w:r w:rsidRPr="000A03FD">
        <w:t xml:space="preserve"> doses</w:t>
      </w:r>
      <w:r w:rsidR="00401EFF" w:rsidRPr="000A03FD">
        <w:t xml:space="preserve">, given every 28 days </w:t>
      </w:r>
      <w:r w:rsidR="006509E1" w:rsidRPr="000A03FD">
        <w:t xml:space="preserve">over </w:t>
      </w:r>
      <w:r w:rsidR="00623D95" w:rsidRPr="000A03FD">
        <w:t>365.25 days</w:t>
      </w:r>
      <w:r w:rsidRPr="000A03FD">
        <w:t>) × $</w:t>
      </w:r>
      <w:r w:rsidR="0020233B" w:rsidRPr="0020233B">
        <w:rPr>
          <w:color w:val="000000"/>
          <w:spacing w:val="37"/>
          <w:shd w:val="solid" w:color="000000" w:fill="000000"/>
          <w:fitText w:val="271" w:id="-1303140601"/>
          <w14:textFill>
            <w14:solidFill>
              <w14:srgbClr w14:val="000000">
                <w14:alpha w14:val="100000"/>
              </w14:srgbClr>
            </w14:solidFill>
          </w14:textFill>
        </w:rPr>
        <w:t xml:space="preserve">|  </w:t>
      </w:r>
      <w:r w:rsidR="0020233B" w:rsidRPr="0020233B">
        <w:rPr>
          <w:color w:val="000000"/>
          <w:spacing w:val="2"/>
          <w:shd w:val="solid" w:color="000000" w:fill="000000"/>
          <w:fitText w:val="271" w:id="-1303140601"/>
          <w14:textFill>
            <w14:solidFill>
              <w14:srgbClr w14:val="000000">
                <w14:alpha w14:val="100000"/>
              </w14:srgbClr>
            </w14:solidFill>
          </w14:textFill>
        </w:rPr>
        <w:t>|</w:t>
      </w:r>
      <w:r w:rsidRPr="000A03FD">
        <w:t>/dose (weighted private/public)</w:t>
      </w:r>
    </w:p>
    <w:p w14:paraId="3DBFE151" w14:textId="5DC0AE19" w:rsidR="00494207" w:rsidRPr="000A03FD" w:rsidRDefault="00A65989" w:rsidP="00A65989">
      <w:pPr>
        <w:pStyle w:val="3-BodyText"/>
      </w:pPr>
      <w:r w:rsidRPr="000A03FD">
        <w:t>The pre-PBAC response proposed a revised EMP of $</w:t>
      </w:r>
      <w:r w:rsidR="0020233B" w:rsidRPr="0020233B">
        <w:rPr>
          <w:color w:val="000000"/>
          <w:w w:val="61"/>
          <w:shd w:val="solid" w:color="000000" w:fill="000000"/>
          <w:fitText w:val="472" w:id="-1303140600"/>
          <w14:textFill>
            <w14:solidFill>
              <w14:srgbClr w14:val="000000">
                <w14:alpha w14:val="100000"/>
              </w14:srgbClr>
            </w14:solidFill>
          </w14:textFill>
        </w:rPr>
        <w:t>|||  ||</w:t>
      </w:r>
      <w:r w:rsidR="0020233B" w:rsidRPr="0020233B">
        <w:rPr>
          <w:color w:val="000000"/>
          <w:spacing w:val="2"/>
          <w:w w:val="61"/>
          <w:shd w:val="solid" w:color="000000" w:fill="000000"/>
          <w:fitText w:val="472" w:id="-1303140600"/>
          <w14:textFill>
            <w14:solidFill>
              <w14:srgbClr w14:val="000000">
                <w14:alpha w14:val="100000"/>
              </w14:srgbClr>
            </w14:solidFill>
          </w14:textFill>
        </w:rPr>
        <w:t>|</w:t>
      </w:r>
      <w:r w:rsidRPr="000A03FD">
        <w:t xml:space="preserve"> per </w:t>
      </w:r>
      <w:r w:rsidR="006A1B32">
        <w:t>pen</w:t>
      </w:r>
      <w:r w:rsidR="006A1B32" w:rsidRPr="000A03FD">
        <w:t xml:space="preserve"> </w:t>
      </w:r>
      <w:r w:rsidRPr="000A03FD">
        <w:t xml:space="preserve">(see paragraph </w:t>
      </w:r>
      <w:r w:rsidRPr="000A03FD">
        <w:fldChar w:fldCharType="begin" w:fldLock="1"/>
      </w:r>
      <w:r w:rsidRPr="000A03FD">
        <w:instrText xml:space="preserve"> REF _Ref119426086 \r \h </w:instrText>
      </w:r>
      <w:r w:rsidRPr="000A03FD">
        <w:fldChar w:fldCharType="separate"/>
      </w:r>
      <w:r w:rsidR="009849D7">
        <w:t>3.1</w:t>
      </w:r>
      <w:r w:rsidRPr="000A03FD">
        <w:fldChar w:fldCharType="end"/>
      </w:r>
      <w:r w:rsidRPr="000A03FD">
        <w:t>).</w:t>
      </w:r>
    </w:p>
    <w:p w14:paraId="268768EF" w14:textId="3626F292" w:rsidR="00B60939" w:rsidRPr="000A03FD" w:rsidRDefault="00B60939" w:rsidP="002B05A1">
      <w:pPr>
        <w:pStyle w:val="4-SubsectionHeading"/>
      </w:pPr>
      <w:bookmarkStart w:id="85" w:name="_Toc22897647"/>
      <w:bookmarkStart w:id="86" w:name="_Toc113982850"/>
      <w:bookmarkEnd w:id="83"/>
      <w:r w:rsidRPr="000A03FD">
        <w:t>Estimated PBS usage &amp; financial implications</w:t>
      </w:r>
      <w:bookmarkEnd w:id="85"/>
      <w:bookmarkEnd w:id="86"/>
    </w:p>
    <w:p w14:paraId="3CCE900A" w14:textId="126313AD" w:rsidR="009C14E7" w:rsidRPr="000A03FD" w:rsidRDefault="00C25D9C" w:rsidP="002B05A1">
      <w:pPr>
        <w:pStyle w:val="3-BodyText"/>
      </w:pPr>
      <w:r w:rsidRPr="000A03FD">
        <w:t xml:space="preserve">This </w:t>
      </w:r>
      <w:r w:rsidR="009C14E7" w:rsidRPr="000A03FD">
        <w:t>re</w:t>
      </w:r>
      <w:r w:rsidRPr="000A03FD">
        <w:t xml:space="preserve">submission </w:t>
      </w:r>
      <w:r w:rsidR="00B201A4" w:rsidRPr="000A03FD">
        <w:t>w</w:t>
      </w:r>
      <w:r w:rsidR="00E070B5" w:rsidRPr="000A03FD">
        <w:t xml:space="preserve">as </w:t>
      </w:r>
      <w:r w:rsidRPr="000A03FD">
        <w:t>not</w:t>
      </w:r>
      <w:r w:rsidR="00E070B5" w:rsidRPr="000A03FD">
        <w:t xml:space="preserve"> </w:t>
      </w:r>
      <w:r w:rsidRPr="000A03FD">
        <w:t>considered by DUSC.</w:t>
      </w:r>
      <w:r w:rsidR="00090152" w:rsidRPr="000A03FD">
        <w:t xml:space="preserve"> DUSC considered the previous submission</w:t>
      </w:r>
      <w:r w:rsidR="00400966" w:rsidRPr="000A03FD">
        <w:t xml:space="preserve">, and overall believed the estimates were overestimated </w:t>
      </w:r>
      <w:r w:rsidR="000A2275" w:rsidRPr="000A03FD">
        <w:t>due to a substantial overestimation of CRSwNP prevalence</w:t>
      </w:r>
      <w:r w:rsidR="008C591B" w:rsidRPr="000A03FD">
        <w:t xml:space="preserve"> and </w:t>
      </w:r>
      <w:r w:rsidR="00D63956" w:rsidRPr="000A03FD">
        <w:t xml:space="preserve">due to </w:t>
      </w:r>
      <w:r w:rsidR="006B26F2" w:rsidRPr="000A03FD">
        <w:t xml:space="preserve">the </w:t>
      </w:r>
      <w:r w:rsidR="00E51607" w:rsidRPr="000A03FD">
        <w:t>inclusion of patients with CRSwNP who may already be accessing mepolizumab for severe asthma (</w:t>
      </w:r>
      <w:r w:rsidR="00D63956" w:rsidRPr="000A03FD">
        <w:t>paragraph 6.62, mepolizumab</w:t>
      </w:r>
      <w:r w:rsidR="00571B0C" w:rsidRPr="000A03FD">
        <w:t xml:space="preserve"> </w:t>
      </w:r>
      <w:r w:rsidR="006A1B32">
        <w:t>PSD</w:t>
      </w:r>
      <w:r w:rsidR="00571B0C" w:rsidRPr="000A03FD">
        <w:t>,</w:t>
      </w:r>
      <w:r w:rsidR="00D63956" w:rsidRPr="000A03FD">
        <w:t xml:space="preserve"> November 2021 PBAC meeting). </w:t>
      </w:r>
      <w:r w:rsidR="00F873A1" w:rsidRPr="000A03FD">
        <w:t xml:space="preserve">However, </w:t>
      </w:r>
      <w:r w:rsidR="00D63956" w:rsidRPr="000A03FD">
        <w:t xml:space="preserve">DUSC considered that the </w:t>
      </w:r>
      <w:r w:rsidR="00F873A1" w:rsidRPr="000A03FD">
        <w:t>treatment uptake rates used in the previous submission were underestimated (paragraph 6.62, mepolizumab</w:t>
      </w:r>
      <w:r w:rsidR="00571B0C" w:rsidRPr="000A03FD">
        <w:t xml:space="preserve"> </w:t>
      </w:r>
      <w:r w:rsidR="00392A7B">
        <w:t>PSD</w:t>
      </w:r>
      <w:r w:rsidR="00571B0C" w:rsidRPr="000A03FD">
        <w:t>,</w:t>
      </w:r>
      <w:r w:rsidR="00F873A1" w:rsidRPr="000A03FD">
        <w:t xml:space="preserve"> November 2021 PBAC meeting).</w:t>
      </w:r>
    </w:p>
    <w:p w14:paraId="0AD7D4C6" w14:textId="378F8303" w:rsidR="009C14E7" w:rsidRPr="000A03FD" w:rsidRDefault="009C14E7" w:rsidP="002B05A1">
      <w:pPr>
        <w:pStyle w:val="3-BodyText"/>
      </w:pPr>
      <w:r w:rsidRPr="000A03FD">
        <w:t xml:space="preserve">The resubmission used an epidemiological approach to estimate </w:t>
      </w:r>
      <w:r w:rsidR="00D20456" w:rsidRPr="000A03FD">
        <w:t xml:space="preserve">the utilisation and financial impact of listing mepolizumab on the PBS for CRSwNP. A summary of the key assumptions used to calculate the financial estimates is presented in </w:t>
      </w:r>
      <w:r w:rsidR="00D20456" w:rsidRPr="000A03FD">
        <w:fldChar w:fldCharType="begin" w:fldLock="1"/>
      </w:r>
      <w:r w:rsidR="00D20456" w:rsidRPr="000A03FD">
        <w:instrText xml:space="preserve"> REF _Ref104805262 \h  \* MERGEFORMAT </w:instrText>
      </w:r>
      <w:r w:rsidR="00D20456" w:rsidRPr="000A03FD">
        <w:fldChar w:fldCharType="separate"/>
      </w:r>
      <w:r w:rsidR="00625A18" w:rsidRPr="000A03FD">
        <w:t>Table 17</w:t>
      </w:r>
      <w:r w:rsidR="00D20456" w:rsidRPr="000A03FD">
        <w:fldChar w:fldCharType="end"/>
      </w:r>
      <w:r w:rsidR="00D20456" w:rsidRPr="000A03FD">
        <w:t xml:space="preserve">. </w:t>
      </w:r>
    </w:p>
    <w:p w14:paraId="3393BCE7" w14:textId="0F3FFC16" w:rsidR="00E42F73" w:rsidRPr="000A03FD" w:rsidRDefault="00E16AD8" w:rsidP="00600685">
      <w:pPr>
        <w:pStyle w:val="Caption"/>
        <w:keepNext w:val="0"/>
        <w:keepLines w:val="0"/>
        <w:rPr>
          <w:rStyle w:val="CommentReference"/>
          <w:b/>
          <w:szCs w:val="24"/>
        </w:rPr>
      </w:pPr>
      <w:bookmarkStart w:id="87" w:name="_Ref104805262"/>
      <w:r w:rsidRPr="000A03FD">
        <w:t xml:space="preserve">Table </w:t>
      </w:r>
      <w:fldSimple w:instr=" SEQ Table \* ARABIC " w:fldLock="1">
        <w:r w:rsidR="00A0401C" w:rsidRPr="000A03FD">
          <w:t>17</w:t>
        </w:r>
      </w:fldSimple>
      <w:bookmarkEnd w:id="87"/>
      <w:r w:rsidRPr="000A03FD">
        <w:t>:</w:t>
      </w:r>
      <w:r w:rsidR="00E42F73" w:rsidRPr="000A03FD">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385"/>
        <w:gridCol w:w="3918"/>
      </w:tblGrid>
      <w:tr w:rsidR="000D3A37" w:rsidRPr="000A03FD" w14:paraId="7AFD013A" w14:textId="77777777" w:rsidTr="00600685">
        <w:trPr>
          <w:cantSplit/>
          <w:tblHeader/>
        </w:trPr>
        <w:tc>
          <w:tcPr>
            <w:tcW w:w="950" w:type="pct"/>
            <w:shd w:val="clear" w:color="auto" w:fill="auto"/>
            <w:vAlign w:val="center"/>
          </w:tcPr>
          <w:p w14:paraId="45C2C4CE" w14:textId="7B325B84" w:rsidR="00E42F73" w:rsidRPr="000A03FD" w:rsidRDefault="00C46DC3" w:rsidP="00600685">
            <w:pPr>
              <w:pStyle w:val="In-tableHeading"/>
              <w:keepNext w:val="0"/>
              <w:rPr>
                <w:lang w:val="en-AU"/>
              </w:rPr>
            </w:pPr>
            <w:r w:rsidRPr="000A03FD">
              <w:rPr>
                <w:lang w:val="en-AU"/>
              </w:rPr>
              <w:t>Data</w:t>
            </w:r>
          </w:p>
        </w:tc>
        <w:tc>
          <w:tcPr>
            <w:tcW w:w="1877" w:type="pct"/>
            <w:shd w:val="clear" w:color="auto" w:fill="auto"/>
            <w:vAlign w:val="center"/>
          </w:tcPr>
          <w:p w14:paraId="5C04F956" w14:textId="7918B1AD" w:rsidR="00E42F73" w:rsidRPr="000A03FD" w:rsidRDefault="004658B5" w:rsidP="00600685">
            <w:pPr>
              <w:pStyle w:val="In-tableHeading"/>
              <w:keepNext w:val="0"/>
              <w:rPr>
                <w:lang w:val="en-AU"/>
              </w:rPr>
            </w:pPr>
            <w:r w:rsidRPr="000A03FD">
              <w:rPr>
                <w:lang w:val="en-AU"/>
              </w:rPr>
              <w:t>Value and source</w:t>
            </w:r>
          </w:p>
        </w:tc>
        <w:tc>
          <w:tcPr>
            <w:tcW w:w="2173" w:type="pct"/>
            <w:shd w:val="clear" w:color="auto" w:fill="auto"/>
            <w:vAlign w:val="center"/>
          </w:tcPr>
          <w:p w14:paraId="45DE44AA" w14:textId="4713F72E" w:rsidR="00E42F73" w:rsidRPr="000A03FD" w:rsidRDefault="004658B5" w:rsidP="00600685">
            <w:pPr>
              <w:pStyle w:val="In-tableHeading"/>
              <w:keepNext w:val="0"/>
              <w:rPr>
                <w:lang w:val="en-AU"/>
              </w:rPr>
            </w:pPr>
            <w:r w:rsidRPr="000A03FD">
              <w:rPr>
                <w:lang w:val="en-AU"/>
              </w:rPr>
              <w:t>Comment</w:t>
            </w:r>
          </w:p>
        </w:tc>
      </w:tr>
      <w:tr w:rsidR="000D3A37" w:rsidRPr="000A03FD" w14:paraId="4BEF206D" w14:textId="77777777" w:rsidTr="00600685">
        <w:trPr>
          <w:cantSplit/>
        </w:trPr>
        <w:tc>
          <w:tcPr>
            <w:tcW w:w="5000" w:type="pct"/>
            <w:gridSpan w:val="3"/>
            <w:shd w:val="clear" w:color="auto" w:fill="auto"/>
            <w:vAlign w:val="center"/>
          </w:tcPr>
          <w:p w14:paraId="078672CF" w14:textId="181B7D6E" w:rsidR="00343E92" w:rsidRPr="000A03FD" w:rsidRDefault="00343E92" w:rsidP="00600685">
            <w:pPr>
              <w:pStyle w:val="TableText0"/>
              <w:keepNext w:val="0"/>
              <w:rPr>
                <w:b/>
                <w:bCs w:val="0"/>
              </w:rPr>
            </w:pPr>
            <w:r w:rsidRPr="000A03FD">
              <w:rPr>
                <w:b/>
                <w:bCs w:val="0"/>
              </w:rPr>
              <w:t>Eligible population</w:t>
            </w:r>
          </w:p>
        </w:tc>
      </w:tr>
      <w:tr w:rsidR="00C0677B" w:rsidRPr="000A03FD" w14:paraId="6EF04655" w14:textId="77777777" w:rsidTr="00600685">
        <w:trPr>
          <w:cantSplit/>
        </w:trPr>
        <w:tc>
          <w:tcPr>
            <w:tcW w:w="950" w:type="pct"/>
            <w:shd w:val="clear" w:color="auto" w:fill="auto"/>
            <w:vAlign w:val="center"/>
          </w:tcPr>
          <w:p w14:paraId="1AE0E486" w14:textId="08A86F44" w:rsidR="00343E92" w:rsidRPr="000A03FD" w:rsidRDefault="00343E92" w:rsidP="00600685">
            <w:pPr>
              <w:pStyle w:val="TableText0"/>
              <w:keepNext w:val="0"/>
              <w:rPr>
                <w:rFonts w:cs="Times New Roman"/>
                <w:szCs w:val="22"/>
                <w:lang w:eastAsia="en-US"/>
              </w:rPr>
            </w:pPr>
            <w:r w:rsidRPr="000A03FD">
              <w:rPr>
                <w:rFonts w:cs="Times New Roman"/>
                <w:szCs w:val="22"/>
                <w:lang w:eastAsia="en-US"/>
              </w:rPr>
              <w:t>Prevalence of CRSwNP</w:t>
            </w:r>
          </w:p>
        </w:tc>
        <w:tc>
          <w:tcPr>
            <w:tcW w:w="1877" w:type="pct"/>
            <w:shd w:val="clear" w:color="auto" w:fill="auto"/>
            <w:vAlign w:val="center"/>
          </w:tcPr>
          <w:p w14:paraId="40C12832"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0.51%</w:t>
            </w:r>
          </w:p>
          <w:p w14:paraId="40ABAC91" w14:textId="4D2FCB3F"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Source: Mean of UK CPRD-HES database study (GSK 213951) and Starry et al (2022)</w:t>
            </w:r>
          </w:p>
        </w:tc>
        <w:tc>
          <w:tcPr>
            <w:tcW w:w="2173" w:type="pct"/>
            <w:shd w:val="clear" w:color="auto" w:fill="auto"/>
            <w:vAlign w:val="center"/>
          </w:tcPr>
          <w:p w14:paraId="1507FFE2" w14:textId="3D951BDC" w:rsidR="00343E92" w:rsidRPr="000A03FD" w:rsidRDefault="00343E92" w:rsidP="00600685">
            <w:pPr>
              <w:pStyle w:val="TableText0"/>
              <w:keepNext w:val="0"/>
              <w:rPr>
                <w:rFonts w:cs="Times New Roman"/>
                <w:iCs/>
                <w:szCs w:val="22"/>
                <w:lang w:eastAsia="en-US"/>
              </w:rPr>
            </w:pPr>
            <w:r w:rsidRPr="000A03FD">
              <w:rPr>
                <w:rFonts w:cs="Times New Roman"/>
                <w:iCs/>
                <w:szCs w:val="22"/>
                <w:lang w:eastAsia="en-US"/>
              </w:rPr>
              <w:t>The use of 0.51% for prevalence of CRSwNP in resubmission was likely reasonable and aligns with DUSC’s consideration of likely prevalence (0.38% - 0.77%) during the previous submission.</w:t>
            </w:r>
          </w:p>
        </w:tc>
      </w:tr>
      <w:tr w:rsidR="000D3A37" w:rsidRPr="000A03FD" w14:paraId="08185099" w14:textId="77777777" w:rsidTr="00600685">
        <w:trPr>
          <w:cantSplit/>
        </w:trPr>
        <w:tc>
          <w:tcPr>
            <w:tcW w:w="950" w:type="pct"/>
            <w:shd w:val="clear" w:color="auto" w:fill="auto"/>
            <w:vAlign w:val="center"/>
          </w:tcPr>
          <w:p w14:paraId="2F479BAB" w14:textId="5578E776" w:rsidR="00343E92" w:rsidRPr="000A03FD" w:rsidRDefault="00343E92" w:rsidP="00600685">
            <w:pPr>
              <w:pStyle w:val="TableText0"/>
              <w:keepNext w:val="0"/>
            </w:pPr>
            <w:r w:rsidRPr="000A03FD">
              <w:rPr>
                <w:rFonts w:cs="Times New Roman"/>
                <w:szCs w:val="22"/>
                <w:lang w:eastAsia="en-US"/>
              </w:rPr>
              <w:t>Proportion with baseline BEC ≥300 cells/µL</w:t>
            </w:r>
          </w:p>
        </w:tc>
        <w:tc>
          <w:tcPr>
            <w:tcW w:w="1877" w:type="pct"/>
            <w:shd w:val="clear" w:color="auto" w:fill="auto"/>
            <w:vAlign w:val="center"/>
          </w:tcPr>
          <w:p w14:paraId="1A5487B7"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68.3%</w:t>
            </w:r>
          </w:p>
          <w:p w14:paraId="692BC10E" w14:textId="52BABE9E" w:rsidR="00343E92" w:rsidRPr="000A03FD" w:rsidRDefault="00343E92" w:rsidP="00600685">
            <w:pPr>
              <w:pStyle w:val="TableText0"/>
              <w:keepNext w:val="0"/>
            </w:pPr>
            <w:r w:rsidRPr="000A03FD">
              <w:rPr>
                <w:rFonts w:cs="Times New Roman"/>
                <w:szCs w:val="22"/>
                <w:lang w:eastAsia="en-US"/>
              </w:rPr>
              <w:t>Source: SYNAPSE trial (BEC ≥300</w:t>
            </w:r>
            <w:r w:rsidR="008E0D35">
              <w:rPr>
                <w:rFonts w:cs="Times New Roman"/>
                <w:szCs w:val="22"/>
                <w:lang w:eastAsia="en-US"/>
              </w:rPr>
              <w:t> </w:t>
            </w:r>
            <w:r w:rsidRPr="000A03FD">
              <w:rPr>
                <w:rFonts w:cs="Times New Roman"/>
                <w:szCs w:val="22"/>
                <w:lang w:eastAsia="en-US"/>
              </w:rPr>
              <w:t xml:space="preserve">cells/µL </w:t>
            </w:r>
            <w:r w:rsidR="002774D1" w:rsidRPr="000A03FD">
              <w:rPr>
                <w:rFonts w:cs="Times New Roman"/>
                <w:szCs w:val="22"/>
                <w:lang w:eastAsia="en-US"/>
              </w:rPr>
              <w:t>subgroup</w:t>
            </w:r>
            <w:r w:rsidRPr="000A03FD">
              <w:rPr>
                <w:rFonts w:cs="Times New Roman"/>
                <w:szCs w:val="22"/>
                <w:lang w:eastAsia="en-US"/>
              </w:rPr>
              <w:t>)</w:t>
            </w:r>
          </w:p>
        </w:tc>
        <w:tc>
          <w:tcPr>
            <w:tcW w:w="2173" w:type="pct"/>
            <w:shd w:val="clear" w:color="auto" w:fill="auto"/>
            <w:vAlign w:val="center"/>
          </w:tcPr>
          <w:p w14:paraId="4E9A14AF" w14:textId="2F15CBA0" w:rsidR="00343E92" w:rsidRPr="000A03FD" w:rsidRDefault="00343E92" w:rsidP="00600685">
            <w:pPr>
              <w:pStyle w:val="TableText0"/>
              <w:keepNext w:val="0"/>
              <w:rPr>
                <w:iCs/>
              </w:rPr>
            </w:pPr>
            <w:r w:rsidRPr="000A03FD">
              <w:rPr>
                <w:iCs/>
              </w:rPr>
              <w:t>Reasonable other than for the omission of patients with BEC ≥150</w:t>
            </w:r>
            <w:r w:rsidR="008E0D35">
              <w:rPr>
                <w:iCs/>
              </w:rPr>
              <w:t> </w:t>
            </w:r>
            <w:r w:rsidRPr="000A03FD">
              <w:rPr>
                <w:iCs/>
              </w:rPr>
              <w:t xml:space="preserve">cells/µL </w:t>
            </w:r>
            <w:r w:rsidR="00685EDF" w:rsidRPr="000A03FD">
              <w:rPr>
                <w:iCs/>
              </w:rPr>
              <w:t xml:space="preserve">if treated with </w:t>
            </w:r>
            <w:r w:rsidRPr="000A03FD">
              <w:rPr>
                <w:iCs/>
              </w:rPr>
              <w:t xml:space="preserve">OCS </w:t>
            </w:r>
            <w:r w:rsidR="00685EDF" w:rsidRPr="000A03FD">
              <w:rPr>
                <w:iCs/>
              </w:rPr>
              <w:t>within last 12 months</w:t>
            </w:r>
            <w:r w:rsidR="00567F68" w:rsidRPr="000A03FD">
              <w:rPr>
                <w:iCs/>
              </w:rPr>
              <w:t xml:space="preserve">. The PBAC considered that patients with </w:t>
            </w:r>
            <w:r w:rsidR="00567F68" w:rsidRPr="000A03FD">
              <w:rPr>
                <w:rFonts w:cstheme="minorHAnsi"/>
              </w:rPr>
              <w:t>BEC ≥150</w:t>
            </w:r>
            <w:r w:rsidR="008E0D35">
              <w:rPr>
                <w:rFonts w:cstheme="minorHAnsi"/>
              </w:rPr>
              <w:t> </w:t>
            </w:r>
            <w:r w:rsidR="00567F68" w:rsidRPr="000A03FD">
              <w:rPr>
                <w:rFonts w:cstheme="minorHAnsi"/>
              </w:rPr>
              <w:t>cells/µL but &lt;300</w:t>
            </w:r>
            <w:r w:rsidR="008E0D35">
              <w:rPr>
                <w:rFonts w:cstheme="minorHAnsi"/>
              </w:rPr>
              <w:t> </w:t>
            </w:r>
            <w:r w:rsidR="00567F68" w:rsidRPr="000A03FD">
              <w:rPr>
                <w:rFonts w:cstheme="minorHAnsi"/>
              </w:rPr>
              <w:t xml:space="preserve">cells/µL whilst receiving OCS treatment would not be eligible for PBS subsidised treatment. </w:t>
            </w:r>
          </w:p>
        </w:tc>
      </w:tr>
      <w:tr w:rsidR="000D3A37" w:rsidRPr="000A03FD" w14:paraId="6673BF92" w14:textId="77777777" w:rsidTr="00600685">
        <w:trPr>
          <w:cantSplit/>
        </w:trPr>
        <w:tc>
          <w:tcPr>
            <w:tcW w:w="950" w:type="pct"/>
            <w:shd w:val="clear" w:color="auto" w:fill="auto"/>
            <w:vAlign w:val="center"/>
          </w:tcPr>
          <w:p w14:paraId="448D6951" w14:textId="0267CD53" w:rsidR="00343E92" w:rsidRPr="000A03FD" w:rsidRDefault="00343E92" w:rsidP="00600685">
            <w:pPr>
              <w:pStyle w:val="TableText0"/>
              <w:keepNext w:val="0"/>
            </w:pPr>
            <w:r w:rsidRPr="000A03FD">
              <w:rPr>
                <w:rFonts w:cs="Times New Roman"/>
                <w:szCs w:val="22"/>
                <w:lang w:eastAsia="en-US"/>
              </w:rPr>
              <w:t>Proportion requiring (first) NP surgery</w:t>
            </w:r>
          </w:p>
        </w:tc>
        <w:tc>
          <w:tcPr>
            <w:tcW w:w="1877" w:type="pct"/>
            <w:shd w:val="clear" w:color="auto" w:fill="auto"/>
            <w:vAlign w:val="center"/>
          </w:tcPr>
          <w:p w14:paraId="633C9C67"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47%</w:t>
            </w:r>
          </w:p>
          <w:p w14:paraId="000E17C7" w14:textId="2748FE8D" w:rsidR="00343E92" w:rsidRPr="000A03FD" w:rsidRDefault="00343E92" w:rsidP="00600685">
            <w:pPr>
              <w:pStyle w:val="TableText0"/>
              <w:keepNext w:val="0"/>
            </w:pPr>
            <w:r w:rsidRPr="000A03FD">
              <w:rPr>
                <w:rFonts w:cs="Times New Roman"/>
                <w:szCs w:val="22"/>
                <w:lang w:eastAsia="en-US"/>
              </w:rPr>
              <w:t>Source: Chen et al 2020.</w:t>
            </w:r>
          </w:p>
        </w:tc>
        <w:tc>
          <w:tcPr>
            <w:tcW w:w="2173" w:type="pct"/>
            <w:shd w:val="clear" w:color="auto" w:fill="auto"/>
            <w:vAlign w:val="center"/>
          </w:tcPr>
          <w:p w14:paraId="37B2EE7B" w14:textId="0B4AF35E" w:rsidR="00343E92" w:rsidRPr="000A03FD" w:rsidRDefault="00343E92" w:rsidP="00600685">
            <w:pPr>
              <w:pStyle w:val="TableText0"/>
              <w:keepNext w:val="0"/>
              <w:rPr>
                <w:iCs/>
              </w:rPr>
            </w:pPr>
            <w:r w:rsidRPr="000A03FD">
              <w:rPr>
                <w:iCs/>
              </w:rPr>
              <w:t xml:space="preserve">May be under-estimated due to the potentially unjustified removal of one outlier study from a systematic literature review. </w:t>
            </w:r>
          </w:p>
        </w:tc>
      </w:tr>
      <w:tr w:rsidR="000D3A37" w:rsidRPr="000A03FD" w14:paraId="144A5F39" w14:textId="77777777" w:rsidTr="00FA58DD">
        <w:trPr>
          <w:cantSplit/>
        </w:trPr>
        <w:tc>
          <w:tcPr>
            <w:tcW w:w="950" w:type="pct"/>
            <w:shd w:val="clear" w:color="auto" w:fill="auto"/>
            <w:vAlign w:val="center"/>
          </w:tcPr>
          <w:p w14:paraId="4446F570" w14:textId="39BBD800" w:rsidR="00343E92" w:rsidRPr="000A03FD" w:rsidRDefault="00343E92" w:rsidP="00600685">
            <w:pPr>
              <w:pStyle w:val="TableText0"/>
              <w:keepNext w:val="0"/>
            </w:pPr>
            <w:r w:rsidRPr="000A03FD">
              <w:rPr>
                <w:rFonts w:cs="Times New Roman"/>
                <w:szCs w:val="22"/>
                <w:lang w:eastAsia="en-US"/>
              </w:rPr>
              <w:t>Proportion suitable or unsuitable for surgery</w:t>
            </w:r>
          </w:p>
        </w:tc>
        <w:tc>
          <w:tcPr>
            <w:tcW w:w="1877" w:type="pct"/>
            <w:shd w:val="clear" w:color="auto" w:fill="C6D9F1" w:themeFill="text2" w:themeFillTint="33"/>
            <w:vAlign w:val="center"/>
          </w:tcPr>
          <w:p w14:paraId="765A5CC7"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Suitable: 93%</w:t>
            </w:r>
          </w:p>
          <w:p w14:paraId="03A623E6"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Unsuitable: 7%</w:t>
            </w:r>
          </w:p>
          <w:p w14:paraId="7142B3C9" w14:textId="17BBEDB9" w:rsidR="00343E92" w:rsidRPr="000A03FD" w:rsidRDefault="00343E92" w:rsidP="00600685">
            <w:pPr>
              <w:pStyle w:val="TableText0"/>
              <w:keepNext w:val="0"/>
            </w:pPr>
            <w:r w:rsidRPr="000A03FD">
              <w:rPr>
                <w:rFonts w:cs="Times New Roman"/>
                <w:szCs w:val="22"/>
                <w:lang w:eastAsia="en-US"/>
              </w:rPr>
              <w:t>Source: Advisory board feedback (n=7), “… what proportion of CRSwNP patients are unsuitable for surgery?”</w:t>
            </w:r>
          </w:p>
        </w:tc>
        <w:tc>
          <w:tcPr>
            <w:tcW w:w="2173" w:type="pct"/>
            <w:shd w:val="clear" w:color="auto" w:fill="auto"/>
            <w:vAlign w:val="center"/>
          </w:tcPr>
          <w:p w14:paraId="26F807A7" w14:textId="6179C118" w:rsidR="00343E92" w:rsidRPr="000A03FD" w:rsidRDefault="00343E92" w:rsidP="00600685">
            <w:pPr>
              <w:pStyle w:val="TableText0"/>
              <w:keepNext w:val="0"/>
              <w:rPr>
                <w:iCs/>
              </w:rPr>
            </w:pPr>
            <w:r w:rsidRPr="000A03FD">
              <w:rPr>
                <w:rFonts w:cs="Times New Roman"/>
                <w:iCs/>
                <w:szCs w:val="22"/>
                <w:lang w:eastAsia="en-US"/>
              </w:rPr>
              <w:t>The definition of ‘unsuitable’ was unclear in the advisory board feedback. ‘Patient preference’ and ‘access’ were reasons provided for unsuitability by an advisory board member, whereas such reasons may not be adequately justified.</w:t>
            </w:r>
          </w:p>
        </w:tc>
      </w:tr>
      <w:tr w:rsidR="000D3A37" w:rsidRPr="000A03FD" w14:paraId="3B3651EC" w14:textId="77777777" w:rsidTr="00600685">
        <w:trPr>
          <w:cantSplit/>
        </w:trPr>
        <w:tc>
          <w:tcPr>
            <w:tcW w:w="950" w:type="pct"/>
            <w:shd w:val="clear" w:color="auto" w:fill="auto"/>
            <w:vAlign w:val="center"/>
          </w:tcPr>
          <w:p w14:paraId="67C6E38C" w14:textId="4CF8B3FB" w:rsidR="00343E92" w:rsidRPr="000A03FD" w:rsidRDefault="00343E92" w:rsidP="00600685">
            <w:pPr>
              <w:pStyle w:val="TableText0"/>
              <w:keepNext w:val="0"/>
            </w:pPr>
            <w:r w:rsidRPr="000A03FD">
              <w:rPr>
                <w:rFonts w:cs="Times New Roman"/>
                <w:szCs w:val="22"/>
                <w:lang w:eastAsia="en-US"/>
              </w:rPr>
              <w:t xml:space="preserve">Proportion who </w:t>
            </w:r>
            <w:r w:rsidR="00F45D5E" w:rsidRPr="000A03FD">
              <w:rPr>
                <w:rFonts w:cs="Times New Roman"/>
                <w:szCs w:val="22"/>
                <w:lang w:eastAsia="en-US"/>
              </w:rPr>
              <w:t>experiences</w:t>
            </w:r>
            <w:r w:rsidRPr="000A03FD">
              <w:rPr>
                <w:rFonts w:cs="Times New Roman"/>
                <w:szCs w:val="22"/>
                <w:lang w:eastAsia="en-US"/>
              </w:rPr>
              <w:t xml:space="preserve"> NP regrowth post-surgical removal</w:t>
            </w:r>
          </w:p>
        </w:tc>
        <w:tc>
          <w:tcPr>
            <w:tcW w:w="1877" w:type="pct"/>
            <w:shd w:val="clear" w:color="auto" w:fill="auto"/>
            <w:vAlign w:val="center"/>
          </w:tcPr>
          <w:p w14:paraId="231D010E"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21%</w:t>
            </w:r>
          </w:p>
          <w:p w14:paraId="541457B0" w14:textId="2ABE4A15" w:rsidR="00343E92" w:rsidRPr="000A03FD" w:rsidRDefault="00343E92" w:rsidP="00600685">
            <w:pPr>
              <w:pStyle w:val="TableText0"/>
              <w:keepNext w:val="0"/>
            </w:pPr>
            <w:r w:rsidRPr="000A03FD">
              <w:rPr>
                <w:rFonts w:cs="Times New Roman"/>
                <w:szCs w:val="22"/>
                <w:lang w:eastAsia="en-US"/>
              </w:rPr>
              <w:t>Source: Hopkins et al 2009</w:t>
            </w:r>
          </w:p>
        </w:tc>
        <w:tc>
          <w:tcPr>
            <w:tcW w:w="2173" w:type="pct"/>
            <w:shd w:val="clear" w:color="auto" w:fill="auto"/>
            <w:vAlign w:val="center"/>
          </w:tcPr>
          <w:p w14:paraId="2B74CF02" w14:textId="59637679" w:rsidR="00343E92" w:rsidRPr="000A03FD" w:rsidRDefault="00343E92" w:rsidP="00600685">
            <w:pPr>
              <w:pStyle w:val="TableText0"/>
              <w:keepNext w:val="0"/>
              <w:rPr>
                <w:iCs/>
              </w:rPr>
            </w:pPr>
            <w:r w:rsidRPr="000A03FD">
              <w:rPr>
                <w:iCs/>
              </w:rPr>
              <w:t xml:space="preserve">Decreased from 61% in the previous submission. The resubmission stated this was due to the attending clinicians to the advisory board not believing the 61% value obtained from the advisory board feedback was accurate. 21% was taken from a UK hospital audit </w:t>
            </w:r>
            <w:r w:rsidR="000A03FD" w:rsidRPr="000A03FD">
              <w:rPr>
                <w:iCs/>
              </w:rPr>
              <w:t>study but</w:t>
            </w:r>
            <w:r w:rsidRPr="000A03FD">
              <w:rPr>
                <w:iCs/>
              </w:rPr>
              <w:t xml:space="preserve"> may be an underestimation.</w:t>
            </w:r>
          </w:p>
        </w:tc>
      </w:tr>
      <w:tr w:rsidR="000D3A37" w:rsidRPr="000A03FD" w14:paraId="198E18B3" w14:textId="77777777" w:rsidTr="00600685">
        <w:trPr>
          <w:cantSplit/>
        </w:trPr>
        <w:tc>
          <w:tcPr>
            <w:tcW w:w="950" w:type="pct"/>
            <w:shd w:val="clear" w:color="auto" w:fill="auto"/>
            <w:vAlign w:val="center"/>
          </w:tcPr>
          <w:p w14:paraId="014AEDE1" w14:textId="59E9A22C" w:rsidR="00343E92" w:rsidRPr="000A03FD" w:rsidRDefault="00343E92" w:rsidP="00600685">
            <w:pPr>
              <w:pStyle w:val="TableText0"/>
              <w:keepNext w:val="0"/>
            </w:pPr>
            <w:r w:rsidRPr="000A03FD">
              <w:rPr>
                <w:rFonts w:cs="Times New Roman"/>
                <w:iCs/>
                <w:szCs w:val="22"/>
                <w:lang w:eastAsia="en-US"/>
              </w:rPr>
              <w:lastRenderedPageBreak/>
              <w:t xml:space="preserve">Proportion of CRSwNP patients who are already prescribed another PBS-listed biologic for severe asthma </w:t>
            </w:r>
            <w:r w:rsidRPr="000A03FD">
              <w:rPr>
                <w:rFonts w:cs="Times New Roman"/>
                <w:iCs/>
                <w:szCs w:val="22"/>
                <w:vertAlign w:val="superscript"/>
                <w:lang w:eastAsia="en-US"/>
              </w:rPr>
              <w:t>a</w:t>
            </w:r>
          </w:p>
        </w:tc>
        <w:tc>
          <w:tcPr>
            <w:tcW w:w="1877" w:type="pct"/>
            <w:shd w:val="clear" w:color="auto" w:fill="auto"/>
            <w:vAlign w:val="center"/>
          </w:tcPr>
          <w:p w14:paraId="61522D51" w14:textId="77777777"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10.78%</w:t>
            </w:r>
          </w:p>
          <w:p w14:paraId="32947BE6" w14:textId="0BBF11E5" w:rsidR="00343E92" w:rsidRPr="000A03FD" w:rsidRDefault="00343E9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Source: SYNAPSE; Adelphi Real World 2020; Albers 2018</w:t>
            </w:r>
          </w:p>
        </w:tc>
        <w:tc>
          <w:tcPr>
            <w:tcW w:w="2173" w:type="pct"/>
            <w:shd w:val="clear" w:color="auto" w:fill="auto"/>
            <w:vAlign w:val="center"/>
          </w:tcPr>
          <w:p w14:paraId="0561F203" w14:textId="31B0A967" w:rsidR="00343E92" w:rsidRPr="000A03FD" w:rsidRDefault="00343E92" w:rsidP="00600685">
            <w:pPr>
              <w:jc w:val="left"/>
              <w:rPr>
                <w:iCs/>
              </w:rPr>
            </w:pPr>
            <w:r w:rsidRPr="000A03FD">
              <w:rPr>
                <w:rFonts w:ascii="Arial Narrow" w:hAnsi="Arial Narrow" w:cs="Times New Roman"/>
                <w:iCs/>
                <w:sz w:val="20"/>
                <w:szCs w:val="22"/>
                <w:lang w:eastAsia="en-US"/>
              </w:rPr>
              <w:t>Derived from assuming 77% of CRSwNP patients eligible for mepolizumab have comorbid asthma (based on SYNAPSE), 70% of comorbid asthma patients would have severe asthma (based on an Adelphi Panel) and 20% of comorbid severe asthma patients had severe eosinophilic asthma (based on an observational study (n=670) of the phenotypes of severe asthma patients (Albers 2018)). There is uncertainty in the values from the Adelphi panel and from Albers 2018.</w:t>
            </w:r>
          </w:p>
        </w:tc>
      </w:tr>
      <w:tr w:rsidR="000D3A37" w:rsidRPr="000A03FD" w14:paraId="7F3E2F58" w14:textId="77777777" w:rsidTr="00600685">
        <w:trPr>
          <w:cantSplit/>
        </w:trPr>
        <w:tc>
          <w:tcPr>
            <w:tcW w:w="5000" w:type="pct"/>
            <w:gridSpan w:val="3"/>
            <w:shd w:val="clear" w:color="auto" w:fill="auto"/>
            <w:vAlign w:val="center"/>
          </w:tcPr>
          <w:p w14:paraId="0C2B96A0" w14:textId="67576B49" w:rsidR="00343E92" w:rsidRPr="000A03FD" w:rsidRDefault="00343E92" w:rsidP="00600685">
            <w:pPr>
              <w:pStyle w:val="TableText0"/>
              <w:keepNext w:val="0"/>
              <w:rPr>
                <w:b/>
                <w:bCs w:val="0"/>
                <w:iCs/>
              </w:rPr>
            </w:pPr>
            <w:r w:rsidRPr="000A03FD">
              <w:rPr>
                <w:b/>
                <w:bCs w:val="0"/>
                <w:iCs/>
              </w:rPr>
              <w:t>Treatment utilisation</w:t>
            </w:r>
          </w:p>
        </w:tc>
      </w:tr>
      <w:tr w:rsidR="000D3A37" w:rsidRPr="000A03FD" w14:paraId="13D69080" w14:textId="77777777" w:rsidTr="00600685">
        <w:trPr>
          <w:cantSplit/>
        </w:trPr>
        <w:tc>
          <w:tcPr>
            <w:tcW w:w="950" w:type="pct"/>
            <w:shd w:val="clear" w:color="auto" w:fill="auto"/>
            <w:vAlign w:val="center"/>
          </w:tcPr>
          <w:p w14:paraId="6194CD6D" w14:textId="4A5C0E2F" w:rsidR="005C4324" w:rsidRPr="000A03FD" w:rsidRDefault="005C4324" w:rsidP="00600685">
            <w:pPr>
              <w:pStyle w:val="TableText0"/>
              <w:keepNext w:val="0"/>
            </w:pPr>
            <w:r w:rsidRPr="000A03FD">
              <w:rPr>
                <w:rFonts w:cs="Times New Roman"/>
                <w:szCs w:val="22"/>
                <w:lang w:eastAsia="en-US"/>
              </w:rPr>
              <w:t>Uptake rate for initial patients</w:t>
            </w:r>
          </w:p>
        </w:tc>
        <w:tc>
          <w:tcPr>
            <w:tcW w:w="1877" w:type="pct"/>
            <w:shd w:val="clear" w:color="auto" w:fill="auto"/>
            <w:vAlign w:val="center"/>
          </w:tcPr>
          <w:p w14:paraId="48990328" w14:textId="77777777" w:rsidR="005C4324" w:rsidRPr="000A03FD" w:rsidRDefault="005C4324" w:rsidP="00600685">
            <w:pPr>
              <w:jc w:val="left"/>
              <w:rPr>
                <w:rFonts w:ascii="Arial Narrow" w:hAnsi="Arial Narrow" w:cs="Times New Roman"/>
                <w:sz w:val="20"/>
                <w:szCs w:val="22"/>
                <w:vertAlign w:val="superscript"/>
                <w:lang w:eastAsia="en-US"/>
              </w:rPr>
            </w:pPr>
            <w:r w:rsidRPr="000A03FD">
              <w:rPr>
                <w:rFonts w:ascii="Arial Narrow" w:hAnsi="Arial Narrow" w:cs="Times New Roman"/>
                <w:sz w:val="20"/>
                <w:szCs w:val="22"/>
                <w:lang w:eastAsia="en-US"/>
              </w:rPr>
              <w:t xml:space="preserve">Yr 1: 48.00 % </w:t>
            </w:r>
            <w:r w:rsidRPr="000A03FD">
              <w:rPr>
                <w:rFonts w:ascii="Arial Narrow" w:hAnsi="Arial Narrow" w:cs="Times New Roman"/>
                <w:sz w:val="20"/>
                <w:szCs w:val="22"/>
                <w:vertAlign w:val="superscript"/>
                <w:lang w:eastAsia="en-US"/>
              </w:rPr>
              <w:t>b</w:t>
            </w:r>
          </w:p>
          <w:p w14:paraId="311AE674" w14:textId="77777777" w:rsidR="005C4324" w:rsidRPr="000A03FD" w:rsidRDefault="005C4324"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2: 52.00%</w:t>
            </w:r>
          </w:p>
          <w:p w14:paraId="7007D092" w14:textId="77777777" w:rsidR="005C4324" w:rsidRPr="000A03FD" w:rsidRDefault="005C4324"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3: 56.00%</w:t>
            </w:r>
          </w:p>
          <w:p w14:paraId="76D96879" w14:textId="77777777" w:rsidR="005C4324" w:rsidRPr="000A03FD" w:rsidRDefault="005C4324"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4: 60.00%</w:t>
            </w:r>
          </w:p>
          <w:p w14:paraId="0D89D87B" w14:textId="77777777" w:rsidR="005C4324" w:rsidRPr="000A03FD" w:rsidRDefault="005C4324"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5: 64.00%</w:t>
            </w:r>
          </w:p>
          <w:p w14:paraId="7C429729" w14:textId="77777777" w:rsidR="005C4324" w:rsidRPr="000A03FD" w:rsidRDefault="005C4324" w:rsidP="00600685">
            <w:pPr>
              <w:jc w:val="left"/>
              <w:rPr>
                <w:rFonts w:ascii="Arial Narrow" w:hAnsi="Arial Narrow" w:cs="Times New Roman"/>
                <w:i/>
                <w:iCs/>
                <w:sz w:val="20"/>
                <w:szCs w:val="22"/>
                <w:vertAlign w:val="superscript"/>
                <w:lang w:eastAsia="en-US"/>
              </w:rPr>
            </w:pPr>
            <w:r w:rsidRPr="000A03FD">
              <w:rPr>
                <w:rFonts w:ascii="Arial Narrow" w:hAnsi="Arial Narrow" w:cs="Times New Roman"/>
                <w:sz w:val="20"/>
                <w:szCs w:val="22"/>
                <w:lang w:eastAsia="en-US"/>
              </w:rPr>
              <w:t xml:space="preserve">Yr 6: 68.00% </w:t>
            </w:r>
            <w:r w:rsidRPr="000A03FD">
              <w:rPr>
                <w:rFonts w:ascii="Arial Narrow" w:hAnsi="Arial Narrow" w:cs="Times New Roman"/>
                <w:sz w:val="20"/>
                <w:szCs w:val="22"/>
                <w:vertAlign w:val="superscript"/>
                <w:lang w:eastAsia="en-US"/>
              </w:rPr>
              <w:t>c</w:t>
            </w:r>
          </w:p>
          <w:p w14:paraId="2499C570" w14:textId="21ADEDBE" w:rsidR="005C4324" w:rsidRPr="000A03FD" w:rsidRDefault="005C4324" w:rsidP="00600685">
            <w:pPr>
              <w:pStyle w:val="TableText0"/>
              <w:keepNext w:val="0"/>
            </w:pPr>
            <w:r w:rsidRPr="000A03FD">
              <w:rPr>
                <w:rFonts w:cs="Times New Roman"/>
                <w:szCs w:val="22"/>
                <w:lang w:eastAsia="en-US"/>
              </w:rPr>
              <w:t>Source: Adelphi panel</w:t>
            </w:r>
          </w:p>
        </w:tc>
        <w:tc>
          <w:tcPr>
            <w:tcW w:w="2173" w:type="pct"/>
            <w:shd w:val="clear" w:color="auto" w:fill="auto"/>
            <w:vAlign w:val="center"/>
          </w:tcPr>
          <w:p w14:paraId="3A381050" w14:textId="7B699BF1" w:rsidR="005C4324" w:rsidRPr="000A03FD" w:rsidRDefault="00B47B16" w:rsidP="00600685">
            <w:pPr>
              <w:pStyle w:val="TableText0"/>
              <w:keepNext w:val="0"/>
              <w:rPr>
                <w:iCs/>
              </w:rPr>
            </w:pPr>
            <w:r w:rsidRPr="000A03FD">
              <w:rPr>
                <w:iCs/>
              </w:rPr>
              <w:t xml:space="preserve">Substantially increased from the previous submission (5% Year 1 dropping to 3.5% Year 6). </w:t>
            </w:r>
            <w:r w:rsidR="00341479" w:rsidRPr="000A03FD">
              <w:rPr>
                <w:iCs/>
              </w:rPr>
              <w:t>A value of 68% was derived from the</w:t>
            </w:r>
            <w:r w:rsidR="00714D9E" w:rsidRPr="000A03FD">
              <w:rPr>
                <w:iCs/>
              </w:rPr>
              <w:t xml:space="preserve"> Adelphi panel</w:t>
            </w:r>
            <w:r w:rsidR="00341479" w:rsidRPr="000A03FD">
              <w:rPr>
                <w:iCs/>
              </w:rPr>
              <w:t xml:space="preserve">, but it is unclear why the resubmission only applied this at year 6. </w:t>
            </w:r>
            <w:r w:rsidR="00636E44" w:rsidRPr="000A03FD">
              <w:rPr>
                <w:rFonts w:cs="Times New Roman"/>
                <w:iCs/>
                <w:szCs w:val="22"/>
                <w:lang w:eastAsia="en-US"/>
              </w:rPr>
              <w:t>The resubmission did not apply differential initial uptake rates by patients suitable and unsuitable for NP surgery.</w:t>
            </w:r>
            <w:r w:rsidR="00F17480" w:rsidRPr="000A03FD">
              <w:rPr>
                <w:rFonts w:cs="Times New Roman"/>
                <w:iCs/>
                <w:szCs w:val="22"/>
                <w:lang w:eastAsia="en-US"/>
              </w:rPr>
              <w:t xml:space="preserve"> The PBAC considered that an uptake rate of 48% across all 6 years to be more appropriate. </w:t>
            </w:r>
          </w:p>
        </w:tc>
      </w:tr>
      <w:tr w:rsidR="000D3A37" w:rsidRPr="000A03FD" w14:paraId="0CD2AF6D" w14:textId="77777777" w:rsidTr="00600685">
        <w:trPr>
          <w:cantSplit/>
        </w:trPr>
        <w:tc>
          <w:tcPr>
            <w:tcW w:w="950" w:type="pct"/>
            <w:shd w:val="clear" w:color="auto" w:fill="auto"/>
            <w:vAlign w:val="center"/>
          </w:tcPr>
          <w:p w14:paraId="7B6D45ED" w14:textId="18C84F99" w:rsidR="00C51756" w:rsidRPr="000A03FD" w:rsidRDefault="00C51756" w:rsidP="00600685">
            <w:pPr>
              <w:pStyle w:val="TableText0"/>
              <w:keepNext w:val="0"/>
            </w:pPr>
            <w:r w:rsidRPr="000A03FD">
              <w:rPr>
                <w:rFonts w:cs="Times New Roman"/>
                <w:szCs w:val="22"/>
                <w:lang w:eastAsia="en-US"/>
              </w:rPr>
              <w:t xml:space="preserve">Uptake rate for continuing patients </w:t>
            </w:r>
          </w:p>
        </w:tc>
        <w:tc>
          <w:tcPr>
            <w:tcW w:w="1877" w:type="pct"/>
            <w:shd w:val="clear" w:color="auto" w:fill="auto"/>
            <w:vAlign w:val="center"/>
          </w:tcPr>
          <w:p w14:paraId="57A24F69" w14:textId="77777777"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1: 34.85%</w:t>
            </w:r>
          </w:p>
          <w:p w14:paraId="08CD5D25" w14:textId="77777777"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2: 37.75%</w:t>
            </w:r>
          </w:p>
          <w:p w14:paraId="497AFA6E" w14:textId="77777777"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3: 40.66%</w:t>
            </w:r>
          </w:p>
          <w:p w14:paraId="0DE62B53" w14:textId="77777777"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4: 43.56%</w:t>
            </w:r>
          </w:p>
          <w:p w14:paraId="5218CF11" w14:textId="77777777"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5: 46.64%</w:t>
            </w:r>
          </w:p>
          <w:p w14:paraId="1CCC96B2" w14:textId="77777777"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Yr 6: 49.37%</w:t>
            </w:r>
          </w:p>
          <w:p w14:paraId="2A20833E" w14:textId="4303B3CF" w:rsidR="00C51756" w:rsidRPr="000A03FD" w:rsidRDefault="00C51756"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Source: Calculated by applying a 72.6% responder rate based on patients responding at the 24-week mark in the base-case economic model for the given year.</w:t>
            </w:r>
          </w:p>
        </w:tc>
        <w:tc>
          <w:tcPr>
            <w:tcW w:w="2173" w:type="pct"/>
            <w:shd w:val="clear" w:color="auto" w:fill="auto"/>
            <w:vAlign w:val="center"/>
          </w:tcPr>
          <w:p w14:paraId="3C57BBF6" w14:textId="0A933EB3" w:rsidR="00C51756" w:rsidRPr="000A03FD" w:rsidRDefault="00540412" w:rsidP="00600685">
            <w:pPr>
              <w:pStyle w:val="TableText0"/>
              <w:keepNext w:val="0"/>
              <w:rPr>
                <w:iCs/>
              </w:rPr>
            </w:pPr>
            <w:r w:rsidRPr="000A03FD">
              <w:rPr>
                <w:iCs/>
              </w:rPr>
              <w:t>Substantially increased from the previous submission (</w:t>
            </w:r>
            <w:r w:rsidR="00942251" w:rsidRPr="000A03FD">
              <w:rPr>
                <w:iCs/>
              </w:rPr>
              <w:t>3.5</w:t>
            </w:r>
            <w:r w:rsidRPr="000A03FD">
              <w:rPr>
                <w:iCs/>
              </w:rPr>
              <w:t xml:space="preserve">% Year 1 dropping to </w:t>
            </w:r>
            <w:r w:rsidR="00942251" w:rsidRPr="000A03FD">
              <w:rPr>
                <w:iCs/>
              </w:rPr>
              <w:t>2.45</w:t>
            </w:r>
            <w:r w:rsidRPr="000A03FD">
              <w:rPr>
                <w:iCs/>
              </w:rPr>
              <w:t>% Year 6).</w:t>
            </w:r>
          </w:p>
        </w:tc>
      </w:tr>
      <w:tr w:rsidR="00C0677B" w:rsidRPr="000A03FD" w14:paraId="17779B8B" w14:textId="77777777" w:rsidTr="00600685">
        <w:trPr>
          <w:cantSplit/>
        </w:trPr>
        <w:tc>
          <w:tcPr>
            <w:tcW w:w="950" w:type="pct"/>
            <w:shd w:val="clear" w:color="auto" w:fill="auto"/>
            <w:vAlign w:val="center"/>
          </w:tcPr>
          <w:p w14:paraId="7F238076" w14:textId="157BD96E" w:rsidR="00385622" w:rsidRPr="000A03FD" w:rsidRDefault="00385622" w:rsidP="00600685">
            <w:pPr>
              <w:pStyle w:val="TableText0"/>
              <w:keepNext w:val="0"/>
            </w:pPr>
            <w:r w:rsidRPr="000A03FD">
              <w:rPr>
                <w:rFonts w:cs="Times New Roman"/>
                <w:szCs w:val="22"/>
                <w:lang w:eastAsia="en-US"/>
              </w:rPr>
              <w:t>Dosing and duration for mepolizumab assumed</w:t>
            </w:r>
          </w:p>
        </w:tc>
        <w:tc>
          <w:tcPr>
            <w:tcW w:w="1877" w:type="pct"/>
            <w:shd w:val="clear" w:color="auto" w:fill="auto"/>
            <w:vAlign w:val="center"/>
          </w:tcPr>
          <w:p w14:paraId="4B510DBA"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Compliance: 94.56% assumed</w:t>
            </w:r>
          </w:p>
          <w:p w14:paraId="7F887E52"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Source: SYNAPSE trial</w:t>
            </w:r>
          </w:p>
          <w:p w14:paraId="32630341" w14:textId="77777777" w:rsidR="00385622" w:rsidRPr="000A03FD" w:rsidRDefault="00385622" w:rsidP="00600685">
            <w:pPr>
              <w:jc w:val="left"/>
              <w:rPr>
                <w:rFonts w:ascii="Arial Narrow" w:hAnsi="Arial Narrow" w:cs="Times New Roman"/>
                <w:sz w:val="20"/>
                <w:szCs w:val="22"/>
                <w:lang w:eastAsia="en-US"/>
              </w:rPr>
            </w:pPr>
          </w:p>
          <w:p w14:paraId="1B80AB02"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Dosing and duration used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27"/>
              <w:gridCol w:w="1001"/>
            </w:tblGrid>
            <w:tr w:rsidR="000D3A37" w:rsidRPr="000A03FD" w14:paraId="122CB46E" w14:textId="77777777" w:rsidTr="00113672">
              <w:trPr>
                <w:trHeight w:val="20"/>
              </w:trPr>
              <w:tc>
                <w:tcPr>
                  <w:tcW w:w="927" w:type="dxa"/>
                  <w:shd w:val="clear" w:color="auto" w:fill="auto"/>
                  <w:noWrap/>
                  <w:vAlign w:val="bottom"/>
                  <w:hideMark/>
                </w:tcPr>
                <w:p w14:paraId="322D2FC3" w14:textId="77777777" w:rsidR="00385622" w:rsidRPr="000A03FD" w:rsidRDefault="00385622" w:rsidP="00600685">
                  <w:pPr>
                    <w:jc w:val="left"/>
                    <w:rPr>
                      <w:rFonts w:ascii="Arial Narrow" w:hAnsi="Arial Narrow" w:cs="Times New Roman"/>
                      <w:sz w:val="20"/>
                      <w:szCs w:val="22"/>
                      <w:lang w:eastAsia="en-US"/>
                    </w:rPr>
                  </w:pPr>
                </w:p>
              </w:tc>
              <w:tc>
                <w:tcPr>
                  <w:tcW w:w="827" w:type="dxa"/>
                  <w:shd w:val="clear" w:color="auto" w:fill="auto"/>
                  <w:noWrap/>
                  <w:vAlign w:val="bottom"/>
                  <w:hideMark/>
                </w:tcPr>
                <w:p w14:paraId="0A8E22FC"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Initiating</w:t>
                  </w:r>
                </w:p>
              </w:tc>
              <w:tc>
                <w:tcPr>
                  <w:tcW w:w="1001" w:type="dxa"/>
                  <w:shd w:val="clear" w:color="auto" w:fill="auto"/>
                  <w:noWrap/>
                  <w:vAlign w:val="bottom"/>
                  <w:hideMark/>
                </w:tcPr>
                <w:p w14:paraId="09E0DA8B"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 xml:space="preserve">Continuing </w:t>
                  </w:r>
                </w:p>
              </w:tc>
            </w:tr>
            <w:tr w:rsidR="000D3A37" w:rsidRPr="000A03FD" w14:paraId="1ECD10AE" w14:textId="77777777" w:rsidTr="00113672">
              <w:trPr>
                <w:trHeight w:val="20"/>
              </w:trPr>
              <w:tc>
                <w:tcPr>
                  <w:tcW w:w="927" w:type="dxa"/>
                  <w:shd w:val="clear" w:color="auto" w:fill="auto"/>
                  <w:noWrap/>
                  <w:vAlign w:val="bottom"/>
                  <w:hideMark/>
                </w:tcPr>
                <w:p w14:paraId="5812A0B3"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Duration</w:t>
                  </w:r>
                </w:p>
              </w:tc>
              <w:tc>
                <w:tcPr>
                  <w:tcW w:w="827" w:type="dxa"/>
                  <w:shd w:val="clear" w:color="auto" w:fill="auto"/>
                  <w:noWrap/>
                  <w:vAlign w:val="center"/>
                  <w:hideMark/>
                </w:tcPr>
                <w:p w14:paraId="5DABCA78" w14:textId="77777777" w:rsidR="00385622" w:rsidRPr="000A03FD" w:rsidRDefault="00385622" w:rsidP="00600685">
                  <w:pPr>
                    <w:jc w:val="center"/>
                    <w:rPr>
                      <w:rFonts w:ascii="Arial Narrow" w:hAnsi="Arial Narrow" w:cs="Times New Roman"/>
                      <w:sz w:val="20"/>
                      <w:szCs w:val="22"/>
                      <w:lang w:eastAsia="en-US"/>
                    </w:rPr>
                  </w:pPr>
                  <w:r w:rsidRPr="000A03FD">
                    <w:rPr>
                      <w:rFonts w:ascii="Arial Narrow" w:hAnsi="Arial Narrow" w:cs="Times New Roman"/>
                      <w:sz w:val="20"/>
                      <w:szCs w:val="22"/>
                      <w:lang w:eastAsia="en-US"/>
                    </w:rPr>
                    <w:t>24 wks</w:t>
                  </w:r>
                </w:p>
              </w:tc>
              <w:tc>
                <w:tcPr>
                  <w:tcW w:w="1001" w:type="dxa"/>
                  <w:shd w:val="clear" w:color="auto" w:fill="auto"/>
                  <w:noWrap/>
                  <w:vAlign w:val="center"/>
                  <w:hideMark/>
                </w:tcPr>
                <w:p w14:paraId="22833676" w14:textId="77777777" w:rsidR="00385622" w:rsidRPr="000A03FD" w:rsidRDefault="00385622" w:rsidP="00600685">
                  <w:pPr>
                    <w:jc w:val="center"/>
                    <w:rPr>
                      <w:rFonts w:ascii="Arial Narrow" w:hAnsi="Arial Narrow" w:cs="Times New Roman"/>
                      <w:sz w:val="20"/>
                      <w:szCs w:val="22"/>
                      <w:lang w:eastAsia="en-US"/>
                    </w:rPr>
                  </w:pPr>
                  <w:r w:rsidRPr="000A03FD">
                    <w:rPr>
                      <w:rFonts w:ascii="Arial Narrow" w:hAnsi="Arial Narrow" w:cs="Times New Roman"/>
                      <w:sz w:val="20"/>
                      <w:szCs w:val="22"/>
                      <w:lang w:eastAsia="en-US"/>
                    </w:rPr>
                    <w:t>92.46 wks</w:t>
                  </w:r>
                </w:p>
              </w:tc>
            </w:tr>
            <w:tr w:rsidR="000D3A37" w:rsidRPr="000A03FD" w14:paraId="5CCC64FB" w14:textId="77777777" w:rsidTr="00113672">
              <w:trPr>
                <w:trHeight w:val="20"/>
              </w:trPr>
              <w:tc>
                <w:tcPr>
                  <w:tcW w:w="927" w:type="dxa"/>
                  <w:shd w:val="clear" w:color="auto" w:fill="auto"/>
                  <w:noWrap/>
                  <w:vAlign w:val="bottom"/>
                  <w:hideMark/>
                </w:tcPr>
                <w:p w14:paraId="3C05A573"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Doses/wk</w:t>
                  </w:r>
                </w:p>
              </w:tc>
              <w:tc>
                <w:tcPr>
                  <w:tcW w:w="827" w:type="dxa"/>
                  <w:shd w:val="clear" w:color="auto" w:fill="auto"/>
                  <w:noWrap/>
                  <w:vAlign w:val="center"/>
                  <w:hideMark/>
                </w:tcPr>
                <w:p w14:paraId="3FA8F622" w14:textId="77777777" w:rsidR="00385622" w:rsidRPr="000A03FD" w:rsidRDefault="00385622" w:rsidP="00600685">
                  <w:pPr>
                    <w:jc w:val="center"/>
                    <w:rPr>
                      <w:rFonts w:ascii="Arial Narrow" w:hAnsi="Arial Narrow" w:cs="Times New Roman"/>
                      <w:sz w:val="20"/>
                      <w:szCs w:val="22"/>
                      <w:lang w:eastAsia="en-US"/>
                    </w:rPr>
                  </w:pPr>
                  <w:r w:rsidRPr="000A03FD">
                    <w:rPr>
                      <w:rFonts w:ascii="Arial Narrow" w:hAnsi="Arial Narrow" w:cs="Times New Roman"/>
                      <w:sz w:val="20"/>
                      <w:szCs w:val="22"/>
                      <w:lang w:eastAsia="en-US"/>
                    </w:rPr>
                    <w:t>0.25</w:t>
                  </w:r>
                </w:p>
              </w:tc>
              <w:tc>
                <w:tcPr>
                  <w:tcW w:w="1001" w:type="dxa"/>
                  <w:shd w:val="clear" w:color="auto" w:fill="auto"/>
                  <w:noWrap/>
                  <w:vAlign w:val="center"/>
                  <w:hideMark/>
                </w:tcPr>
                <w:p w14:paraId="4FF74985" w14:textId="77777777" w:rsidR="00385622" w:rsidRPr="000A03FD" w:rsidRDefault="00385622" w:rsidP="00600685">
                  <w:pPr>
                    <w:jc w:val="center"/>
                    <w:rPr>
                      <w:rFonts w:ascii="Arial Narrow" w:hAnsi="Arial Narrow" w:cs="Times New Roman"/>
                      <w:sz w:val="20"/>
                      <w:szCs w:val="22"/>
                      <w:lang w:eastAsia="en-US"/>
                    </w:rPr>
                  </w:pPr>
                  <w:r w:rsidRPr="000A03FD">
                    <w:rPr>
                      <w:rFonts w:ascii="Arial Narrow" w:hAnsi="Arial Narrow" w:cs="Times New Roman"/>
                      <w:sz w:val="20"/>
                      <w:szCs w:val="22"/>
                      <w:lang w:eastAsia="en-US"/>
                    </w:rPr>
                    <w:t>0.25</w:t>
                  </w:r>
                </w:p>
              </w:tc>
            </w:tr>
            <w:tr w:rsidR="000D3A37" w:rsidRPr="000A03FD" w14:paraId="4AF5EBB2" w14:textId="77777777" w:rsidTr="00113672">
              <w:trPr>
                <w:trHeight w:val="20"/>
              </w:trPr>
              <w:tc>
                <w:tcPr>
                  <w:tcW w:w="927" w:type="dxa"/>
                  <w:shd w:val="clear" w:color="auto" w:fill="auto"/>
                  <w:noWrap/>
                  <w:vAlign w:val="bottom"/>
                  <w:hideMark/>
                </w:tcPr>
                <w:p w14:paraId="284AE014"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Scripts/yr</w:t>
                  </w:r>
                </w:p>
              </w:tc>
              <w:tc>
                <w:tcPr>
                  <w:tcW w:w="827" w:type="dxa"/>
                  <w:shd w:val="clear" w:color="auto" w:fill="auto"/>
                  <w:noWrap/>
                  <w:vAlign w:val="center"/>
                  <w:hideMark/>
                </w:tcPr>
                <w:p w14:paraId="5B833282" w14:textId="77777777" w:rsidR="00385622" w:rsidRPr="000A03FD" w:rsidRDefault="00385622" w:rsidP="00600685">
                  <w:pPr>
                    <w:jc w:val="center"/>
                    <w:rPr>
                      <w:rFonts w:ascii="Arial Narrow" w:hAnsi="Arial Narrow" w:cs="Times New Roman"/>
                      <w:sz w:val="20"/>
                      <w:szCs w:val="22"/>
                      <w:lang w:eastAsia="en-US"/>
                    </w:rPr>
                  </w:pPr>
                  <w:r w:rsidRPr="000A03FD">
                    <w:rPr>
                      <w:rFonts w:ascii="Arial Narrow" w:hAnsi="Arial Narrow" w:cs="Times New Roman"/>
                      <w:sz w:val="20"/>
                      <w:szCs w:val="22"/>
                      <w:lang w:eastAsia="en-US"/>
                    </w:rPr>
                    <w:t>5.67</w:t>
                  </w:r>
                </w:p>
              </w:tc>
              <w:tc>
                <w:tcPr>
                  <w:tcW w:w="1001" w:type="dxa"/>
                  <w:shd w:val="clear" w:color="auto" w:fill="auto"/>
                  <w:noWrap/>
                  <w:vAlign w:val="center"/>
                  <w:hideMark/>
                </w:tcPr>
                <w:p w14:paraId="53359DDC" w14:textId="77777777" w:rsidR="00385622" w:rsidRPr="000A03FD" w:rsidRDefault="00385622" w:rsidP="00600685">
                  <w:pPr>
                    <w:jc w:val="center"/>
                    <w:rPr>
                      <w:rFonts w:ascii="Arial Narrow" w:hAnsi="Arial Narrow" w:cs="Times New Roman"/>
                      <w:sz w:val="20"/>
                      <w:szCs w:val="22"/>
                      <w:lang w:eastAsia="en-US"/>
                    </w:rPr>
                  </w:pPr>
                  <w:r w:rsidRPr="000A03FD">
                    <w:rPr>
                      <w:rFonts w:ascii="Arial Narrow" w:hAnsi="Arial Narrow" w:cs="Times New Roman"/>
                      <w:sz w:val="20"/>
                      <w:szCs w:val="22"/>
                      <w:lang w:eastAsia="en-US"/>
                    </w:rPr>
                    <w:t xml:space="preserve">12.29 </w:t>
                  </w:r>
                  <w:r w:rsidRPr="000A03FD">
                    <w:rPr>
                      <w:rFonts w:ascii="Arial Narrow" w:hAnsi="Arial Narrow" w:cs="Times New Roman"/>
                      <w:sz w:val="20"/>
                      <w:szCs w:val="22"/>
                      <w:vertAlign w:val="superscript"/>
                      <w:lang w:eastAsia="en-US"/>
                    </w:rPr>
                    <w:t>d</w:t>
                  </w:r>
                </w:p>
              </w:tc>
            </w:tr>
          </w:tbl>
          <w:p w14:paraId="575FDF48" w14:textId="77777777" w:rsidR="00385622" w:rsidRPr="000A03FD" w:rsidRDefault="00385622" w:rsidP="00600685">
            <w:pPr>
              <w:jc w:val="left"/>
              <w:rPr>
                <w:rFonts w:ascii="Arial Narrow" w:hAnsi="Arial Narrow" w:cs="Times New Roman"/>
                <w:sz w:val="20"/>
                <w:szCs w:val="22"/>
                <w:lang w:eastAsia="en-US"/>
              </w:rPr>
            </w:pPr>
          </w:p>
          <w:p w14:paraId="1405C246" w14:textId="77777777" w:rsidR="00385622" w:rsidRPr="000A03FD" w:rsidRDefault="00385622"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Total duration 116.46 weeks (2.24 years)</w:t>
            </w:r>
          </w:p>
          <w:p w14:paraId="3BFAA73C" w14:textId="77777777" w:rsidR="00385622" w:rsidRPr="000A03FD" w:rsidRDefault="00385622" w:rsidP="00600685">
            <w:pPr>
              <w:jc w:val="left"/>
              <w:rPr>
                <w:rFonts w:ascii="Arial Narrow" w:hAnsi="Arial Narrow" w:cs="Times New Roman"/>
                <w:sz w:val="20"/>
                <w:szCs w:val="22"/>
                <w:lang w:eastAsia="en-US"/>
              </w:rPr>
            </w:pPr>
          </w:p>
          <w:p w14:paraId="10043D02" w14:textId="77777777" w:rsidR="00385622" w:rsidRPr="000A03FD" w:rsidRDefault="00385622" w:rsidP="00600685">
            <w:pPr>
              <w:pStyle w:val="TableText0"/>
              <w:keepNext w:val="0"/>
            </w:pPr>
          </w:p>
        </w:tc>
        <w:tc>
          <w:tcPr>
            <w:tcW w:w="2173" w:type="pct"/>
            <w:shd w:val="clear" w:color="auto" w:fill="auto"/>
            <w:vAlign w:val="center"/>
          </w:tcPr>
          <w:p w14:paraId="0DA53F3C" w14:textId="68E67909" w:rsidR="00385622" w:rsidRPr="000A03FD" w:rsidRDefault="000F04DC" w:rsidP="00600685">
            <w:pPr>
              <w:pStyle w:val="TableText0"/>
              <w:keepNext w:val="0"/>
              <w:rPr>
                <w:iCs/>
              </w:rPr>
            </w:pPr>
            <w:r w:rsidRPr="000A03FD">
              <w:rPr>
                <w:rFonts w:cs="Times New Roman"/>
                <w:iCs/>
                <w:szCs w:val="22"/>
                <w:lang w:eastAsia="en-US"/>
              </w:rPr>
              <w:t xml:space="preserve">The time on treatment reported in the economic model base-case was 2.1798 years (113.74 weeks), which would result in a time on treatment of 89.74 weeks after the subtraction of the 24-week initial treatment period. However, this value was derived from an economic model with a 5-year time horizon. Varying the economic model to a 6-year time horizon results in a time on treatment of 2.3174 years, which represents 96.92 weeks of continuing treatment (i.e., after the 24 weeks of initial treatment). </w:t>
            </w:r>
            <w:r w:rsidR="00C864AD">
              <w:rPr>
                <w:rFonts w:cs="Times New Roman"/>
                <w:iCs/>
                <w:szCs w:val="22"/>
                <w:lang w:eastAsia="en-US"/>
              </w:rPr>
              <w:t xml:space="preserve">The PBAC noted the 24 weeks of initiating treatment was incorrectly assumed to be out of a possible 52 weeks of treatment. This led to an underestimate of use. </w:t>
            </w:r>
            <w:r w:rsidR="001639B2">
              <w:rPr>
                <w:rFonts w:cs="Times New Roman"/>
                <w:iCs/>
                <w:szCs w:val="22"/>
                <w:lang w:eastAsia="en-US"/>
              </w:rPr>
              <w:t xml:space="preserve">The PBAC </w:t>
            </w:r>
            <w:r w:rsidR="00C864AD">
              <w:rPr>
                <w:rFonts w:cs="Times New Roman"/>
                <w:iCs/>
                <w:szCs w:val="22"/>
                <w:lang w:eastAsia="en-US"/>
              </w:rPr>
              <w:t xml:space="preserve">also </w:t>
            </w:r>
            <w:r w:rsidR="001639B2">
              <w:rPr>
                <w:rFonts w:cs="Times New Roman"/>
                <w:iCs/>
                <w:szCs w:val="22"/>
                <w:lang w:eastAsia="en-US"/>
              </w:rPr>
              <w:t xml:space="preserve">noted </w:t>
            </w:r>
            <w:r w:rsidR="00685463">
              <w:rPr>
                <w:rFonts w:cs="Times New Roman"/>
                <w:iCs/>
                <w:szCs w:val="22"/>
                <w:lang w:eastAsia="en-US"/>
              </w:rPr>
              <w:t xml:space="preserve">patients on treatment </w:t>
            </w:r>
            <w:r w:rsidR="00241447">
              <w:rPr>
                <w:rFonts w:cs="Times New Roman"/>
                <w:iCs/>
                <w:szCs w:val="22"/>
                <w:lang w:eastAsia="en-US"/>
              </w:rPr>
              <w:t>for more than 1 year</w:t>
            </w:r>
            <w:r w:rsidR="00685463">
              <w:rPr>
                <w:rFonts w:cs="Times New Roman"/>
                <w:iCs/>
                <w:szCs w:val="22"/>
                <w:lang w:eastAsia="en-US"/>
              </w:rPr>
              <w:t xml:space="preserve"> were not excluded from the prevalent pool of patients and thus the uptake rates were applied to a pool of patients which included patients already on treatment. This led to a substantial overestimate of the use of mepolizumab.</w:t>
            </w:r>
          </w:p>
        </w:tc>
      </w:tr>
      <w:tr w:rsidR="00C0677B" w:rsidRPr="000A03FD" w14:paraId="1B2856ED" w14:textId="77777777" w:rsidTr="00600685">
        <w:trPr>
          <w:cantSplit/>
        </w:trPr>
        <w:tc>
          <w:tcPr>
            <w:tcW w:w="950" w:type="pct"/>
            <w:shd w:val="clear" w:color="auto" w:fill="auto"/>
            <w:vAlign w:val="center"/>
          </w:tcPr>
          <w:p w14:paraId="6F75E147" w14:textId="77777777" w:rsidR="00C415ED" w:rsidRPr="000A03FD" w:rsidRDefault="00C415ED"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lastRenderedPageBreak/>
              <w:t>Setting – PBS/RPBS split;</w:t>
            </w:r>
          </w:p>
          <w:p w14:paraId="18504D11" w14:textId="77777777" w:rsidR="00C415ED" w:rsidRPr="000A03FD" w:rsidRDefault="00C415ED"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PBS/RPBS weighted co-payment;</w:t>
            </w:r>
          </w:p>
          <w:p w14:paraId="0D3EDFF8" w14:textId="5BA94AC8" w:rsidR="00C415ED" w:rsidRPr="000A03FD" w:rsidRDefault="00C415ED" w:rsidP="00600685">
            <w:pPr>
              <w:pStyle w:val="TableText0"/>
              <w:keepNext w:val="0"/>
            </w:pPr>
            <w:r w:rsidRPr="000A03FD">
              <w:rPr>
                <w:rFonts w:cs="Times New Roman"/>
                <w:szCs w:val="22"/>
                <w:lang w:eastAsia="en-US"/>
              </w:rPr>
              <w:t>Public-private split</w:t>
            </w:r>
          </w:p>
        </w:tc>
        <w:tc>
          <w:tcPr>
            <w:tcW w:w="1877" w:type="pct"/>
            <w:shd w:val="clear" w:color="auto" w:fill="auto"/>
            <w:vAlign w:val="center"/>
          </w:tcPr>
          <w:p w14:paraId="08A6D10C" w14:textId="77777777" w:rsidR="00C415ED" w:rsidRPr="000A03FD" w:rsidRDefault="00C415ED"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PBS: 98.63%; RPBS: 1.37%</w:t>
            </w:r>
          </w:p>
          <w:p w14:paraId="02AE6C8A" w14:textId="77777777" w:rsidR="00C415ED" w:rsidRPr="000A03FD" w:rsidRDefault="00C415ED" w:rsidP="00600685">
            <w:pPr>
              <w:jc w:val="left"/>
              <w:rPr>
                <w:rFonts w:ascii="Arial Narrow" w:hAnsi="Arial Narrow" w:cs="Times New Roman"/>
                <w:sz w:val="20"/>
                <w:szCs w:val="22"/>
                <w:vertAlign w:val="superscript"/>
                <w:lang w:eastAsia="en-US"/>
              </w:rPr>
            </w:pPr>
            <w:r w:rsidRPr="000A03FD">
              <w:rPr>
                <w:rFonts w:ascii="Arial Narrow" w:hAnsi="Arial Narrow" w:cs="Times New Roman"/>
                <w:sz w:val="20"/>
                <w:szCs w:val="22"/>
                <w:lang w:eastAsia="en-US"/>
              </w:rPr>
              <w:t>PBS: $22.75; RPBS: $4.02</w:t>
            </w:r>
          </w:p>
          <w:p w14:paraId="78869FEE" w14:textId="77777777" w:rsidR="00C415ED" w:rsidRPr="000A03FD" w:rsidRDefault="00C415ED" w:rsidP="00600685">
            <w:pPr>
              <w:jc w:val="left"/>
              <w:rPr>
                <w:rFonts w:ascii="Arial Narrow" w:hAnsi="Arial Narrow" w:cs="Times New Roman"/>
                <w:sz w:val="20"/>
                <w:szCs w:val="22"/>
                <w:lang w:eastAsia="en-US"/>
              </w:rPr>
            </w:pPr>
            <w:r w:rsidRPr="000A03FD">
              <w:rPr>
                <w:rFonts w:ascii="Arial Narrow" w:hAnsi="Arial Narrow" w:cs="Times New Roman"/>
                <w:sz w:val="20"/>
                <w:szCs w:val="22"/>
                <w:lang w:eastAsia="en-US"/>
              </w:rPr>
              <w:t>Public: 69.63%; Private: $30.37%</w:t>
            </w:r>
          </w:p>
          <w:p w14:paraId="4022D601" w14:textId="16502156" w:rsidR="00C415ED" w:rsidRPr="000A03FD" w:rsidRDefault="00C415ED" w:rsidP="00600685">
            <w:pPr>
              <w:pStyle w:val="TableText0"/>
              <w:keepNext w:val="0"/>
            </w:pPr>
            <w:r w:rsidRPr="000A03FD">
              <w:rPr>
                <w:rFonts w:cs="Times New Roman"/>
                <w:szCs w:val="22"/>
                <w:lang w:eastAsia="en-US"/>
              </w:rPr>
              <w:t xml:space="preserve">Source: PBS dispensing data for mepolizumab item codes for severe eosinophilic asthma dispensed over the 12-month period from Jan 2020-Dec 2020. </w:t>
            </w:r>
          </w:p>
        </w:tc>
        <w:tc>
          <w:tcPr>
            <w:tcW w:w="2173" w:type="pct"/>
            <w:shd w:val="clear" w:color="auto" w:fill="auto"/>
            <w:vAlign w:val="center"/>
          </w:tcPr>
          <w:p w14:paraId="1378C4F3" w14:textId="57CD61F8" w:rsidR="00C415ED" w:rsidRPr="000A03FD" w:rsidRDefault="00C415ED" w:rsidP="00600685">
            <w:pPr>
              <w:pStyle w:val="TableText0"/>
              <w:keepNext w:val="0"/>
              <w:rPr>
                <w:iCs/>
              </w:rPr>
            </w:pPr>
            <w:r w:rsidRPr="000A03FD">
              <w:rPr>
                <w:rFonts w:cs="Times New Roman"/>
                <w:iCs/>
                <w:szCs w:val="22"/>
                <w:lang w:eastAsia="en-US"/>
              </w:rPr>
              <w:t>Reasonable. It appeared 2 item codes used (12073K and 12030E) were no longer on the current PBS schedule.</w:t>
            </w:r>
          </w:p>
        </w:tc>
      </w:tr>
    </w:tbl>
    <w:p w14:paraId="4690F4BE" w14:textId="77777777" w:rsidR="0002288B" w:rsidRPr="000A03FD" w:rsidRDefault="00E42F73" w:rsidP="00600685">
      <w:pPr>
        <w:pStyle w:val="FooterTableFigure"/>
        <w:rPr>
          <w:lang w:eastAsia="en-US"/>
        </w:rPr>
      </w:pPr>
      <w:r w:rsidRPr="000A03FD">
        <w:t xml:space="preserve">Source: </w:t>
      </w:r>
      <w:r w:rsidR="00C13ED8" w:rsidRPr="000A03FD">
        <w:rPr>
          <w:lang w:eastAsia="en-US"/>
        </w:rPr>
        <w:t>Section 4 of the resubmission</w:t>
      </w:r>
    </w:p>
    <w:p w14:paraId="5EF05F09" w14:textId="7D7433F8" w:rsidR="0002288B" w:rsidRPr="000A03FD" w:rsidRDefault="00B61031" w:rsidP="00600685">
      <w:pPr>
        <w:pStyle w:val="FooterTableFigure"/>
        <w:rPr>
          <w:lang w:eastAsia="en-US"/>
        </w:rPr>
      </w:pPr>
      <w:r w:rsidRPr="000A03FD">
        <w:rPr>
          <w:lang w:eastAsia="en-US"/>
        </w:rPr>
        <w:t xml:space="preserve">a – note, this variable was described as ‘patients who do not have comorbid severe eosinophilic asthma’ in the resubmission and given the value of 89.22% (i.e., 100 % - 10.78%). The variable and value </w:t>
      </w:r>
      <w:r w:rsidR="00F45D5E" w:rsidRPr="000A03FD">
        <w:rPr>
          <w:lang w:eastAsia="en-US"/>
        </w:rPr>
        <w:t>were</w:t>
      </w:r>
      <w:r w:rsidRPr="000A03FD">
        <w:rPr>
          <w:lang w:eastAsia="en-US"/>
        </w:rPr>
        <w:t xml:space="preserve"> reported differently in this table to better show how this variable was calculated.</w:t>
      </w:r>
    </w:p>
    <w:p w14:paraId="01EED6AC" w14:textId="77777777" w:rsidR="0002288B" w:rsidRPr="000A03FD" w:rsidRDefault="0002288B" w:rsidP="00600685">
      <w:pPr>
        <w:pStyle w:val="FooterTableFigure"/>
        <w:rPr>
          <w:lang w:eastAsia="en-US"/>
        </w:rPr>
      </w:pPr>
      <w:r w:rsidRPr="000A03FD">
        <w:rPr>
          <w:lang w:eastAsia="en-US"/>
        </w:rPr>
        <w:t>b – this value was applied as 48.00% in the financial workbook, but inconsistently stated as 48.04% and 48.00% in the resubmission</w:t>
      </w:r>
    </w:p>
    <w:p w14:paraId="7A96A555" w14:textId="77777777" w:rsidR="005B23D0" w:rsidRPr="000A03FD" w:rsidRDefault="0002288B" w:rsidP="00600685">
      <w:pPr>
        <w:pStyle w:val="FooterTableFigure"/>
        <w:rPr>
          <w:lang w:eastAsia="en-US"/>
        </w:rPr>
      </w:pPr>
      <w:r w:rsidRPr="000A03FD">
        <w:rPr>
          <w:lang w:eastAsia="en-US"/>
        </w:rPr>
        <w:t>c – this value was applied as 68.00% in the financial workbook, but inconsistently stated as 68.04% and 68.00% in the resubmission</w:t>
      </w:r>
    </w:p>
    <w:p w14:paraId="0111F750" w14:textId="2BCD35D3" w:rsidR="005B23D0" w:rsidRPr="000A03FD" w:rsidRDefault="005B23D0" w:rsidP="00600685">
      <w:pPr>
        <w:pStyle w:val="FooterTableFigure"/>
        <w:rPr>
          <w:lang w:eastAsia="en-US"/>
        </w:rPr>
      </w:pPr>
      <w:r w:rsidRPr="000A03FD">
        <w:rPr>
          <w:lang w:eastAsia="en-US"/>
        </w:rPr>
        <w:t>d – for a full year of continuing treatment</w:t>
      </w:r>
    </w:p>
    <w:p w14:paraId="12270804" w14:textId="546BDCA6" w:rsidR="00162C6B" w:rsidRPr="000A03FD" w:rsidRDefault="00162C6B" w:rsidP="00F15ADF">
      <w:pPr>
        <w:pStyle w:val="FooterTableFigure"/>
        <w:spacing w:after="0"/>
      </w:pPr>
      <w:r w:rsidRPr="000A03FD">
        <w:t>OCS = oral corticosteroids;</w:t>
      </w:r>
    </w:p>
    <w:p w14:paraId="48FCA013" w14:textId="752FCFC7" w:rsidR="00F15ADF" w:rsidRPr="000A03FD" w:rsidRDefault="00F15ADF" w:rsidP="00F15ADF">
      <w:pPr>
        <w:pStyle w:val="TableFooter"/>
        <w:keepNext/>
        <w:keepLines/>
        <w:spacing w:after="120"/>
      </w:pPr>
      <w:r w:rsidRPr="000A03FD">
        <w:rPr>
          <w:rFonts w:eastAsia="Calibri"/>
        </w:rPr>
        <w:t>Blue shaded cells indicate information presented in previous submission</w:t>
      </w:r>
    </w:p>
    <w:p w14:paraId="26FB6670" w14:textId="1432177D" w:rsidR="00B505C8" w:rsidRPr="000A03FD" w:rsidRDefault="00C13ED8" w:rsidP="00A0401C">
      <w:pPr>
        <w:pStyle w:val="3-BodyText"/>
      </w:pPr>
      <w:r w:rsidRPr="000A03FD">
        <w:t xml:space="preserve">The </w:t>
      </w:r>
      <w:r w:rsidR="00CD1565" w:rsidRPr="000A03FD">
        <w:t xml:space="preserve">SYNAPSE BEC </w:t>
      </w:r>
      <w:r w:rsidR="00CD1565" w:rsidRPr="000A03FD">
        <w:rPr>
          <w:rFonts w:cstheme="minorHAnsi"/>
        </w:rPr>
        <w:t>≥300</w:t>
      </w:r>
      <w:r w:rsidR="008E0D35">
        <w:rPr>
          <w:rFonts w:cstheme="minorHAnsi"/>
        </w:rPr>
        <w:t> </w:t>
      </w:r>
      <w:r w:rsidR="00CD1565" w:rsidRPr="000A03FD">
        <w:rPr>
          <w:rFonts w:cstheme="minorHAnsi"/>
        </w:rPr>
        <w:t xml:space="preserve">cells/µL </w:t>
      </w:r>
      <w:r w:rsidR="002774D1" w:rsidRPr="000A03FD">
        <w:rPr>
          <w:rFonts w:cstheme="minorHAnsi"/>
        </w:rPr>
        <w:t>subgroup</w:t>
      </w:r>
      <w:r w:rsidR="00CD1565" w:rsidRPr="000A03FD">
        <w:rPr>
          <w:rFonts w:cstheme="minorHAnsi"/>
        </w:rPr>
        <w:t xml:space="preserve"> was used to inform the financial estimates. </w:t>
      </w:r>
      <w:r w:rsidR="00885EE6" w:rsidRPr="000A03FD">
        <w:t xml:space="preserve">The estimated financial impact of PBS listing mepolizumab </w:t>
      </w:r>
      <w:r w:rsidR="00B75FFA" w:rsidRPr="000A03FD">
        <w:t xml:space="preserve">presented in the resubmission </w:t>
      </w:r>
      <w:r w:rsidR="00ED3DD3" w:rsidRPr="000A03FD">
        <w:t>is</w:t>
      </w:r>
      <w:r w:rsidR="00885EE6" w:rsidRPr="000A03FD">
        <w:t xml:space="preserve"> summarised in </w:t>
      </w:r>
      <w:r w:rsidR="00885EE6" w:rsidRPr="000A03FD">
        <w:fldChar w:fldCharType="begin" w:fldLock="1"/>
      </w:r>
      <w:r w:rsidR="00885EE6" w:rsidRPr="000A03FD">
        <w:instrText xml:space="preserve"> REF _Ref104805295 \h  \* MERGEFORMAT </w:instrText>
      </w:r>
      <w:r w:rsidR="00885EE6" w:rsidRPr="000A03FD">
        <w:fldChar w:fldCharType="separate"/>
      </w:r>
      <w:r w:rsidR="007018A3" w:rsidRPr="000A03FD">
        <w:t>Table 18</w:t>
      </w:r>
      <w:r w:rsidR="00885EE6" w:rsidRPr="000A03FD">
        <w:fldChar w:fldCharType="end"/>
      </w:r>
      <w:r w:rsidR="00885EE6" w:rsidRPr="000A03FD">
        <w:t>.</w:t>
      </w:r>
    </w:p>
    <w:p w14:paraId="38EC053C" w14:textId="14A3FD8C" w:rsidR="00C25D9C" w:rsidRPr="000A03FD" w:rsidRDefault="00E16AD8" w:rsidP="00EA6597">
      <w:pPr>
        <w:pStyle w:val="Caption"/>
        <w:rPr>
          <w:rStyle w:val="CommentReference"/>
          <w:b/>
          <w:szCs w:val="24"/>
        </w:rPr>
      </w:pPr>
      <w:bookmarkStart w:id="88" w:name="_Ref104805295"/>
      <w:r w:rsidRPr="000A03FD">
        <w:lastRenderedPageBreak/>
        <w:t xml:space="preserve">Table </w:t>
      </w:r>
      <w:fldSimple w:instr=" SEQ Table \* ARABIC " w:fldLock="1">
        <w:r w:rsidR="00A0401C" w:rsidRPr="000A03FD">
          <w:t>18</w:t>
        </w:r>
      </w:fldSimple>
      <w:bookmarkEnd w:id="88"/>
      <w:r w:rsidRPr="000A03FD">
        <w:t>:</w:t>
      </w:r>
      <w:r w:rsidR="002A2F50" w:rsidRPr="000A03FD">
        <w:rPr>
          <w:rStyle w:val="CommentReference"/>
          <w:b/>
          <w:szCs w:val="24"/>
        </w:rPr>
        <w:t xml:space="preserve"> Estimated use and financial implications</w:t>
      </w:r>
      <w:r w:rsidR="00A0401C" w:rsidRPr="000A03FD">
        <w:rPr>
          <w:rStyle w:val="CommentReference"/>
          <w:b/>
          <w:szCs w:val="24"/>
        </w:rPr>
        <w:t xml:space="preserve"> presented in the resubmission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6"/>
        <w:gridCol w:w="1085"/>
        <w:gridCol w:w="1086"/>
        <w:gridCol w:w="1086"/>
        <w:gridCol w:w="1085"/>
        <w:gridCol w:w="1086"/>
        <w:gridCol w:w="1086"/>
      </w:tblGrid>
      <w:tr w:rsidR="000D3A37" w:rsidRPr="000A03FD" w14:paraId="059853F0" w14:textId="77777777" w:rsidTr="00113672">
        <w:trPr>
          <w:tblHeader/>
        </w:trPr>
        <w:tc>
          <w:tcPr>
            <w:tcW w:w="2546" w:type="dxa"/>
            <w:tcBorders>
              <w:top w:val="single" w:sz="4" w:space="0" w:color="auto"/>
              <w:left w:val="single" w:sz="4" w:space="0" w:color="auto"/>
              <w:bottom w:val="single" w:sz="4" w:space="0" w:color="auto"/>
              <w:right w:val="single" w:sz="4" w:space="0" w:color="auto"/>
            </w:tcBorders>
            <w:vAlign w:val="center"/>
          </w:tcPr>
          <w:p w14:paraId="66337393" w14:textId="77777777" w:rsidR="007510BA" w:rsidRPr="000A03FD" w:rsidRDefault="007510BA" w:rsidP="00EA6597">
            <w:pPr>
              <w:pStyle w:val="Tabletext"/>
              <w:keepNext/>
              <w:keepLines/>
            </w:pPr>
          </w:p>
        </w:tc>
        <w:tc>
          <w:tcPr>
            <w:tcW w:w="1085" w:type="dxa"/>
            <w:tcBorders>
              <w:top w:val="single" w:sz="4" w:space="0" w:color="auto"/>
              <w:left w:val="single" w:sz="4" w:space="0" w:color="auto"/>
              <w:bottom w:val="single" w:sz="4" w:space="0" w:color="auto"/>
              <w:right w:val="single" w:sz="4" w:space="0" w:color="auto"/>
            </w:tcBorders>
            <w:vAlign w:val="center"/>
            <w:hideMark/>
          </w:tcPr>
          <w:p w14:paraId="5EE5BC78" w14:textId="77777777" w:rsidR="007510BA" w:rsidRPr="000A03FD" w:rsidRDefault="007510BA" w:rsidP="00EA6597">
            <w:pPr>
              <w:pStyle w:val="Tabletext"/>
              <w:keepNext/>
              <w:keepLines/>
              <w:jc w:val="center"/>
              <w:rPr>
                <w:b/>
              </w:rPr>
            </w:pPr>
            <w:r w:rsidRPr="000A03FD">
              <w:rPr>
                <w:b/>
              </w:rPr>
              <w:t>Year 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E7C4147" w14:textId="77777777" w:rsidR="007510BA" w:rsidRPr="000A03FD" w:rsidRDefault="007510BA" w:rsidP="00EA6597">
            <w:pPr>
              <w:pStyle w:val="Tabletext"/>
              <w:keepNext/>
              <w:keepLines/>
              <w:jc w:val="center"/>
              <w:rPr>
                <w:b/>
              </w:rPr>
            </w:pPr>
            <w:r w:rsidRPr="000A03FD">
              <w:rPr>
                <w:b/>
              </w:rPr>
              <w:t>Year 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FE11A08" w14:textId="77777777" w:rsidR="007510BA" w:rsidRPr="000A03FD" w:rsidRDefault="007510BA" w:rsidP="00EA6597">
            <w:pPr>
              <w:pStyle w:val="Tabletext"/>
              <w:keepNext/>
              <w:keepLines/>
              <w:jc w:val="center"/>
              <w:rPr>
                <w:b/>
              </w:rPr>
            </w:pPr>
            <w:r w:rsidRPr="000A03FD">
              <w:rPr>
                <w:b/>
              </w:rPr>
              <w:t>Year 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9B08B8F" w14:textId="77777777" w:rsidR="007510BA" w:rsidRPr="000A03FD" w:rsidRDefault="007510BA" w:rsidP="00EA6597">
            <w:pPr>
              <w:pStyle w:val="Tabletext"/>
              <w:keepNext/>
              <w:keepLines/>
              <w:jc w:val="center"/>
              <w:rPr>
                <w:b/>
              </w:rPr>
            </w:pPr>
            <w:r w:rsidRPr="000A03FD">
              <w:rPr>
                <w:b/>
              </w:rPr>
              <w:t>Year 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4E6C117" w14:textId="77777777" w:rsidR="007510BA" w:rsidRPr="000A03FD" w:rsidRDefault="007510BA" w:rsidP="00EA6597">
            <w:pPr>
              <w:pStyle w:val="Tabletext"/>
              <w:keepNext/>
              <w:keepLines/>
              <w:jc w:val="center"/>
              <w:rPr>
                <w:b/>
              </w:rPr>
            </w:pPr>
            <w:r w:rsidRPr="000A03FD">
              <w:rPr>
                <w:b/>
              </w:rPr>
              <w:t>Year 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38A8EE2" w14:textId="77777777" w:rsidR="007510BA" w:rsidRPr="000A03FD" w:rsidRDefault="007510BA" w:rsidP="00EA6597">
            <w:pPr>
              <w:pStyle w:val="Tabletext"/>
              <w:keepNext/>
              <w:keepLines/>
              <w:jc w:val="center"/>
              <w:rPr>
                <w:b/>
              </w:rPr>
            </w:pPr>
            <w:r w:rsidRPr="000A03FD">
              <w:rPr>
                <w:b/>
              </w:rPr>
              <w:t>Year 6</w:t>
            </w:r>
          </w:p>
        </w:tc>
      </w:tr>
      <w:tr w:rsidR="000D3A37" w:rsidRPr="000A03FD" w14:paraId="7DC4C359"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FD8DDE0" w14:textId="6DFA99B1" w:rsidR="007510BA" w:rsidRPr="000A03FD" w:rsidRDefault="007510BA" w:rsidP="00EA6597">
            <w:pPr>
              <w:pStyle w:val="Tabletext"/>
              <w:keepNext/>
              <w:keepLines/>
              <w:rPr>
                <w:b/>
              </w:rPr>
            </w:pPr>
            <w:r w:rsidRPr="000A03FD">
              <w:rPr>
                <w:b/>
              </w:rPr>
              <w:t>Estimation of use and financial impact of the proposed medicine (PBS and RPBS)</w:t>
            </w:r>
          </w:p>
        </w:tc>
      </w:tr>
      <w:tr w:rsidR="000D3A37" w:rsidRPr="000A03FD" w14:paraId="7F00806F"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1CA1A088" w14:textId="77777777" w:rsidR="007510BA" w:rsidRPr="000A03FD" w:rsidRDefault="007510BA" w:rsidP="00EA6597">
            <w:pPr>
              <w:pStyle w:val="Tabletext"/>
              <w:keepNext/>
              <w:keepLines/>
            </w:pPr>
            <w:r w:rsidRPr="000A03FD">
              <w:t>Prevalence of CRSwNP (0.51%)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F983494" w14:textId="5A3FF666"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4" w:id="-1303140599"/>
                <w14:textFill>
                  <w14:solidFill>
                    <w14:srgbClr w14:val="000000">
                      <w14:alpha w14:val="100000"/>
                    </w14:srgbClr>
                  </w14:solidFill>
                </w14:textFill>
              </w:rPr>
              <w:t xml:space="preserve">　</w:t>
            </w:r>
            <w:r w:rsidRPr="0020233B">
              <w:rPr>
                <w:color w:val="000000"/>
                <w:w w:val="15"/>
                <w:shd w:val="solid" w:color="000000" w:fill="000000"/>
                <w:fitText w:val="64" w:id="-1303140599"/>
                <w14:textFill>
                  <w14:solidFill>
                    <w14:srgbClr w14:val="000000">
                      <w14:alpha w14:val="100000"/>
                    </w14:srgbClr>
                  </w14:solidFill>
                </w14:textFill>
              </w:rPr>
              <w:t>|</w:t>
            </w:r>
            <w:r w:rsidRPr="0020233B">
              <w:rPr>
                <w:rFonts w:hint="eastAsia"/>
                <w:color w:val="000000"/>
                <w:spacing w:val="-1"/>
                <w:w w:val="15"/>
                <w:shd w:val="solid" w:color="000000" w:fill="000000"/>
                <w:fitText w:val="64" w:id="-1303140599"/>
                <w14:textFill>
                  <w14:solidFill>
                    <w14:srgbClr w14:val="000000">
                      <w14:alpha w14:val="100000"/>
                    </w14:srgbClr>
                  </w14:solidFill>
                </w14:textFill>
              </w:rPr>
              <w:t xml:space="preserve">　</w:t>
            </w:r>
            <w:r w:rsidR="00E76150" w:rsidRPr="00E76150">
              <w:rPr>
                <w:rFonts w:cs="Arial"/>
                <w:iCs/>
                <w:sz w:val="18"/>
                <w:szCs w:val="18"/>
                <w:vertAlign w:val="superscript"/>
              </w:rPr>
              <w:t>1</w:t>
            </w:r>
          </w:p>
        </w:tc>
        <w:tc>
          <w:tcPr>
            <w:tcW w:w="1086" w:type="dxa"/>
            <w:tcBorders>
              <w:top w:val="single" w:sz="4" w:space="0" w:color="auto"/>
              <w:left w:val="nil"/>
              <w:bottom w:val="single" w:sz="4" w:space="0" w:color="auto"/>
              <w:right w:val="single" w:sz="4" w:space="0" w:color="auto"/>
            </w:tcBorders>
            <w:shd w:val="clear" w:color="auto" w:fill="auto"/>
            <w:vAlign w:val="center"/>
          </w:tcPr>
          <w:p w14:paraId="0D26144B" w14:textId="3D369166"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4" w:id="-1303140598"/>
                <w14:textFill>
                  <w14:solidFill>
                    <w14:srgbClr w14:val="000000">
                      <w14:alpha w14:val="100000"/>
                    </w14:srgbClr>
                  </w14:solidFill>
                </w14:textFill>
              </w:rPr>
              <w:t xml:space="preserve">　</w:t>
            </w:r>
            <w:r w:rsidRPr="0020233B">
              <w:rPr>
                <w:color w:val="000000"/>
                <w:w w:val="15"/>
                <w:shd w:val="solid" w:color="000000" w:fill="000000"/>
                <w:fitText w:val="54" w:id="-1303140598"/>
                <w14:textFill>
                  <w14:solidFill>
                    <w14:srgbClr w14:val="000000">
                      <w14:alpha w14:val="100000"/>
                    </w14:srgbClr>
                  </w14:solidFill>
                </w14:textFill>
              </w:rPr>
              <w:t>|</w:t>
            </w:r>
            <w:r w:rsidRPr="0020233B">
              <w:rPr>
                <w:rFonts w:hint="eastAsia"/>
                <w:color w:val="000000"/>
                <w:spacing w:val="-11"/>
                <w:w w:val="15"/>
                <w:shd w:val="solid" w:color="000000" w:fill="000000"/>
                <w:fitText w:val="54" w:id="-1303140598"/>
                <w14:textFill>
                  <w14:solidFill>
                    <w14:srgbClr w14:val="000000">
                      <w14:alpha w14:val="100000"/>
                    </w14:srgbClr>
                  </w14:solidFill>
                </w14:textFill>
              </w:rPr>
              <w:t xml:space="preserve">　</w:t>
            </w:r>
            <w:r w:rsidR="00E76150" w:rsidRPr="00E76150">
              <w:rPr>
                <w:rFonts w:cs="Arial"/>
                <w:iCs/>
                <w:sz w:val="18"/>
                <w:szCs w:val="18"/>
                <w:vertAlign w:val="superscript"/>
              </w:rPr>
              <w:t>1</w:t>
            </w:r>
          </w:p>
        </w:tc>
        <w:tc>
          <w:tcPr>
            <w:tcW w:w="1086" w:type="dxa"/>
            <w:tcBorders>
              <w:top w:val="single" w:sz="4" w:space="0" w:color="auto"/>
              <w:left w:val="nil"/>
              <w:bottom w:val="single" w:sz="4" w:space="0" w:color="auto"/>
              <w:right w:val="single" w:sz="4" w:space="0" w:color="auto"/>
            </w:tcBorders>
            <w:shd w:val="clear" w:color="auto" w:fill="auto"/>
            <w:vAlign w:val="center"/>
          </w:tcPr>
          <w:p w14:paraId="08E544E9" w14:textId="0A54C11B"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597"/>
                <w14:textFill>
                  <w14:solidFill>
                    <w14:srgbClr w14:val="000000">
                      <w14:alpha w14:val="100000"/>
                    </w14:srgbClr>
                  </w14:solidFill>
                </w14:textFill>
              </w:rPr>
              <w:t xml:space="preserve">　</w:t>
            </w:r>
            <w:r w:rsidRPr="0020233B">
              <w:rPr>
                <w:color w:val="000000"/>
                <w:w w:val="15"/>
                <w:shd w:val="solid" w:color="000000" w:fill="000000"/>
                <w:fitText w:val="55" w:id="-1303140597"/>
                <w14:textFill>
                  <w14:solidFill>
                    <w14:srgbClr w14:val="000000">
                      <w14:alpha w14:val="100000"/>
                    </w14:srgbClr>
                  </w14:solidFill>
                </w14:textFill>
              </w:rPr>
              <w:t>|</w:t>
            </w:r>
            <w:r w:rsidRPr="0020233B">
              <w:rPr>
                <w:rFonts w:hint="eastAsia"/>
                <w:color w:val="000000"/>
                <w:spacing w:val="-10"/>
                <w:w w:val="15"/>
                <w:shd w:val="solid" w:color="000000" w:fill="000000"/>
                <w:fitText w:val="55" w:id="-1303140597"/>
                <w14:textFill>
                  <w14:solidFill>
                    <w14:srgbClr w14:val="000000">
                      <w14:alpha w14:val="100000"/>
                    </w14:srgbClr>
                  </w14:solidFill>
                </w14:textFill>
              </w:rPr>
              <w:t xml:space="preserve">　</w:t>
            </w:r>
            <w:r w:rsidR="00E76150" w:rsidRPr="00E76150">
              <w:rPr>
                <w:rFonts w:cs="Arial"/>
                <w:iCs/>
                <w:sz w:val="18"/>
                <w:szCs w:val="18"/>
                <w:vertAlign w:val="superscript"/>
              </w:rPr>
              <w:t>1</w:t>
            </w:r>
            <w:r w:rsidR="00C03C65" w:rsidRPr="00C03C65">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5E9152F1" w14:textId="2BD8DFE6"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3" w:id="-1303140596"/>
                <w14:textFill>
                  <w14:solidFill>
                    <w14:srgbClr w14:val="000000">
                      <w14:alpha w14:val="100000"/>
                    </w14:srgbClr>
                  </w14:solidFill>
                </w14:textFill>
              </w:rPr>
              <w:t xml:space="preserve">　</w:t>
            </w:r>
            <w:r w:rsidRPr="0020233B">
              <w:rPr>
                <w:color w:val="000000"/>
                <w:w w:val="15"/>
                <w:shd w:val="solid" w:color="000000" w:fill="000000"/>
                <w:fitText w:val="63" w:id="-1303140596"/>
                <w14:textFill>
                  <w14:solidFill>
                    <w14:srgbClr w14:val="000000">
                      <w14:alpha w14:val="100000"/>
                    </w14:srgbClr>
                  </w14:solidFill>
                </w14:textFill>
              </w:rPr>
              <w:t>|</w:t>
            </w:r>
            <w:r w:rsidRPr="0020233B">
              <w:rPr>
                <w:rFonts w:hint="eastAsia"/>
                <w:color w:val="000000"/>
                <w:spacing w:val="-2"/>
                <w:w w:val="15"/>
                <w:shd w:val="solid" w:color="000000" w:fill="000000"/>
                <w:fitText w:val="63" w:id="-1303140596"/>
                <w14:textFill>
                  <w14:solidFill>
                    <w14:srgbClr w14:val="000000">
                      <w14:alpha w14:val="100000"/>
                    </w14:srgbClr>
                  </w14:solidFill>
                </w14:textFill>
              </w:rPr>
              <w:t xml:space="preserve">　</w:t>
            </w:r>
            <w:r w:rsidR="009A60D3" w:rsidRPr="00E76150">
              <w:rPr>
                <w:rFonts w:cs="Arial"/>
                <w:iCs/>
                <w:sz w:val="18"/>
                <w:szCs w:val="18"/>
                <w:vertAlign w:val="superscript"/>
              </w:rPr>
              <w:t>1</w:t>
            </w:r>
            <w:r w:rsidR="00C03C65" w:rsidRPr="00C03C65">
              <w:t xml:space="preserve"> </w:t>
            </w:r>
          </w:p>
        </w:tc>
        <w:tc>
          <w:tcPr>
            <w:tcW w:w="1086" w:type="dxa"/>
            <w:tcBorders>
              <w:top w:val="single" w:sz="4" w:space="0" w:color="auto"/>
              <w:left w:val="nil"/>
              <w:bottom w:val="single" w:sz="4" w:space="0" w:color="auto"/>
              <w:right w:val="single" w:sz="4" w:space="0" w:color="auto"/>
            </w:tcBorders>
            <w:shd w:val="clear" w:color="auto" w:fill="auto"/>
            <w:vAlign w:val="center"/>
          </w:tcPr>
          <w:p w14:paraId="0827DF84" w14:textId="54834554"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595"/>
                <w14:textFill>
                  <w14:solidFill>
                    <w14:srgbClr w14:val="000000">
                      <w14:alpha w14:val="100000"/>
                    </w14:srgbClr>
                  </w14:solidFill>
                </w14:textFill>
              </w:rPr>
              <w:t xml:space="preserve">　</w:t>
            </w:r>
            <w:r w:rsidRPr="0020233B">
              <w:rPr>
                <w:color w:val="000000"/>
                <w:w w:val="15"/>
                <w:shd w:val="solid" w:color="000000" w:fill="000000"/>
                <w:fitText w:val="55" w:id="-1303140595"/>
                <w14:textFill>
                  <w14:solidFill>
                    <w14:srgbClr w14:val="000000">
                      <w14:alpha w14:val="100000"/>
                    </w14:srgbClr>
                  </w14:solidFill>
                </w14:textFill>
              </w:rPr>
              <w:t>|</w:t>
            </w:r>
            <w:r w:rsidRPr="0020233B">
              <w:rPr>
                <w:rFonts w:hint="eastAsia"/>
                <w:color w:val="000000"/>
                <w:spacing w:val="-10"/>
                <w:w w:val="15"/>
                <w:shd w:val="solid" w:color="000000" w:fill="000000"/>
                <w:fitText w:val="55" w:id="-1303140595"/>
                <w14:textFill>
                  <w14:solidFill>
                    <w14:srgbClr w14:val="000000">
                      <w14:alpha w14:val="100000"/>
                    </w14:srgbClr>
                  </w14:solidFill>
                </w14:textFill>
              </w:rPr>
              <w:t xml:space="preserve">　</w:t>
            </w:r>
            <w:r w:rsidR="009A60D3" w:rsidRPr="00E76150">
              <w:rPr>
                <w:rFonts w:cs="Arial"/>
                <w:iCs/>
                <w:sz w:val="18"/>
                <w:szCs w:val="18"/>
                <w:vertAlign w:val="superscript"/>
              </w:rPr>
              <w:t>1</w:t>
            </w:r>
          </w:p>
        </w:tc>
        <w:tc>
          <w:tcPr>
            <w:tcW w:w="1086" w:type="dxa"/>
            <w:tcBorders>
              <w:top w:val="single" w:sz="4" w:space="0" w:color="auto"/>
              <w:left w:val="nil"/>
              <w:bottom w:val="single" w:sz="4" w:space="0" w:color="auto"/>
              <w:right w:val="single" w:sz="4" w:space="0" w:color="auto"/>
            </w:tcBorders>
            <w:shd w:val="clear" w:color="auto" w:fill="auto"/>
            <w:vAlign w:val="center"/>
          </w:tcPr>
          <w:p w14:paraId="7CB67702" w14:textId="167398EA"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594"/>
                <w14:textFill>
                  <w14:solidFill>
                    <w14:srgbClr w14:val="000000">
                      <w14:alpha w14:val="100000"/>
                    </w14:srgbClr>
                  </w14:solidFill>
                </w14:textFill>
              </w:rPr>
              <w:t xml:space="preserve">　</w:t>
            </w:r>
            <w:r w:rsidRPr="0020233B">
              <w:rPr>
                <w:color w:val="000000"/>
                <w:w w:val="15"/>
                <w:shd w:val="solid" w:color="000000" w:fill="000000"/>
                <w:fitText w:val="55" w:id="-1303140594"/>
                <w14:textFill>
                  <w14:solidFill>
                    <w14:srgbClr w14:val="000000">
                      <w14:alpha w14:val="100000"/>
                    </w14:srgbClr>
                  </w14:solidFill>
                </w14:textFill>
              </w:rPr>
              <w:t>|</w:t>
            </w:r>
            <w:r w:rsidRPr="0020233B">
              <w:rPr>
                <w:rFonts w:hint="eastAsia"/>
                <w:color w:val="000000"/>
                <w:spacing w:val="-10"/>
                <w:w w:val="15"/>
                <w:shd w:val="solid" w:color="000000" w:fill="000000"/>
                <w:fitText w:val="55" w:id="-1303140594"/>
                <w14:textFill>
                  <w14:solidFill>
                    <w14:srgbClr w14:val="000000">
                      <w14:alpha w14:val="100000"/>
                    </w14:srgbClr>
                  </w14:solidFill>
                </w14:textFill>
              </w:rPr>
              <w:t xml:space="preserve">　</w:t>
            </w:r>
            <w:r w:rsidR="009A60D3" w:rsidRPr="00E76150">
              <w:rPr>
                <w:rFonts w:cs="Arial"/>
                <w:iCs/>
                <w:sz w:val="18"/>
                <w:szCs w:val="18"/>
                <w:vertAlign w:val="superscript"/>
              </w:rPr>
              <w:t>1</w:t>
            </w:r>
          </w:p>
        </w:tc>
      </w:tr>
      <w:tr w:rsidR="000D3A37" w:rsidRPr="000A03FD" w14:paraId="22EB6924"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514C1424" w14:textId="77777777" w:rsidR="007510BA" w:rsidRPr="000A03FD" w:rsidRDefault="007510BA" w:rsidP="00EA6597">
            <w:pPr>
              <w:pStyle w:val="Tabletext"/>
              <w:keepNext/>
              <w:keepLines/>
            </w:pPr>
            <w:r w:rsidRPr="000A03FD">
              <w:t xml:space="preserve">Patients eligible for NP surgery </w:t>
            </w:r>
            <w:r w:rsidRPr="000A03FD">
              <w:rPr>
                <w:vertAlign w:val="superscript"/>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EAD7F9E" w14:textId="73077387"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4" w:id="-130314059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593"/>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593"/>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1105C8BD" w14:textId="6E0C3471"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4" w:id="-130314059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592"/>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592"/>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25F2A359" w14:textId="2294AA35"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60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608"/>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608"/>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5" w:type="dxa"/>
            <w:tcBorders>
              <w:top w:val="single" w:sz="4" w:space="0" w:color="auto"/>
              <w:left w:val="nil"/>
              <w:bottom w:val="single" w:sz="4" w:space="0" w:color="auto"/>
              <w:right w:val="single" w:sz="4" w:space="0" w:color="auto"/>
            </w:tcBorders>
            <w:shd w:val="clear" w:color="auto" w:fill="auto"/>
            <w:vAlign w:val="center"/>
          </w:tcPr>
          <w:p w14:paraId="68715902" w14:textId="092FFD4B"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3" w:id="-130314060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607"/>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607"/>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5F708D19" w14:textId="0AC0ECC1"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60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60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606"/>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7BE1DD15" w14:textId="7A4AC9CB"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60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605"/>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605"/>
                <w14:textFill>
                  <w14:solidFill>
                    <w14:srgbClr w14:val="000000">
                      <w14:alpha w14:val="100000"/>
                    </w14:srgbClr>
                  </w14:solidFill>
                </w14:textFill>
              </w:rPr>
              <w:t xml:space="preserve">　</w:t>
            </w:r>
            <w:r w:rsidR="009A60D3" w:rsidRPr="009A60D3">
              <w:rPr>
                <w:rFonts w:cs="Arial"/>
                <w:iCs/>
                <w:sz w:val="18"/>
                <w:szCs w:val="18"/>
                <w:vertAlign w:val="superscript"/>
              </w:rPr>
              <w:t>2</w:t>
            </w:r>
          </w:p>
        </w:tc>
      </w:tr>
      <w:tr w:rsidR="000D3A37" w:rsidRPr="000A03FD" w14:paraId="6C27A4BE"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3C2D3CF4" w14:textId="77777777" w:rsidR="007510BA" w:rsidRPr="000A03FD" w:rsidRDefault="007510BA" w:rsidP="00EA6597">
            <w:pPr>
              <w:pStyle w:val="Tabletext"/>
              <w:keepNext/>
              <w:keepLines/>
            </w:pPr>
            <w:r w:rsidRPr="000A03FD">
              <w:t xml:space="preserve">Patients ineligible for NP surgery </w:t>
            </w:r>
            <w:r w:rsidRPr="000A03FD">
              <w:rPr>
                <w:vertAlign w:val="superscript"/>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E88434B" w14:textId="52A02B02"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4" w:id="-130314060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604"/>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604"/>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3C8A683E" w14:textId="36B769FE"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4" w:id="-130314060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603"/>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603"/>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24CDDDC1" w14:textId="107F1668"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60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602"/>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602"/>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nil"/>
              <w:bottom w:val="single" w:sz="4" w:space="0" w:color="auto"/>
              <w:right w:val="single" w:sz="4" w:space="0" w:color="auto"/>
            </w:tcBorders>
            <w:shd w:val="clear" w:color="auto" w:fill="auto"/>
            <w:vAlign w:val="center"/>
          </w:tcPr>
          <w:p w14:paraId="08C0F6AE" w14:textId="33DAC24A"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3" w:id="-130314060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601"/>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601"/>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6DC42236" w14:textId="46283D95"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60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600"/>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600"/>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186169E1" w14:textId="4D999E84"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59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599"/>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599"/>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3427D39F"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47E7FC38" w14:textId="77777777" w:rsidR="007510BA" w:rsidRPr="000A03FD" w:rsidRDefault="007510BA" w:rsidP="00EA6597">
            <w:pPr>
              <w:pStyle w:val="Tabletext"/>
              <w:keepNext/>
              <w:keepLines/>
              <w:rPr>
                <w:vertAlign w:val="superscript"/>
              </w:rPr>
            </w:pPr>
            <w:r w:rsidRPr="000A03FD">
              <w:t xml:space="preserve">Total eligible patients </w:t>
            </w:r>
            <w:r w:rsidRPr="000A03FD">
              <w:rPr>
                <w:vertAlign w:val="superscript"/>
              </w:rPr>
              <w:t>b</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9C3B91A" w14:textId="0DC9841F" w:rsidR="007510BA" w:rsidRPr="0081171C" w:rsidDel="00676ED5"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59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598"/>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598"/>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54A0DC3B" w14:textId="3BC3D34D" w:rsidR="007510BA" w:rsidRPr="0081171C" w:rsidDel="00676ED5"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59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597"/>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597"/>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3A2DAFB5" w14:textId="24B2D561" w:rsidR="007510BA" w:rsidRPr="0081171C" w:rsidDel="00676ED5"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59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59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596"/>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5" w:type="dxa"/>
            <w:tcBorders>
              <w:top w:val="single" w:sz="4" w:space="0" w:color="auto"/>
              <w:left w:val="nil"/>
              <w:bottom w:val="single" w:sz="4" w:space="0" w:color="auto"/>
              <w:right w:val="single" w:sz="4" w:space="0" w:color="auto"/>
            </w:tcBorders>
            <w:shd w:val="clear" w:color="auto" w:fill="auto"/>
            <w:vAlign w:val="center"/>
          </w:tcPr>
          <w:p w14:paraId="05BA784B" w14:textId="30B8BA1F" w:rsidR="007510BA" w:rsidRPr="0081171C" w:rsidDel="00676ED5"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59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595"/>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595"/>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5DA577F0" w14:textId="36B97E37" w:rsidR="007510BA" w:rsidRPr="0081171C" w:rsidDel="00676ED5"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59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594"/>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594"/>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2FF70FD9" w14:textId="3833C949" w:rsidR="007510BA" w:rsidRPr="0081171C" w:rsidDel="00676ED5"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59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593"/>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593"/>
                <w14:textFill>
                  <w14:solidFill>
                    <w14:srgbClr w14:val="000000">
                      <w14:alpha w14:val="100000"/>
                    </w14:srgbClr>
                  </w14:solidFill>
                </w14:textFill>
              </w:rPr>
              <w:t xml:space="preserve">　</w:t>
            </w:r>
            <w:r w:rsidR="009A60D3" w:rsidRPr="009A60D3">
              <w:rPr>
                <w:rFonts w:cs="Arial"/>
                <w:iCs/>
                <w:sz w:val="18"/>
                <w:szCs w:val="18"/>
                <w:vertAlign w:val="superscript"/>
              </w:rPr>
              <w:t>2</w:t>
            </w:r>
          </w:p>
        </w:tc>
      </w:tr>
      <w:tr w:rsidR="000D3A37" w:rsidRPr="000A03FD" w14:paraId="2D5EEA14"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76EE41CA" w14:textId="77777777" w:rsidR="007510BA" w:rsidRPr="000A03FD" w:rsidRDefault="007510BA" w:rsidP="00EA6597">
            <w:pPr>
              <w:pStyle w:val="Tabletext"/>
              <w:keepNext/>
              <w:keepLines/>
            </w:pPr>
            <w:r w:rsidRPr="000A03FD">
              <w:t xml:space="preserve">Patients electing treatment </w:t>
            </w:r>
          </w:p>
        </w:tc>
      </w:tr>
      <w:tr w:rsidR="000D3A37" w:rsidRPr="000A03FD" w14:paraId="456B0535"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2D46D94F" w14:textId="77777777" w:rsidR="007510BA" w:rsidRPr="000A03FD" w:rsidRDefault="007510BA" w:rsidP="00EA6597">
            <w:pPr>
              <w:pStyle w:val="Tabletext"/>
              <w:keepNext/>
              <w:keepLines/>
            </w:pPr>
            <w:r w:rsidRPr="000A03FD">
              <w:t>Eligible for NP surgery (initial)</w:t>
            </w:r>
          </w:p>
        </w:tc>
        <w:tc>
          <w:tcPr>
            <w:tcW w:w="1085" w:type="dxa"/>
            <w:tcBorders>
              <w:top w:val="single" w:sz="4" w:space="0" w:color="auto"/>
              <w:left w:val="single" w:sz="4" w:space="0" w:color="auto"/>
              <w:bottom w:val="single" w:sz="4" w:space="0" w:color="auto"/>
              <w:right w:val="single" w:sz="4" w:space="0" w:color="auto"/>
            </w:tcBorders>
            <w:vAlign w:val="center"/>
          </w:tcPr>
          <w:p w14:paraId="120B6F96" w14:textId="792C021B"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4" w:id="-130314059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592"/>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592"/>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5BC496B2" w14:textId="7CA8D655"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4" w:id="-130314060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608"/>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608"/>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1FD61643" w14:textId="3DDADB2D"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5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52"/>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52"/>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7320DBE2" w14:textId="47D80985"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3" w:id="-130314035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51"/>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51"/>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4EA05B3F" w14:textId="46504DF6"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5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50"/>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50"/>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78D95A52" w14:textId="6D516B25"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9"/>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9"/>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03015226"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35B3A130" w14:textId="77777777" w:rsidR="007510BA" w:rsidRPr="000A03FD" w:rsidRDefault="007510BA" w:rsidP="00EA6597">
            <w:pPr>
              <w:pStyle w:val="Tabletext"/>
              <w:keepNext/>
              <w:keepLines/>
            </w:pPr>
            <w:r w:rsidRPr="000A03FD">
              <w:t>Ineligible for NP surgery (initial)</w:t>
            </w:r>
          </w:p>
        </w:tc>
        <w:tc>
          <w:tcPr>
            <w:tcW w:w="1085" w:type="dxa"/>
            <w:tcBorders>
              <w:top w:val="single" w:sz="4" w:space="0" w:color="auto"/>
              <w:left w:val="single" w:sz="4" w:space="0" w:color="auto"/>
              <w:bottom w:val="single" w:sz="4" w:space="0" w:color="auto"/>
              <w:right w:val="single" w:sz="4" w:space="0" w:color="auto"/>
            </w:tcBorders>
            <w:vAlign w:val="center"/>
          </w:tcPr>
          <w:p w14:paraId="473B8D99" w14:textId="0D76BC85"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4" w:id="-130314034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48"/>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48"/>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52B3F448" w14:textId="6037AE84"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4" w:id="-130314034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47"/>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47"/>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5CAF55DB" w14:textId="1C095B9A"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6"/>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4D7D9B62" w14:textId="0EDA7C93"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3" w:id="-130314034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45"/>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45"/>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66BEDCDC" w14:textId="60730F28"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4"/>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4"/>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432BD118" w14:textId="4BF9FE6E"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3"/>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3"/>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4DED13D3"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64B939C5" w14:textId="77777777" w:rsidR="007510BA" w:rsidRPr="000A03FD" w:rsidRDefault="007510BA" w:rsidP="00EA6597">
            <w:pPr>
              <w:pStyle w:val="Tabletext"/>
              <w:keepNext/>
              <w:keepLines/>
            </w:pPr>
            <w:r w:rsidRPr="000A03FD">
              <w:t>Eligible for NP surgery (continuing)</w:t>
            </w:r>
          </w:p>
        </w:tc>
        <w:tc>
          <w:tcPr>
            <w:tcW w:w="1085" w:type="dxa"/>
            <w:tcBorders>
              <w:top w:val="single" w:sz="4" w:space="0" w:color="auto"/>
              <w:left w:val="single" w:sz="4" w:space="0" w:color="auto"/>
              <w:bottom w:val="single" w:sz="4" w:space="0" w:color="auto"/>
              <w:right w:val="single" w:sz="4" w:space="0" w:color="auto"/>
            </w:tcBorders>
            <w:vAlign w:val="center"/>
          </w:tcPr>
          <w:p w14:paraId="30EA1CBA" w14:textId="0B782BFF"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4" w:id="-130314034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42"/>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42"/>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205CD41A" w14:textId="08C1DB7B"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4" w:id="-130314034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41"/>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41"/>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2441BCB1" w14:textId="11E8A714"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0"/>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0"/>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08F0A493" w14:textId="7B03BD86"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3" w:id="-130314033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39"/>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39"/>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12E65FD1" w14:textId="61D01F19"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3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8"/>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8"/>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2AF6822F" w14:textId="47DA4022"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3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7"/>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7"/>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01E5CB84"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1B1E5BD3" w14:textId="77777777" w:rsidR="007510BA" w:rsidRPr="000A03FD" w:rsidRDefault="007510BA" w:rsidP="00EA6597">
            <w:pPr>
              <w:pStyle w:val="Tabletext"/>
              <w:keepNext/>
              <w:keepLines/>
            </w:pPr>
            <w:r w:rsidRPr="000A03FD">
              <w:t>Ineligible for NP surgery (continuing)</w:t>
            </w:r>
          </w:p>
        </w:tc>
        <w:tc>
          <w:tcPr>
            <w:tcW w:w="1085" w:type="dxa"/>
            <w:tcBorders>
              <w:top w:val="single" w:sz="4" w:space="0" w:color="auto"/>
              <w:left w:val="single" w:sz="4" w:space="0" w:color="auto"/>
              <w:bottom w:val="single" w:sz="4" w:space="0" w:color="auto"/>
              <w:right w:val="single" w:sz="4" w:space="0" w:color="auto"/>
            </w:tcBorders>
            <w:vAlign w:val="center"/>
          </w:tcPr>
          <w:p w14:paraId="76B55CC7" w14:textId="62658643"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4" w:id="-130314033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36"/>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36"/>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26B5482A" w14:textId="0E111212"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4" w:id="-130314035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52"/>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52"/>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139E2F21" w14:textId="6D44D199"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5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51"/>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51"/>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3682BD7C" w14:textId="39339D33"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63" w:id="-130314035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50"/>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50"/>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50AC163D" w14:textId="07225BF6"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9"/>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9"/>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74DDF3FB" w14:textId="50E2BA20" w:rsidR="007510BA" w:rsidRPr="0081171C" w:rsidRDefault="0020233B" w:rsidP="00EA6597">
            <w:pPr>
              <w:pStyle w:val="Tabletext"/>
              <w:keepNext/>
              <w:keepLines/>
              <w:jc w:val="center"/>
              <w:rPr>
                <w:highlight w:val="yellow"/>
              </w:rPr>
            </w:pPr>
            <w:r w:rsidRPr="0020233B">
              <w:rPr>
                <w:rFonts w:cstheme="minorHAnsi" w:hint="eastAsia"/>
                <w:color w:val="000000"/>
                <w:w w:val="15"/>
                <w:szCs w:val="20"/>
                <w:shd w:val="solid" w:color="000000" w:fill="000000"/>
                <w:fitText w:val="55" w:id="-130314034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8"/>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8"/>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3F66CF71"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67BD26A5" w14:textId="77777777" w:rsidR="007510BA" w:rsidRPr="000A03FD" w:rsidRDefault="007510BA" w:rsidP="00EA6597">
            <w:pPr>
              <w:pStyle w:val="Tabletext"/>
              <w:keepNext/>
              <w:keepLines/>
            </w:pPr>
            <w:r w:rsidRPr="000A03FD">
              <w:t xml:space="preserve">Total electing treatment (initial) </w:t>
            </w:r>
            <w:r w:rsidRPr="000A03FD">
              <w:rPr>
                <w:vertAlign w:val="superscript"/>
              </w:rPr>
              <w:t>c</w:t>
            </w:r>
          </w:p>
        </w:tc>
        <w:tc>
          <w:tcPr>
            <w:tcW w:w="1085" w:type="dxa"/>
            <w:tcBorders>
              <w:top w:val="single" w:sz="4" w:space="0" w:color="auto"/>
              <w:left w:val="single" w:sz="4" w:space="0" w:color="auto"/>
              <w:bottom w:val="single" w:sz="4" w:space="0" w:color="auto"/>
              <w:right w:val="single" w:sz="4" w:space="0" w:color="auto"/>
            </w:tcBorders>
            <w:vAlign w:val="center"/>
          </w:tcPr>
          <w:p w14:paraId="5E8081C7" w14:textId="6ACFE4E2"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34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47"/>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47"/>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02FF871D" w14:textId="1165F408"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34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46"/>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46"/>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1FEF1284" w14:textId="66058434"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5"/>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5"/>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31A62786" w14:textId="16D7EAE3"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34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44"/>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44"/>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tcPr>
          <w:p w14:paraId="4E471ACB" w14:textId="26128CC1"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3"/>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3"/>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tcPr>
          <w:p w14:paraId="18DBB2CB" w14:textId="685CB756"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2"/>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2"/>
                <w14:textFill>
                  <w14:solidFill>
                    <w14:srgbClr w14:val="000000">
                      <w14:alpha w14:val="100000"/>
                    </w14:srgbClr>
                  </w14:solidFill>
                </w14:textFill>
              </w:rPr>
              <w:t xml:space="preserve">　</w:t>
            </w:r>
            <w:r w:rsidR="009A60D3" w:rsidRPr="009A60D3">
              <w:rPr>
                <w:rFonts w:cs="Arial"/>
                <w:iCs/>
                <w:sz w:val="18"/>
                <w:szCs w:val="18"/>
                <w:vertAlign w:val="superscript"/>
              </w:rPr>
              <w:t>2</w:t>
            </w:r>
          </w:p>
        </w:tc>
      </w:tr>
      <w:tr w:rsidR="000D3A37" w:rsidRPr="000A03FD" w14:paraId="419A7BF4"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6630F6A5" w14:textId="77777777" w:rsidR="007510BA" w:rsidRPr="000A03FD" w:rsidRDefault="007510BA" w:rsidP="00EA6597">
            <w:pPr>
              <w:pStyle w:val="Tabletext"/>
              <w:keepNext/>
              <w:keepLines/>
            </w:pPr>
            <w:r w:rsidRPr="000A03FD">
              <w:t xml:space="preserve">Total electing treatment (continuing) </w:t>
            </w:r>
            <w:r w:rsidRPr="000A03FD">
              <w:rPr>
                <w:vertAlign w:val="superscript"/>
              </w:rPr>
              <w:t>d</w:t>
            </w:r>
          </w:p>
        </w:tc>
        <w:tc>
          <w:tcPr>
            <w:tcW w:w="1085" w:type="dxa"/>
            <w:tcBorders>
              <w:top w:val="single" w:sz="4" w:space="0" w:color="auto"/>
              <w:left w:val="single" w:sz="4" w:space="0" w:color="auto"/>
              <w:bottom w:val="single" w:sz="4" w:space="0" w:color="auto"/>
              <w:right w:val="single" w:sz="4" w:space="0" w:color="auto"/>
            </w:tcBorders>
            <w:vAlign w:val="center"/>
          </w:tcPr>
          <w:p w14:paraId="7F72F48D" w14:textId="0C028DA0"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34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41"/>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41"/>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781CB28A" w14:textId="44234565"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34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40"/>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40"/>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7FFA58EE" w14:textId="4C95598F"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3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9"/>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9"/>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4232ABF4" w14:textId="4574615C"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33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38"/>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38"/>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2CFB9578" w14:textId="63F6F050"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3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7"/>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7"/>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4AA1F0AA" w14:textId="3643EF00"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3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6"/>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2766A428"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tcPr>
          <w:p w14:paraId="5E922372" w14:textId="77777777" w:rsidR="007510BA" w:rsidRPr="000A03FD" w:rsidRDefault="007510BA" w:rsidP="00EA6597">
            <w:pPr>
              <w:pStyle w:val="Tabletext"/>
              <w:keepNext/>
              <w:keepLines/>
              <w:rPr>
                <w:rFonts w:cstheme="minorHAnsi"/>
                <w:szCs w:val="20"/>
              </w:rPr>
            </w:pPr>
            <w:r w:rsidRPr="000A03FD">
              <w:t>Number of scripts (mepolizumab)</w:t>
            </w:r>
          </w:p>
        </w:tc>
      </w:tr>
      <w:tr w:rsidR="000D3A37" w:rsidRPr="000A03FD" w14:paraId="535008F7"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27B460E8" w14:textId="77777777" w:rsidR="007510BA" w:rsidRPr="000A03FD" w:rsidRDefault="007510BA" w:rsidP="00EA6597">
            <w:pPr>
              <w:pStyle w:val="Tabletext"/>
              <w:keepNext/>
              <w:keepLines/>
              <w:rPr>
                <w:vertAlign w:val="superscript"/>
              </w:rPr>
            </w:pPr>
            <w:r w:rsidRPr="000A03FD">
              <w:t xml:space="preserve">Patient-years (initial) </w:t>
            </w:r>
            <w:r w:rsidRPr="000A03FD">
              <w:rPr>
                <w:vertAlign w:val="superscript"/>
              </w:rPr>
              <w:t>e</w:t>
            </w:r>
          </w:p>
        </w:tc>
        <w:tc>
          <w:tcPr>
            <w:tcW w:w="1085" w:type="dxa"/>
            <w:tcBorders>
              <w:top w:val="single" w:sz="4" w:space="0" w:color="auto"/>
              <w:left w:val="single" w:sz="4" w:space="0" w:color="auto"/>
              <w:bottom w:val="single" w:sz="4" w:space="0" w:color="auto"/>
              <w:right w:val="single" w:sz="4" w:space="0" w:color="auto"/>
            </w:tcBorders>
            <w:vAlign w:val="center"/>
          </w:tcPr>
          <w:p w14:paraId="4DF67DF8" w14:textId="10CEED45"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35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52"/>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52"/>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044B7D32" w14:textId="39012F19"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35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51"/>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51"/>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5F0EA26E" w14:textId="1F77587B"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5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50"/>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50"/>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4F7A49CD" w14:textId="1CAA5EBD"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34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49"/>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49"/>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216E1045" w14:textId="3E16766C"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8"/>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8"/>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1672F5E5" w14:textId="416DF3E2"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7"/>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7"/>
                <w14:textFill>
                  <w14:solidFill>
                    <w14:srgbClr w14:val="000000">
                      <w14:alpha w14:val="100000"/>
                    </w14:srgbClr>
                  </w14:solidFill>
                </w14:textFill>
              </w:rPr>
              <w:t xml:space="preserve">　</w:t>
            </w:r>
            <w:r w:rsidR="009A60D3" w:rsidRPr="009A60D3">
              <w:rPr>
                <w:rFonts w:cs="Arial"/>
                <w:iCs/>
                <w:sz w:val="18"/>
                <w:szCs w:val="18"/>
                <w:vertAlign w:val="superscript"/>
              </w:rPr>
              <w:t>3</w:t>
            </w:r>
          </w:p>
        </w:tc>
      </w:tr>
      <w:tr w:rsidR="000D3A37" w:rsidRPr="000A03FD" w14:paraId="3593FBF1"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4074BD1A" w14:textId="77777777" w:rsidR="007510BA" w:rsidRPr="000A03FD" w:rsidRDefault="007510BA" w:rsidP="00EA6597">
            <w:pPr>
              <w:pStyle w:val="Tabletext"/>
              <w:keepNext/>
              <w:keepLines/>
              <w:rPr>
                <w:vertAlign w:val="superscript"/>
              </w:rPr>
            </w:pPr>
            <w:r w:rsidRPr="000A03FD">
              <w:t xml:space="preserve">Patient-years (continuing) </w:t>
            </w:r>
            <w:r w:rsidRPr="000A03FD">
              <w:rPr>
                <w:vertAlign w:val="superscript"/>
              </w:rPr>
              <w:t>f</w:t>
            </w:r>
          </w:p>
        </w:tc>
        <w:tc>
          <w:tcPr>
            <w:tcW w:w="1085" w:type="dxa"/>
            <w:tcBorders>
              <w:top w:val="single" w:sz="4" w:space="0" w:color="auto"/>
              <w:left w:val="single" w:sz="4" w:space="0" w:color="auto"/>
              <w:bottom w:val="single" w:sz="4" w:space="0" w:color="auto"/>
              <w:right w:val="single" w:sz="4" w:space="0" w:color="auto"/>
            </w:tcBorders>
            <w:vAlign w:val="center"/>
          </w:tcPr>
          <w:p w14:paraId="59877253" w14:textId="75A948A2"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34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46"/>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46"/>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3C39B8DD" w14:textId="48B7624D"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34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45"/>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45"/>
                <w14:textFill>
                  <w14:solidFill>
                    <w14:srgbClr w14:val="000000">
                      <w14:alpha w14:val="100000"/>
                    </w14:srgbClr>
                  </w14:solidFill>
                </w14:textFill>
              </w:rPr>
              <w:t xml:space="preserve">　</w:t>
            </w:r>
            <w:r w:rsidR="009A60D3" w:rsidRPr="009A60D3">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0D75C08B" w14:textId="15ADCF7A"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4"/>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4"/>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5" w:type="dxa"/>
            <w:tcBorders>
              <w:top w:val="single" w:sz="4" w:space="0" w:color="auto"/>
              <w:left w:val="single" w:sz="4" w:space="0" w:color="auto"/>
              <w:bottom w:val="single" w:sz="4" w:space="0" w:color="auto"/>
              <w:right w:val="single" w:sz="4" w:space="0" w:color="auto"/>
            </w:tcBorders>
            <w:vAlign w:val="center"/>
          </w:tcPr>
          <w:p w14:paraId="79684832" w14:textId="3BC0A4A7"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34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43"/>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43"/>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tcPr>
          <w:p w14:paraId="30A68CBE" w14:textId="438F4E93"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2"/>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2"/>
                <w14:textFill>
                  <w14:solidFill>
                    <w14:srgbClr w14:val="000000">
                      <w14:alpha w14:val="100000"/>
                    </w14:srgbClr>
                  </w14:solidFill>
                </w14:textFill>
              </w:rPr>
              <w:t xml:space="preserve">　</w:t>
            </w:r>
            <w:r w:rsidR="009A60D3" w:rsidRPr="009A60D3">
              <w:rPr>
                <w:rFonts w:cs="Arial"/>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tcPr>
          <w:p w14:paraId="00722221" w14:textId="4A89299E" w:rsidR="007510BA" w:rsidRPr="0081171C" w:rsidRDefault="0020233B" w:rsidP="00EA6597">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34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41"/>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41"/>
                <w14:textFill>
                  <w14:solidFill>
                    <w14:srgbClr w14:val="000000">
                      <w14:alpha w14:val="100000"/>
                    </w14:srgbClr>
                  </w14:solidFill>
                </w14:textFill>
              </w:rPr>
              <w:t xml:space="preserve">　</w:t>
            </w:r>
            <w:r w:rsidR="009A60D3" w:rsidRPr="009A60D3">
              <w:rPr>
                <w:rFonts w:cs="Arial"/>
                <w:iCs/>
                <w:sz w:val="18"/>
                <w:szCs w:val="18"/>
                <w:vertAlign w:val="superscript"/>
              </w:rPr>
              <w:t>2</w:t>
            </w:r>
          </w:p>
        </w:tc>
      </w:tr>
      <w:tr w:rsidR="000D3A37" w:rsidRPr="000A03FD" w14:paraId="4F627D66"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09352FFC" w14:textId="77777777" w:rsidR="007510BA" w:rsidRPr="000A03FD" w:rsidRDefault="007510BA" w:rsidP="00EA6597">
            <w:pPr>
              <w:pStyle w:val="Tabletext"/>
              <w:keepNext/>
              <w:keepLines/>
              <w:rPr>
                <w:vertAlign w:val="superscript"/>
              </w:rPr>
            </w:pPr>
            <w:r w:rsidRPr="000A03FD">
              <w:t xml:space="preserve">Total PBS/RPBS scripts (initial) </w:t>
            </w:r>
            <w:r w:rsidRPr="000A03FD">
              <w:rPr>
                <w:vertAlign w:val="superscript"/>
              </w:rPr>
              <w:t>g</w:t>
            </w:r>
          </w:p>
        </w:tc>
        <w:tc>
          <w:tcPr>
            <w:tcW w:w="1085" w:type="dxa"/>
            <w:tcBorders>
              <w:top w:val="single" w:sz="4" w:space="0" w:color="auto"/>
              <w:left w:val="single" w:sz="4" w:space="0" w:color="auto"/>
              <w:bottom w:val="single" w:sz="4" w:space="0" w:color="auto"/>
              <w:right w:val="single" w:sz="4" w:space="0" w:color="auto"/>
            </w:tcBorders>
            <w:vAlign w:val="center"/>
          </w:tcPr>
          <w:p w14:paraId="587E96E9" w14:textId="356E83E0"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4" w:id="-1303140340"/>
                <w14:textFill>
                  <w14:solidFill>
                    <w14:srgbClr w14:val="000000">
                      <w14:alpha w14:val="100000"/>
                    </w14:srgbClr>
                  </w14:solidFill>
                </w14:textFill>
              </w:rPr>
              <w:t xml:space="preserve">　</w:t>
            </w:r>
            <w:r w:rsidRPr="0020233B">
              <w:rPr>
                <w:color w:val="000000"/>
                <w:w w:val="15"/>
                <w:shd w:val="solid" w:color="000000" w:fill="000000"/>
                <w:fitText w:val="64" w:id="-1303140340"/>
                <w14:textFill>
                  <w14:solidFill>
                    <w14:srgbClr w14:val="000000">
                      <w14:alpha w14:val="100000"/>
                    </w14:srgbClr>
                  </w14:solidFill>
                </w14:textFill>
              </w:rPr>
              <w:t>|</w:t>
            </w:r>
            <w:r w:rsidRPr="0020233B">
              <w:rPr>
                <w:rFonts w:hint="eastAsia"/>
                <w:color w:val="000000"/>
                <w:spacing w:val="-1"/>
                <w:w w:val="15"/>
                <w:shd w:val="solid" w:color="000000" w:fill="000000"/>
                <w:fitText w:val="64" w:id="-1303140340"/>
                <w14:textFill>
                  <w14:solidFill>
                    <w14:srgbClr w14:val="000000">
                      <w14:alpha w14:val="100000"/>
                    </w14:srgbClr>
                  </w14:solidFill>
                </w14:textFill>
              </w:rPr>
              <w:t xml:space="preserve">　</w:t>
            </w:r>
            <w:r w:rsidR="009A60D3" w:rsidRPr="009A60D3">
              <w:rPr>
                <w:rFonts w:cs="Arial"/>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tcPr>
          <w:p w14:paraId="0B70439C" w14:textId="5D59A75A"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4" w:id="-1303140339"/>
                <w14:textFill>
                  <w14:solidFill>
                    <w14:srgbClr w14:val="000000">
                      <w14:alpha w14:val="100000"/>
                    </w14:srgbClr>
                  </w14:solidFill>
                </w14:textFill>
              </w:rPr>
              <w:t xml:space="preserve">　</w:t>
            </w:r>
            <w:r w:rsidRPr="0020233B">
              <w:rPr>
                <w:color w:val="000000"/>
                <w:w w:val="15"/>
                <w:shd w:val="solid" w:color="000000" w:fill="000000"/>
                <w:fitText w:val="54" w:id="-1303140339"/>
                <w14:textFill>
                  <w14:solidFill>
                    <w14:srgbClr w14:val="000000">
                      <w14:alpha w14:val="100000"/>
                    </w14:srgbClr>
                  </w14:solidFill>
                </w14:textFill>
              </w:rPr>
              <w:t>|</w:t>
            </w:r>
            <w:r w:rsidRPr="0020233B">
              <w:rPr>
                <w:rFonts w:hint="eastAsia"/>
                <w:color w:val="000000"/>
                <w:spacing w:val="-11"/>
                <w:w w:val="15"/>
                <w:shd w:val="solid" w:color="000000" w:fill="000000"/>
                <w:fitText w:val="54" w:id="-1303140339"/>
                <w14:textFill>
                  <w14:solidFill>
                    <w14:srgbClr w14:val="000000">
                      <w14:alpha w14:val="100000"/>
                    </w14:srgbClr>
                  </w14:solidFill>
                </w14:textFill>
              </w:rPr>
              <w:t xml:space="preserve">　</w:t>
            </w:r>
            <w:r w:rsidR="009A60D3" w:rsidRPr="009A60D3">
              <w:rPr>
                <w:rFonts w:cs="Arial"/>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tcPr>
          <w:p w14:paraId="6CDE7EC7" w14:textId="7B3DA869"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38"/>
                <w14:textFill>
                  <w14:solidFill>
                    <w14:srgbClr w14:val="000000">
                      <w14:alpha w14:val="100000"/>
                    </w14:srgbClr>
                  </w14:solidFill>
                </w14:textFill>
              </w:rPr>
              <w:t xml:space="preserve">　</w:t>
            </w:r>
            <w:r w:rsidRPr="0020233B">
              <w:rPr>
                <w:color w:val="000000"/>
                <w:w w:val="15"/>
                <w:shd w:val="solid" w:color="000000" w:fill="000000"/>
                <w:fitText w:val="55" w:id="-1303140338"/>
                <w14:textFill>
                  <w14:solidFill>
                    <w14:srgbClr w14:val="000000">
                      <w14:alpha w14:val="100000"/>
                    </w14:srgbClr>
                  </w14:solidFill>
                </w14:textFill>
              </w:rPr>
              <w:t>|</w:t>
            </w:r>
            <w:r w:rsidRPr="0020233B">
              <w:rPr>
                <w:rFonts w:hint="eastAsia"/>
                <w:color w:val="000000"/>
                <w:spacing w:val="-10"/>
                <w:w w:val="15"/>
                <w:shd w:val="solid" w:color="000000" w:fill="000000"/>
                <w:fitText w:val="55" w:id="-1303140338"/>
                <w14:textFill>
                  <w14:solidFill>
                    <w14:srgbClr w14:val="000000">
                      <w14:alpha w14:val="100000"/>
                    </w14:srgbClr>
                  </w14:solidFill>
                </w14:textFill>
              </w:rPr>
              <w:t xml:space="preserve">　</w:t>
            </w:r>
            <w:r w:rsidR="009A60D3" w:rsidRPr="009A60D3">
              <w:rPr>
                <w:rFonts w:cs="Arial"/>
                <w:iCs/>
                <w:sz w:val="18"/>
                <w:szCs w:val="18"/>
                <w:vertAlign w:val="superscript"/>
              </w:rPr>
              <w:t>4</w:t>
            </w:r>
          </w:p>
        </w:tc>
        <w:tc>
          <w:tcPr>
            <w:tcW w:w="1085" w:type="dxa"/>
            <w:tcBorders>
              <w:top w:val="single" w:sz="4" w:space="0" w:color="auto"/>
              <w:left w:val="single" w:sz="4" w:space="0" w:color="auto"/>
              <w:bottom w:val="single" w:sz="4" w:space="0" w:color="auto"/>
              <w:right w:val="single" w:sz="4" w:space="0" w:color="auto"/>
            </w:tcBorders>
            <w:vAlign w:val="center"/>
          </w:tcPr>
          <w:p w14:paraId="2EB28098" w14:textId="3C79DF4A"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3" w:id="-1303140337"/>
                <w14:textFill>
                  <w14:solidFill>
                    <w14:srgbClr w14:val="000000">
                      <w14:alpha w14:val="100000"/>
                    </w14:srgbClr>
                  </w14:solidFill>
                </w14:textFill>
              </w:rPr>
              <w:t xml:space="preserve">　</w:t>
            </w:r>
            <w:r w:rsidRPr="0020233B">
              <w:rPr>
                <w:color w:val="000000"/>
                <w:w w:val="15"/>
                <w:shd w:val="solid" w:color="000000" w:fill="000000"/>
                <w:fitText w:val="63" w:id="-1303140337"/>
                <w14:textFill>
                  <w14:solidFill>
                    <w14:srgbClr w14:val="000000">
                      <w14:alpha w14:val="100000"/>
                    </w14:srgbClr>
                  </w14:solidFill>
                </w14:textFill>
              </w:rPr>
              <w:t>|</w:t>
            </w:r>
            <w:r w:rsidRPr="0020233B">
              <w:rPr>
                <w:rFonts w:hint="eastAsia"/>
                <w:color w:val="000000"/>
                <w:spacing w:val="-2"/>
                <w:w w:val="15"/>
                <w:shd w:val="solid" w:color="000000" w:fill="000000"/>
                <w:fitText w:val="63" w:id="-1303140337"/>
                <w14:textFill>
                  <w14:solidFill>
                    <w14:srgbClr w14:val="000000">
                      <w14:alpha w14:val="100000"/>
                    </w14:srgbClr>
                  </w14:solidFill>
                </w14:textFill>
              </w:rPr>
              <w:t xml:space="preserve">　</w:t>
            </w:r>
            <w:r w:rsidR="009A60D3" w:rsidRPr="009A60D3">
              <w:rPr>
                <w:rFonts w:cs="Arial"/>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tcPr>
          <w:p w14:paraId="10FC1B11" w14:textId="08637EE6"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36"/>
                <w14:textFill>
                  <w14:solidFill>
                    <w14:srgbClr w14:val="000000">
                      <w14:alpha w14:val="100000"/>
                    </w14:srgbClr>
                  </w14:solidFill>
                </w14:textFill>
              </w:rPr>
              <w:t xml:space="preserve">　</w:t>
            </w:r>
            <w:r w:rsidRPr="0020233B">
              <w:rPr>
                <w:color w:val="000000"/>
                <w:w w:val="15"/>
                <w:shd w:val="solid" w:color="000000" w:fill="000000"/>
                <w:fitText w:val="55" w:id="-1303140336"/>
                <w14:textFill>
                  <w14:solidFill>
                    <w14:srgbClr w14:val="000000">
                      <w14:alpha w14:val="100000"/>
                    </w14:srgbClr>
                  </w14:solidFill>
                </w14:textFill>
              </w:rPr>
              <w:t>|</w:t>
            </w:r>
            <w:r w:rsidRPr="0020233B">
              <w:rPr>
                <w:rFonts w:hint="eastAsia"/>
                <w:color w:val="000000"/>
                <w:spacing w:val="-10"/>
                <w:w w:val="15"/>
                <w:shd w:val="solid" w:color="000000" w:fill="000000"/>
                <w:fitText w:val="55" w:id="-1303140336"/>
                <w14:textFill>
                  <w14:solidFill>
                    <w14:srgbClr w14:val="000000">
                      <w14:alpha w14:val="100000"/>
                    </w14:srgbClr>
                  </w14:solidFill>
                </w14:textFill>
              </w:rPr>
              <w:t xml:space="preserve">　</w:t>
            </w:r>
            <w:r w:rsidR="009A60D3" w:rsidRPr="009A60D3">
              <w:rPr>
                <w:rFonts w:cs="Arial"/>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tcPr>
          <w:p w14:paraId="32A71878" w14:textId="6FAF2271"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52"/>
                <w14:textFill>
                  <w14:solidFill>
                    <w14:srgbClr w14:val="000000">
                      <w14:alpha w14:val="100000"/>
                    </w14:srgbClr>
                  </w14:solidFill>
                </w14:textFill>
              </w:rPr>
              <w:t xml:space="preserve">　</w:t>
            </w:r>
            <w:r w:rsidRPr="0020233B">
              <w:rPr>
                <w:color w:val="000000"/>
                <w:w w:val="15"/>
                <w:shd w:val="solid" w:color="000000" w:fill="000000"/>
                <w:fitText w:val="55" w:id="-1303140352"/>
                <w14:textFill>
                  <w14:solidFill>
                    <w14:srgbClr w14:val="000000">
                      <w14:alpha w14:val="100000"/>
                    </w14:srgbClr>
                  </w14:solidFill>
                </w14:textFill>
              </w:rPr>
              <w:t>|</w:t>
            </w:r>
            <w:r w:rsidRPr="0020233B">
              <w:rPr>
                <w:rFonts w:hint="eastAsia"/>
                <w:color w:val="000000"/>
                <w:spacing w:val="-10"/>
                <w:w w:val="15"/>
                <w:shd w:val="solid" w:color="000000" w:fill="000000"/>
                <w:fitText w:val="55" w:id="-1303140352"/>
                <w14:textFill>
                  <w14:solidFill>
                    <w14:srgbClr w14:val="000000">
                      <w14:alpha w14:val="100000"/>
                    </w14:srgbClr>
                  </w14:solidFill>
                </w14:textFill>
              </w:rPr>
              <w:t xml:space="preserve">　</w:t>
            </w:r>
            <w:r w:rsidR="009A60D3" w:rsidRPr="009A60D3">
              <w:rPr>
                <w:rFonts w:cs="Arial"/>
                <w:iCs/>
                <w:sz w:val="18"/>
                <w:szCs w:val="18"/>
                <w:vertAlign w:val="superscript"/>
              </w:rPr>
              <w:t>4</w:t>
            </w:r>
          </w:p>
        </w:tc>
      </w:tr>
      <w:tr w:rsidR="000D3A37" w:rsidRPr="000A03FD" w14:paraId="4E8BF53C"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107188AD" w14:textId="77777777" w:rsidR="007510BA" w:rsidRPr="000A03FD" w:rsidRDefault="007510BA" w:rsidP="00EA6597">
            <w:pPr>
              <w:pStyle w:val="Tabletext"/>
              <w:keepNext/>
              <w:keepLines/>
            </w:pPr>
            <w:r w:rsidRPr="000A03FD">
              <w:t xml:space="preserve">Total PBS/RPBS scripts (continuing) </w:t>
            </w:r>
            <w:r w:rsidRPr="000A03FD">
              <w:rPr>
                <w:vertAlign w:val="superscript"/>
              </w:rPr>
              <w:t>h</w:t>
            </w:r>
          </w:p>
        </w:tc>
        <w:tc>
          <w:tcPr>
            <w:tcW w:w="1085" w:type="dxa"/>
            <w:tcBorders>
              <w:top w:val="single" w:sz="4" w:space="0" w:color="auto"/>
              <w:left w:val="single" w:sz="4" w:space="0" w:color="auto"/>
              <w:bottom w:val="single" w:sz="4" w:space="0" w:color="auto"/>
              <w:right w:val="single" w:sz="4" w:space="0" w:color="auto"/>
            </w:tcBorders>
            <w:vAlign w:val="center"/>
          </w:tcPr>
          <w:p w14:paraId="6E95076C" w14:textId="7AD9FD9A"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4" w:id="-1303140351"/>
                <w14:textFill>
                  <w14:solidFill>
                    <w14:srgbClr w14:val="000000">
                      <w14:alpha w14:val="100000"/>
                    </w14:srgbClr>
                  </w14:solidFill>
                </w14:textFill>
              </w:rPr>
              <w:t xml:space="preserve">　</w:t>
            </w:r>
            <w:r w:rsidRPr="0020233B">
              <w:rPr>
                <w:color w:val="000000"/>
                <w:w w:val="15"/>
                <w:shd w:val="solid" w:color="000000" w:fill="000000"/>
                <w:fitText w:val="64" w:id="-1303140351"/>
                <w14:textFill>
                  <w14:solidFill>
                    <w14:srgbClr w14:val="000000">
                      <w14:alpha w14:val="100000"/>
                    </w14:srgbClr>
                  </w14:solidFill>
                </w14:textFill>
              </w:rPr>
              <w:t>|</w:t>
            </w:r>
            <w:r w:rsidRPr="0020233B">
              <w:rPr>
                <w:rFonts w:hint="eastAsia"/>
                <w:color w:val="000000"/>
                <w:spacing w:val="-1"/>
                <w:w w:val="15"/>
                <w:shd w:val="solid" w:color="000000" w:fill="000000"/>
                <w:fitText w:val="64" w:id="-1303140351"/>
                <w14:textFill>
                  <w14:solidFill>
                    <w14:srgbClr w14:val="000000">
                      <w14:alpha w14:val="100000"/>
                    </w14:srgbClr>
                  </w14:solidFill>
                </w14:textFill>
              </w:rPr>
              <w:t xml:space="preserve">　</w:t>
            </w:r>
            <w:r w:rsidR="005273F0" w:rsidRPr="009A60D3">
              <w:rPr>
                <w:rFonts w:cs="Arial"/>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tcPr>
          <w:p w14:paraId="664AAB60" w14:textId="42207937"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4" w:id="-1303140350"/>
                <w14:textFill>
                  <w14:solidFill>
                    <w14:srgbClr w14:val="000000">
                      <w14:alpha w14:val="100000"/>
                    </w14:srgbClr>
                  </w14:solidFill>
                </w14:textFill>
              </w:rPr>
              <w:t xml:space="preserve">　</w:t>
            </w:r>
            <w:r w:rsidRPr="0020233B">
              <w:rPr>
                <w:color w:val="000000"/>
                <w:w w:val="15"/>
                <w:shd w:val="solid" w:color="000000" w:fill="000000"/>
                <w:fitText w:val="54" w:id="-1303140350"/>
                <w14:textFill>
                  <w14:solidFill>
                    <w14:srgbClr w14:val="000000">
                      <w14:alpha w14:val="100000"/>
                    </w14:srgbClr>
                  </w14:solidFill>
                </w14:textFill>
              </w:rPr>
              <w:t>|</w:t>
            </w:r>
            <w:r w:rsidRPr="0020233B">
              <w:rPr>
                <w:rFonts w:hint="eastAsia"/>
                <w:color w:val="000000"/>
                <w:spacing w:val="-11"/>
                <w:w w:val="15"/>
                <w:shd w:val="solid" w:color="000000" w:fill="000000"/>
                <w:fitText w:val="54" w:id="-1303140350"/>
                <w14:textFill>
                  <w14:solidFill>
                    <w14:srgbClr w14:val="000000">
                      <w14:alpha w14:val="100000"/>
                    </w14:srgbClr>
                  </w14:solidFill>
                </w14:textFill>
              </w:rPr>
              <w:t xml:space="preserve">　</w:t>
            </w:r>
            <w:r w:rsidR="005273F0" w:rsidRPr="005273F0">
              <w:rPr>
                <w:rFonts w:cs="Arial"/>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vAlign w:val="center"/>
          </w:tcPr>
          <w:p w14:paraId="599D6681" w14:textId="40EA6601"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9"/>
                <w14:textFill>
                  <w14:solidFill>
                    <w14:srgbClr w14:val="000000">
                      <w14:alpha w14:val="100000"/>
                    </w14:srgbClr>
                  </w14:solidFill>
                </w14:textFill>
              </w:rPr>
              <w:t xml:space="preserve">　</w:t>
            </w:r>
            <w:r w:rsidRPr="0020233B">
              <w:rPr>
                <w:color w:val="000000"/>
                <w:w w:val="15"/>
                <w:shd w:val="solid" w:color="000000" w:fill="000000"/>
                <w:fitText w:val="55" w:id="-1303140349"/>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9"/>
                <w14:textFill>
                  <w14:solidFill>
                    <w14:srgbClr w14:val="000000">
                      <w14:alpha w14:val="100000"/>
                    </w14:srgbClr>
                  </w14:solidFill>
                </w14:textFill>
              </w:rPr>
              <w:t xml:space="preserve">　</w:t>
            </w:r>
            <w:r w:rsidR="005273F0" w:rsidRPr="005273F0">
              <w:rPr>
                <w:rFonts w:cs="Arial"/>
                <w:iCs/>
                <w:sz w:val="18"/>
                <w:szCs w:val="18"/>
                <w:vertAlign w:val="superscript"/>
              </w:rPr>
              <w:t>7</w:t>
            </w:r>
          </w:p>
        </w:tc>
        <w:tc>
          <w:tcPr>
            <w:tcW w:w="1085" w:type="dxa"/>
            <w:tcBorders>
              <w:top w:val="single" w:sz="4" w:space="0" w:color="auto"/>
              <w:left w:val="single" w:sz="4" w:space="0" w:color="auto"/>
              <w:bottom w:val="single" w:sz="4" w:space="0" w:color="auto"/>
              <w:right w:val="single" w:sz="4" w:space="0" w:color="auto"/>
            </w:tcBorders>
            <w:vAlign w:val="center"/>
          </w:tcPr>
          <w:p w14:paraId="06723A89" w14:textId="4D97598C"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3" w:id="-1303140348"/>
                <w14:textFill>
                  <w14:solidFill>
                    <w14:srgbClr w14:val="000000">
                      <w14:alpha w14:val="100000"/>
                    </w14:srgbClr>
                  </w14:solidFill>
                </w14:textFill>
              </w:rPr>
              <w:t xml:space="preserve">　</w:t>
            </w:r>
            <w:r w:rsidRPr="0020233B">
              <w:rPr>
                <w:color w:val="000000"/>
                <w:w w:val="15"/>
                <w:shd w:val="solid" w:color="000000" w:fill="000000"/>
                <w:fitText w:val="63" w:id="-1303140348"/>
                <w14:textFill>
                  <w14:solidFill>
                    <w14:srgbClr w14:val="000000">
                      <w14:alpha w14:val="100000"/>
                    </w14:srgbClr>
                  </w14:solidFill>
                </w14:textFill>
              </w:rPr>
              <w:t>|</w:t>
            </w:r>
            <w:r w:rsidRPr="0020233B">
              <w:rPr>
                <w:rFonts w:hint="eastAsia"/>
                <w:color w:val="000000"/>
                <w:spacing w:val="-2"/>
                <w:w w:val="15"/>
                <w:shd w:val="solid" w:color="000000" w:fill="000000"/>
                <w:fitText w:val="63" w:id="-1303140348"/>
                <w14:textFill>
                  <w14:solidFill>
                    <w14:srgbClr w14:val="000000">
                      <w14:alpha w14:val="100000"/>
                    </w14:srgbClr>
                  </w14:solidFill>
                </w14:textFill>
              </w:rPr>
              <w:t xml:space="preserve">　</w:t>
            </w:r>
            <w:r w:rsidR="005273F0" w:rsidRPr="005273F0">
              <w:rPr>
                <w:rFonts w:cs="Arial"/>
                <w:iCs/>
                <w:sz w:val="18"/>
                <w:szCs w:val="18"/>
                <w:vertAlign w:val="superscript"/>
              </w:rPr>
              <w:t>8</w:t>
            </w:r>
          </w:p>
        </w:tc>
        <w:tc>
          <w:tcPr>
            <w:tcW w:w="1086" w:type="dxa"/>
            <w:tcBorders>
              <w:top w:val="single" w:sz="4" w:space="0" w:color="auto"/>
              <w:left w:val="single" w:sz="4" w:space="0" w:color="auto"/>
              <w:bottom w:val="single" w:sz="4" w:space="0" w:color="auto"/>
              <w:right w:val="single" w:sz="4" w:space="0" w:color="auto"/>
            </w:tcBorders>
            <w:vAlign w:val="center"/>
          </w:tcPr>
          <w:p w14:paraId="673C3AD0" w14:textId="41DCBEB4"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7"/>
                <w14:textFill>
                  <w14:solidFill>
                    <w14:srgbClr w14:val="000000">
                      <w14:alpha w14:val="100000"/>
                    </w14:srgbClr>
                  </w14:solidFill>
                </w14:textFill>
              </w:rPr>
              <w:t xml:space="preserve">　</w:t>
            </w:r>
            <w:r w:rsidRPr="0020233B">
              <w:rPr>
                <w:color w:val="000000"/>
                <w:w w:val="15"/>
                <w:shd w:val="solid" w:color="000000" w:fill="000000"/>
                <w:fitText w:val="55" w:id="-1303140347"/>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7"/>
                <w14:textFill>
                  <w14:solidFill>
                    <w14:srgbClr w14:val="000000">
                      <w14:alpha w14:val="100000"/>
                    </w14:srgbClr>
                  </w14:solidFill>
                </w14:textFill>
              </w:rPr>
              <w:t xml:space="preserve">　</w:t>
            </w:r>
            <w:r w:rsidR="005273F0" w:rsidRPr="005273F0">
              <w:rPr>
                <w:rFonts w:cs="Arial"/>
                <w:iCs/>
                <w:sz w:val="18"/>
                <w:szCs w:val="18"/>
                <w:vertAlign w:val="superscript"/>
              </w:rPr>
              <w:t>9</w:t>
            </w:r>
          </w:p>
        </w:tc>
        <w:tc>
          <w:tcPr>
            <w:tcW w:w="1086" w:type="dxa"/>
            <w:tcBorders>
              <w:top w:val="single" w:sz="4" w:space="0" w:color="auto"/>
              <w:left w:val="single" w:sz="4" w:space="0" w:color="auto"/>
              <w:bottom w:val="single" w:sz="4" w:space="0" w:color="auto"/>
              <w:right w:val="single" w:sz="4" w:space="0" w:color="auto"/>
            </w:tcBorders>
            <w:vAlign w:val="center"/>
          </w:tcPr>
          <w:p w14:paraId="0CA91B60" w14:textId="4A40843E"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6"/>
                <w14:textFill>
                  <w14:solidFill>
                    <w14:srgbClr w14:val="000000">
                      <w14:alpha w14:val="100000"/>
                    </w14:srgbClr>
                  </w14:solidFill>
                </w14:textFill>
              </w:rPr>
              <w:t xml:space="preserve">　</w:t>
            </w:r>
            <w:r w:rsidRPr="0020233B">
              <w:rPr>
                <w:color w:val="000000"/>
                <w:w w:val="15"/>
                <w:shd w:val="solid" w:color="000000" w:fill="000000"/>
                <w:fitText w:val="55" w:id="-1303140346"/>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6"/>
                <w14:textFill>
                  <w14:solidFill>
                    <w14:srgbClr w14:val="000000">
                      <w14:alpha w14:val="100000"/>
                    </w14:srgbClr>
                  </w14:solidFill>
                </w14:textFill>
              </w:rPr>
              <w:t xml:space="preserve">　</w:t>
            </w:r>
            <w:r w:rsidR="005273F0" w:rsidRPr="005273F0">
              <w:rPr>
                <w:rFonts w:cs="Arial"/>
                <w:iCs/>
                <w:sz w:val="18"/>
                <w:szCs w:val="18"/>
                <w:vertAlign w:val="superscript"/>
              </w:rPr>
              <w:t>9</w:t>
            </w:r>
          </w:p>
        </w:tc>
      </w:tr>
      <w:tr w:rsidR="000D3A37" w:rsidRPr="000A03FD" w14:paraId="2CC2562C"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6A4BE3F3" w14:textId="77777777" w:rsidR="007510BA" w:rsidRPr="000A03FD" w:rsidRDefault="007510BA" w:rsidP="00EA6597">
            <w:pPr>
              <w:pStyle w:val="Tabletext"/>
              <w:keepNext/>
              <w:keepLines/>
            </w:pPr>
            <w:r w:rsidRPr="000A03FD">
              <w:t>Total PBS/RPBS scripts</w:t>
            </w:r>
          </w:p>
        </w:tc>
        <w:tc>
          <w:tcPr>
            <w:tcW w:w="1085" w:type="dxa"/>
            <w:tcBorders>
              <w:top w:val="single" w:sz="4" w:space="0" w:color="auto"/>
              <w:left w:val="single" w:sz="4" w:space="0" w:color="auto"/>
              <w:bottom w:val="single" w:sz="4" w:space="0" w:color="auto"/>
              <w:right w:val="single" w:sz="4" w:space="0" w:color="auto"/>
            </w:tcBorders>
            <w:vAlign w:val="center"/>
          </w:tcPr>
          <w:p w14:paraId="7C74C35B" w14:textId="0F36479F"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45"/>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45"/>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45"/>
                <w14:textFill>
                  <w14:solidFill>
                    <w14:srgbClr w14:val="000000">
                      <w14:alpha w14:val="100000"/>
                    </w14:srgbClr>
                  </w14:solidFill>
                </w14:textFill>
              </w:rPr>
              <w:t xml:space="preserve">　</w:t>
            </w:r>
            <w:r w:rsidR="00C03C65" w:rsidRPr="00C03C65">
              <w:rPr>
                <w:rFonts w:cstheme="minorHAnsi"/>
                <w:bCs/>
                <w:szCs w:val="20"/>
              </w:rPr>
              <w:t xml:space="preserve"> </w:t>
            </w:r>
            <w:r w:rsidR="005273F0" w:rsidRPr="005273F0">
              <w:rPr>
                <w:rFonts w:cs="Arial"/>
                <w:iCs/>
                <w:sz w:val="18"/>
                <w:szCs w:val="18"/>
                <w:vertAlign w:val="superscript"/>
              </w:rPr>
              <w:t>6</w:t>
            </w:r>
          </w:p>
        </w:tc>
        <w:tc>
          <w:tcPr>
            <w:tcW w:w="1086" w:type="dxa"/>
            <w:tcBorders>
              <w:top w:val="single" w:sz="4" w:space="0" w:color="auto"/>
              <w:left w:val="single" w:sz="4" w:space="0" w:color="auto"/>
              <w:bottom w:val="single" w:sz="4" w:space="0" w:color="auto"/>
              <w:right w:val="single" w:sz="4" w:space="0" w:color="auto"/>
            </w:tcBorders>
            <w:vAlign w:val="center"/>
          </w:tcPr>
          <w:p w14:paraId="26777159" w14:textId="7978875B"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54" w:id="-1303140344"/>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54" w:id="-1303140344"/>
                <w14:textFill>
                  <w14:solidFill>
                    <w14:srgbClr w14:val="000000">
                      <w14:alpha w14:val="100000"/>
                    </w14:srgbClr>
                  </w14:solidFill>
                </w14:textFill>
              </w:rPr>
              <w:t>|</w:t>
            </w:r>
            <w:r w:rsidRPr="0020233B">
              <w:rPr>
                <w:rFonts w:cstheme="minorHAnsi" w:hint="eastAsia"/>
                <w:bCs/>
                <w:color w:val="000000"/>
                <w:spacing w:val="-11"/>
                <w:w w:val="15"/>
                <w:szCs w:val="20"/>
                <w:shd w:val="solid" w:color="000000" w:fill="000000"/>
                <w:fitText w:val="54" w:id="-1303140344"/>
                <w14:textFill>
                  <w14:solidFill>
                    <w14:srgbClr w14:val="000000">
                      <w14:alpha w14:val="100000"/>
                    </w14:srgbClr>
                  </w14:solidFill>
                </w14:textFill>
              </w:rPr>
              <w:t xml:space="preserve">　</w:t>
            </w:r>
            <w:r w:rsidR="005273F0" w:rsidRPr="005273F0">
              <w:rPr>
                <w:rFonts w:cs="Arial"/>
                <w:iCs/>
                <w:sz w:val="18"/>
                <w:szCs w:val="18"/>
                <w:vertAlign w:val="superscript"/>
              </w:rPr>
              <w:t>7</w:t>
            </w:r>
            <w:r w:rsidR="00C03C65" w:rsidRPr="00C03C65">
              <w:rPr>
                <w:rFonts w:cstheme="minorHAnsi"/>
                <w:bCs/>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14:paraId="4F441D67" w14:textId="7FBB1FE6"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55" w:id="-1303140343"/>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55" w:id="-1303140343"/>
                <w14:textFill>
                  <w14:solidFill>
                    <w14:srgbClr w14:val="000000">
                      <w14:alpha w14:val="100000"/>
                    </w14:srgbClr>
                  </w14:solidFill>
                </w14:textFill>
              </w:rPr>
              <w:t>|</w:t>
            </w:r>
            <w:r w:rsidRPr="0020233B">
              <w:rPr>
                <w:rFonts w:cstheme="minorHAnsi" w:hint="eastAsia"/>
                <w:bCs/>
                <w:color w:val="000000"/>
                <w:spacing w:val="-10"/>
                <w:w w:val="15"/>
                <w:szCs w:val="20"/>
                <w:shd w:val="solid" w:color="000000" w:fill="000000"/>
                <w:fitText w:val="55" w:id="-1303140343"/>
                <w14:textFill>
                  <w14:solidFill>
                    <w14:srgbClr w14:val="000000">
                      <w14:alpha w14:val="100000"/>
                    </w14:srgbClr>
                  </w14:solidFill>
                </w14:textFill>
              </w:rPr>
              <w:t xml:space="preserve">　</w:t>
            </w:r>
            <w:r w:rsidR="005273F0" w:rsidRPr="005273F0">
              <w:rPr>
                <w:rFonts w:cs="Arial"/>
                <w:iCs/>
                <w:sz w:val="18"/>
                <w:szCs w:val="18"/>
                <w:vertAlign w:val="superscript"/>
              </w:rPr>
              <w:t>9</w:t>
            </w:r>
            <w:r w:rsidR="00C03C65" w:rsidRPr="00C03C65">
              <w:rPr>
                <w:rFonts w:cstheme="minorHAnsi"/>
                <w:bCs/>
                <w:szCs w:val="20"/>
              </w:rPr>
              <w:t xml:space="preserve"> </w:t>
            </w:r>
          </w:p>
        </w:tc>
        <w:tc>
          <w:tcPr>
            <w:tcW w:w="1085" w:type="dxa"/>
            <w:tcBorders>
              <w:top w:val="single" w:sz="4" w:space="0" w:color="auto"/>
              <w:left w:val="single" w:sz="4" w:space="0" w:color="auto"/>
              <w:bottom w:val="single" w:sz="4" w:space="0" w:color="auto"/>
              <w:right w:val="single" w:sz="4" w:space="0" w:color="auto"/>
            </w:tcBorders>
            <w:vAlign w:val="center"/>
          </w:tcPr>
          <w:p w14:paraId="0328C97F" w14:textId="71AA3815"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63" w:id="-1303140342"/>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63" w:id="-1303140342"/>
                <w14:textFill>
                  <w14:solidFill>
                    <w14:srgbClr w14:val="000000">
                      <w14:alpha w14:val="100000"/>
                    </w14:srgbClr>
                  </w14:solidFill>
                </w14:textFill>
              </w:rPr>
              <w:t>|</w:t>
            </w:r>
            <w:r w:rsidRPr="0020233B">
              <w:rPr>
                <w:rFonts w:cstheme="minorHAnsi" w:hint="eastAsia"/>
                <w:bCs/>
                <w:color w:val="000000"/>
                <w:spacing w:val="-2"/>
                <w:w w:val="15"/>
                <w:szCs w:val="20"/>
                <w:shd w:val="solid" w:color="000000" w:fill="000000"/>
                <w:fitText w:val="63" w:id="-1303140342"/>
                <w14:textFill>
                  <w14:solidFill>
                    <w14:srgbClr w14:val="000000">
                      <w14:alpha w14:val="100000"/>
                    </w14:srgbClr>
                  </w14:solidFill>
                </w14:textFill>
              </w:rPr>
              <w:t xml:space="preserve">　</w:t>
            </w:r>
            <w:r w:rsidR="005273F0" w:rsidRPr="005273F0">
              <w:rPr>
                <w:rFonts w:cs="Arial"/>
                <w:iCs/>
                <w:sz w:val="18"/>
                <w:szCs w:val="18"/>
                <w:vertAlign w:val="superscript"/>
              </w:rPr>
              <w:t>9</w:t>
            </w:r>
            <w:r w:rsidR="00C03C65" w:rsidRPr="00C03C65">
              <w:rPr>
                <w:rFonts w:cstheme="minorHAnsi"/>
                <w:bCs/>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14:paraId="4EC6AEC7" w14:textId="0B796F31"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41"/>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41"/>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41"/>
                <w14:textFill>
                  <w14:solidFill>
                    <w14:srgbClr w14:val="000000">
                      <w14:alpha w14:val="100000"/>
                    </w14:srgbClr>
                  </w14:solidFill>
                </w14:textFill>
              </w:rPr>
              <w:t xml:space="preserve">　</w:t>
            </w:r>
            <w:r w:rsidR="005273F0" w:rsidRPr="005273F0">
              <w:rPr>
                <w:rFonts w:cs="Arial"/>
                <w:iCs/>
                <w:sz w:val="18"/>
                <w:szCs w:val="18"/>
                <w:vertAlign w:val="superscript"/>
              </w:rPr>
              <w:t>10</w:t>
            </w:r>
            <w:r w:rsidR="00C03C65" w:rsidRPr="00C03C65">
              <w:rPr>
                <w:rFonts w:cstheme="minorHAnsi"/>
                <w:bCs/>
                <w:iCs/>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tcPr>
          <w:p w14:paraId="372BF77D" w14:textId="52FF29B2"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55" w:id="-1303140340"/>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55" w:id="-1303140340"/>
                <w14:textFill>
                  <w14:solidFill>
                    <w14:srgbClr w14:val="000000">
                      <w14:alpha w14:val="100000"/>
                    </w14:srgbClr>
                  </w14:solidFill>
                </w14:textFill>
              </w:rPr>
              <w:t>|</w:t>
            </w:r>
            <w:r w:rsidRPr="0020233B">
              <w:rPr>
                <w:rFonts w:cstheme="minorHAnsi" w:hint="eastAsia"/>
                <w:bCs/>
                <w:color w:val="000000"/>
                <w:spacing w:val="-10"/>
                <w:w w:val="15"/>
                <w:szCs w:val="20"/>
                <w:shd w:val="solid" w:color="000000" w:fill="000000"/>
                <w:fitText w:val="55" w:id="-1303140340"/>
                <w14:textFill>
                  <w14:solidFill>
                    <w14:srgbClr w14:val="000000">
                      <w14:alpha w14:val="100000"/>
                    </w14:srgbClr>
                  </w14:solidFill>
                </w14:textFill>
              </w:rPr>
              <w:t xml:space="preserve">　</w:t>
            </w:r>
            <w:r w:rsidR="005273F0" w:rsidRPr="005273F0">
              <w:rPr>
                <w:rFonts w:cs="Arial"/>
                <w:iCs/>
                <w:sz w:val="18"/>
                <w:szCs w:val="18"/>
                <w:vertAlign w:val="superscript"/>
              </w:rPr>
              <w:t>1</w:t>
            </w:r>
            <w:r w:rsidR="00C03C65" w:rsidRPr="00C03C65">
              <w:rPr>
                <w:rFonts w:cstheme="minorHAnsi"/>
                <w:bCs/>
                <w:szCs w:val="20"/>
              </w:rPr>
              <w:t xml:space="preserve"> </w:t>
            </w:r>
          </w:p>
        </w:tc>
      </w:tr>
      <w:tr w:rsidR="000D3A37" w:rsidRPr="000A03FD" w14:paraId="171F7C7D"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6708EB5" w14:textId="77777777" w:rsidR="007510BA" w:rsidRPr="000A03FD" w:rsidRDefault="007510BA" w:rsidP="00EA6597">
            <w:pPr>
              <w:pStyle w:val="Tabletext"/>
              <w:keepNext/>
              <w:keepLines/>
            </w:pPr>
            <w:r w:rsidRPr="000A03FD">
              <w:t>PBS/RPBS cost less co-pay</w:t>
            </w:r>
          </w:p>
        </w:tc>
      </w:tr>
      <w:tr w:rsidR="000D3A37" w:rsidRPr="000A03FD" w14:paraId="581E909A" w14:textId="77777777" w:rsidTr="00113672">
        <w:tc>
          <w:tcPr>
            <w:tcW w:w="2546" w:type="dxa"/>
            <w:tcBorders>
              <w:top w:val="single" w:sz="4" w:space="0" w:color="auto"/>
              <w:left w:val="single" w:sz="4" w:space="0" w:color="auto"/>
              <w:bottom w:val="single" w:sz="4" w:space="0" w:color="auto"/>
              <w:right w:val="single" w:sz="4" w:space="0" w:color="auto"/>
            </w:tcBorders>
            <w:vAlign w:val="center"/>
          </w:tcPr>
          <w:p w14:paraId="336104AA" w14:textId="2E6CB088" w:rsidR="007510BA" w:rsidRPr="000A03FD" w:rsidRDefault="007510BA" w:rsidP="00EA6597">
            <w:pPr>
              <w:pStyle w:val="Tabletext"/>
              <w:keepNext/>
              <w:keepLines/>
            </w:pPr>
            <w:r w:rsidRPr="000A03FD">
              <w:t>Total (eff)</w:t>
            </w:r>
            <w:r w:rsidR="008E0D35">
              <w:t xml:space="preserve"> ($)</w:t>
            </w:r>
          </w:p>
        </w:tc>
        <w:tc>
          <w:tcPr>
            <w:tcW w:w="1085" w:type="dxa"/>
            <w:tcBorders>
              <w:top w:val="single" w:sz="4" w:space="0" w:color="auto"/>
              <w:left w:val="single" w:sz="4" w:space="0" w:color="auto"/>
              <w:bottom w:val="single" w:sz="4" w:space="0" w:color="auto"/>
              <w:right w:val="single" w:sz="4" w:space="0" w:color="auto"/>
            </w:tcBorders>
            <w:vAlign w:val="center"/>
          </w:tcPr>
          <w:p w14:paraId="2BFCCF9E" w14:textId="55A48AEB" w:rsidR="007510BA" w:rsidRPr="0081171C" w:rsidRDefault="0020233B" w:rsidP="00EA6597">
            <w:pPr>
              <w:pStyle w:val="Tabletext"/>
              <w:keepNext/>
              <w:keepLines/>
              <w:jc w:val="center"/>
              <w:rPr>
                <w:highlight w:val="yellow"/>
              </w:rPr>
            </w:pPr>
            <w:r w:rsidRPr="0020233B">
              <w:rPr>
                <w:rFonts w:cs="Arial" w:hint="eastAsia"/>
                <w:color w:val="000000"/>
                <w:w w:val="20"/>
                <w:szCs w:val="20"/>
                <w:shd w:val="solid" w:color="000000" w:fill="000000"/>
                <w:fitText w:val="91" w:id="-1303140339"/>
                <w14:textFill>
                  <w14:solidFill>
                    <w14:srgbClr w14:val="000000">
                      <w14:alpha w14:val="100000"/>
                    </w14:srgbClr>
                  </w14:solidFill>
                </w14:textFill>
              </w:rPr>
              <w:t xml:space="preserve">　</w:t>
            </w:r>
            <w:r w:rsidRPr="0020233B">
              <w:rPr>
                <w:rFonts w:cs="Arial"/>
                <w:color w:val="000000"/>
                <w:w w:val="20"/>
                <w:szCs w:val="20"/>
                <w:shd w:val="solid" w:color="000000" w:fill="000000"/>
                <w:fitText w:val="91" w:id="-1303140339"/>
                <w14:textFill>
                  <w14:solidFill>
                    <w14:srgbClr w14:val="000000">
                      <w14:alpha w14:val="100000"/>
                    </w14:srgbClr>
                  </w14:solidFill>
                </w14:textFill>
              </w:rPr>
              <w:t>|</w:t>
            </w:r>
            <w:r w:rsidRPr="0020233B">
              <w:rPr>
                <w:rFonts w:cs="Arial" w:hint="eastAsia"/>
                <w:color w:val="000000"/>
                <w:spacing w:val="4"/>
                <w:w w:val="20"/>
                <w:szCs w:val="20"/>
                <w:shd w:val="solid" w:color="000000" w:fill="000000"/>
                <w:fitText w:val="91" w:id="-1303140339"/>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vAlign w:val="center"/>
          </w:tcPr>
          <w:p w14:paraId="1CB59C6B" w14:textId="606F6A37"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38"/>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38"/>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38"/>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tcPr>
          <w:p w14:paraId="7E3E7B4D" w14:textId="7DD06068"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37"/>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37"/>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37"/>
                <w14:textFill>
                  <w14:solidFill>
                    <w14:srgbClr w14:val="000000">
                      <w14:alpha w14:val="100000"/>
                    </w14:srgbClr>
                  </w14:solidFill>
                </w14:textFill>
              </w:rPr>
              <w:t xml:space="preserve">　</w:t>
            </w:r>
            <w:r w:rsidR="00EA7FE6" w:rsidRPr="00EA7FE6">
              <w:rPr>
                <w:iCs/>
                <w:sz w:val="18"/>
                <w:szCs w:val="18"/>
                <w:vertAlign w:val="superscript"/>
              </w:rPr>
              <w:t>1</w:t>
            </w:r>
            <w:r w:rsidR="00BC7C0D">
              <w:rPr>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tcPr>
          <w:p w14:paraId="3E0D2F49" w14:textId="168E878F" w:rsidR="007510BA" w:rsidRPr="0081171C" w:rsidRDefault="0020233B" w:rsidP="00EA6597">
            <w:pPr>
              <w:pStyle w:val="Tabletext"/>
              <w:keepNext/>
              <w:keepLines/>
              <w:jc w:val="center"/>
              <w:rPr>
                <w:highlight w:val="yellow"/>
              </w:rPr>
            </w:pPr>
            <w:r w:rsidRPr="0020233B">
              <w:rPr>
                <w:rFonts w:cs="Arial" w:hint="eastAsia"/>
                <w:color w:val="000000"/>
                <w:w w:val="20"/>
                <w:szCs w:val="20"/>
                <w:shd w:val="solid" w:color="000000" w:fill="000000"/>
                <w:fitText w:val="91" w:id="-1303140336"/>
                <w14:textFill>
                  <w14:solidFill>
                    <w14:srgbClr w14:val="000000">
                      <w14:alpha w14:val="100000"/>
                    </w14:srgbClr>
                  </w14:solidFill>
                </w14:textFill>
              </w:rPr>
              <w:t xml:space="preserve">　</w:t>
            </w:r>
            <w:r w:rsidRPr="0020233B">
              <w:rPr>
                <w:rFonts w:cs="Arial"/>
                <w:color w:val="000000"/>
                <w:w w:val="20"/>
                <w:szCs w:val="20"/>
                <w:shd w:val="solid" w:color="000000" w:fill="000000"/>
                <w:fitText w:val="91" w:id="-1303140336"/>
                <w14:textFill>
                  <w14:solidFill>
                    <w14:srgbClr w14:val="000000">
                      <w14:alpha w14:val="100000"/>
                    </w14:srgbClr>
                  </w14:solidFill>
                </w14:textFill>
              </w:rPr>
              <w:t>|</w:t>
            </w:r>
            <w:r w:rsidRPr="0020233B">
              <w:rPr>
                <w:rFonts w:cs="Arial" w:hint="eastAsia"/>
                <w:color w:val="000000"/>
                <w:spacing w:val="4"/>
                <w:w w:val="20"/>
                <w:szCs w:val="20"/>
                <w:shd w:val="solid" w:color="000000" w:fill="000000"/>
                <w:fitText w:val="91" w:id="-1303140336"/>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tcPr>
          <w:p w14:paraId="1ADBD62B" w14:textId="6E72C017"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52"/>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52"/>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52"/>
                <w14:textFill>
                  <w14:solidFill>
                    <w14:srgbClr w14:val="000000">
                      <w14:alpha w14:val="100000"/>
                    </w14:srgbClr>
                  </w14:solidFill>
                </w14:textFill>
              </w:rPr>
              <w:t xml:space="preserve">　</w:t>
            </w:r>
            <w:r w:rsidR="005C17E0" w:rsidRPr="005C17E0">
              <w:rPr>
                <w:iCs/>
                <w:sz w:val="18"/>
                <w:szCs w:val="18"/>
                <w:vertAlign w:val="superscript"/>
              </w:rPr>
              <w:t>1</w:t>
            </w:r>
            <w:r w:rsidR="00BC7C0D">
              <w:rPr>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tcPr>
          <w:p w14:paraId="7EB3F081" w14:textId="07C5E6D7"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51"/>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51"/>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51"/>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r>
      <w:tr w:rsidR="000D3A37" w:rsidRPr="000A03FD" w14:paraId="01162742"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279E5B02" w14:textId="41E70B05" w:rsidR="007510BA" w:rsidRPr="000A03FD" w:rsidRDefault="007510BA" w:rsidP="00EA6597">
            <w:pPr>
              <w:pStyle w:val="Tabletext"/>
              <w:keepNext/>
              <w:keepLines/>
              <w:rPr>
                <w:b/>
              </w:rPr>
            </w:pPr>
            <w:r w:rsidRPr="000A03FD">
              <w:rPr>
                <w:b/>
              </w:rPr>
              <w:t>Estimation of changes in use and financial impact of other medicines (PBS and RPBS)</w:t>
            </w:r>
          </w:p>
        </w:tc>
      </w:tr>
      <w:tr w:rsidR="000D3A37" w:rsidRPr="000A03FD" w14:paraId="206C55EB" w14:textId="77777777" w:rsidTr="00FA58DD">
        <w:tc>
          <w:tcPr>
            <w:tcW w:w="2546" w:type="dxa"/>
            <w:tcBorders>
              <w:top w:val="single" w:sz="4" w:space="0" w:color="auto"/>
              <w:left w:val="single" w:sz="4" w:space="0" w:color="auto"/>
              <w:bottom w:val="single" w:sz="4" w:space="0" w:color="auto"/>
              <w:right w:val="single" w:sz="4" w:space="0" w:color="auto"/>
            </w:tcBorders>
            <w:vAlign w:val="center"/>
            <w:hideMark/>
          </w:tcPr>
          <w:p w14:paraId="49ECC60C" w14:textId="245E02E0" w:rsidR="007510BA" w:rsidRPr="000A03FD" w:rsidRDefault="007510BA" w:rsidP="00EA6597">
            <w:pPr>
              <w:pStyle w:val="Tabletext"/>
              <w:keepNext/>
              <w:keepLines/>
            </w:pPr>
            <w:r w:rsidRPr="000A03FD">
              <w:t>Total cost of replaced medicines (pub/eff)</w:t>
            </w:r>
            <w:r w:rsidR="008E0D35">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76A79C" w14:textId="290CC73B" w:rsidR="007510BA" w:rsidRPr="0081171C" w:rsidRDefault="0020233B" w:rsidP="00EA6597">
            <w:pPr>
              <w:pStyle w:val="Tabletext"/>
              <w:keepNext/>
              <w:keepLines/>
              <w:jc w:val="center"/>
              <w:rPr>
                <w:highlight w:val="yellow"/>
              </w:rPr>
            </w:pPr>
            <w:r w:rsidRPr="0020233B">
              <w:rPr>
                <w:rFonts w:hint="eastAsia"/>
                <w:color w:val="000000"/>
                <w:w w:val="20"/>
                <w:shd w:val="solid" w:color="000000" w:fill="000000"/>
                <w:fitText w:val="91" w:id="-1303140350"/>
                <w14:textFill>
                  <w14:solidFill>
                    <w14:srgbClr w14:val="000000">
                      <w14:alpha w14:val="100000"/>
                    </w14:srgbClr>
                  </w14:solidFill>
                </w14:textFill>
              </w:rPr>
              <w:t xml:space="preserve">　</w:t>
            </w:r>
            <w:r w:rsidRPr="0020233B">
              <w:rPr>
                <w:color w:val="000000"/>
                <w:w w:val="20"/>
                <w:shd w:val="solid" w:color="000000" w:fill="000000"/>
                <w:fitText w:val="91" w:id="-1303140350"/>
                <w14:textFill>
                  <w14:solidFill>
                    <w14:srgbClr w14:val="000000">
                      <w14:alpha w14:val="100000"/>
                    </w14:srgbClr>
                  </w14:solidFill>
                </w14:textFill>
              </w:rPr>
              <w:t>|</w:t>
            </w:r>
            <w:r w:rsidRPr="0020233B">
              <w:rPr>
                <w:rFonts w:hint="eastAsia"/>
                <w:color w:val="000000"/>
                <w:spacing w:val="4"/>
                <w:w w:val="20"/>
                <w:shd w:val="solid" w:color="000000" w:fill="000000"/>
                <w:fitText w:val="91" w:id="-1303140350"/>
                <w14:textFill>
                  <w14:solidFill>
                    <w14:srgbClr w14:val="000000">
                      <w14:alpha w14:val="100000"/>
                    </w14:srgbClr>
                  </w14:solidFill>
                </w14:textFill>
              </w:rPr>
              <w:t xml:space="preserve">　</w:t>
            </w:r>
            <w:r w:rsidR="005C17E0" w:rsidRPr="005C17E0">
              <w:rPr>
                <w:iCs/>
                <w:sz w:val="18"/>
                <w:szCs w:val="18"/>
                <w:vertAlign w:val="superscript"/>
              </w:rPr>
              <w:t>1</w:t>
            </w:r>
            <w:r w:rsidR="00BC7C0D">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08C42B" w14:textId="619119C1"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9"/>
                <w14:textFill>
                  <w14:solidFill>
                    <w14:srgbClr w14:val="000000">
                      <w14:alpha w14:val="100000"/>
                    </w14:srgbClr>
                  </w14:solidFill>
                </w14:textFill>
              </w:rPr>
              <w:t xml:space="preserve">　</w:t>
            </w:r>
            <w:r w:rsidRPr="0020233B">
              <w:rPr>
                <w:color w:val="000000"/>
                <w:w w:val="18"/>
                <w:shd w:val="solid" w:color="000000" w:fill="000000"/>
                <w:fitText w:val="82" w:id="-1303140349"/>
                <w14:textFill>
                  <w14:solidFill>
                    <w14:srgbClr w14:val="000000">
                      <w14:alpha w14:val="100000"/>
                    </w14:srgbClr>
                  </w14:solidFill>
                </w14:textFill>
              </w:rPr>
              <w:t>|</w:t>
            </w:r>
            <w:r w:rsidRPr="0020233B">
              <w:rPr>
                <w:rFonts w:hint="eastAsia"/>
                <w:color w:val="000000"/>
                <w:spacing w:val="2"/>
                <w:w w:val="18"/>
                <w:shd w:val="solid" w:color="000000" w:fill="000000"/>
                <w:fitText w:val="82" w:id="-1303140349"/>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5A7DD1" w14:textId="12E1B282"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8"/>
                <w14:textFill>
                  <w14:solidFill>
                    <w14:srgbClr w14:val="000000">
                      <w14:alpha w14:val="100000"/>
                    </w14:srgbClr>
                  </w14:solidFill>
                </w14:textFill>
              </w:rPr>
              <w:t xml:space="preserve">　</w:t>
            </w:r>
            <w:r w:rsidRPr="0020233B">
              <w:rPr>
                <w:color w:val="000000"/>
                <w:w w:val="18"/>
                <w:shd w:val="solid" w:color="000000" w:fill="000000"/>
                <w:fitText w:val="82" w:id="-1303140348"/>
                <w14:textFill>
                  <w14:solidFill>
                    <w14:srgbClr w14:val="000000">
                      <w14:alpha w14:val="100000"/>
                    </w14:srgbClr>
                  </w14:solidFill>
                </w14:textFill>
              </w:rPr>
              <w:t>|</w:t>
            </w:r>
            <w:r w:rsidRPr="0020233B">
              <w:rPr>
                <w:rFonts w:hint="eastAsia"/>
                <w:color w:val="000000"/>
                <w:spacing w:val="2"/>
                <w:w w:val="18"/>
                <w:shd w:val="solid" w:color="000000" w:fill="000000"/>
                <w:fitText w:val="82" w:id="-1303140348"/>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5</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996662" w14:textId="6686B77E" w:rsidR="007510BA" w:rsidRPr="0081171C" w:rsidRDefault="0020233B" w:rsidP="00EA6597">
            <w:pPr>
              <w:pStyle w:val="Tabletext"/>
              <w:keepNext/>
              <w:keepLines/>
              <w:jc w:val="center"/>
              <w:rPr>
                <w:highlight w:val="yellow"/>
              </w:rPr>
            </w:pPr>
            <w:r w:rsidRPr="0020233B">
              <w:rPr>
                <w:rFonts w:hint="eastAsia"/>
                <w:color w:val="000000"/>
                <w:w w:val="20"/>
                <w:shd w:val="solid" w:color="000000" w:fill="000000"/>
                <w:fitText w:val="91" w:id="-1303140347"/>
                <w14:textFill>
                  <w14:solidFill>
                    <w14:srgbClr w14:val="000000">
                      <w14:alpha w14:val="100000"/>
                    </w14:srgbClr>
                  </w14:solidFill>
                </w14:textFill>
              </w:rPr>
              <w:t xml:space="preserve">　</w:t>
            </w:r>
            <w:r w:rsidRPr="0020233B">
              <w:rPr>
                <w:color w:val="000000"/>
                <w:w w:val="20"/>
                <w:shd w:val="solid" w:color="000000" w:fill="000000"/>
                <w:fitText w:val="91" w:id="-1303140347"/>
                <w14:textFill>
                  <w14:solidFill>
                    <w14:srgbClr w14:val="000000">
                      <w14:alpha w14:val="100000"/>
                    </w14:srgbClr>
                  </w14:solidFill>
                </w14:textFill>
              </w:rPr>
              <w:t>|</w:t>
            </w:r>
            <w:r w:rsidRPr="0020233B">
              <w:rPr>
                <w:rFonts w:hint="eastAsia"/>
                <w:color w:val="000000"/>
                <w:spacing w:val="4"/>
                <w:w w:val="20"/>
                <w:shd w:val="solid" w:color="000000" w:fill="000000"/>
                <w:fitText w:val="91" w:id="-1303140347"/>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F9A4ED" w14:textId="0C8452AD"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6"/>
                <w14:textFill>
                  <w14:solidFill>
                    <w14:srgbClr w14:val="000000">
                      <w14:alpha w14:val="100000"/>
                    </w14:srgbClr>
                  </w14:solidFill>
                </w14:textFill>
              </w:rPr>
              <w:t xml:space="preserve">　</w:t>
            </w:r>
            <w:r w:rsidRPr="0020233B">
              <w:rPr>
                <w:color w:val="000000"/>
                <w:w w:val="18"/>
                <w:shd w:val="solid" w:color="000000" w:fill="000000"/>
                <w:fitText w:val="82" w:id="-1303140346"/>
                <w14:textFill>
                  <w14:solidFill>
                    <w14:srgbClr w14:val="000000">
                      <w14:alpha w14:val="100000"/>
                    </w14:srgbClr>
                  </w14:solidFill>
                </w14:textFill>
              </w:rPr>
              <w:t>|</w:t>
            </w:r>
            <w:r w:rsidRPr="0020233B">
              <w:rPr>
                <w:rFonts w:hint="eastAsia"/>
                <w:color w:val="000000"/>
                <w:spacing w:val="2"/>
                <w:w w:val="18"/>
                <w:shd w:val="solid" w:color="000000" w:fill="000000"/>
                <w:fitText w:val="82" w:id="-1303140346"/>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90472" w14:textId="68A5A034"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5"/>
                <w14:textFill>
                  <w14:solidFill>
                    <w14:srgbClr w14:val="000000">
                      <w14:alpha w14:val="100000"/>
                    </w14:srgbClr>
                  </w14:solidFill>
                </w14:textFill>
              </w:rPr>
              <w:t xml:space="preserve">　</w:t>
            </w:r>
            <w:r w:rsidRPr="0020233B">
              <w:rPr>
                <w:color w:val="000000"/>
                <w:w w:val="18"/>
                <w:shd w:val="solid" w:color="000000" w:fill="000000"/>
                <w:fitText w:val="82" w:id="-1303140345"/>
                <w14:textFill>
                  <w14:solidFill>
                    <w14:srgbClr w14:val="000000">
                      <w14:alpha w14:val="100000"/>
                    </w14:srgbClr>
                  </w14:solidFill>
                </w14:textFill>
              </w:rPr>
              <w:t>|</w:t>
            </w:r>
            <w:r w:rsidRPr="0020233B">
              <w:rPr>
                <w:rFonts w:hint="eastAsia"/>
                <w:color w:val="000000"/>
                <w:spacing w:val="2"/>
                <w:w w:val="18"/>
                <w:shd w:val="solid" w:color="000000" w:fill="000000"/>
                <w:fitText w:val="82" w:id="-1303140345"/>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5</w:t>
            </w:r>
          </w:p>
        </w:tc>
      </w:tr>
      <w:tr w:rsidR="000D3A37" w:rsidRPr="000A03FD" w14:paraId="75BED75E"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7728DD4D" w14:textId="579E9210" w:rsidR="007510BA" w:rsidRPr="000A03FD" w:rsidRDefault="007510BA" w:rsidP="00EA6597">
            <w:pPr>
              <w:pStyle w:val="Tabletext"/>
              <w:keepNext/>
              <w:keepLines/>
              <w:rPr>
                <w:b/>
              </w:rPr>
            </w:pPr>
            <w:r w:rsidRPr="000A03FD">
              <w:rPr>
                <w:b/>
              </w:rPr>
              <w:t>Estimated financial implications for the PBS/RPBS</w:t>
            </w:r>
          </w:p>
        </w:tc>
      </w:tr>
      <w:tr w:rsidR="000D3A37" w:rsidRPr="000A03FD" w14:paraId="77B026EE" w14:textId="77777777" w:rsidTr="00113672">
        <w:tc>
          <w:tcPr>
            <w:tcW w:w="2546" w:type="dxa"/>
            <w:tcBorders>
              <w:top w:val="single" w:sz="4" w:space="0" w:color="auto"/>
              <w:left w:val="single" w:sz="4" w:space="0" w:color="auto"/>
              <w:bottom w:val="single" w:sz="4" w:space="0" w:color="auto"/>
              <w:right w:val="single" w:sz="4" w:space="0" w:color="auto"/>
            </w:tcBorders>
            <w:vAlign w:val="center"/>
            <w:hideMark/>
          </w:tcPr>
          <w:p w14:paraId="2EDE76FE" w14:textId="6E875883" w:rsidR="007510BA" w:rsidRPr="000A03FD" w:rsidRDefault="007510BA" w:rsidP="00EA6597">
            <w:pPr>
              <w:pStyle w:val="Tabletext"/>
              <w:keepNext/>
              <w:keepLines/>
            </w:pPr>
            <w:r w:rsidRPr="000A03FD">
              <w:t>Net cost to PBS/RPBS (eff)</w:t>
            </w:r>
            <w:r w:rsidR="008E0D35">
              <w:t xml:space="preserve"> ($)</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787C9EA" w14:textId="70919584" w:rsidR="007510BA" w:rsidRPr="0081171C" w:rsidRDefault="0020233B" w:rsidP="00EA6597">
            <w:pPr>
              <w:pStyle w:val="Tabletext"/>
              <w:keepNext/>
              <w:keepLines/>
              <w:jc w:val="center"/>
              <w:rPr>
                <w:highlight w:val="yellow"/>
              </w:rPr>
            </w:pPr>
            <w:r w:rsidRPr="0020233B">
              <w:rPr>
                <w:rFonts w:cs="Arial" w:hint="eastAsia"/>
                <w:color w:val="000000"/>
                <w:w w:val="20"/>
                <w:szCs w:val="20"/>
                <w:shd w:val="solid" w:color="000000" w:fill="000000"/>
                <w:fitText w:val="91" w:id="-1303140344"/>
                <w14:textFill>
                  <w14:solidFill>
                    <w14:srgbClr w14:val="000000">
                      <w14:alpha w14:val="100000"/>
                    </w14:srgbClr>
                  </w14:solidFill>
                </w14:textFill>
              </w:rPr>
              <w:t xml:space="preserve">　</w:t>
            </w:r>
            <w:r w:rsidRPr="0020233B">
              <w:rPr>
                <w:rFonts w:cs="Arial"/>
                <w:color w:val="000000"/>
                <w:w w:val="20"/>
                <w:szCs w:val="20"/>
                <w:shd w:val="solid" w:color="000000" w:fill="000000"/>
                <w:fitText w:val="91" w:id="-1303140344"/>
                <w14:textFill>
                  <w14:solidFill>
                    <w14:srgbClr w14:val="000000">
                      <w14:alpha w14:val="100000"/>
                    </w14:srgbClr>
                  </w14:solidFill>
                </w14:textFill>
              </w:rPr>
              <w:t>|</w:t>
            </w:r>
            <w:r w:rsidRPr="0020233B">
              <w:rPr>
                <w:rFonts w:cs="Arial" w:hint="eastAsia"/>
                <w:color w:val="000000"/>
                <w:spacing w:val="4"/>
                <w:w w:val="20"/>
                <w:szCs w:val="20"/>
                <w:shd w:val="solid" w:color="000000" w:fill="000000"/>
                <w:fitText w:val="91" w:id="-1303140344"/>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F59CF1B" w14:textId="088C149D"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43"/>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43"/>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43"/>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36B0205" w14:textId="7B1DE025"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42"/>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42"/>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42"/>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B395108" w14:textId="2F7BEA0C" w:rsidR="007510BA" w:rsidRPr="0081171C" w:rsidRDefault="0020233B" w:rsidP="00EA6597">
            <w:pPr>
              <w:pStyle w:val="Tabletext"/>
              <w:keepNext/>
              <w:keepLines/>
              <w:jc w:val="center"/>
              <w:rPr>
                <w:highlight w:val="yellow"/>
              </w:rPr>
            </w:pPr>
            <w:r w:rsidRPr="0020233B">
              <w:rPr>
                <w:rFonts w:cs="Arial" w:hint="eastAsia"/>
                <w:color w:val="000000"/>
                <w:w w:val="20"/>
                <w:szCs w:val="20"/>
                <w:shd w:val="solid" w:color="000000" w:fill="000000"/>
                <w:fitText w:val="91" w:id="-1303140341"/>
                <w14:textFill>
                  <w14:solidFill>
                    <w14:srgbClr w14:val="000000">
                      <w14:alpha w14:val="100000"/>
                    </w14:srgbClr>
                  </w14:solidFill>
                </w14:textFill>
              </w:rPr>
              <w:t xml:space="preserve">　</w:t>
            </w:r>
            <w:r w:rsidRPr="0020233B">
              <w:rPr>
                <w:rFonts w:cs="Arial"/>
                <w:color w:val="000000"/>
                <w:w w:val="20"/>
                <w:szCs w:val="20"/>
                <w:shd w:val="solid" w:color="000000" w:fill="000000"/>
                <w:fitText w:val="91" w:id="-1303140341"/>
                <w14:textFill>
                  <w14:solidFill>
                    <w14:srgbClr w14:val="000000">
                      <w14:alpha w14:val="100000"/>
                    </w14:srgbClr>
                  </w14:solidFill>
                </w14:textFill>
              </w:rPr>
              <w:t>|</w:t>
            </w:r>
            <w:r w:rsidRPr="0020233B">
              <w:rPr>
                <w:rFonts w:cs="Arial" w:hint="eastAsia"/>
                <w:color w:val="000000"/>
                <w:spacing w:val="4"/>
                <w:w w:val="20"/>
                <w:szCs w:val="20"/>
                <w:shd w:val="solid" w:color="000000" w:fill="000000"/>
                <w:fitText w:val="91" w:id="-1303140341"/>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0E68A3A" w14:textId="04AC19DF" w:rsidR="007510BA" w:rsidRPr="00E96B9A" w:rsidRDefault="0020233B" w:rsidP="00EA6597">
            <w:pPr>
              <w:pStyle w:val="Tabletext"/>
              <w:keepNext/>
              <w:keepLines/>
              <w:jc w:val="center"/>
              <w:rPr>
                <w:highlight w:val="lightGray"/>
              </w:rPr>
            </w:pPr>
            <w:r w:rsidRPr="0020233B">
              <w:rPr>
                <w:rFonts w:cs="Arial" w:hint="eastAsia"/>
                <w:color w:val="000000"/>
                <w:w w:val="18"/>
                <w:szCs w:val="20"/>
                <w:shd w:val="solid" w:color="000000" w:fill="000000"/>
                <w:fitText w:val="82" w:id="-1303140340"/>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40"/>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40"/>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751C99B" w14:textId="1AF51E10" w:rsidR="007510BA" w:rsidRPr="00E96B9A" w:rsidRDefault="0020233B" w:rsidP="00EA6597">
            <w:pPr>
              <w:pStyle w:val="Tabletext"/>
              <w:keepNext/>
              <w:keepLines/>
              <w:jc w:val="center"/>
              <w:rPr>
                <w:highlight w:val="lightGray"/>
              </w:rPr>
            </w:pPr>
            <w:r w:rsidRPr="0020233B">
              <w:rPr>
                <w:rFonts w:cs="Arial" w:hint="eastAsia"/>
                <w:color w:val="000000"/>
                <w:w w:val="18"/>
                <w:szCs w:val="20"/>
                <w:shd w:val="solid" w:color="000000" w:fill="000000"/>
                <w:fitText w:val="82" w:id="-1303140339"/>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39"/>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39"/>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r>
      <w:tr w:rsidR="000D3A37" w:rsidRPr="000A03FD" w14:paraId="159F75BF" w14:textId="77777777" w:rsidTr="00113672">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BD280AE" w14:textId="79564215" w:rsidR="007510BA" w:rsidRPr="000A03FD" w:rsidRDefault="007510BA" w:rsidP="00EA6597">
            <w:pPr>
              <w:pStyle w:val="Tabletext"/>
              <w:keepNext/>
              <w:keepLines/>
              <w:rPr>
                <w:b/>
              </w:rPr>
            </w:pPr>
            <w:r w:rsidRPr="000A03FD">
              <w:rPr>
                <w:b/>
              </w:rPr>
              <w:t>Estimated financial implications for the health budget</w:t>
            </w:r>
          </w:p>
        </w:tc>
      </w:tr>
      <w:tr w:rsidR="000D3A37" w:rsidRPr="000A03FD" w14:paraId="11EE7227" w14:textId="77777777" w:rsidTr="00113672">
        <w:tc>
          <w:tcPr>
            <w:tcW w:w="2546" w:type="dxa"/>
            <w:tcBorders>
              <w:top w:val="single" w:sz="4" w:space="0" w:color="auto"/>
              <w:left w:val="single" w:sz="4" w:space="0" w:color="auto"/>
              <w:bottom w:val="single" w:sz="4" w:space="0" w:color="auto"/>
              <w:right w:val="single" w:sz="4" w:space="0" w:color="auto"/>
            </w:tcBorders>
            <w:vAlign w:val="center"/>
            <w:hideMark/>
          </w:tcPr>
          <w:p w14:paraId="2174CE65" w14:textId="77777777" w:rsidR="007510BA" w:rsidRPr="000A03FD" w:rsidRDefault="007510BA" w:rsidP="00EA6597">
            <w:pPr>
              <w:pStyle w:val="Tabletext"/>
              <w:keepNext/>
              <w:keepLines/>
            </w:pPr>
            <w:r w:rsidRPr="000A03FD">
              <w:t>Net change in scripts</w:t>
            </w:r>
          </w:p>
        </w:tc>
        <w:tc>
          <w:tcPr>
            <w:tcW w:w="1085" w:type="dxa"/>
            <w:tcBorders>
              <w:top w:val="single" w:sz="4" w:space="0" w:color="auto"/>
              <w:left w:val="single" w:sz="4" w:space="0" w:color="auto"/>
              <w:bottom w:val="single" w:sz="4" w:space="0" w:color="auto"/>
              <w:right w:val="single" w:sz="4" w:space="0" w:color="auto"/>
            </w:tcBorders>
            <w:vAlign w:val="center"/>
            <w:hideMark/>
          </w:tcPr>
          <w:p w14:paraId="191EC067" w14:textId="72CC8168"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64" w:id="-1303140338"/>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64" w:id="-1303140338"/>
                <w14:textFill>
                  <w14:solidFill>
                    <w14:srgbClr w14:val="000000">
                      <w14:alpha w14:val="100000"/>
                    </w14:srgbClr>
                  </w14:solidFill>
                </w14:textFill>
              </w:rPr>
              <w:t>|</w:t>
            </w:r>
            <w:r w:rsidRPr="0020233B">
              <w:rPr>
                <w:rFonts w:cstheme="minorHAnsi" w:hint="eastAsia"/>
                <w:bCs/>
                <w:color w:val="000000"/>
                <w:spacing w:val="-1"/>
                <w:w w:val="15"/>
                <w:szCs w:val="20"/>
                <w:shd w:val="solid" w:color="000000" w:fill="000000"/>
                <w:fitText w:val="64" w:id="-1303140338"/>
                <w14:textFill>
                  <w14:solidFill>
                    <w14:srgbClr w14:val="000000">
                      <w14:alpha w14:val="100000"/>
                    </w14:srgbClr>
                  </w14:solidFill>
                </w14:textFill>
              </w:rPr>
              <w:t xml:space="preserve">　</w:t>
            </w:r>
            <w:r w:rsidR="000B20DC" w:rsidRPr="005273F0">
              <w:rPr>
                <w:rFonts w:cs="Arial"/>
                <w:iCs/>
                <w:sz w:val="18"/>
                <w:szCs w:val="18"/>
                <w:vertAlign w:val="superscript"/>
              </w:rPr>
              <w:t>6</w:t>
            </w:r>
            <w:r w:rsidR="00C03C65" w:rsidRPr="00C03C65">
              <w:rPr>
                <w:rFonts w:cstheme="minorHAnsi"/>
                <w:bCs/>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C7DC60" w14:textId="348DDE3A"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54" w:id="-1303140337"/>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54" w:id="-1303140337"/>
                <w14:textFill>
                  <w14:solidFill>
                    <w14:srgbClr w14:val="000000">
                      <w14:alpha w14:val="100000"/>
                    </w14:srgbClr>
                  </w14:solidFill>
                </w14:textFill>
              </w:rPr>
              <w:t>|</w:t>
            </w:r>
            <w:r w:rsidRPr="0020233B">
              <w:rPr>
                <w:rFonts w:cstheme="minorHAnsi" w:hint="eastAsia"/>
                <w:bCs/>
                <w:color w:val="000000"/>
                <w:spacing w:val="-11"/>
                <w:w w:val="15"/>
                <w:szCs w:val="20"/>
                <w:shd w:val="solid" w:color="000000" w:fill="000000"/>
                <w:fitText w:val="54" w:id="-1303140337"/>
                <w14:textFill>
                  <w14:solidFill>
                    <w14:srgbClr w14:val="000000">
                      <w14:alpha w14:val="100000"/>
                    </w14:srgbClr>
                  </w14:solidFill>
                </w14:textFill>
              </w:rPr>
              <w:t xml:space="preserve">　</w:t>
            </w:r>
            <w:r w:rsidR="000B20DC" w:rsidRPr="005273F0">
              <w:rPr>
                <w:rFonts w:cs="Arial"/>
                <w:iCs/>
                <w:sz w:val="18"/>
                <w:szCs w:val="18"/>
                <w:vertAlign w:val="superscript"/>
              </w:rPr>
              <w:t>7</w:t>
            </w:r>
            <w:r w:rsidR="00C03C65" w:rsidRPr="00C03C65">
              <w:rPr>
                <w:rFonts w:cstheme="minorHAnsi"/>
                <w:bCs/>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D5E281D" w14:textId="4F574BD4"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55" w:id="-1303140336"/>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55" w:id="-1303140336"/>
                <w14:textFill>
                  <w14:solidFill>
                    <w14:srgbClr w14:val="000000">
                      <w14:alpha w14:val="100000"/>
                    </w14:srgbClr>
                  </w14:solidFill>
                </w14:textFill>
              </w:rPr>
              <w:t>|</w:t>
            </w:r>
            <w:r w:rsidRPr="0020233B">
              <w:rPr>
                <w:rFonts w:cstheme="minorHAnsi" w:hint="eastAsia"/>
                <w:bCs/>
                <w:color w:val="000000"/>
                <w:spacing w:val="-10"/>
                <w:w w:val="15"/>
                <w:szCs w:val="20"/>
                <w:shd w:val="solid" w:color="000000" w:fill="000000"/>
                <w:fitText w:val="55" w:id="-1303140336"/>
                <w14:textFill>
                  <w14:solidFill>
                    <w14:srgbClr w14:val="000000">
                      <w14:alpha w14:val="100000"/>
                    </w14:srgbClr>
                  </w14:solidFill>
                </w14:textFill>
              </w:rPr>
              <w:t xml:space="preserve">　</w:t>
            </w:r>
            <w:r w:rsidR="000B20DC" w:rsidRPr="005273F0">
              <w:rPr>
                <w:rFonts w:cs="Arial"/>
                <w:iCs/>
                <w:sz w:val="18"/>
                <w:szCs w:val="18"/>
                <w:vertAlign w:val="superscript"/>
              </w:rPr>
              <w:t>9</w:t>
            </w:r>
          </w:p>
        </w:tc>
        <w:tc>
          <w:tcPr>
            <w:tcW w:w="1085" w:type="dxa"/>
            <w:tcBorders>
              <w:top w:val="single" w:sz="4" w:space="0" w:color="auto"/>
              <w:left w:val="single" w:sz="4" w:space="0" w:color="auto"/>
              <w:bottom w:val="single" w:sz="4" w:space="0" w:color="auto"/>
              <w:right w:val="single" w:sz="4" w:space="0" w:color="auto"/>
            </w:tcBorders>
            <w:vAlign w:val="center"/>
            <w:hideMark/>
          </w:tcPr>
          <w:p w14:paraId="3035C730" w14:textId="5390F3AD"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63" w:id="-1303140352"/>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63" w:id="-1303140352"/>
                <w14:textFill>
                  <w14:solidFill>
                    <w14:srgbClr w14:val="000000">
                      <w14:alpha w14:val="100000"/>
                    </w14:srgbClr>
                  </w14:solidFill>
                </w14:textFill>
              </w:rPr>
              <w:t>|</w:t>
            </w:r>
            <w:r w:rsidRPr="0020233B">
              <w:rPr>
                <w:rFonts w:cstheme="minorHAnsi" w:hint="eastAsia"/>
                <w:bCs/>
                <w:color w:val="000000"/>
                <w:spacing w:val="-2"/>
                <w:w w:val="15"/>
                <w:szCs w:val="20"/>
                <w:shd w:val="solid" w:color="000000" w:fill="000000"/>
                <w:fitText w:val="63" w:id="-1303140352"/>
                <w14:textFill>
                  <w14:solidFill>
                    <w14:srgbClr w14:val="000000">
                      <w14:alpha w14:val="100000"/>
                    </w14:srgbClr>
                  </w14:solidFill>
                </w14:textFill>
              </w:rPr>
              <w:t xml:space="preserve">　</w:t>
            </w:r>
            <w:r w:rsidR="000B20DC" w:rsidRPr="005273F0">
              <w:rPr>
                <w:rFonts w:cs="Arial"/>
                <w:iCs/>
                <w:sz w:val="18"/>
                <w:szCs w:val="18"/>
                <w:vertAlign w:val="superscript"/>
              </w:rPr>
              <w:t>9</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A27506F" w14:textId="7B886A98"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51"/>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51"/>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51"/>
                <w14:textFill>
                  <w14:solidFill>
                    <w14:srgbClr w14:val="000000">
                      <w14:alpha w14:val="100000"/>
                    </w14:srgbClr>
                  </w14:solidFill>
                </w14:textFill>
              </w:rPr>
              <w:t xml:space="preserve">　</w:t>
            </w:r>
            <w:r w:rsidR="000B20DC" w:rsidRPr="005273F0">
              <w:rPr>
                <w:rFonts w:cs="Arial"/>
                <w:iCs/>
                <w:sz w:val="18"/>
                <w:szCs w:val="18"/>
                <w:vertAlign w:val="superscript"/>
              </w:rPr>
              <w:t>10</w:t>
            </w:r>
            <w:r w:rsidR="00C03C65" w:rsidRPr="00C03C65">
              <w:rPr>
                <w:rFonts w:cstheme="minorHAnsi"/>
                <w:bCs/>
                <w:szCs w:val="20"/>
              </w:rPr>
              <w:t xml:space="preserve">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1457D8D" w14:textId="528EB752" w:rsidR="007510BA" w:rsidRPr="0081171C" w:rsidRDefault="0020233B" w:rsidP="00EA6597">
            <w:pPr>
              <w:pStyle w:val="Tabletext"/>
              <w:keepNext/>
              <w:keepLines/>
              <w:jc w:val="center"/>
              <w:rPr>
                <w:bCs/>
                <w:highlight w:val="yellow"/>
              </w:rPr>
            </w:pPr>
            <w:r w:rsidRPr="0020233B">
              <w:rPr>
                <w:rFonts w:cstheme="minorHAnsi" w:hint="eastAsia"/>
                <w:bCs/>
                <w:color w:val="000000"/>
                <w:w w:val="15"/>
                <w:szCs w:val="20"/>
                <w:shd w:val="solid" w:color="000000" w:fill="000000"/>
                <w:fitText w:val="55" w:id="-1303140350"/>
                <w14:textFill>
                  <w14:solidFill>
                    <w14:srgbClr w14:val="000000">
                      <w14:alpha w14:val="100000"/>
                    </w14:srgbClr>
                  </w14:solidFill>
                </w14:textFill>
              </w:rPr>
              <w:t xml:space="preserve">　</w:t>
            </w:r>
            <w:r w:rsidRPr="0020233B">
              <w:rPr>
                <w:rFonts w:cstheme="minorHAnsi"/>
                <w:bCs/>
                <w:color w:val="000000"/>
                <w:w w:val="15"/>
                <w:szCs w:val="20"/>
                <w:shd w:val="solid" w:color="000000" w:fill="000000"/>
                <w:fitText w:val="55" w:id="-1303140350"/>
                <w14:textFill>
                  <w14:solidFill>
                    <w14:srgbClr w14:val="000000">
                      <w14:alpha w14:val="100000"/>
                    </w14:srgbClr>
                  </w14:solidFill>
                </w14:textFill>
              </w:rPr>
              <w:t>|</w:t>
            </w:r>
            <w:r w:rsidRPr="0020233B">
              <w:rPr>
                <w:rFonts w:cstheme="minorHAnsi" w:hint="eastAsia"/>
                <w:bCs/>
                <w:color w:val="000000"/>
                <w:spacing w:val="-10"/>
                <w:w w:val="15"/>
                <w:szCs w:val="20"/>
                <w:shd w:val="solid" w:color="000000" w:fill="000000"/>
                <w:fitText w:val="55" w:id="-1303140350"/>
                <w14:textFill>
                  <w14:solidFill>
                    <w14:srgbClr w14:val="000000">
                      <w14:alpha w14:val="100000"/>
                    </w14:srgbClr>
                  </w14:solidFill>
                </w14:textFill>
              </w:rPr>
              <w:t xml:space="preserve">　</w:t>
            </w:r>
            <w:r w:rsidR="000B20DC" w:rsidRPr="005273F0">
              <w:rPr>
                <w:rFonts w:cs="Arial"/>
                <w:iCs/>
                <w:sz w:val="18"/>
                <w:szCs w:val="18"/>
                <w:vertAlign w:val="superscript"/>
              </w:rPr>
              <w:t>1</w:t>
            </w:r>
            <w:r w:rsidR="00C03C65" w:rsidRPr="00C03C65">
              <w:rPr>
                <w:rFonts w:cstheme="minorHAnsi"/>
                <w:bCs/>
                <w:szCs w:val="20"/>
              </w:rPr>
              <w:t xml:space="preserve"> </w:t>
            </w:r>
          </w:p>
        </w:tc>
      </w:tr>
      <w:tr w:rsidR="000D3A37" w:rsidRPr="000A03FD" w14:paraId="6174AFAE" w14:textId="77777777" w:rsidTr="00113672">
        <w:tc>
          <w:tcPr>
            <w:tcW w:w="2546" w:type="dxa"/>
            <w:tcBorders>
              <w:top w:val="single" w:sz="4" w:space="0" w:color="auto"/>
              <w:left w:val="single" w:sz="4" w:space="0" w:color="auto"/>
              <w:bottom w:val="single" w:sz="4" w:space="0" w:color="auto"/>
              <w:right w:val="single" w:sz="4" w:space="0" w:color="auto"/>
            </w:tcBorders>
            <w:vAlign w:val="center"/>
            <w:hideMark/>
          </w:tcPr>
          <w:p w14:paraId="039DF340" w14:textId="4F88883A" w:rsidR="007510BA" w:rsidRPr="000A03FD" w:rsidRDefault="007510BA" w:rsidP="00EA6597">
            <w:pPr>
              <w:pStyle w:val="Tabletext"/>
              <w:keepNext/>
              <w:keepLines/>
            </w:pPr>
            <w:r w:rsidRPr="000A03FD">
              <w:t>Net MBS costs</w:t>
            </w:r>
            <w:r w:rsidR="00567DB1">
              <w:t xml:space="preserve"> ($)</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D8990C0" w14:textId="20DEE847" w:rsidR="007510BA" w:rsidRPr="0081171C" w:rsidRDefault="0020233B" w:rsidP="00EA6597">
            <w:pPr>
              <w:pStyle w:val="Tabletext"/>
              <w:keepNext/>
              <w:keepLines/>
              <w:jc w:val="center"/>
              <w:rPr>
                <w:bCs/>
                <w:highlight w:val="yellow"/>
              </w:rPr>
            </w:pPr>
            <w:r w:rsidRPr="0020233B">
              <w:rPr>
                <w:rFonts w:cstheme="minorHAnsi" w:hint="eastAsia"/>
                <w:bCs/>
                <w:color w:val="000000"/>
                <w:w w:val="20"/>
                <w:szCs w:val="20"/>
                <w:shd w:val="solid" w:color="000000" w:fill="000000"/>
                <w:fitText w:val="91" w:id="-1303140349"/>
                <w14:textFill>
                  <w14:solidFill>
                    <w14:srgbClr w14:val="000000">
                      <w14:alpha w14:val="100000"/>
                    </w14:srgbClr>
                  </w14:solidFill>
                </w14:textFill>
              </w:rPr>
              <w:t xml:space="preserve">　</w:t>
            </w:r>
            <w:r w:rsidRPr="0020233B">
              <w:rPr>
                <w:rFonts w:cstheme="minorHAnsi"/>
                <w:bCs/>
                <w:color w:val="000000"/>
                <w:w w:val="20"/>
                <w:szCs w:val="20"/>
                <w:shd w:val="solid" w:color="000000" w:fill="000000"/>
                <w:fitText w:val="91" w:id="-1303140349"/>
                <w14:textFill>
                  <w14:solidFill>
                    <w14:srgbClr w14:val="000000">
                      <w14:alpha w14:val="100000"/>
                    </w14:srgbClr>
                  </w14:solidFill>
                </w14:textFill>
              </w:rPr>
              <w:t>|</w:t>
            </w:r>
            <w:r w:rsidRPr="0020233B">
              <w:rPr>
                <w:rFonts w:cstheme="minorHAnsi" w:hint="eastAsia"/>
                <w:bCs/>
                <w:color w:val="000000"/>
                <w:spacing w:val="4"/>
                <w:w w:val="20"/>
                <w:szCs w:val="20"/>
                <w:shd w:val="solid" w:color="000000" w:fill="000000"/>
                <w:fitText w:val="91" w:id="-1303140349"/>
                <w14:textFill>
                  <w14:solidFill>
                    <w14:srgbClr w14:val="000000">
                      <w14:alpha w14:val="100000"/>
                    </w14:srgbClr>
                  </w14:solidFill>
                </w14:textFill>
              </w:rPr>
              <w:t xml:space="preserve">　</w:t>
            </w:r>
            <w:r w:rsidR="005C17E0" w:rsidRPr="005C17E0">
              <w:rPr>
                <w:iCs/>
                <w:sz w:val="18"/>
                <w:szCs w:val="18"/>
                <w:vertAlign w:val="superscript"/>
              </w:rPr>
              <w:t>1</w:t>
            </w:r>
            <w:r w:rsidR="00C730B3">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182FFED" w14:textId="0CA1DC28"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48"/>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48"/>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48"/>
                <w14:textFill>
                  <w14:solidFill>
                    <w14:srgbClr w14:val="000000">
                      <w14:alpha w14:val="100000"/>
                    </w14:srgbClr>
                  </w14:solidFill>
                </w14:textFill>
              </w:rPr>
              <w:t xml:space="preserve">　</w:t>
            </w:r>
            <w:r w:rsidR="005C17E0" w:rsidRPr="005C17E0">
              <w:rPr>
                <w:iCs/>
                <w:sz w:val="18"/>
                <w:szCs w:val="18"/>
                <w:vertAlign w:val="superscript"/>
              </w:rPr>
              <w:t>1</w:t>
            </w:r>
            <w:r w:rsidR="00C730B3">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9A0E956" w14:textId="06543D4A"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47"/>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47"/>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47"/>
                <w14:textFill>
                  <w14:solidFill>
                    <w14:srgbClr w14:val="000000">
                      <w14:alpha w14:val="100000"/>
                    </w14:srgbClr>
                  </w14:solidFill>
                </w14:textFill>
              </w:rPr>
              <w:t xml:space="preserve">　</w:t>
            </w:r>
            <w:r w:rsidR="005C17E0" w:rsidRPr="005C17E0">
              <w:rPr>
                <w:iCs/>
                <w:sz w:val="18"/>
                <w:szCs w:val="18"/>
                <w:vertAlign w:val="superscript"/>
              </w:rPr>
              <w:t>1</w:t>
            </w:r>
            <w:r w:rsidR="00C730B3">
              <w:rPr>
                <w:iCs/>
                <w:sz w:val="18"/>
                <w:szCs w:val="18"/>
                <w:vertAlign w:val="superscript"/>
              </w:rPr>
              <w:t>5</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D245199" w14:textId="440C9147" w:rsidR="007510BA" w:rsidRPr="0081171C" w:rsidRDefault="0020233B" w:rsidP="00EA6597">
            <w:pPr>
              <w:pStyle w:val="Tabletext"/>
              <w:keepNext/>
              <w:keepLines/>
              <w:jc w:val="center"/>
              <w:rPr>
                <w:bCs/>
                <w:highlight w:val="yellow"/>
              </w:rPr>
            </w:pPr>
            <w:r w:rsidRPr="0020233B">
              <w:rPr>
                <w:rFonts w:cstheme="minorHAnsi" w:hint="eastAsia"/>
                <w:bCs/>
                <w:color w:val="000000"/>
                <w:w w:val="20"/>
                <w:szCs w:val="20"/>
                <w:shd w:val="solid" w:color="000000" w:fill="000000"/>
                <w:fitText w:val="91" w:id="-1303140346"/>
                <w14:textFill>
                  <w14:solidFill>
                    <w14:srgbClr w14:val="000000">
                      <w14:alpha w14:val="100000"/>
                    </w14:srgbClr>
                  </w14:solidFill>
                </w14:textFill>
              </w:rPr>
              <w:t xml:space="preserve">　</w:t>
            </w:r>
            <w:r w:rsidRPr="0020233B">
              <w:rPr>
                <w:rFonts w:cstheme="minorHAnsi"/>
                <w:bCs/>
                <w:color w:val="000000"/>
                <w:w w:val="20"/>
                <w:szCs w:val="20"/>
                <w:shd w:val="solid" w:color="000000" w:fill="000000"/>
                <w:fitText w:val="91" w:id="-1303140346"/>
                <w14:textFill>
                  <w14:solidFill>
                    <w14:srgbClr w14:val="000000">
                      <w14:alpha w14:val="100000"/>
                    </w14:srgbClr>
                  </w14:solidFill>
                </w14:textFill>
              </w:rPr>
              <w:t>|</w:t>
            </w:r>
            <w:r w:rsidRPr="0020233B">
              <w:rPr>
                <w:rFonts w:cstheme="minorHAnsi" w:hint="eastAsia"/>
                <w:bCs/>
                <w:color w:val="000000"/>
                <w:spacing w:val="4"/>
                <w:w w:val="20"/>
                <w:szCs w:val="20"/>
                <w:shd w:val="solid" w:color="000000" w:fill="000000"/>
                <w:fitText w:val="91" w:id="-1303140346"/>
                <w14:textFill>
                  <w14:solidFill>
                    <w14:srgbClr w14:val="000000">
                      <w14:alpha w14:val="100000"/>
                    </w14:srgbClr>
                  </w14:solidFill>
                </w14:textFill>
              </w:rPr>
              <w:t xml:space="preserve">　</w:t>
            </w:r>
            <w:r w:rsidR="005C17E0" w:rsidRPr="005C17E0">
              <w:rPr>
                <w:iCs/>
                <w:sz w:val="18"/>
                <w:szCs w:val="18"/>
                <w:vertAlign w:val="superscript"/>
              </w:rPr>
              <w:t>1</w:t>
            </w:r>
            <w:r w:rsidR="00C730B3">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55B3942" w14:textId="4DFBBA14"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45"/>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45"/>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45"/>
                <w14:textFill>
                  <w14:solidFill>
                    <w14:srgbClr w14:val="000000">
                      <w14:alpha w14:val="100000"/>
                    </w14:srgbClr>
                  </w14:solidFill>
                </w14:textFill>
              </w:rPr>
              <w:t xml:space="preserve">　</w:t>
            </w:r>
            <w:r w:rsidR="005C17E0" w:rsidRPr="005C17E0">
              <w:rPr>
                <w:iCs/>
                <w:sz w:val="18"/>
                <w:szCs w:val="18"/>
                <w:vertAlign w:val="superscript"/>
              </w:rPr>
              <w:t>1</w:t>
            </w:r>
            <w:r w:rsidR="00C730B3">
              <w:rPr>
                <w:iCs/>
                <w:sz w:val="18"/>
                <w:szCs w:val="18"/>
                <w:vertAlign w:val="superscript"/>
              </w:rPr>
              <w:t>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7B04C88" w14:textId="58749B02" w:rsidR="007510BA" w:rsidRPr="0081171C" w:rsidRDefault="0020233B" w:rsidP="00EA6597">
            <w:pPr>
              <w:pStyle w:val="Tabletext"/>
              <w:keepNext/>
              <w:keepLines/>
              <w:jc w:val="center"/>
              <w:rPr>
                <w:bCs/>
                <w:highlight w:val="yellow"/>
              </w:rPr>
            </w:pPr>
            <w:r w:rsidRPr="0020233B">
              <w:rPr>
                <w:rFonts w:cstheme="minorHAnsi" w:hint="eastAsia"/>
                <w:bCs/>
                <w:color w:val="000000"/>
                <w:w w:val="18"/>
                <w:szCs w:val="20"/>
                <w:shd w:val="solid" w:color="000000" w:fill="000000"/>
                <w:fitText w:val="82" w:id="-1303140344"/>
                <w14:textFill>
                  <w14:solidFill>
                    <w14:srgbClr w14:val="000000">
                      <w14:alpha w14:val="100000"/>
                    </w14:srgbClr>
                  </w14:solidFill>
                </w14:textFill>
              </w:rPr>
              <w:t xml:space="preserve">　</w:t>
            </w:r>
            <w:r w:rsidRPr="0020233B">
              <w:rPr>
                <w:rFonts w:cstheme="minorHAnsi"/>
                <w:bCs/>
                <w:color w:val="000000"/>
                <w:w w:val="18"/>
                <w:szCs w:val="20"/>
                <w:shd w:val="solid" w:color="000000" w:fill="000000"/>
                <w:fitText w:val="82" w:id="-1303140344"/>
                <w14:textFill>
                  <w14:solidFill>
                    <w14:srgbClr w14:val="000000">
                      <w14:alpha w14:val="100000"/>
                    </w14:srgbClr>
                  </w14:solidFill>
                </w14:textFill>
              </w:rPr>
              <w:t>|</w:t>
            </w:r>
            <w:r w:rsidRPr="0020233B">
              <w:rPr>
                <w:rFonts w:cstheme="minorHAnsi" w:hint="eastAsia"/>
                <w:bCs/>
                <w:color w:val="000000"/>
                <w:spacing w:val="2"/>
                <w:w w:val="18"/>
                <w:szCs w:val="20"/>
                <w:shd w:val="solid" w:color="000000" w:fill="000000"/>
                <w:fitText w:val="82" w:id="-1303140344"/>
                <w14:textFill>
                  <w14:solidFill>
                    <w14:srgbClr w14:val="000000">
                      <w14:alpha w14:val="100000"/>
                    </w14:srgbClr>
                  </w14:solidFill>
                </w14:textFill>
              </w:rPr>
              <w:t xml:space="preserve">　</w:t>
            </w:r>
            <w:r w:rsidR="005C17E0" w:rsidRPr="005C17E0">
              <w:rPr>
                <w:iCs/>
                <w:sz w:val="18"/>
                <w:szCs w:val="18"/>
                <w:vertAlign w:val="superscript"/>
              </w:rPr>
              <w:t>1</w:t>
            </w:r>
            <w:r w:rsidR="00C730B3">
              <w:rPr>
                <w:iCs/>
                <w:sz w:val="18"/>
                <w:szCs w:val="18"/>
                <w:vertAlign w:val="superscript"/>
              </w:rPr>
              <w:t>5</w:t>
            </w:r>
          </w:p>
        </w:tc>
      </w:tr>
      <w:tr w:rsidR="000D3A37" w:rsidRPr="000A03FD" w14:paraId="60FD2992" w14:textId="77777777" w:rsidTr="00113672">
        <w:tc>
          <w:tcPr>
            <w:tcW w:w="2546" w:type="dxa"/>
            <w:tcBorders>
              <w:top w:val="single" w:sz="4" w:space="0" w:color="auto"/>
              <w:left w:val="single" w:sz="4" w:space="0" w:color="auto"/>
              <w:bottom w:val="single" w:sz="4" w:space="0" w:color="auto"/>
              <w:right w:val="single" w:sz="4" w:space="0" w:color="auto"/>
            </w:tcBorders>
            <w:vAlign w:val="center"/>
            <w:hideMark/>
          </w:tcPr>
          <w:p w14:paraId="5484A1D7" w14:textId="43DEFFB9" w:rsidR="007510BA" w:rsidRPr="000A03FD" w:rsidRDefault="007510BA" w:rsidP="00EA6597">
            <w:pPr>
              <w:pStyle w:val="Tabletext"/>
              <w:keepNext/>
              <w:keepLines/>
            </w:pPr>
            <w:r w:rsidRPr="000A03FD">
              <w:t>Net cost to Government health budget (eff)</w:t>
            </w:r>
            <w:r w:rsidR="00567DB1">
              <w:t xml:space="preserve"> ($)</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F41AA11" w14:textId="62FE8493" w:rsidR="007510BA" w:rsidRPr="0081171C" w:rsidRDefault="0020233B" w:rsidP="00EA6597">
            <w:pPr>
              <w:pStyle w:val="Tabletext"/>
              <w:keepNext/>
              <w:keepLines/>
              <w:jc w:val="center"/>
              <w:rPr>
                <w:highlight w:val="yellow"/>
              </w:rPr>
            </w:pPr>
            <w:r w:rsidRPr="0020233B">
              <w:rPr>
                <w:rFonts w:cs="Arial" w:hint="eastAsia"/>
                <w:color w:val="000000"/>
                <w:w w:val="20"/>
                <w:szCs w:val="20"/>
                <w:shd w:val="solid" w:color="000000" w:fill="000000"/>
                <w:fitText w:val="91" w:id="-1303140343"/>
                <w14:textFill>
                  <w14:solidFill>
                    <w14:srgbClr w14:val="000000">
                      <w14:alpha w14:val="100000"/>
                    </w14:srgbClr>
                  </w14:solidFill>
                </w14:textFill>
              </w:rPr>
              <w:t xml:space="preserve">　</w:t>
            </w:r>
            <w:r w:rsidRPr="0020233B">
              <w:rPr>
                <w:rFonts w:cs="Arial"/>
                <w:color w:val="000000"/>
                <w:w w:val="20"/>
                <w:szCs w:val="20"/>
                <w:shd w:val="solid" w:color="000000" w:fill="000000"/>
                <w:fitText w:val="91" w:id="-1303140343"/>
                <w14:textFill>
                  <w14:solidFill>
                    <w14:srgbClr w14:val="000000">
                      <w14:alpha w14:val="100000"/>
                    </w14:srgbClr>
                  </w14:solidFill>
                </w14:textFill>
              </w:rPr>
              <w:t>|</w:t>
            </w:r>
            <w:r w:rsidRPr="0020233B">
              <w:rPr>
                <w:rFonts w:cs="Arial" w:hint="eastAsia"/>
                <w:color w:val="000000"/>
                <w:spacing w:val="4"/>
                <w:w w:val="20"/>
                <w:szCs w:val="20"/>
                <w:shd w:val="solid" w:color="000000" w:fill="000000"/>
                <w:fitText w:val="91" w:id="-1303140343"/>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5263CC6" w14:textId="75C0C9CF"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42"/>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42"/>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42"/>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6F62F4C" w14:textId="0C23191E"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41"/>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41"/>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41"/>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D817FBA" w14:textId="1853BFAC" w:rsidR="007510BA" w:rsidRPr="0081171C" w:rsidRDefault="0020233B" w:rsidP="00EA6597">
            <w:pPr>
              <w:pStyle w:val="Tabletext"/>
              <w:keepNext/>
              <w:keepLines/>
              <w:jc w:val="center"/>
              <w:rPr>
                <w:highlight w:val="yellow"/>
              </w:rPr>
            </w:pPr>
            <w:r w:rsidRPr="0020233B">
              <w:rPr>
                <w:rFonts w:cs="Arial" w:hint="eastAsia"/>
                <w:color w:val="000000"/>
                <w:w w:val="20"/>
                <w:szCs w:val="20"/>
                <w:shd w:val="solid" w:color="000000" w:fill="000000"/>
                <w:fitText w:val="91" w:id="-1303140340"/>
                <w14:textFill>
                  <w14:solidFill>
                    <w14:srgbClr w14:val="000000">
                      <w14:alpha w14:val="100000"/>
                    </w14:srgbClr>
                  </w14:solidFill>
                </w14:textFill>
              </w:rPr>
              <w:t xml:space="preserve">　</w:t>
            </w:r>
            <w:r w:rsidRPr="0020233B">
              <w:rPr>
                <w:rFonts w:cs="Arial"/>
                <w:color w:val="000000"/>
                <w:w w:val="20"/>
                <w:szCs w:val="20"/>
                <w:shd w:val="solid" w:color="000000" w:fill="000000"/>
                <w:fitText w:val="91" w:id="-1303140340"/>
                <w14:textFill>
                  <w14:solidFill>
                    <w14:srgbClr w14:val="000000">
                      <w14:alpha w14:val="100000"/>
                    </w14:srgbClr>
                  </w14:solidFill>
                </w14:textFill>
              </w:rPr>
              <w:t>|</w:t>
            </w:r>
            <w:r w:rsidRPr="0020233B">
              <w:rPr>
                <w:rFonts w:cs="Arial" w:hint="eastAsia"/>
                <w:color w:val="000000"/>
                <w:spacing w:val="4"/>
                <w:w w:val="20"/>
                <w:szCs w:val="20"/>
                <w:shd w:val="solid" w:color="000000" w:fill="000000"/>
                <w:fitText w:val="91" w:id="-1303140340"/>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C0DEBFE" w14:textId="27BFAA18"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39"/>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39"/>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39"/>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D235EEB" w14:textId="2F73A8E8" w:rsidR="007510BA" w:rsidRPr="0081171C" w:rsidRDefault="0020233B" w:rsidP="00EA6597">
            <w:pPr>
              <w:pStyle w:val="Tabletext"/>
              <w:keepNext/>
              <w:keepLines/>
              <w:jc w:val="center"/>
              <w:rPr>
                <w:highlight w:val="yellow"/>
              </w:rPr>
            </w:pPr>
            <w:r w:rsidRPr="0020233B">
              <w:rPr>
                <w:rFonts w:cs="Arial" w:hint="eastAsia"/>
                <w:color w:val="000000"/>
                <w:w w:val="18"/>
                <w:szCs w:val="20"/>
                <w:shd w:val="solid" w:color="000000" w:fill="000000"/>
                <w:fitText w:val="82" w:id="-1303140338"/>
                <w14:textFill>
                  <w14:solidFill>
                    <w14:srgbClr w14:val="000000">
                      <w14:alpha w14:val="100000"/>
                    </w14:srgbClr>
                  </w14:solidFill>
                </w14:textFill>
              </w:rPr>
              <w:t xml:space="preserve">　</w:t>
            </w:r>
            <w:r w:rsidRPr="0020233B">
              <w:rPr>
                <w:rFonts w:cs="Arial"/>
                <w:color w:val="000000"/>
                <w:w w:val="18"/>
                <w:szCs w:val="20"/>
                <w:shd w:val="solid" w:color="000000" w:fill="000000"/>
                <w:fitText w:val="82" w:id="-1303140338"/>
                <w14:textFill>
                  <w14:solidFill>
                    <w14:srgbClr w14:val="000000">
                      <w14:alpha w14:val="100000"/>
                    </w14:srgbClr>
                  </w14:solidFill>
                </w14:textFill>
              </w:rPr>
              <w:t>|</w:t>
            </w:r>
            <w:r w:rsidRPr="0020233B">
              <w:rPr>
                <w:rFonts w:cs="Arial" w:hint="eastAsia"/>
                <w:color w:val="000000"/>
                <w:spacing w:val="2"/>
                <w:w w:val="18"/>
                <w:szCs w:val="20"/>
                <w:shd w:val="solid" w:color="000000" w:fill="000000"/>
                <w:fitText w:val="82" w:id="-1303140338"/>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r>
      <w:tr w:rsidR="000D3A37" w:rsidRPr="000A03FD" w14:paraId="4E8597CA" w14:textId="77777777" w:rsidTr="0064680C">
        <w:tc>
          <w:tcPr>
            <w:tcW w:w="906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2DBBAD" w14:textId="77777777" w:rsidR="007510BA" w:rsidRPr="000A03FD" w:rsidRDefault="007510BA" w:rsidP="00EA6597">
            <w:pPr>
              <w:pStyle w:val="Tabletext"/>
              <w:keepNext/>
              <w:keepLines/>
              <w:rPr>
                <w:b/>
                <w:bCs/>
              </w:rPr>
            </w:pPr>
            <w:r w:rsidRPr="000A03FD">
              <w:rPr>
                <w:b/>
                <w:bCs/>
              </w:rPr>
              <w:t>Previous submission</w:t>
            </w:r>
          </w:p>
        </w:tc>
      </w:tr>
      <w:tr w:rsidR="000D3A37" w:rsidRPr="000A03FD" w14:paraId="33A0E498" w14:textId="77777777" w:rsidTr="0064680C">
        <w:tc>
          <w:tcPr>
            <w:tcW w:w="254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1D0635" w14:textId="77777777" w:rsidR="007510BA" w:rsidRPr="000A03FD" w:rsidRDefault="007510BA" w:rsidP="00EA6597">
            <w:pPr>
              <w:pStyle w:val="Tabletext"/>
              <w:keepNext/>
              <w:keepLines/>
            </w:pPr>
            <w:r w:rsidRPr="000A03FD">
              <w:t xml:space="preserve">Total electing treatment (initial) </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8419B0" w14:textId="25ABB015"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4" w:id="-1303140337"/>
                <w14:textFill>
                  <w14:solidFill>
                    <w14:srgbClr w14:val="000000">
                      <w14:alpha w14:val="100000"/>
                    </w14:srgbClr>
                  </w14:solidFill>
                </w14:textFill>
              </w:rPr>
              <w:t xml:space="preserve">　</w:t>
            </w:r>
            <w:r w:rsidRPr="0020233B">
              <w:rPr>
                <w:color w:val="000000"/>
                <w:w w:val="15"/>
                <w:shd w:val="solid" w:color="000000" w:fill="000000"/>
                <w:fitText w:val="64" w:id="-1303140337"/>
                <w14:textFill>
                  <w14:solidFill>
                    <w14:srgbClr w14:val="000000">
                      <w14:alpha w14:val="100000"/>
                    </w14:srgbClr>
                  </w14:solidFill>
                </w14:textFill>
              </w:rPr>
              <w:t>|</w:t>
            </w:r>
            <w:r w:rsidRPr="0020233B">
              <w:rPr>
                <w:rFonts w:hint="eastAsia"/>
                <w:color w:val="000000"/>
                <w:spacing w:val="-1"/>
                <w:w w:val="15"/>
                <w:shd w:val="solid" w:color="000000" w:fill="000000"/>
                <w:fitText w:val="64" w:id="-1303140337"/>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DA4749" w14:textId="50EAA75F"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4" w:id="-1303140336"/>
                <w14:textFill>
                  <w14:solidFill>
                    <w14:srgbClr w14:val="000000">
                      <w14:alpha w14:val="100000"/>
                    </w14:srgbClr>
                  </w14:solidFill>
                </w14:textFill>
              </w:rPr>
              <w:t xml:space="preserve">　</w:t>
            </w:r>
            <w:r w:rsidRPr="0020233B">
              <w:rPr>
                <w:color w:val="000000"/>
                <w:w w:val="15"/>
                <w:shd w:val="solid" w:color="000000" w:fill="000000"/>
                <w:fitText w:val="54" w:id="-1303140336"/>
                <w14:textFill>
                  <w14:solidFill>
                    <w14:srgbClr w14:val="000000">
                      <w14:alpha w14:val="100000"/>
                    </w14:srgbClr>
                  </w14:solidFill>
                </w14:textFill>
              </w:rPr>
              <w:t>|</w:t>
            </w:r>
            <w:r w:rsidRPr="0020233B">
              <w:rPr>
                <w:rFonts w:hint="eastAsia"/>
                <w:color w:val="000000"/>
                <w:spacing w:val="-11"/>
                <w:w w:val="15"/>
                <w:shd w:val="solid" w:color="000000" w:fill="000000"/>
                <w:fitText w:val="54" w:id="-1303140336"/>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D86E6" w14:textId="6CB3CE56"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52"/>
                <w14:textFill>
                  <w14:solidFill>
                    <w14:srgbClr w14:val="000000">
                      <w14:alpha w14:val="100000"/>
                    </w14:srgbClr>
                  </w14:solidFill>
                </w14:textFill>
              </w:rPr>
              <w:t xml:space="preserve">　</w:t>
            </w:r>
            <w:r w:rsidRPr="0020233B">
              <w:rPr>
                <w:color w:val="000000"/>
                <w:w w:val="15"/>
                <w:shd w:val="solid" w:color="000000" w:fill="000000"/>
                <w:fitText w:val="55" w:id="-1303140352"/>
                <w14:textFill>
                  <w14:solidFill>
                    <w14:srgbClr w14:val="000000">
                      <w14:alpha w14:val="100000"/>
                    </w14:srgbClr>
                  </w14:solidFill>
                </w14:textFill>
              </w:rPr>
              <w:t>|</w:t>
            </w:r>
            <w:r w:rsidRPr="0020233B">
              <w:rPr>
                <w:rFonts w:hint="eastAsia"/>
                <w:color w:val="000000"/>
                <w:spacing w:val="-10"/>
                <w:w w:val="15"/>
                <w:shd w:val="solid" w:color="000000" w:fill="000000"/>
                <w:fitText w:val="55" w:id="-1303140352"/>
                <w14:textFill>
                  <w14:solidFill>
                    <w14:srgbClr w14:val="000000">
                      <w14:alpha w14:val="100000"/>
                    </w14:srgbClr>
                  </w14:solidFill>
                </w14:textFill>
              </w:rPr>
              <w:t xml:space="preserve">　</w:t>
            </w:r>
            <w:r w:rsidR="002F1FA0">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F50D" w14:textId="5BCAB45C"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3" w:id="-1303140351"/>
                <w14:textFill>
                  <w14:solidFill>
                    <w14:srgbClr w14:val="000000">
                      <w14:alpha w14:val="100000"/>
                    </w14:srgbClr>
                  </w14:solidFill>
                </w14:textFill>
              </w:rPr>
              <w:t xml:space="preserve">　</w:t>
            </w:r>
            <w:r w:rsidRPr="0020233B">
              <w:rPr>
                <w:color w:val="000000"/>
                <w:w w:val="15"/>
                <w:shd w:val="solid" w:color="000000" w:fill="000000"/>
                <w:fitText w:val="63" w:id="-1303140351"/>
                <w14:textFill>
                  <w14:solidFill>
                    <w14:srgbClr w14:val="000000">
                      <w14:alpha w14:val="100000"/>
                    </w14:srgbClr>
                  </w14:solidFill>
                </w14:textFill>
              </w:rPr>
              <w:t>|</w:t>
            </w:r>
            <w:r w:rsidRPr="0020233B">
              <w:rPr>
                <w:rFonts w:hint="eastAsia"/>
                <w:color w:val="000000"/>
                <w:spacing w:val="-2"/>
                <w:w w:val="15"/>
                <w:shd w:val="solid" w:color="000000" w:fill="000000"/>
                <w:fitText w:val="63" w:id="-1303140351"/>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31E936" w14:textId="1C11A4BA"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50"/>
                <w14:textFill>
                  <w14:solidFill>
                    <w14:srgbClr w14:val="000000">
                      <w14:alpha w14:val="100000"/>
                    </w14:srgbClr>
                  </w14:solidFill>
                </w14:textFill>
              </w:rPr>
              <w:t xml:space="preserve">　</w:t>
            </w:r>
            <w:r w:rsidRPr="0020233B">
              <w:rPr>
                <w:color w:val="000000"/>
                <w:w w:val="15"/>
                <w:shd w:val="solid" w:color="000000" w:fill="000000"/>
                <w:fitText w:val="55" w:id="-1303140350"/>
                <w14:textFill>
                  <w14:solidFill>
                    <w14:srgbClr w14:val="000000">
                      <w14:alpha w14:val="100000"/>
                    </w14:srgbClr>
                  </w14:solidFill>
                </w14:textFill>
              </w:rPr>
              <w:t>|</w:t>
            </w:r>
            <w:r w:rsidRPr="0020233B">
              <w:rPr>
                <w:rFonts w:hint="eastAsia"/>
                <w:color w:val="000000"/>
                <w:spacing w:val="-10"/>
                <w:w w:val="15"/>
                <w:shd w:val="solid" w:color="000000" w:fill="000000"/>
                <w:fitText w:val="55" w:id="-1303140350"/>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CC8F44" w14:textId="4ACBD184" w:rsidR="007510BA"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9"/>
                <w14:textFill>
                  <w14:solidFill>
                    <w14:srgbClr w14:val="000000">
                      <w14:alpha w14:val="100000"/>
                    </w14:srgbClr>
                  </w14:solidFill>
                </w14:textFill>
              </w:rPr>
              <w:t xml:space="preserve">　</w:t>
            </w:r>
            <w:r w:rsidRPr="0020233B">
              <w:rPr>
                <w:color w:val="000000"/>
                <w:w w:val="15"/>
                <w:shd w:val="solid" w:color="000000" w:fill="000000"/>
                <w:fitText w:val="55" w:id="-1303140349"/>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9"/>
                <w14:textFill>
                  <w14:solidFill>
                    <w14:srgbClr w14:val="000000">
                      <w14:alpha w14:val="100000"/>
                    </w14:srgbClr>
                  </w14:solidFill>
                </w14:textFill>
              </w:rPr>
              <w:t xml:space="preserve">　</w:t>
            </w:r>
            <w:r w:rsidR="002F1FA0">
              <w:rPr>
                <w:rFonts w:cs="Arial"/>
                <w:iCs/>
                <w:sz w:val="18"/>
                <w:szCs w:val="18"/>
                <w:vertAlign w:val="superscript"/>
              </w:rPr>
              <w:t>3</w:t>
            </w:r>
          </w:p>
        </w:tc>
      </w:tr>
      <w:tr w:rsidR="00630E76" w:rsidRPr="000A03FD" w14:paraId="253E9D49" w14:textId="77777777" w:rsidTr="0064680C">
        <w:tc>
          <w:tcPr>
            <w:tcW w:w="254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26290A" w14:textId="44094916" w:rsidR="00630E76" w:rsidRPr="000A03FD" w:rsidRDefault="00630E76" w:rsidP="00EA6597">
            <w:pPr>
              <w:pStyle w:val="Tabletext"/>
              <w:keepNext/>
              <w:keepLines/>
            </w:pPr>
            <w:r w:rsidRPr="000A03FD">
              <w:t>Total electing treatment (continuing)</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015C24" w14:textId="264ECBFC" w:rsidR="00630E76"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4" w:id="-1303140348"/>
                <w14:textFill>
                  <w14:solidFill>
                    <w14:srgbClr w14:val="000000">
                      <w14:alpha w14:val="100000"/>
                    </w14:srgbClr>
                  </w14:solidFill>
                </w14:textFill>
              </w:rPr>
              <w:t xml:space="preserve">　</w:t>
            </w:r>
            <w:r w:rsidRPr="0020233B">
              <w:rPr>
                <w:color w:val="000000"/>
                <w:w w:val="15"/>
                <w:shd w:val="solid" w:color="000000" w:fill="000000"/>
                <w:fitText w:val="64" w:id="-1303140348"/>
                <w14:textFill>
                  <w14:solidFill>
                    <w14:srgbClr w14:val="000000">
                      <w14:alpha w14:val="100000"/>
                    </w14:srgbClr>
                  </w14:solidFill>
                </w14:textFill>
              </w:rPr>
              <w:t>|</w:t>
            </w:r>
            <w:r w:rsidRPr="0020233B">
              <w:rPr>
                <w:rFonts w:hint="eastAsia"/>
                <w:color w:val="000000"/>
                <w:spacing w:val="-1"/>
                <w:w w:val="15"/>
                <w:shd w:val="solid" w:color="000000" w:fill="000000"/>
                <w:fitText w:val="64" w:id="-1303140348"/>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8C67E" w14:textId="46398C1A" w:rsidR="00630E76"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4" w:id="-1303140347"/>
                <w14:textFill>
                  <w14:solidFill>
                    <w14:srgbClr w14:val="000000">
                      <w14:alpha w14:val="100000"/>
                    </w14:srgbClr>
                  </w14:solidFill>
                </w14:textFill>
              </w:rPr>
              <w:t xml:space="preserve">　</w:t>
            </w:r>
            <w:r w:rsidRPr="0020233B">
              <w:rPr>
                <w:color w:val="000000"/>
                <w:w w:val="15"/>
                <w:shd w:val="solid" w:color="000000" w:fill="000000"/>
                <w:fitText w:val="54" w:id="-1303140347"/>
                <w14:textFill>
                  <w14:solidFill>
                    <w14:srgbClr w14:val="000000">
                      <w14:alpha w14:val="100000"/>
                    </w14:srgbClr>
                  </w14:solidFill>
                </w14:textFill>
              </w:rPr>
              <w:t>|</w:t>
            </w:r>
            <w:r w:rsidRPr="0020233B">
              <w:rPr>
                <w:rFonts w:hint="eastAsia"/>
                <w:color w:val="000000"/>
                <w:spacing w:val="-11"/>
                <w:w w:val="15"/>
                <w:shd w:val="solid" w:color="000000" w:fill="000000"/>
                <w:fitText w:val="54" w:id="-1303140347"/>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239B86" w14:textId="59A792E2" w:rsidR="00630E76"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6"/>
                <w14:textFill>
                  <w14:solidFill>
                    <w14:srgbClr w14:val="000000">
                      <w14:alpha w14:val="100000"/>
                    </w14:srgbClr>
                  </w14:solidFill>
                </w14:textFill>
              </w:rPr>
              <w:t xml:space="preserve">　</w:t>
            </w:r>
            <w:r w:rsidRPr="0020233B">
              <w:rPr>
                <w:color w:val="000000"/>
                <w:w w:val="15"/>
                <w:shd w:val="solid" w:color="000000" w:fill="000000"/>
                <w:fitText w:val="55" w:id="-1303140346"/>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6"/>
                <w14:textFill>
                  <w14:solidFill>
                    <w14:srgbClr w14:val="000000">
                      <w14:alpha w14:val="100000"/>
                    </w14:srgbClr>
                  </w14:solidFill>
                </w14:textFill>
              </w:rPr>
              <w:t xml:space="preserve">　</w:t>
            </w:r>
            <w:r w:rsidR="002F1FA0">
              <w:rPr>
                <w:rFonts w:cs="Arial"/>
                <w:iCs/>
                <w:sz w:val="18"/>
                <w:szCs w:val="18"/>
                <w:vertAlign w:val="superscript"/>
              </w:rPr>
              <w:t>3</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125605" w14:textId="4CB6886C" w:rsidR="00630E76"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63" w:id="-1303140345"/>
                <w14:textFill>
                  <w14:solidFill>
                    <w14:srgbClr w14:val="000000">
                      <w14:alpha w14:val="100000"/>
                    </w14:srgbClr>
                  </w14:solidFill>
                </w14:textFill>
              </w:rPr>
              <w:t xml:space="preserve">　</w:t>
            </w:r>
            <w:r w:rsidRPr="0020233B">
              <w:rPr>
                <w:color w:val="000000"/>
                <w:w w:val="15"/>
                <w:shd w:val="solid" w:color="000000" w:fill="000000"/>
                <w:fitText w:val="63" w:id="-1303140345"/>
                <w14:textFill>
                  <w14:solidFill>
                    <w14:srgbClr w14:val="000000">
                      <w14:alpha w14:val="100000"/>
                    </w14:srgbClr>
                  </w14:solidFill>
                </w14:textFill>
              </w:rPr>
              <w:t>|</w:t>
            </w:r>
            <w:r w:rsidRPr="0020233B">
              <w:rPr>
                <w:rFonts w:hint="eastAsia"/>
                <w:color w:val="000000"/>
                <w:spacing w:val="-2"/>
                <w:w w:val="15"/>
                <w:shd w:val="solid" w:color="000000" w:fill="000000"/>
                <w:fitText w:val="63" w:id="-1303140345"/>
                <w14:textFill>
                  <w14:solidFill>
                    <w14:srgbClr w14:val="000000">
                      <w14:alpha w14:val="100000"/>
                    </w14:srgbClr>
                  </w14:solidFill>
                </w14:textFill>
              </w:rPr>
              <w:t xml:space="preserve">　</w:t>
            </w:r>
            <w:r w:rsidR="002F1FA0">
              <w:rPr>
                <w:rFonts w:cs="Arial"/>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7ADEDA" w14:textId="6C8E2720" w:rsidR="00630E76"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4"/>
                <w14:textFill>
                  <w14:solidFill>
                    <w14:srgbClr w14:val="000000">
                      <w14:alpha w14:val="100000"/>
                    </w14:srgbClr>
                  </w14:solidFill>
                </w14:textFill>
              </w:rPr>
              <w:t xml:space="preserve">　</w:t>
            </w:r>
            <w:r w:rsidRPr="0020233B">
              <w:rPr>
                <w:color w:val="000000"/>
                <w:w w:val="15"/>
                <w:shd w:val="solid" w:color="000000" w:fill="000000"/>
                <w:fitText w:val="55" w:id="-1303140344"/>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4"/>
                <w14:textFill>
                  <w14:solidFill>
                    <w14:srgbClr w14:val="000000">
                      <w14:alpha w14:val="100000"/>
                    </w14:srgbClr>
                  </w14:solidFill>
                </w14:textFill>
              </w:rPr>
              <w:t xml:space="preserve">　</w:t>
            </w:r>
            <w:r w:rsidR="005273F0" w:rsidRPr="005273F0">
              <w:rPr>
                <w:rFonts w:cs="Arial"/>
                <w:iCs/>
                <w:sz w:val="18"/>
                <w:szCs w:val="18"/>
                <w:vertAlign w:val="superscript"/>
              </w:rPr>
              <w:t>2</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C40D4A" w14:textId="61754CA1" w:rsidR="00630E76" w:rsidRPr="0081171C" w:rsidRDefault="0020233B" w:rsidP="00EA6597">
            <w:pPr>
              <w:pStyle w:val="Tabletext"/>
              <w:keepNext/>
              <w:keepLines/>
              <w:jc w:val="center"/>
              <w:rPr>
                <w:highlight w:val="yellow"/>
              </w:rPr>
            </w:pPr>
            <w:r w:rsidRPr="0020233B">
              <w:rPr>
                <w:rFonts w:hint="eastAsia"/>
                <w:color w:val="000000"/>
                <w:w w:val="15"/>
                <w:shd w:val="solid" w:color="000000" w:fill="000000"/>
                <w:fitText w:val="55" w:id="-1303140343"/>
                <w14:textFill>
                  <w14:solidFill>
                    <w14:srgbClr w14:val="000000">
                      <w14:alpha w14:val="100000"/>
                    </w14:srgbClr>
                  </w14:solidFill>
                </w14:textFill>
              </w:rPr>
              <w:t xml:space="preserve">　</w:t>
            </w:r>
            <w:r w:rsidRPr="0020233B">
              <w:rPr>
                <w:color w:val="000000"/>
                <w:w w:val="15"/>
                <w:shd w:val="solid" w:color="000000" w:fill="000000"/>
                <w:fitText w:val="55" w:id="-1303140343"/>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3"/>
                <w14:textFill>
                  <w14:solidFill>
                    <w14:srgbClr w14:val="000000">
                      <w14:alpha w14:val="100000"/>
                    </w14:srgbClr>
                  </w14:solidFill>
                </w14:textFill>
              </w:rPr>
              <w:t xml:space="preserve">　</w:t>
            </w:r>
            <w:r w:rsidR="005273F0" w:rsidRPr="005273F0">
              <w:rPr>
                <w:rFonts w:cs="Arial"/>
                <w:iCs/>
                <w:sz w:val="18"/>
                <w:szCs w:val="18"/>
                <w:vertAlign w:val="superscript"/>
              </w:rPr>
              <w:t>2</w:t>
            </w:r>
          </w:p>
        </w:tc>
      </w:tr>
      <w:tr w:rsidR="000D3A37" w:rsidRPr="000A03FD" w14:paraId="73FA000E" w14:textId="77777777" w:rsidTr="0064680C">
        <w:tc>
          <w:tcPr>
            <w:tcW w:w="254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6E5A3C" w14:textId="5D053033" w:rsidR="007510BA" w:rsidRPr="000A03FD" w:rsidRDefault="007510BA" w:rsidP="00EA6597">
            <w:pPr>
              <w:pStyle w:val="Tabletext"/>
              <w:keepNext/>
              <w:keepLines/>
            </w:pPr>
            <w:r w:rsidRPr="000A03FD">
              <w:t>Net cost to PBS/RPBS (eff)</w:t>
            </w:r>
            <w:r w:rsidR="00567DB1">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88806C" w14:textId="3F9A9C28" w:rsidR="007510BA" w:rsidRPr="0081171C" w:rsidRDefault="0020233B" w:rsidP="00EA6597">
            <w:pPr>
              <w:pStyle w:val="Tabletext"/>
              <w:keepNext/>
              <w:keepLines/>
              <w:jc w:val="center"/>
              <w:rPr>
                <w:highlight w:val="yellow"/>
              </w:rPr>
            </w:pPr>
            <w:r w:rsidRPr="0020233B">
              <w:rPr>
                <w:rFonts w:hint="eastAsia"/>
                <w:color w:val="000000"/>
                <w:w w:val="20"/>
                <w:shd w:val="solid" w:color="000000" w:fill="000000"/>
                <w:fitText w:val="91" w:id="-1303140342"/>
                <w14:textFill>
                  <w14:solidFill>
                    <w14:srgbClr w14:val="000000">
                      <w14:alpha w14:val="100000"/>
                    </w14:srgbClr>
                  </w14:solidFill>
                </w14:textFill>
              </w:rPr>
              <w:t xml:space="preserve">　</w:t>
            </w:r>
            <w:r w:rsidRPr="0020233B">
              <w:rPr>
                <w:color w:val="000000"/>
                <w:w w:val="20"/>
                <w:shd w:val="solid" w:color="000000" w:fill="000000"/>
                <w:fitText w:val="91" w:id="-1303140342"/>
                <w14:textFill>
                  <w14:solidFill>
                    <w14:srgbClr w14:val="000000">
                      <w14:alpha w14:val="100000"/>
                    </w14:srgbClr>
                  </w14:solidFill>
                </w14:textFill>
              </w:rPr>
              <w:t>|</w:t>
            </w:r>
            <w:r w:rsidRPr="0020233B">
              <w:rPr>
                <w:rFonts w:hint="eastAsia"/>
                <w:color w:val="000000"/>
                <w:spacing w:val="4"/>
                <w:w w:val="20"/>
                <w:shd w:val="solid" w:color="000000" w:fill="000000"/>
                <w:fitText w:val="91" w:id="-1303140342"/>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B373CB" w14:textId="08984234"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1"/>
                <w14:textFill>
                  <w14:solidFill>
                    <w14:srgbClr w14:val="000000">
                      <w14:alpha w14:val="100000"/>
                    </w14:srgbClr>
                  </w14:solidFill>
                </w14:textFill>
              </w:rPr>
              <w:t xml:space="preserve">　</w:t>
            </w:r>
            <w:r w:rsidRPr="0020233B">
              <w:rPr>
                <w:color w:val="000000"/>
                <w:w w:val="18"/>
                <w:shd w:val="solid" w:color="000000" w:fill="000000"/>
                <w:fitText w:val="82" w:id="-1303140341"/>
                <w14:textFill>
                  <w14:solidFill>
                    <w14:srgbClr w14:val="000000">
                      <w14:alpha w14:val="100000"/>
                    </w14:srgbClr>
                  </w14:solidFill>
                </w14:textFill>
              </w:rPr>
              <w:t>|</w:t>
            </w:r>
            <w:r w:rsidRPr="0020233B">
              <w:rPr>
                <w:rFonts w:hint="eastAsia"/>
                <w:color w:val="000000"/>
                <w:spacing w:val="2"/>
                <w:w w:val="18"/>
                <w:shd w:val="solid" w:color="000000" w:fill="000000"/>
                <w:fitText w:val="82" w:id="-1303140341"/>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6E144D" w14:textId="4C77E40B"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0"/>
                <w14:textFill>
                  <w14:solidFill>
                    <w14:srgbClr w14:val="000000">
                      <w14:alpha w14:val="100000"/>
                    </w14:srgbClr>
                  </w14:solidFill>
                </w14:textFill>
              </w:rPr>
              <w:t xml:space="preserve">　</w:t>
            </w:r>
            <w:r w:rsidRPr="0020233B">
              <w:rPr>
                <w:color w:val="000000"/>
                <w:w w:val="18"/>
                <w:shd w:val="solid" w:color="000000" w:fill="000000"/>
                <w:fitText w:val="82" w:id="-1303140340"/>
                <w14:textFill>
                  <w14:solidFill>
                    <w14:srgbClr w14:val="000000">
                      <w14:alpha w14:val="100000"/>
                    </w14:srgbClr>
                  </w14:solidFill>
                </w14:textFill>
              </w:rPr>
              <w:t>|</w:t>
            </w:r>
            <w:r w:rsidRPr="0020233B">
              <w:rPr>
                <w:rFonts w:hint="eastAsia"/>
                <w:color w:val="000000"/>
                <w:spacing w:val="2"/>
                <w:w w:val="18"/>
                <w:shd w:val="solid" w:color="000000" w:fill="000000"/>
                <w:fitText w:val="82" w:id="-1303140340"/>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2</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0DBAD8" w14:textId="07656DDD" w:rsidR="007510BA" w:rsidRPr="0081171C" w:rsidRDefault="0020233B" w:rsidP="00EA6597">
            <w:pPr>
              <w:pStyle w:val="Tabletext"/>
              <w:keepNext/>
              <w:keepLines/>
              <w:jc w:val="center"/>
              <w:rPr>
                <w:highlight w:val="yellow"/>
              </w:rPr>
            </w:pPr>
            <w:r w:rsidRPr="0020233B">
              <w:rPr>
                <w:rFonts w:hint="eastAsia"/>
                <w:color w:val="000000"/>
                <w:w w:val="20"/>
                <w:shd w:val="solid" w:color="000000" w:fill="000000"/>
                <w:fitText w:val="91" w:id="-1303140339"/>
                <w14:textFill>
                  <w14:solidFill>
                    <w14:srgbClr w14:val="000000">
                      <w14:alpha w14:val="100000"/>
                    </w14:srgbClr>
                  </w14:solidFill>
                </w14:textFill>
              </w:rPr>
              <w:t xml:space="preserve">　</w:t>
            </w:r>
            <w:r w:rsidRPr="0020233B">
              <w:rPr>
                <w:color w:val="000000"/>
                <w:w w:val="20"/>
                <w:shd w:val="solid" w:color="000000" w:fill="000000"/>
                <w:fitText w:val="91" w:id="-1303140339"/>
                <w14:textFill>
                  <w14:solidFill>
                    <w14:srgbClr w14:val="000000">
                      <w14:alpha w14:val="100000"/>
                    </w14:srgbClr>
                  </w14:solidFill>
                </w14:textFill>
              </w:rPr>
              <w:t>|</w:t>
            </w:r>
            <w:r w:rsidRPr="0020233B">
              <w:rPr>
                <w:rFonts w:hint="eastAsia"/>
                <w:color w:val="000000"/>
                <w:spacing w:val="4"/>
                <w:w w:val="20"/>
                <w:shd w:val="solid" w:color="000000" w:fill="000000"/>
                <w:fitText w:val="91" w:id="-1303140339"/>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C5C775" w14:textId="05A77161"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38"/>
                <w14:textFill>
                  <w14:solidFill>
                    <w14:srgbClr w14:val="000000">
                      <w14:alpha w14:val="100000"/>
                    </w14:srgbClr>
                  </w14:solidFill>
                </w14:textFill>
              </w:rPr>
              <w:t xml:space="preserve">　</w:t>
            </w:r>
            <w:r w:rsidRPr="0020233B">
              <w:rPr>
                <w:color w:val="000000"/>
                <w:w w:val="18"/>
                <w:shd w:val="solid" w:color="000000" w:fill="000000"/>
                <w:fitText w:val="82" w:id="-1303140338"/>
                <w14:textFill>
                  <w14:solidFill>
                    <w14:srgbClr w14:val="000000">
                      <w14:alpha w14:val="100000"/>
                    </w14:srgbClr>
                  </w14:solidFill>
                </w14:textFill>
              </w:rPr>
              <w:t>|</w:t>
            </w:r>
            <w:r w:rsidRPr="0020233B">
              <w:rPr>
                <w:rFonts w:hint="eastAsia"/>
                <w:color w:val="000000"/>
                <w:spacing w:val="2"/>
                <w:w w:val="18"/>
                <w:shd w:val="solid" w:color="000000" w:fill="000000"/>
                <w:fitText w:val="82" w:id="-1303140338"/>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81CF4A" w14:textId="7B95D6CE"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37"/>
                <w14:textFill>
                  <w14:solidFill>
                    <w14:srgbClr w14:val="000000">
                      <w14:alpha w14:val="100000"/>
                    </w14:srgbClr>
                  </w14:solidFill>
                </w14:textFill>
              </w:rPr>
              <w:t xml:space="preserve">　</w:t>
            </w:r>
            <w:r w:rsidRPr="0020233B">
              <w:rPr>
                <w:color w:val="000000"/>
                <w:w w:val="18"/>
                <w:shd w:val="solid" w:color="000000" w:fill="000000"/>
                <w:fitText w:val="82" w:id="-1303140337"/>
                <w14:textFill>
                  <w14:solidFill>
                    <w14:srgbClr w14:val="000000">
                      <w14:alpha w14:val="100000"/>
                    </w14:srgbClr>
                  </w14:solidFill>
                </w14:textFill>
              </w:rPr>
              <w:t>|</w:t>
            </w:r>
            <w:r w:rsidRPr="0020233B">
              <w:rPr>
                <w:rFonts w:hint="eastAsia"/>
                <w:color w:val="000000"/>
                <w:spacing w:val="2"/>
                <w:w w:val="18"/>
                <w:shd w:val="solid" w:color="000000" w:fill="000000"/>
                <w:fitText w:val="82" w:id="-1303140337"/>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r>
      <w:tr w:rsidR="000D3A37" w:rsidRPr="000A03FD" w14:paraId="07770A7F" w14:textId="77777777" w:rsidTr="0064680C">
        <w:tc>
          <w:tcPr>
            <w:tcW w:w="254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E0FF70" w14:textId="2B17061F" w:rsidR="007510BA" w:rsidRPr="000A03FD" w:rsidRDefault="007510BA" w:rsidP="00EA6597">
            <w:pPr>
              <w:pStyle w:val="Tabletext"/>
              <w:keepNext/>
              <w:keepLines/>
            </w:pPr>
            <w:r w:rsidRPr="000A03FD">
              <w:t>Net cost to health budget</w:t>
            </w:r>
            <w:r w:rsidR="00567DB1">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B44A52" w14:textId="5509B24C" w:rsidR="007510BA" w:rsidRPr="0081171C" w:rsidRDefault="0020233B" w:rsidP="00EA6597">
            <w:pPr>
              <w:pStyle w:val="Tabletext"/>
              <w:keepNext/>
              <w:keepLines/>
              <w:jc w:val="center"/>
              <w:rPr>
                <w:highlight w:val="yellow"/>
              </w:rPr>
            </w:pPr>
            <w:r w:rsidRPr="0020233B">
              <w:rPr>
                <w:rFonts w:hint="eastAsia"/>
                <w:color w:val="000000"/>
                <w:w w:val="20"/>
                <w:shd w:val="solid" w:color="000000" w:fill="000000"/>
                <w:fitText w:val="91" w:id="-1303140336"/>
                <w14:textFill>
                  <w14:solidFill>
                    <w14:srgbClr w14:val="000000">
                      <w14:alpha w14:val="100000"/>
                    </w14:srgbClr>
                  </w14:solidFill>
                </w14:textFill>
              </w:rPr>
              <w:t xml:space="preserve">　</w:t>
            </w:r>
            <w:r w:rsidRPr="0020233B">
              <w:rPr>
                <w:color w:val="000000"/>
                <w:w w:val="20"/>
                <w:shd w:val="solid" w:color="000000" w:fill="000000"/>
                <w:fitText w:val="91" w:id="-1303140336"/>
                <w14:textFill>
                  <w14:solidFill>
                    <w14:srgbClr w14:val="000000">
                      <w14:alpha w14:val="100000"/>
                    </w14:srgbClr>
                  </w14:solidFill>
                </w14:textFill>
              </w:rPr>
              <w:t>|</w:t>
            </w:r>
            <w:r w:rsidRPr="0020233B">
              <w:rPr>
                <w:rFonts w:hint="eastAsia"/>
                <w:color w:val="000000"/>
                <w:spacing w:val="4"/>
                <w:w w:val="20"/>
                <w:shd w:val="solid" w:color="000000" w:fill="000000"/>
                <w:fitText w:val="91" w:id="-1303140336"/>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941571" w14:textId="11DEE437"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52"/>
                <w14:textFill>
                  <w14:solidFill>
                    <w14:srgbClr w14:val="000000">
                      <w14:alpha w14:val="100000"/>
                    </w14:srgbClr>
                  </w14:solidFill>
                </w14:textFill>
              </w:rPr>
              <w:t xml:space="preserve">　</w:t>
            </w:r>
            <w:r w:rsidRPr="0020233B">
              <w:rPr>
                <w:color w:val="000000"/>
                <w:w w:val="18"/>
                <w:shd w:val="solid" w:color="000000" w:fill="000000"/>
                <w:fitText w:val="82" w:id="-1303140352"/>
                <w14:textFill>
                  <w14:solidFill>
                    <w14:srgbClr w14:val="000000">
                      <w14:alpha w14:val="100000"/>
                    </w14:srgbClr>
                  </w14:solidFill>
                </w14:textFill>
              </w:rPr>
              <w:t>|</w:t>
            </w:r>
            <w:r w:rsidRPr="0020233B">
              <w:rPr>
                <w:rFonts w:hint="eastAsia"/>
                <w:color w:val="000000"/>
                <w:spacing w:val="2"/>
                <w:w w:val="18"/>
                <w:shd w:val="solid" w:color="000000" w:fill="000000"/>
                <w:fitText w:val="82" w:id="-1303140352"/>
                <w14:textFill>
                  <w14:solidFill>
                    <w14:srgbClr w14:val="000000">
                      <w14:alpha w14:val="100000"/>
                    </w14:srgbClr>
                  </w14:solidFill>
                </w14:textFill>
              </w:rPr>
              <w:t xml:space="preserve">　</w:t>
            </w:r>
            <w:r w:rsidR="00EA7FE6" w:rsidRPr="00EA7FE6">
              <w:rPr>
                <w:iCs/>
                <w:sz w:val="18"/>
                <w:szCs w:val="18"/>
                <w:vertAlign w:val="superscript"/>
              </w:rPr>
              <w:t>1</w:t>
            </w:r>
            <w:r w:rsidR="002F1FA0">
              <w:rPr>
                <w:iCs/>
                <w:sz w:val="18"/>
                <w:szCs w:val="18"/>
                <w:vertAlign w:val="superscript"/>
              </w:rPr>
              <w:t>1</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0747E0" w14:textId="0B98DB0D"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51"/>
                <w14:textFill>
                  <w14:solidFill>
                    <w14:srgbClr w14:val="000000">
                      <w14:alpha w14:val="100000"/>
                    </w14:srgbClr>
                  </w14:solidFill>
                </w14:textFill>
              </w:rPr>
              <w:t xml:space="preserve">　</w:t>
            </w:r>
            <w:r w:rsidRPr="0020233B">
              <w:rPr>
                <w:color w:val="000000"/>
                <w:w w:val="18"/>
                <w:shd w:val="solid" w:color="000000" w:fill="000000"/>
                <w:fitText w:val="82" w:id="-1303140351"/>
                <w14:textFill>
                  <w14:solidFill>
                    <w14:srgbClr w14:val="000000">
                      <w14:alpha w14:val="100000"/>
                    </w14:srgbClr>
                  </w14:solidFill>
                </w14:textFill>
              </w:rPr>
              <w:t>|</w:t>
            </w:r>
            <w:r w:rsidRPr="0020233B">
              <w:rPr>
                <w:rFonts w:hint="eastAsia"/>
                <w:color w:val="000000"/>
                <w:spacing w:val="2"/>
                <w:w w:val="18"/>
                <w:shd w:val="solid" w:color="000000" w:fill="000000"/>
                <w:fitText w:val="82" w:id="-1303140351"/>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2</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5D1C38" w14:textId="5354E850" w:rsidR="007510BA" w:rsidRPr="0081171C" w:rsidRDefault="0020233B" w:rsidP="00EA6597">
            <w:pPr>
              <w:pStyle w:val="Tabletext"/>
              <w:keepNext/>
              <w:keepLines/>
              <w:jc w:val="center"/>
              <w:rPr>
                <w:highlight w:val="yellow"/>
              </w:rPr>
            </w:pPr>
            <w:r w:rsidRPr="0020233B">
              <w:rPr>
                <w:rFonts w:hint="eastAsia"/>
                <w:color w:val="000000"/>
                <w:w w:val="20"/>
                <w:shd w:val="solid" w:color="000000" w:fill="000000"/>
                <w:fitText w:val="91" w:id="-1303140350"/>
                <w14:textFill>
                  <w14:solidFill>
                    <w14:srgbClr w14:val="000000">
                      <w14:alpha w14:val="100000"/>
                    </w14:srgbClr>
                  </w14:solidFill>
                </w14:textFill>
              </w:rPr>
              <w:t xml:space="preserve">　</w:t>
            </w:r>
            <w:r w:rsidRPr="0020233B">
              <w:rPr>
                <w:color w:val="000000"/>
                <w:w w:val="20"/>
                <w:shd w:val="solid" w:color="000000" w:fill="000000"/>
                <w:fitText w:val="91" w:id="-1303140350"/>
                <w14:textFill>
                  <w14:solidFill>
                    <w14:srgbClr w14:val="000000">
                      <w14:alpha w14:val="100000"/>
                    </w14:srgbClr>
                  </w14:solidFill>
                </w14:textFill>
              </w:rPr>
              <w:t>|</w:t>
            </w:r>
            <w:r w:rsidRPr="0020233B">
              <w:rPr>
                <w:rFonts w:hint="eastAsia"/>
                <w:color w:val="000000"/>
                <w:spacing w:val="4"/>
                <w:w w:val="20"/>
                <w:shd w:val="solid" w:color="000000" w:fill="000000"/>
                <w:fitText w:val="91" w:id="-1303140350"/>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104607" w14:textId="5E536D21"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9"/>
                <w14:textFill>
                  <w14:solidFill>
                    <w14:srgbClr w14:val="000000">
                      <w14:alpha w14:val="100000"/>
                    </w14:srgbClr>
                  </w14:solidFill>
                </w14:textFill>
              </w:rPr>
              <w:t xml:space="preserve">　</w:t>
            </w:r>
            <w:r w:rsidRPr="0020233B">
              <w:rPr>
                <w:color w:val="000000"/>
                <w:w w:val="18"/>
                <w:shd w:val="solid" w:color="000000" w:fill="000000"/>
                <w:fitText w:val="82" w:id="-1303140349"/>
                <w14:textFill>
                  <w14:solidFill>
                    <w14:srgbClr w14:val="000000">
                      <w14:alpha w14:val="100000"/>
                    </w14:srgbClr>
                  </w14:solidFill>
                </w14:textFill>
              </w:rPr>
              <w:t>|</w:t>
            </w:r>
            <w:r w:rsidRPr="0020233B">
              <w:rPr>
                <w:rFonts w:hint="eastAsia"/>
                <w:color w:val="000000"/>
                <w:spacing w:val="2"/>
                <w:w w:val="18"/>
                <w:shd w:val="solid" w:color="000000" w:fill="000000"/>
                <w:fitText w:val="82" w:id="-1303140349"/>
                <w14:textFill>
                  <w14:solidFill>
                    <w14:srgbClr w14:val="000000">
                      <w14:alpha w14:val="100000"/>
                    </w14:srgbClr>
                  </w14:solidFill>
                </w14:textFill>
              </w:rPr>
              <w:t xml:space="preserve">　</w:t>
            </w:r>
            <w:r w:rsidR="00BC7C0D" w:rsidRPr="00EA7FE6">
              <w:rPr>
                <w:iCs/>
                <w:sz w:val="18"/>
                <w:szCs w:val="18"/>
                <w:vertAlign w:val="superscript"/>
              </w:rPr>
              <w:t>1</w:t>
            </w:r>
            <w:r w:rsidR="00BC7C0D">
              <w:rPr>
                <w:iCs/>
                <w:sz w:val="18"/>
                <w:szCs w:val="18"/>
                <w:vertAlign w:val="superscript"/>
              </w:rPr>
              <w:t>3</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5B6D26" w14:textId="763763C6" w:rsidR="007510BA" w:rsidRPr="0081171C" w:rsidRDefault="0020233B" w:rsidP="00EA6597">
            <w:pPr>
              <w:pStyle w:val="Tabletext"/>
              <w:keepNext/>
              <w:keepLines/>
              <w:jc w:val="center"/>
              <w:rPr>
                <w:highlight w:val="yellow"/>
              </w:rPr>
            </w:pPr>
            <w:r w:rsidRPr="0020233B">
              <w:rPr>
                <w:rFonts w:hint="eastAsia"/>
                <w:color w:val="000000"/>
                <w:w w:val="18"/>
                <w:shd w:val="solid" w:color="000000" w:fill="000000"/>
                <w:fitText w:val="82" w:id="-1303140348"/>
                <w14:textFill>
                  <w14:solidFill>
                    <w14:srgbClr w14:val="000000">
                      <w14:alpha w14:val="100000"/>
                    </w14:srgbClr>
                  </w14:solidFill>
                </w14:textFill>
              </w:rPr>
              <w:t xml:space="preserve">　</w:t>
            </w:r>
            <w:r w:rsidRPr="0020233B">
              <w:rPr>
                <w:color w:val="000000"/>
                <w:w w:val="18"/>
                <w:shd w:val="solid" w:color="000000" w:fill="000000"/>
                <w:fitText w:val="82" w:id="-1303140348"/>
                <w14:textFill>
                  <w14:solidFill>
                    <w14:srgbClr w14:val="000000">
                      <w14:alpha w14:val="100000"/>
                    </w14:srgbClr>
                  </w14:solidFill>
                </w14:textFill>
              </w:rPr>
              <w:t>|</w:t>
            </w:r>
            <w:r w:rsidRPr="0020233B">
              <w:rPr>
                <w:rFonts w:hint="eastAsia"/>
                <w:color w:val="000000"/>
                <w:spacing w:val="2"/>
                <w:w w:val="18"/>
                <w:shd w:val="solid" w:color="000000" w:fill="000000"/>
                <w:fitText w:val="82" w:id="-1303140348"/>
                <w14:textFill>
                  <w14:solidFill>
                    <w14:srgbClr w14:val="000000">
                      <w14:alpha w14:val="100000"/>
                    </w14:srgbClr>
                  </w14:solidFill>
                </w14:textFill>
              </w:rPr>
              <w:t xml:space="preserve">　</w:t>
            </w:r>
            <w:r w:rsidR="00BC7C0D" w:rsidRPr="005C17E0">
              <w:rPr>
                <w:iCs/>
                <w:sz w:val="18"/>
                <w:szCs w:val="18"/>
                <w:vertAlign w:val="superscript"/>
              </w:rPr>
              <w:t>1</w:t>
            </w:r>
            <w:r w:rsidR="00BC7C0D">
              <w:rPr>
                <w:iCs/>
                <w:sz w:val="18"/>
                <w:szCs w:val="18"/>
                <w:vertAlign w:val="superscript"/>
              </w:rPr>
              <w:t>4</w:t>
            </w:r>
          </w:p>
        </w:tc>
      </w:tr>
    </w:tbl>
    <w:p w14:paraId="7CDA6CBF" w14:textId="74082B10" w:rsidR="007510BA" w:rsidRPr="000A03FD" w:rsidRDefault="007510BA" w:rsidP="00EA6597">
      <w:pPr>
        <w:pStyle w:val="TableFooter"/>
        <w:keepNext/>
        <w:keepLines/>
      </w:pPr>
      <w:bookmarkStart w:id="89" w:name="_Hlk116229464"/>
      <w:r w:rsidRPr="000A03FD">
        <w:t xml:space="preserve">Source: Tables 4-5 </w:t>
      </w:r>
      <w:r w:rsidR="003820D4" w:rsidRPr="000A03FD">
        <w:t>to</w:t>
      </w:r>
      <w:r w:rsidRPr="000A03FD">
        <w:t xml:space="preserve"> 4-16 (p193-200) of the resubmission </w:t>
      </w:r>
      <w:bookmarkEnd w:id="89"/>
      <w:r w:rsidRPr="000A03FD">
        <w:t xml:space="preserve">and table 17, 6.04 mepolizumab </w:t>
      </w:r>
      <w:r w:rsidR="00392A7B">
        <w:t xml:space="preserve">PSD </w:t>
      </w:r>
      <w:r w:rsidRPr="000A03FD">
        <w:t>PBAC November 2021</w:t>
      </w:r>
    </w:p>
    <w:p w14:paraId="628AC795" w14:textId="77777777" w:rsidR="007510BA" w:rsidRPr="000A03FD" w:rsidRDefault="007510BA" w:rsidP="00EA6597">
      <w:pPr>
        <w:pStyle w:val="TableFooter"/>
        <w:keepNext/>
        <w:keepLines/>
      </w:pPr>
      <w:r w:rsidRPr="000A03FD">
        <w:t>CRS= chronic rhinosinusitis; CRSwNP= chronic rhinosinusitis with nasal polyps; eff=effective; MBS= Medicare benefits schedule; NP= nasal polyps; PBS= pharmaceuticals benefits scheme; pub= published</w:t>
      </w:r>
    </w:p>
    <w:p w14:paraId="01178410" w14:textId="3B89E3C8" w:rsidR="007510BA" w:rsidRPr="009E6C5A" w:rsidRDefault="007510BA" w:rsidP="00EA6597">
      <w:pPr>
        <w:pStyle w:val="TableFooter"/>
        <w:keepNext/>
        <w:keepLines/>
      </w:pPr>
      <w:r w:rsidRPr="000A03FD">
        <w:t xml:space="preserve">a - Patients eligible for surgery were </w:t>
      </w:r>
      <w:r w:rsidRPr="009E6C5A">
        <w:t>those: with BEC ≥300 cells/µL (68.3%); CRSwNP patients requiring surgery (47.0%); CRSwNP patients suitable for surgery (93.0%); CRSwNP patients who will experience NP regrowth post-surgical removal (21.0%); Patients who do not have comorbid severe eosinophilic asthma (89.22%).</w:t>
      </w:r>
    </w:p>
    <w:p w14:paraId="7E32009F" w14:textId="77777777" w:rsidR="007510BA" w:rsidRPr="009E6C5A" w:rsidRDefault="007510BA" w:rsidP="00EA6597">
      <w:pPr>
        <w:pStyle w:val="TableFooter"/>
        <w:keepNext/>
        <w:keepLines/>
      </w:pPr>
      <w:r w:rsidRPr="009E6C5A">
        <w:t>Patients ineligible for surgery were those: with BEC ≥300 cells/µL (68.3%); CRSwNP patients requiring surgery (47.0%); CRSwNP patients unsuitable for surgery (7.0%); Patients who do not have comorbid severe eosinophilic asthma (89.22%).</w:t>
      </w:r>
    </w:p>
    <w:p w14:paraId="5F4ED769" w14:textId="06E3021C" w:rsidR="007510BA" w:rsidRPr="009E6C5A" w:rsidRDefault="007510BA" w:rsidP="00EA6597">
      <w:pPr>
        <w:pStyle w:val="TableFooter"/>
        <w:keepNext/>
        <w:keepLines/>
      </w:pPr>
      <w:r w:rsidRPr="009E6C5A">
        <w:t xml:space="preserve">b sum of patients eligible and ineligible for surgery. </w:t>
      </w:r>
    </w:p>
    <w:p w14:paraId="6EAAC211" w14:textId="77777777" w:rsidR="007510BA" w:rsidRPr="009E6C5A" w:rsidRDefault="007510BA" w:rsidP="00EA6597">
      <w:pPr>
        <w:pStyle w:val="TableFooter"/>
        <w:keepNext/>
        <w:keepLines/>
      </w:pPr>
      <w:r w:rsidRPr="009E6C5A">
        <w:t xml:space="preserve">c. The sum of all (eligible for surgery and ineligible for surgery) patients initiating mepolizumab for the given year. </w:t>
      </w:r>
    </w:p>
    <w:p w14:paraId="27E3E7BC" w14:textId="6EF6063C" w:rsidR="007510BA" w:rsidRPr="009E6C5A" w:rsidRDefault="007510BA" w:rsidP="00EA6597">
      <w:pPr>
        <w:pStyle w:val="TableFooter"/>
        <w:keepNext/>
        <w:keepLines/>
      </w:pPr>
      <w:r w:rsidRPr="009E6C5A">
        <w:t>d</w:t>
      </w:r>
      <w:r w:rsidR="00F518C5" w:rsidRPr="009E6C5A">
        <w:t>.</w:t>
      </w:r>
      <w:r w:rsidRPr="009E6C5A">
        <w:t xml:space="preserve"> The sum of all (eligible for surgery and ineligible for surgery) patients continuing mepolizumab for the given year after responding to initial treatment. </w:t>
      </w:r>
    </w:p>
    <w:p w14:paraId="6D3DDDF4" w14:textId="6F5A2E65" w:rsidR="007510BA" w:rsidRPr="009E6C5A" w:rsidRDefault="007510BA" w:rsidP="00EA6597">
      <w:pPr>
        <w:pStyle w:val="TableFooter"/>
        <w:keepNext/>
        <w:keepLines/>
      </w:pPr>
      <w:r w:rsidRPr="009E6C5A">
        <w:lastRenderedPageBreak/>
        <w:t>e</w:t>
      </w:r>
      <w:r w:rsidR="00F518C5" w:rsidRPr="009E6C5A">
        <w:t>.</w:t>
      </w:r>
      <w:r w:rsidRPr="009E6C5A">
        <w:t xml:space="preserve"> patient years calculated as total initial patients each year multiplied by 24 weeks / 52 weeks (0.4615), whereby 24 weeks represents the time allowed on initial treatment before response assessment. However, 0.4615 is slightly inaccurate due to 365.25 days in a year. The accurate number is 0.4600 (168 days / 365.25), leading to a slight overestimation of mepolizumab costs in the resubmission. </w:t>
      </w:r>
    </w:p>
    <w:p w14:paraId="7978BE7E" w14:textId="3466F154" w:rsidR="007510BA" w:rsidRPr="000A03FD" w:rsidRDefault="007510BA" w:rsidP="00EA6597">
      <w:pPr>
        <w:pStyle w:val="TableFooter"/>
        <w:keepNext/>
        <w:keepLines/>
      </w:pPr>
      <w:r w:rsidRPr="009E6C5A">
        <w:t>f</w:t>
      </w:r>
      <w:r w:rsidR="00F518C5" w:rsidRPr="009E6C5A">
        <w:t>.</w:t>
      </w:r>
      <w:r w:rsidRPr="009E6C5A">
        <w:t xml:space="preserve"> patient-years for continuing patients applied 92.46 weeks on treatment which was assumed to apply for the remainder of the first year after initial treatment and then continue into a second and partially into a third year. There were issues with the value of 92.46 weeks</w:t>
      </w:r>
      <w:r w:rsidRPr="000A03FD">
        <w:t xml:space="preserve"> applied (see</w:t>
      </w:r>
      <w:r w:rsidR="00351E8F" w:rsidRPr="000A03FD">
        <w:t xml:space="preserve"> </w:t>
      </w:r>
      <w:r w:rsidR="00351E8F" w:rsidRPr="000A03FD">
        <w:fldChar w:fldCharType="begin" w:fldLock="1"/>
      </w:r>
      <w:r w:rsidR="00351E8F" w:rsidRPr="000A03FD">
        <w:instrText xml:space="preserve"> REF _Ref104805262 \h  \* MERGEFORMAT </w:instrText>
      </w:r>
      <w:r w:rsidR="00351E8F" w:rsidRPr="000A03FD">
        <w:fldChar w:fldCharType="separate"/>
      </w:r>
      <w:r w:rsidR="00625A18" w:rsidRPr="000A03FD">
        <w:t>Table 17</w:t>
      </w:r>
      <w:r w:rsidR="00351E8F" w:rsidRPr="000A03FD">
        <w:fldChar w:fldCharType="end"/>
      </w:r>
      <w:r w:rsidRPr="000A03FD">
        <w:t>).</w:t>
      </w:r>
    </w:p>
    <w:p w14:paraId="2830D47F" w14:textId="69E69759" w:rsidR="007510BA" w:rsidRPr="000A03FD" w:rsidRDefault="007510BA" w:rsidP="00EA6597">
      <w:pPr>
        <w:pStyle w:val="TableFooter"/>
        <w:keepNext/>
        <w:keepLines/>
      </w:pPr>
      <w:r w:rsidRPr="000A03FD">
        <w:t>g</w:t>
      </w:r>
      <w:r w:rsidR="00F518C5" w:rsidRPr="000A03FD">
        <w:t>.</w:t>
      </w:r>
      <w:r w:rsidRPr="000A03FD">
        <w:t xml:space="preserve"> Calculated by applying patient-years (initial) by 5.67 scripts per year</w:t>
      </w:r>
    </w:p>
    <w:p w14:paraId="7454D530" w14:textId="12EA0B69" w:rsidR="007510BA" w:rsidRPr="000A03FD" w:rsidRDefault="007510BA" w:rsidP="00EA6597">
      <w:pPr>
        <w:pStyle w:val="TableFooter"/>
        <w:keepNext/>
        <w:keepLines/>
      </w:pPr>
      <w:r w:rsidRPr="000A03FD">
        <w:t>h</w:t>
      </w:r>
      <w:r w:rsidR="00F518C5" w:rsidRPr="000A03FD">
        <w:t>.</w:t>
      </w:r>
      <w:r w:rsidRPr="000A03FD">
        <w:t xml:space="preserve"> Calculated by applying patient-years (continuing) by 12.29 scripts per year </w:t>
      </w:r>
    </w:p>
    <w:p w14:paraId="13C83DE1" w14:textId="5A97084C" w:rsidR="002D1C4A" w:rsidRDefault="00F15ADF" w:rsidP="00F15ADF">
      <w:pPr>
        <w:pStyle w:val="TableFooter"/>
        <w:keepNext/>
        <w:keepLines/>
        <w:spacing w:after="120"/>
        <w:rPr>
          <w:rFonts w:eastAsia="Calibri"/>
        </w:rPr>
      </w:pPr>
      <w:r w:rsidRPr="000A03FD">
        <w:rPr>
          <w:rFonts w:eastAsia="Calibri"/>
        </w:rPr>
        <w:t>Blue shaded cells indicate information presented in previous submission</w:t>
      </w:r>
    </w:p>
    <w:p w14:paraId="6A7E034E" w14:textId="77777777" w:rsidR="00E76150" w:rsidRPr="009A6D58" w:rsidRDefault="00E76150" w:rsidP="00E7615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F51B673" w14:textId="4C349D06" w:rsidR="00E76150" w:rsidRPr="009A6D58" w:rsidRDefault="00E76150" w:rsidP="00E7615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100,000 to &lt; 200,000</w:t>
      </w:r>
    </w:p>
    <w:p w14:paraId="7CD1684A" w14:textId="71CF4937" w:rsidR="00E76150" w:rsidRPr="009A6D58" w:rsidRDefault="00E76150" w:rsidP="00E7615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9A60D3">
        <w:rPr>
          <w:rFonts w:ascii="Arial Narrow" w:hAnsi="Arial Narrow"/>
          <w:i/>
          <w:sz w:val="18"/>
          <w:szCs w:val="18"/>
        </w:rPr>
        <w:t>5,000 to &lt; 10,000</w:t>
      </w:r>
    </w:p>
    <w:p w14:paraId="089ACB4F" w14:textId="4DCAFB67" w:rsidR="00E76150" w:rsidRDefault="00E76150" w:rsidP="00E7615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A60D3">
        <w:rPr>
          <w:rFonts w:ascii="Arial Narrow" w:hAnsi="Arial Narrow"/>
          <w:i/>
          <w:sz w:val="18"/>
          <w:szCs w:val="18"/>
        </w:rPr>
        <w:t>500 to &lt; 5,000</w:t>
      </w:r>
    </w:p>
    <w:p w14:paraId="357642E2" w14:textId="74F67371" w:rsidR="00E76150" w:rsidRDefault="00E76150" w:rsidP="00E7615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9A60D3">
        <w:rPr>
          <w:rFonts w:ascii="Arial Narrow" w:hAnsi="Arial Narrow"/>
          <w:i/>
          <w:sz w:val="18"/>
          <w:szCs w:val="18"/>
        </w:rPr>
        <w:t>10,000 to &lt; 20,000</w:t>
      </w:r>
    </w:p>
    <w:p w14:paraId="14F09FE3" w14:textId="16B77534" w:rsidR="00E76150" w:rsidRDefault="00E76150" w:rsidP="00E76150">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5273F0">
        <w:rPr>
          <w:rFonts w:ascii="Arial Narrow" w:hAnsi="Arial Narrow"/>
          <w:i/>
          <w:sz w:val="18"/>
          <w:szCs w:val="18"/>
        </w:rPr>
        <w:t>50,000 to &lt; 60,000</w:t>
      </w:r>
    </w:p>
    <w:p w14:paraId="6E327B63" w14:textId="4CE05DA5" w:rsidR="00E76150" w:rsidRDefault="00E76150" w:rsidP="00E76150">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5273F0">
        <w:rPr>
          <w:rFonts w:ascii="Arial Narrow" w:hAnsi="Arial Narrow"/>
          <w:i/>
          <w:sz w:val="18"/>
          <w:szCs w:val="18"/>
        </w:rPr>
        <w:t>20,000 to &lt; 30,000</w:t>
      </w:r>
    </w:p>
    <w:p w14:paraId="21B48073" w14:textId="1766EEAF" w:rsidR="00E76150" w:rsidRPr="009A6D58" w:rsidRDefault="00E76150" w:rsidP="00E76150">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5273F0">
        <w:rPr>
          <w:rFonts w:ascii="Arial Narrow" w:hAnsi="Arial Narrow"/>
          <w:i/>
          <w:sz w:val="18"/>
          <w:szCs w:val="18"/>
        </w:rPr>
        <w:t>60,000 to &lt; 70,000</w:t>
      </w:r>
    </w:p>
    <w:p w14:paraId="24B07C71" w14:textId="2D5ED686" w:rsidR="00E76150" w:rsidRPr="009A6D58" w:rsidRDefault="00E76150" w:rsidP="00E76150">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5273F0">
        <w:rPr>
          <w:rFonts w:ascii="Arial Narrow" w:hAnsi="Arial Narrow"/>
          <w:i/>
          <w:sz w:val="18"/>
          <w:szCs w:val="18"/>
        </w:rPr>
        <w:t>70,000 to &lt; 80,000</w:t>
      </w:r>
    </w:p>
    <w:p w14:paraId="21A2CB87" w14:textId="5D89095F" w:rsidR="00E76150" w:rsidRDefault="00E76150" w:rsidP="00E76150">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5273F0">
        <w:rPr>
          <w:rFonts w:ascii="Arial Narrow" w:hAnsi="Arial Narrow"/>
          <w:i/>
          <w:sz w:val="18"/>
          <w:szCs w:val="18"/>
        </w:rPr>
        <w:t>80,000 to &lt; 90,000</w:t>
      </w:r>
    </w:p>
    <w:p w14:paraId="7D66B0AA" w14:textId="0A484A2C" w:rsidR="00E76150" w:rsidRDefault="00E76150" w:rsidP="00E76150">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5273F0">
        <w:rPr>
          <w:rFonts w:ascii="Arial Narrow" w:hAnsi="Arial Narrow"/>
          <w:i/>
          <w:sz w:val="18"/>
          <w:szCs w:val="18"/>
        </w:rPr>
        <w:t>90,000 to &lt; 100,000</w:t>
      </w:r>
    </w:p>
    <w:p w14:paraId="6794538E" w14:textId="13415846" w:rsidR="00E76150" w:rsidRDefault="00E76150" w:rsidP="00E76150">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2F1FA0">
        <w:rPr>
          <w:rFonts w:ascii="Arial Narrow" w:hAnsi="Arial Narrow"/>
          <w:i/>
          <w:sz w:val="18"/>
          <w:szCs w:val="18"/>
        </w:rPr>
        <w:t xml:space="preserve">$10 million to &lt; $20 million </w:t>
      </w:r>
    </w:p>
    <w:p w14:paraId="40565AB5" w14:textId="7BC5C318" w:rsidR="00E76150" w:rsidRDefault="00E76150" w:rsidP="000B20DC">
      <w:pPr>
        <w:rPr>
          <w:rFonts w:ascii="Arial Narrow" w:hAnsi="Arial Narrow"/>
          <w:i/>
          <w:sz w:val="18"/>
          <w:szCs w:val="18"/>
        </w:rPr>
      </w:pPr>
      <w:r w:rsidRPr="000B20DC">
        <w:rPr>
          <w:rFonts w:ascii="Arial Narrow" w:hAnsi="Arial Narrow"/>
          <w:i/>
          <w:sz w:val="18"/>
          <w:szCs w:val="18"/>
          <w:vertAlign w:val="superscript"/>
        </w:rPr>
        <w:t>12</w:t>
      </w:r>
      <w:r>
        <w:rPr>
          <w:rFonts w:ascii="Arial Narrow" w:hAnsi="Arial Narrow"/>
          <w:i/>
          <w:sz w:val="18"/>
          <w:szCs w:val="18"/>
        </w:rPr>
        <w:t xml:space="preserve"> </w:t>
      </w:r>
      <w:r w:rsidR="00BC7C0D">
        <w:rPr>
          <w:rFonts w:ascii="Arial Narrow" w:hAnsi="Arial Narrow"/>
          <w:i/>
          <w:sz w:val="18"/>
          <w:szCs w:val="18"/>
        </w:rPr>
        <w:t>$20 million to &lt;$30 million</w:t>
      </w:r>
    </w:p>
    <w:p w14:paraId="30160B06" w14:textId="089F4A54" w:rsidR="000B20DC" w:rsidRDefault="000B20DC" w:rsidP="000B20DC">
      <w:pPr>
        <w:rPr>
          <w:rFonts w:ascii="Arial Narrow" w:hAnsi="Arial Narrow"/>
          <w:i/>
          <w:sz w:val="18"/>
          <w:szCs w:val="18"/>
        </w:rPr>
      </w:pPr>
      <w:r w:rsidRPr="000B20DC">
        <w:rPr>
          <w:rFonts w:ascii="Arial Narrow" w:hAnsi="Arial Narrow"/>
          <w:i/>
          <w:sz w:val="18"/>
          <w:szCs w:val="18"/>
          <w:vertAlign w:val="superscript"/>
        </w:rPr>
        <w:t>13</w:t>
      </w:r>
      <w:r>
        <w:rPr>
          <w:rFonts w:ascii="Arial Narrow" w:hAnsi="Arial Narrow"/>
          <w:i/>
          <w:sz w:val="18"/>
          <w:szCs w:val="18"/>
        </w:rPr>
        <w:t xml:space="preserve"> </w:t>
      </w:r>
      <w:r w:rsidR="00BC7C0D">
        <w:rPr>
          <w:rFonts w:ascii="Arial Narrow" w:hAnsi="Arial Narrow"/>
          <w:i/>
          <w:sz w:val="18"/>
          <w:szCs w:val="18"/>
        </w:rPr>
        <w:t>$30 million to &lt; $40 million</w:t>
      </w:r>
      <w:r w:rsidR="00BC7C0D" w:rsidDel="002F1FA0">
        <w:rPr>
          <w:rFonts w:ascii="Arial Narrow" w:hAnsi="Arial Narrow"/>
          <w:i/>
          <w:sz w:val="18"/>
          <w:szCs w:val="18"/>
        </w:rPr>
        <w:t xml:space="preserve"> </w:t>
      </w:r>
    </w:p>
    <w:p w14:paraId="62A9C246" w14:textId="244109FA" w:rsidR="00EA7FE6" w:rsidRDefault="00EA7FE6" w:rsidP="000B20DC">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BC7C0D">
        <w:rPr>
          <w:rFonts w:ascii="Arial Narrow" w:hAnsi="Arial Narrow"/>
          <w:i/>
          <w:sz w:val="18"/>
          <w:szCs w:val="18"/>
        </w:rPr>
        <w:t>$40 million to &lt; $50 million</w:t>
      </w:r>
    </w:p>
    <w:p w14:paraId="6F2638ED" w14:textId="5BCC1F4A" w:rsidR="00E76150" w:rsidRPr="002D1C4A" w:rsidRDefault="00EA7FE6" w:rsidP="00C730B3">
      <w:pPr>
        <w:spacing w:after="120"/>
        <w:rPr>
          <w:rFonts w:eastAsia="Calibri"/>
        </w:rPr>
      </w:pPr>
      <w:r>
        <w:rPr>
          <w:rFonts w:ascii="Arial Narrow" w:hAnsi="Arial Narrow"/>
          <w:i/>
          <w:sz w:val="18"/>
          <w:szCs w:val="18"/>
          <w:vertAlign w:val="superscript"/>
        </w:rPr>
        <w:t>15</w:t>
      </w:r>
      <w:r>
        <w:rPr>
          <w:rFonts w:ascii="Arial Narrow" w:hAnsi="Arial Narrow"/>
          <w:i/>
          <w:sz w:val="18"/>
          <w:szCs w:val="18"/>
        </w:rPr>
        <w:t xml:space="preserve"> </w:t>
      </w:r>
      <w:r w:rsidR="00C730B3">
        <w:rPr>
          <w:rFonts w:ascii="Arial Narrow" w:hAnsi="Arial Narrow"/>
          <w:i/>
          <w:sz w:val="18"/>
          <w:szCs w:val="18"/>
        </w:rPr>
        <w:t>$0 to &lt; $10 million</w:t>
      </w:r>
    </w:p>
    <w:p w14:paraId="670E2748" w14:textId="1FBC3387" w:rsidR="00A0401C" w:rsidRPr="000A03FD" w:rsidRDefault="00A0401C" w:rsidP="00A0401C">
      <w:pPr>
        <w:pStyle w:val="3-BodyText"/>
        <w:rPr>
          <w:i/>
          <w:iCs/>
        </w:rPr>
      </w:pPr>
      <w:bookmarkStart w:id="90" w:name="_Ref119499386"/>
      <w:r w:rsidRPr="000A03FD">
        <w:rPr>
          <w:rFonts w:cstheme="minorHAnsi"/>
        </w:rPr>
        <w:t xml:space="preserve">The PBAC considered the approach taken by the resubmission to estimate the total number of eligible patients was appropriate. The PBAC noted that the prevalent pool of eligible patients was </w:t>
      </w:r>
      <w:r w:rsidR="00295B9B">
        <w:rPr>
          <w:rFonts w:cstheme="minorHAnsi"/>
        </w:rPr>
        <w:t>5,000 to &lt; 10,000</w:t>
      </w:r>
      <w:r w:rsidRPr="000A03FD">
        <w:rPr>
          <w:rFonts w:cstheme="minorHAnsi"/>
        </w:rPr>
        <w:t xml:space="preserve"> in Year 1 increasing to </w:t>
      </w:r>
      <w:r w:rsidR="00295B9B">
        <w:rPr>
          <w:rFonts w:cstheme="minorHAnsi"/>
        </w:rPr>
        <w:t>5,000 to &lt; 10,000</w:t>
      </w:r>
      <w:r w:rsidRPr="000A03FD">
        <w:rPr>
          <w:rFonts w:cstheme="minorHAnsi"/>
        </w:rPr>
        <w:t xml:space="preserve"> in Year 6. However, the PBAC noted the subsequent approach applied in the estimates</w:t>
      </w:r>
      <w:r w:rsidR="00C864AD">
        <w:rPr>
          <w:rFonts w:cstheme="minorHAnsi"/>
        </w:rPr>
        <w:t xml:space="preserve"> in which the uptake was applied to the total prevalent pool including those already on treatment</w:t>
      </w:r>
      <w:r w:rsidRPr="000A03FD">
        <w:rPr>
          <w:rFonts w:cstheme="minorHAnsi"/>
        </w:rPr>
        <w:t xml:space="preserve"> resulted in </w:t>
      </w:r>
      <w:r w:rsidR="00295B9B">
        <w:rPr>
          <w:rFonts w:cstheme="minorHAnsi"/>
        </w:rPr>
        <w:t>20,000 to &lt; 30,000</w:t>
      </w:r>
      <w:r w:rsidRPr="000A03FD">
        <w:rPr>
          <w:rFonts w:cstheme="minorHAnsi"/>
        </w:rPr>
        <w:t xml:space="preserve"> patients initiating treatment over 6 years</w:t>
      </w:r>
      <w:r w:rsidR="00C864AD">
        <w:rPr>
          <w:rFonts w:cstheme="minorHAnsi"/>
        </w:rPr>
        <w:t xml:space="preserve"> (</w:t>
      </w:r>
      <w:r w:rsidR="00C864AD">
        <w:rPr>
          <w:rFonts w:cstheme="minorHAnsi"/>
        </w:rPr>
        <w:fldChar w:fldCharType="begin" w:fldLock="1"/>
      </w:r>
      <w:r w:rsidR="00C864AD">
        <w:rPr>
          <w:rFonts w:cstheme="minorHAnsi"/>
        </w:rPr>
        <w:instrText xml:space="preserve"> REF _Ref104805295 \h </w:instrText>
      </w:r>
      <w:r w:rsidR="00C864AD">
        <w:rPr>
          <w:rFonts w:cstheme="minorHAnsi"/>
        </w:rPr>
      </w:r>
      <w:r w:rsidR="00C864AD">
        <w:rPr>
          <w:rFonts w:cstheme="minorHAnsi"/>
        </w:rPr>
        <w:fldChar w:fldCharType="separate"/>
      </w:r>
      <w:r w:rsidR="00C864AD" w:rsidRPr="000A03FD">
        <w:t>Table 18</w:t>
      </w:r>
      <w:r w:rsidR="00C864AD">
        <w:rPr>
          <w:rFonts w:cstheme="minorHAnsi"/>
        </w:rPr>
        <w:fldChar w:fldCharType="end"/>
      </w:r>
      <w:r w:rsidR="00C864AD">
        <w:rPr>
          <w:rFonts w:cstheme="minorHAnsi"/>
        </w:rPr>
        <w:t>, row labelled ‘</w:t>
      </w:r>
      <w:r w:rsidR="00C864AD" w:rsidRPr="000A03FD">
        <w:t>Total electing treatment (initial)</w:t>
      </w:r>
      <w:r w:rsidR="00C864AD">
        <w:t>’)</w:t>
      </w:r>
      <w:r w:rsidRPr="000A03FD">
        <w:rPr>
          <w:rFonts w:cstheme="minorHAnsi"/>
        </w:rPr>
        <w:t xml:space="preserve"> out of a pool of prevalent patients of between </w:t>
      </w:r>
      <w:r w:rsidR="00295B9B">
        <w:rPr>
          <w:rFonts w:cstheme="minorHAnsi"/>
        </w:rPr>
        <w:t>5,000 to &lt; 10,000</w:t>
      </w:r>
      <w:r w:rsidRPr="000A03FD">
        <w:rPr>
          <w:rFonts w:cstheme="minorHAnsi"/>
        </w:rPr>
        <w:t xml:space="preserve"> and </w:t>
      </w:r>
      <w:r w:rsidR="00295B9B">
        <w:rPr>
          <w:rFonts w:cstheme="minorHAnsi"/>
        </w:rPr>
        <w:t>5,000 to &lt; 10,000</w:t>
      </w:r>
      <w:r w:rsidRPr="000A03FD">
        <w:rPr>
          <w:rFonts w:cstheme="minorHAnsi"/>
        </w:rPr>
        <w:t>. The PBAC considered this was inappropriate.</w:t>
      </w:r>
      <w:bookmarkEnd w:id="90"/>
      <w:r w:rsidRPr="000A03FD">
        <w:rPr>
          <w:rFonts w:cstheme="minorHAnsi"/>
        </w:rPr>
        <w:t xml:space="preserve"> </w:t>
      </w:r>
    </w:p>
    <w:p w14:paraId="2505D404" w14:textId="6EAC8796" w:rsidR="00A0401C" w:rsidRPr="000A03FD" w:rsidRDefault="00A0401C" w:rsidP="00A0401C">
      <w:pPr>
        <w:pStyle w:val="3-BodyText"/>
        <w:rPr>
          <w:i/>
          <w:iCs/>
        </w:rPr>
      </w:pPr>
      <w:r w:rsidRPr="000A03FD">
        <w:rPr>
          <w:iCs/>
        </w:rPr>
        <w:t xml:space="preserve">The uptake rate in the November 2021 submission was 5% in Year 1 dropping to 3.5% Year 6. The resubmission applied an uptake rate for initial patients of 48% increasing to 68%. </w:t>
      </w:r>
      <w:r w:rsidRPr="000A03FD">
        <w:rPr>
          <w:rFonts w:cs="Times New Roman"/>
          <w:iCs/>
          <w:szCs w:val="22"/>
          <w:lang w:eastAsia="en-US"/>
        </w:rPr>
        <w:t xml:space="preserve">The resubmission did not apply differential initial uptake rates by patients suitable and unsuitable for NP surgery. The PBAC noted the </w:t>
      </w:r>
      <w:r w:rsidRPr="000A03FD">
        <w:rPr>
          <w:iCs/>
        </w:rPr>
        <w:t>value of 68% was derived from the Adelphi panel but considered it likely overestimated.</w:t>
      </w:r>
      <w:r w:rsidR="00014C72">
        <w:rPr>
          <w:iCs/>
        </w:rPr>
        <w:t xml:space="preserve"> As noted above, it was also applied incorrectly in the resubmission.</w:t>
      </w:r>
      <w:r w:rsidRPr="000A03FD">
        <w:rPr>
          <w:iCs/>
        </w:rPr>
        <w:t xml:space="preserve"> The PBAC acknowledged the difficulty in determining the uptake rate but considered percentage of enrolled versus randomised patients from the SYNAPSE (48%, 414/854), POLYP 1 (39%, 138/355)</w:t>
      </w:r>
      <w:r w:rsidRPr="000A03FD">
        <w:rPr>
          <w:rStyle w:val="FootnoteReference"/>
          <w:iCs/>
        </w:rPr>
        <w:footnoteReference w:id="5"/>
      </w:r>
      <w:r w:rsidRPr="000A03FD">
        <w:rPr>
          <w:iCs/>
        </w:rPr>
        <w:t xml:space="preserve"> and POLYP 2 (39%, 127/329)</w:t>
      </w:r>
      <w:r w:rsidRPr="000A03FD">
        <w:rPr>
          <w:iCs/>
          <w:vertAlign w:val="superscript"/>
        </w:rPr>
        <w:t>1</w:t>
      </w:r>
      <w:r w:rsidRPr="000A03FD">
        <w:rPr>
          <w:iCs/>
        </w:rPr>
        <w:t xml:space="preserve"> trials indicated an </w:t>
      </w:r>
      <w:r w:rsidR="00014C72">
        <w:rPr>
          <w:iCs/>
        </w:rPr>
        <w:t xml:space="preserve">overall </w:t>
      </w:r>
      <w:r w:rsidRPr="000A03FD">
        <w:rPr>
          <w:iCs/>
        </w:rPr>
        <w:t xml:space="preserve">uptake rate of 48% </w:t>
      </w:r>
      <w:r w:rsidR="00014C72">
        <w:rPr>
          <w:iCs/>
        </w:rPr>
        <w:t>may be</w:t>
      </w:r>
      <w:r w:rsidRPr="000A03FD">
        <w:rPr>
          <w:iCs/>
        </w:rPr>
        <w:t xml:space="preserve"> appropriate and </w:t>
      </w:r>
      <w:r w:rsidR="008F05D4" w:rsidRPr="000A03FD">
        <w:rPr>
          <w:iCs/>
        </w:rPr>
        <w:t xml:space="preserve">advised this </w:t>
      </w:r>
      <w:r w:rsidRPr="000A03FD">
        <w:rPr>
          <w:iCs/>
        </w:rPr>
        <w:t>should be applied across all 6 years</w:t>
      </w:r>
      <w:r w:rsidR="00DC2A33">
        <w:rPr>
          <w:iCs/>
        </w:rPr>
        <w:t xml:space="preserve"> using the methodology outlined in the following paragraph and </w:t>
      </w:r>
      <w:r w:rsidR="00DC2A33">
        <w:rPr>
          <w:iCs/>
        </w:rPr>
        <w:fldChar w:fldCharType="begin" w:fldLock="1"/>
      </w:r>
      <w:r w:rsidR="00DC2A33">
        <w:rPr>
          <w:iCs/>
        </w:rPr>
        <w:instrText xml:space="preserve"> REF _Ref119429627 \h </w:instrText>
      </w:r>
      <w:r w:rsidR="00DC2A33">
        <w:rPr>
          <w:iCs/>
        </w:rPr>
      </w:r>
      <w:r w:rsidR="00DC2A33">
        <w:rPr>
          <w:iCs/>
        </w:rPr>
        <w:fldChar w:fldCharType="separate"/>
      </w:r>
      <w:r w:rsidR="00DC2A33" w:rsidRPr="000A03FD">
        <w:t>Table 19</w:t>
      </w:r>
      <w:r w:rsidR="00DC2A33">
        <w:rPr>
          <w:iCs/>
        </w:rPr>
        <w:fldChar w:fldCharType="end"/>
      </w:r>
      <w:r w:rsidRPr="000A03FD">
        <w:rPr>
          <w:iCs/>
        </w:rPr>
        <w:t>.</w:t>
      </w:r>
      <w:r w:rsidR="00014C72">
        <w:rPr>
          <w:iCs/>
        </w:rPr>
        <w:t xml:space="preserve"> </w:t>
      </w:r>
    </w:p>
    <w:p w14:paraId="68CE4EDB" w14:textId="30F25EDE" w:rsidR="00ED3DD3" w:rsidRPr="000A03FD" w:rsidRDefault="00A0401C" w:rsidP="008F05D4">
      <w:pPr>
        <w:pStyle w:val="3-BodyText"/>
      </w:pPr>
      <w:bookmarkStart w:id="91" w:name="_Ref119499430"/>
      <w:r w:rsidRPr="000A03FD">
        <w:lastRenderedPageBreak/>
        <w:t xml:space="preserve">The </w:t>
      </w:r>
      <w:r w:rsidR="008F05D4" w:rsidRPr="000A03FD">
        <w:t>re</w:t>
      </w:r>
      <w:r w:rsidRPr="000A03FD">
        <w:t xml:space="preserve">submission assumed a total treatment duration </w:t>
      </w:r>
      <w:r w:rsidRPr="009E6C5A">
        <w:t xml:space="preserve">of 116.46 weeks (2.24 years). </w:t>
      </w:r>
      <w:r w:rsidR="00014C72" w:rsidRPr="009E6C5A">
        <w:t xml:space="preserve">The PBAC noted that as the uptake was being applied to a prevalent pool of patients each year, the total treatment duration </w:t>
      </w:r>
      <w:r w:rsidR="00DC2A33" w:rsidRPr="009E6C5A">
        <w:t>should not be used to estimate continuation of treatment from one year to the next</w:t>
      </w:r>
      <w:r w:rsidR="00014C72" w:rsidRPr="009E6C5A">
        <w:t xml:space="preserve">. </w:t>
      </w:r>
      <w:r w:rsidR="00DC2A33" w:rsidRPr="009E6C5A">
        <w:t xml:space="preserve">This resulted </w:t>
      </w:r>
      <w:r w:rsidR="0075727A" w:rsidRPr="009E6C5A">
        <w:t xml:space="preserve">in </w:t>
      </w:r>
      <w:r w:rsidR="00DC2A33" w:rsidRPr="009E6C5A">
        <w:t xml:space="preserve">patients initiating treatment in year 1 being eligible to </w:t>
      </w:r>
      <w:r w:rsidR="00241447" w:rsidRPr="009E6C5A">
        <w:t>initiate</w:t>
      </w:r>
      <w:r w:rsidR="00DC2A33" w:rsidRPr="009E6C5A">
        <w:t xml:space="preserve"> treatment again in year 2 (and year 3) even though they were already on treatment. The PBAC noted that </w:t>
      </w:r>
      <w:r w:rsidR="00241447" w:rsidRPr="009E6C5A">
        <w:t>accounting for 94.6% compliance and a response rate of 72.6%, patients receive an average 21.5 prescriptions over the 2.24 years which is equivalent to an average of 9.6 scripts per</w:t>
      </w:r>
      <w:r w:rsidR="00241447">
        <w:t xml:space="preserve"> year.</w:t>
      </w:r>
      <w:r w:rsidR="00DC2A33">
        <w:t xml:space="preserve"> </w:t>
      </w:r>
      <w:r w:rsidRPr="000A03FD">
        <w:t>Noting the estimated total eligible patients to be appropriate</w:t>
      </w:r>
      <w:r w:rsidR="00710D51" w:rsidRPr="000A03FD">
        <w:t>,</w:t>
      </w:r>
      <w:r w:rsidRPr="000A03FD">
        <w:t xml:space="preserve"> the PBAC considered the financial estimates should be revised to include a 48% uptake rate applied across Year 1 to Year 6 with an average of 9.6 scripts per patient treated.</w:t>
      </w:r>
      <w:r w:rsidR="008F05D4" w:rsidRPr="000A03FD">
        <w:t xml:space="preserve"> </w:t>
      </w:r>
      <w:r w:rsidR="00ED3DD3" w:rsidRPr="000A03FD">
        <w:t xml:space="preserve">The revised estimated financial impact of PBS listing mepolizumab is summarised in </w:t>
      </w:r>
      <w:r w:rsidR="00ED3DD3" w:rsidRPr="000A03FD">
        <w:fldChar w:fldCharType="begin" w:fldLock="1"/>
      </w:r>
      <w:r w:rsidR="00ED3DD3" w:rsidRPr="000A03FD">
        <w:instrText xml:space="preserve"> REF _Ref119429627 \h </w:instrText>
      </w:r>
      <w:r w:rsidR="00ED3DD3" w:rsidRPr="000A03FD">
        <w:fldChar w:fldCharType="separate"/>
      </w:r>
      <w:r w:rsidR="00ED3DD3" w:rsidRPr="000A03FD">
        <w:t>Table 19</w:t>
      </w:r>
      <w:r w:rsidR="00ED3DD3" w:rsidRPr="000A03FD">
        <w:fldChar w:fldCharType="end"/>
      </w:r>
      <w:r w:rsidR="00ED3DD3" w:rsidRPr="000A03FD">
        <w:t>.</w:t>
      </w:r>
      <w:bookmarkEnd w:id="91"/>
    </w:p>
    <w:p w14:paraId="5EE9F5ED" w14:textId="62FD135A" w:rsidR="00A0401C" w:rsidRPr="000A03FD" w:rsidRDefault="00A0401C" w:rsidP="00A0401C">
      <w:pPr>
        <w:pStyle w:val="Caption"/>
        <w:rPr>
          <w:rStyle w:val="CommentReference"/>
          <w:b/>
          <w:szCs w:val="24"/>
        </w:rPr>
      </w:pPr>
      <w:bookmarkStart w:id="92" w:name="_Ref119429627"/>
      <w:r w:rsidRPr="000A03FD">
        <w:t xml:space="preserve">Table </w:t>
      </w:r>
      <w:fldSimple w:instr=" SEQ Table \* ARABIC " w:fldLock="1">
        <w:r w:rsidRPr="000A03FD">
          <w:t>19</w:t>
        </w:r>
      </w:fldSimple>
      <w:bookmarkEnd w:id="92"/>
      <w:r w:rsidRPr="000A03FD">
        <w:t xml:space="preserve"> </w:t>
      </w:r>
      <w:r w:rsidR="00FA45CF" w:rsidRPr="000A03FD">
        <w:t xml:space="preserve">Revised </w:t>
      </w:r>
      <w:r w:rsidR="00FA45CF" w:rsidRPr="000A03FD">
        <w:rPr>
          <w:rStyle w:val="CommentReference"/>
          <w:b/>
          <w:szCs w:val="24"/>
        </w:rPr>
        <w:t>e</w:t>
      </w:r>
      <w:r w:rsidRPr="000A03FD">
        <w:rPr>
          <w:rStyle w:val="CommentReference"/>
          <w:b/>
          <w:szCs w:val="24"/>
        </w:rPr>
        <w:t>stimated use and financial implications</w:t>
      </w:r>
      <w:r w:rsidR="00FA45CF" w:rsidRPr="000A03FD">
        <w:rPr>
          <w:rStyle w:val="CommentReference"/>
          <w:b/>
          <w:szCs w:val="24"/>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6"/>
        <w:gridCol w:w="1085"/>
        <w:gridCol w:w="1086"/>
        <w:gridCol w:w="1086"/>
        <w:gridCol w:w="1085"/>
        <w:gridCol w:w="1086"/>
        <w:gridCol w:w="1086"/>
      </w:tblGrid>
      <w:tr w:rsidR="00A0401C" w:rsidRPr="000A03FD" w14:paraId="6BBE8530" w14:textId="77777777" w:rsidTr="00146960">
        <w:trPr>
          <w:tblHeader/>
        </w:trPr>
        <w:tc>
          <w:tcPr>
            <w:tcW w:w="2546" w:type="dxa"/>
            <w:tcBorders>
              <w:top w:val="single" w:sz="4" w:space="0" w:color="auto"/>
              <w:left w:val="single" w:sz="4" w:space="0" w:color="auto"/>
              <w:bottom w:val="single" w:sz="4" w:space="0" w:color="auto"/>
              <w:right w:val="single" w:sz="4" w:space="0" w:color="auto"/>
            </w:tcBorders>
            <w:vAlign w:val="center"/>
          </w:tcPr>
          <w:p w14:paraId="508C5FC3" w14:textId="77777777" w:rsidR="00A0401C" w:rsidRPr="000A03FD" w:rsidRDefault="00A0401C" w:rsidP="00146960">
            <w:pPr>
              <w:pStyle w:val="Tabletext"/>
              <w:keepNext/>
              <w:keepLines/>
            </w:pPr>
          </w:p>
        </w:tc>
        <w:tc>
          <w:tcPr>
            <w:tcW w:w="1085" w:type="dxa"/>
            <w:tcBorders>
              <w:top w:val="single" w:sz="4" w:space="0" w:color="auto"/>
              <w:left w:val="single" w:sz="4" w:space="0" w:color="auto"/>
              <w:bottom w:val="single" w:sz="4" w:space="0" w:color="auto"/>
              <w:right w:val="single" w:sz="4" w:space="0" w:color="auto"/>
            </w:tcBorders>
            <w:vAlign w:val="center"/>
            <w:hideMark/>
          </w:tcPr>
          <w:p w14:paraId="34428D70" w14:textId="77777777" w:rsidR="00A0401C" w:rsidRPr="000A03FD" w:rsidRDefault="00A0401C" w:rsidP="00146960">
            <w:pPr>
              <w:pStyle w:val="Tabletext"/>
              <w:keepNext/>
              <w:keepLines/>
              <w:jc w:val="center"/>
              <w:rPr>
                <w:b/>
              </w:rPr>
            </w:pPr>
            <w:r w:rsidRPr="000A03FD">
              <w:rPr>
                <w:b/>
              </w:rPr>
              <w:t>Year 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838D41B" w14:textId="77777777" w:rsidR="00A0401C" w:rsidRPr="000A03FD" w:rsidRDefault="00A0401C" w:rsidP="00146960">
            <w:pPr>
              <w:pStyle w:val="Tabletext"/>
              <w:keepNext/>
              <w:keepLines/>
              <w:jc w:val="center"/>
              <w:rPr>
                <w:b/>
              </w:rPr>
            </w:pPr>
            <w:r w:rsidRPr="000A03FD">
              <w:rPr>
                <w:b/>
              </w:rPr>
              <w:t>Year 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72E0885" w14:textId="77777777" w:rsidR="00A0401C" w:rsidRPr="000A03FD" w:rsidRDefault="00A0401C" w:rsidP="00146960">
            <w:pPr>
              <w:pStyle w:val="Tabletext"/>
              <w:keepNext/>
              <w:keepLines/>
              <w:jc w:val="center"/>
              <w:rPr>
                <w:b/>
              </w:rPr>
            </w:pPr>
            <w:r w:rsidRPr="000A03FD">
              <w:rPr>
                <w:b/>
              </w:rPr>
              <w:t>Year 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C09A1C4" w14:textId="77777777" w:rsidR="00A0401C" w:rsidRPr="000A03FD" w:rsidRDefault="00A0401C" w:rsidP="00146960">
            <w:pPr>
              <w:pStyle w:val="Tabletext"/>
              <w:keepNext/>
              <w:keepLines/>
              <w:jc w:val="center"/>
              <w:rPr>
                <w:b/>
              </w:rPr>
            </w:pPr>
            <w:r w:rsidRPr="000A03FD">
              <w:rPr>
                <w:b/>
              </w:rPr>
              <w:t>Year 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88FD909" w14:textId="77777777" w:rsidR="00A0401C" w:rsidRPr="000A03FD" w:rsidRDefault="00A0401C" w:rsidP="00146960">
            <w:pPr>
              <w:pStyle w:val="Tabletext"/>
              <w:keepNext/>
              <w:keepLines/>
              <w:jc w:val="center"/>
              <w:rPr>
                <w:b/>
              </w:rPr>
            </w:pPr>
            <w:r w:rsidRPr="000A03FD">
              <w:rPr>
                <w:b/>
              </w:rPr>
              <w:t>Year 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185F96C" w14:textId="77777777" w:rsidR="00A0401C" w:rsidRPr="000A03FD" w:rsidRDefault="00A0401C" w:rsidP="00146960">
            <w:pPr>
              <w:pStyle w:val="Tabletext"/>
              <w:keepNext/>
              <w:keepLines/>
              <w:jc w:val="center"/>
              <w:rPr>
                <w:b/>
              </w:rPr>
            </w:pPr>
            <w:r w:rsidRPr="000A03FD">
              <w:rPr>
                <w:b/>
              </w:rPr>
              <w:t>Year 6</w:t>
            </w:r>
          </w:p>
        </w:tc>
      </w:tr>
      <w:tr w:rsidR="00A0401C" w:rsidRPr="000A03FD" w14:paraId="6CC7DC7A" w14:textId="77777777" w:rsidTr="00146960">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0708844B" w14:textId="77777777" w:rsidR="00A0401C" w:rsidRPr="000A03FD" w:rsidRDefault="00A0401C" w:rsidP="00146960">
            <w:pPr>
              <w:pStyle w:val="Tabletext"/>
              <w:keepNext/>
              <w:keepLines/>
              <w:rPr>
                <w:b/>
              </w:rPr>
            </w:pPr>
            <w:r w:rsidRPr="000A03FD">
              <w:rPr>
                <w:b/>
              </w:rPr>
              <w:t>Estimation of use and financial impact of the proposed medicine (PBS and RPBS)</w:t>
            </w:r>
          </w:p>
        </w:tc>
      </w:tr>
      <w:tr w:rsidR="00A0401C" w:rsidRPr="000A03FD" w14:paraId="7423F702"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4A622D1B" w14:textId="77777777" w:rsidR="00A0401C" w:rsidRPr="000A03FD" w:rsidRDefault="00A0401C" w:rsidP="00146960">
            <w:pPr>
              <w:pStyle w:val="Tabletext"/>
              <w:keepNext/>
              <w:keepLines/>
            </w:pPr>
            <w:r w:rsidRPr="000A03FD">
              <w:t>Prevalence of CRSwNP (0.51%)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33693728" w14:textId="24D1666C" w:rsidR="00A0401C"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64" w:id="-1303140347"/>
                <w14:textFill>
                  <w14:solidFill>
                    <w14:srgbClr w14:val="000000">
                      <w14:alpha w14:val="100000"/>
                    </w14:srgbClr>
                  </w14:solidFill>
                </w14:textFill>
              </w:rPr>
              <w:t xml:space="preserve">　</w:t>
            </w:r>
            <w:r w:rsidRPr="0020233B">
              <w:rPr>
                <w:color w:val="000000"/>
                <w:w w:val="15"/>
                <w:shd w:val="solid" w:color="000000" w:fill="000000"/>
                <w:fitText w:val="64" w:id="-1303140347"/>
                <w14:textFill>
                  <w14:solidFill>
                    <w14:srgbClr w14:val="000000">
                      <w14:alpha w14:val="100000"/>
                    </w14:srgbClr>
                  </w14:solidFill>
                </w14:textFill>
              </w:rPr>
              <w:t>|</w:t>
            </w:r>
            <w:r w:rsidRPr="0020233B">
              <w:rPr>
                <w:rFonts w:hint="eastAsia"/>
                <w:color w:val="000000"/>
                <w:spacing w:val="-1"/>
                <w:w w:val="15"/>
                <w:shd w:val="solid" w:color="000000" w:fill="000000"/>
                <w:fitText w:val="64" w:id="-1303140347"/>
                <w14:textFill>
                  <w14:solidFill>
                    <w14:srgbClr w14:val="000000">
                      <w14:alpha w14:val="100000"/>
                    </w14:srgbClr>
                  </w14:solidFill>
                </w14:textFill>
              </w:rPr>
              <w:t xml:space="preserve">　</w:t>
            </w:r>
            <w:r w:rsidR="005A0984" w:rsidRPr="005A0984">
              <w:rPr>
                <w:rFonts w:cs="Arial"/>
                <w:iCs/>
                <w:sz w:val="18"/>
                <w:szCs w:val="18"/>
                <w:vertAlign w:val="superscript"/>
              </w:rPr>
              <w:t>1</w:t>
            </w:r>
            <w:r w:rsidR="00C03C65" w:rsidRPr="00C03C65">
              <w:t xml:space="preserve"> </w:t>
            </w:r>
          </w:p>
        </w:tc>
        <w:tc>
          <w:tcPr>
            <w:tcW w:w="1086" w:type="dxa"/>
            <w:tcBorders>
              <w:top w:val="single" w:sz="4" w:space="0" w:color="auto"/>
              <w:left w:val="nil"/>
              <w:bottom w:val="single" w:sz="4" w:space="0" w:color="auto"/>
              <w:right w:val="single" w:sz="4" w:space="0" w:color="auto"/>
            </w:tcBorders>
            <w:shd w:val="clear" w:color="auto" w:fill="auto"/>
            <w:vAlign w:val="center"/>
          </w:tcPr>
          <w:p w14:paraId="6675C4E8" w14:textId="3AF69BE1" w:rsidR="00A0401C"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4" w:id="-1303140346"/>
                <w14:textFill>
                  <w14:solidFill>
                    <w14:srgbClr w14:val="000000">
                      <w14:alpha w14:val="100000"/>
                    </w14:srgbClr>
                  </w14:solidFill>
                </w14:textFill>
              </w:rPr>
              <w:t xml:space="preserve">　</w:t>
            </w:r>
            <w:r w:rsidRPr="0020233B">
              <w:rPr>
                <w:color w:val="000000"/>
                <w:w w:val="15"/>
                <w:shd w:val="solid" w:color="000000" w:fill="000000"/>
                <w:fitText w:val="54" w:id="-1303140346"/>
                <w14:textFill>
                  <w14:solidFill>
                    <w14:srgbClr w14:val="000000">
                      <w14:alpha w14:val="100000"/>
                    </w14:srgbClr>
                  </w14:solidFill>
                </w14:textFill>
              </w:rPr>
              <w:t>|</w:t>
            </w:r>
            <w:r w:rsidRPr="0020233B">
              <w:rPr>
                <w:rFonts w:hint="eastAsia"/>
                <w:color w:val="000000"/>
                <w:spacing w:val="-11"/>
                <w:w w:val="15"/>
                <w:shd w:val="solid" w:color="000000" w:fill="000000"/>
                <w:fitText w:val="54" w:id="-1303140346"/>
                <w14:textFill>
                  <w14:solidFill>
                    <w14:srgbClr w14:val="000000">
                      <w14:alpha w14:val="100000"/>
                    </w14:srgbClr>
                  </w14:solidFill>
                </w14:textFill>
              </w:rPr>
              <w:t xml:space="preserve">　</w:t>
            </w:r>
            <w:r w:rsidR="005A0984" w:rsidRPr="005A0984">
              <w:rPr>
                <w:rFonts w:cs="Arial"/>
                <w:iCs/>
                <w:sz w:val="18"/>
                <w:szCs w:val="18"/>
                <w:vertAlign w:val="superscript"/>
              </w:rPr>
              <w:t>1</w:t>
            </w:r>
            <w:r w:rsidR="00C03C65" w:rsidRPr="00C03C65">
              <w:t xml:space="preserve"> </w:t>
            </w:r>
          </w:p>
        </w:tc>
        <w:tc>
          <w:tcPr>
            <w:tcW w:w="1086" w:type="dxa"/>
            <w:tcBorders>
              <w:top w:val="single" w:sz="4" w:space="0" w:color="auto"/>
              <w:left w:val="nil"/>
              <w:bottom w:val="single" w:sz="4" w:space="0" w:color="auto"/>
              <w:right w:val="single" w:sz="4" w:space="0" w:color="auto"/>
            </w:tcBorders>
            <w:shd w:val="clear" w:color="auto" w:fill="auto"/>
            <w:vAlign w:val="center"/>
          </w:tcPr>
          <w:p w14:paraId="4F0FEE25" w14:textId="4C83329C" w:rsidR="00A0401C"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5" w:id="-1303140345"/>
                <w14:textFill>
                  <w14:solidFill>
                    <w14:srgbClr w14:val="000000">
                      <w14:alpha w14:val="100000"/>
                    </w14:srgbClr>
                  </w14:solidFill>
                </w14:textFill>
              </w:rPr>
              <w:t xml:space="preserve">　</w:t>
            </w:r>
            <w:r w:rsidRPr="0020233B">
              <w:rPr>
                <w:color w:val="000000"/>
                <w:w w:val="15"/>
                <w:shd w:val="solid" w:color="000000" w:fill="000000"/>
                <w:fitText w:val="55" w:id="-1303140345"/>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5"/>
                <w14:textFill>
                  <w14:solidFill>
                    <w14:srgbClr w14:val="000000">
                      <w14:alpha w14:val="100000"/>
                    </w14:srgbClr>
                  </w14:solidFill>
                </w14:textFill>
              </w:rPr>
              <w:t xml:space="preserve">　</w:t>
            </w:r>
            <w:r w:rsidR="005A0984" w:rsidRPr="005A0984">
              <w:rPr>
                <w:rFonts w:cs="Arial"/>
                <w:iCs/>
                <w:sz w:val="18"/>
                <w:szCs w:val="18"/>
                <w:vertAlign w:val="superscript"/>
              </w:rPr>
              <w:t>1</w:t>
            </w:r>
            <w:r w:rsidR="00C03C65" w:rsidRPr="00C03C65">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312FD091" w14:textId="189075F4" w:rsidR="00A0401C"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63" w:id="-1303140344"/>
                <w14:textFill>
                  <w14:solidFill>
                    <w14:srgbClr w14:val="000000">
                      <w14:alpha w14:val="100000"/>
                    </w14:srgbClr>
                  </w14:solidFill>
                </w14:textFill>
              </w:rPr>
              <w:t xml:space="preserve">　</w:t>
            </w:r>
            <w:r w:rsidRPr="0020233B">
              <w:rPr>
                <w:color w:val="000000"/>
                <w:w w:val="15"/>
                <w:shd w:val="solid" w:color="000000" w:fill="000000"/>
                <w:fitText w:val="63" w:id="-1303140344"/>
                <w14:textFill>
                  <w14:solidFill>
                    <w14:srgbClr w14:val="000000">
                      <w14:alpha w14:val="100000"/>
                    </w14:srgbClr>
                  </w14:solidFill>
                </w14:textFill>
              </w:rPr>
              <w:t>|</w:t>
            </w:r>
            <w:r w:rsidRPr="0020233B">
              <w:rPr>
                <w:rFonts w:hint="eastAsia"/>
                <w:color w:val="000000"/>
                <w:spacing w:val="-2"/>
                <w:w w:val="15"/>
                <w:shd w:val="solid" w:color="000000" w:fill="000000"/>
                <w:fitText w:val="63" w:id="-1303140344"/>
                <w14:textFill>
                  <w14:solidFill>
                    <w14:srgbClr w14:val="000000">
                      <w14:alpha w14:val="100000"/>
                    </w14:srgbClr>
                  </w14:solidFill>
                </w14:textFill>
              </w:rPr>
              <w:t xml:space="preserve">　</w:t>
            </w:r>
            <w:r w:rsidR="005A0984" w:rsidRPr="005A0984">
              <w:rPr>
                <w:rFonts w:cs="Arial"/>
                <w:iCs/>
                <w:sz w:val="18"/>
                <w:szCs w:val="18"/>
                <w:vertAlign w:val="superscript"/>
              </w:rPr>
              <w:t>1</w:t>
            </w:r>
            <w:r w:rsidR="00C03C65" w:rsidRPr="00C03C65">
              <w:t xml:space="preserve"> </w:t>
            </w:r>
          </w:p>
        </w:tc>
        <w:tc>
          <w:tcPr>
            <w:tcW w:w="1086" w:type="dxa"/>
            <w:tcBorders>
              <w:top w:val="single" w:sz="4" w:space="0" w:color="auto"/>
              <w:left w:val="nil"/>
              <w:bottom w:val="single" w:sz="4" w:space="0" w:color="auto"/>
              <w:right w:val="single" w:sz="4" w:space="0" w:color="auto"/>
            </w:tcBorders>
            <w:shd w:val="clear" w:color="auto" w:fill="auto"/>
            <w:vAlign w:val="center"/>
          </w:tcPr>
          <w:p w14:paraId="12611D53" w14:textId="42AD31EB" w:rsidR="00A0401C"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5" w:id="-1303140343"/>
                <w14:textFill>
                  <w14:solidFill>
                    <w14:srgbClr w14:val="000000">
                      <w14:alpha w14:val="100000"/>
                    </w14:srgbClr>
                  </w14:solidFill>
                </w14:textFill>
              </w:rPr>
              <w:t xml:space="preserve">　</w:t>
            </w:r>
            <w:r w:rsidRPr="0020233B">
              <w:rPr>
                <w:color w:val="000000"/>
                <w:w w:val="15"/>
                <w:shd w:val="solid" w:color="000000" w:fill="000000"/>
                <w:fitText w:val="55" w:id="-1303140343"/>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3"/>
                <w14:textFill>
                  <w14:solidFill>
                    <w14:srgbClr w14:val="000000">
                      <w14:alpha w14:val="100000"/>
                    </w14:srgbClr>
                  </w14:solidFill>
                </w14:textFill>
              </w:rPr>
              <w:t xml:space="preserve">　</w:t>
            </w:r>
            <w:r w:rsidR="005A0984" w:rsidRPr="005A0984">
              <w:rPr>
                <w:rFonts w:cs="Arial"/>
                <w:iCs/>
                <w:sz w:val="18"/>
                <w:szCs w:val="18"/>
                <w:vertAlign w:val="superscript"/>
              </w:rPr>
              <w:t>1</w:t>
            </w:r>
            <w:r w:rsidR="00C03C65" w:rsidRPr="00C03C65">
              <w:t xml:space="preserve"> </w:t>
            </w:r>
          </w:p>
        </w:tc>
        <w:tc>
          <w:tcPr>
            <w:tcW w:w="1086" w:type="dxa"/>
            <w:tcBorders>
              <w:top w:val="single" w:sz="4" w:space="0" w:color="auto"/>
              <w:left w:val="nil"/>
              <w:bottom w:val="single" w:sz="4" w:space="0" w:color="auto"/>
              <w:right w:val="single" w:sz="4" w:space="0" w:color="auto"/>
            </w:tcBorders>
            <w:shd w:val="clear" w:color="auto" w:fill="auto"/>
            <w:vAlign w:val="center"/>
          </w:tcPr>
          <w:p w14:paraId="32AEBA0B" w14:textId="038F9F75" w:rsidR="00A0401C"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5" w:id="-1303140342"/>
                <w14:textFill>
                  <w14:solidFill>
                    <w14:srgbClr w14:val="000000">
                      <w14:alpha w14:val="100000"/>
                    </w14:srgbClr>
                  </w14:solidFill>
                </w14:textFill>
              </w:rPr>
              <w:t xml:space="preserve">　</w:t>
            </w:r>
            <w:r w:rsidRPr="0020233B">
              <w:rPr>
                <w:color w:val="000000"/>
                <w:w w:val="15"/>
                <w:shd w:val="solid" w:color="000000" w:fill="000000"/>
                <w:fitText w:val="55" w:id="-1303140342"/>
                <w14:textFill>
                  <w14:solidFill>
                    <w14:srgbClr w14:val="000000">
                      <w14:alpha w14:val="100000"/>
                    </w14:srgbClr>
                  </w14:solidFill>
                </w14:textFill>
              </w:rPr>
              <w:t>|</w:t>
            </w:r>
            <w:r w:rsidRPr="0020233B">
              <w:rPr>
                <w:rFonts w:hint="eastAsia"/>
                <w:color w:val="000000"/>
                <w:spacing w:val="-10"/>
                <w:w w:val="15"/>
                <w:shd w:val="solid" w:color="000000" w:fill="000000"/>
                <w:fitText w:val="55" w:id="-1303140342"/>
                <w14:textFill>
                  <w14:solidFill>
                    <w14:srgbClr w14:val="000000">
                      <w14:alpha w14:val="100000"/>
                    </w14:srgbClr>
                  </w14:solidFill>
                </w14:textFill>
              </w:rPr>
              <w:t xml:space="preserve">　</w:t>
            </w:r>
            <w:r w:rsidR="005A0984" w:rsidRPr="005A0984">
              <w:rPr>
                <w:rFonts w:cs="Arial"/>
                <w:iCs/>
                <w:sz w:val="18"/>
                <w:szCs w:val="18"/>
                <w:vertAlign w:val="superscript"/>
              </w:rPr>
              <w:t>1</w:t>
            </w:r>
            <w:r w:rsidR="00C03C65" w:rsidRPr="00C03C65">
              <w:t xml:space="preserve"> </w:t>
            </w:r>
          </w:p>
        </w:tc>
      </w:tr>
      <w:tr w:rsidR="00A0401C" w:rsidRPr="000A03FD" w14:paraId="0084DF21"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22C7FEB7" w14:textId="77777777" w:rsidR="00A0401C" w:rsidRPr="000A03FD" w:rsidRDefault="00A0401C" w:rsidP="00146960">
            <w:pPr>
              <w:pStyle w:val="Tabletext"/>
              <w:keepNext/>
              <w:keepLines/>
            </w:pPr>
            <w:r w:rsidRPr="000A03FD">
              <w:t xml:space="preserve">Patients eligible for NP surgery </w:t>
            </w:r>
            <w:r w:rsidRPr="000A03FD">
              <w:rPr>
                <w:vertAlign w:val="superscript"/>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D83770A" w14:textId="22A82DD2"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64" w:id="-130314034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341"/>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341"/>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677A9C30" w14:textId="1818DD27"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4" w:id="-130314034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340"/>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340"/>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65C6CA75" w14:textId="6A81582F"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5" w:id="-130314033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9"/>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9"/>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5" w:type="dxa"/>
            <w:tcBorders>
              <w:top w:val="single" w:sz="4" w:space="0" w:color="auto"/>
              <w:left w:val="nil"/>
              <w:bottom w:val="single" w:sz="4" w:space="0" w:color="auto"/>
              <w:right w:val="single" w:sz="4" w:space="0" w:color="auto"/>
            </w:tcBorders>
            <w:shd w:val="clear" w:color="auto" w:fill="auto"/>
            <w:vAlign w:val="center"/>
          </w:tcPr>
          <w:p w14:paraId="1651CF5C" w14:textId="58B0264B"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63" w:id="-130314033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338"/>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338"/>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5B8CC2A1" w14:textId="6EFC4FD4"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5" w:id="-130314033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337"/>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337"/>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42137BE5" w14:textId="284DE5CF"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5" w:id="-130314009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6"/>
                <w14:textFill>
                  <w14:solidFill>
                    <w14:srgbClr w14:val="000000">
                      <w14:alpha w14:val="100000"/>
                    </w14:srgbClr>
                  </w14:solidFill>
                </w14:textFill>
              </w:rPr>
              <w:t xml:space="preserve">　</w:t>
            </w:r>
            <w:r w:rsidR="005A0984" w:rsidRPr="005A0984">
              <w:rPr>
                <w:rFonts w:cs="Arial"/>
                <w:iCs/>
                <w:sz w:val="18"/>
                <w:szCs w:val="18"/>
                <w:vertAlign w:val="superscript"/>
              </w:rPr>
              <w:t>2</w:t>
            </w:r>
          </w:p>
        </w:tc>
      </w:tr>
      <w:tr w:rsidR="00A0401C" w:rsidRPr="000A03FD" w14:paraId="1DE38AEA"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0470ADCA" w14:textId="77777777" w:rsidR="00A0401C" w:rsidRPr="000A03FD" w:rsidRDefault="00A0401C" w:rsidP="00146960">
            <w:pPr>
              <w:pStyle w:val="Tabletext"/>
              <w:keepNext/>
              <w:keepLines/>
            </w:pPr>
            <w:r w:rsidRPr="000A03FD">
              <w:t xml:space="preserve">Patients ineligible for NP surgery </w:t>
            </w:r>
            <w:r w:rsidRPr="000A03FD">
              <w:rPr>
                <w:vertAlign w:val="superscript"/>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1C7C5B8" w14:textId="0D1CBFDC"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64" w:id="-130314009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095"/>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095"/>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17F9170B" w14:textId="33A413CE"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4" w:id="-130314009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094"/>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094"/>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49F5CA80" w14:textId="7D190C18"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5" w:id="-130314009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3"/>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3"/>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5" w:type="dxa"/>
            <w:tcBorders>
              <w:top w:val="single" w:sz="4" w:space="0" w:color="auto"/>
              <w:left w:val="nil"/>
              <w:bottom w:val="single" w:sz="4" w:space="0" w:color="auto"/>
              <w:right w:val="single" w:sz="4" w:space="0" w:color="auto"/>
            </w:tcBorders>
            <w:shd w:val="clear" w:color="auto" w:fill="auto"/>
            <w:vAlign w:val="center"/>
          </w:tcPr>
          <w:p w14:paraId="7566719B" w14:textId="6D1CA439"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63" w:id="-130314009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092"/>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092"/>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762130BB" w14:textId="6EC19E93"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5" w:id="-130314009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1"/>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1"/>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725765A6" w14:textId="0959E573" w:rsidR="00A0401C" w:rsidRPr="00A01CB0" w:rsidRDefault="0020233B" w:rsidP="00146960">
            <w:pPr>
              <w:pStyle w:val="Tabletext"/>
              <w:keepNext/>
              <w:keepLines/>
              <w:jc w:val="center"/>
              <w:rPr>
                <w:highlight w:val="yellow"/>
              </w:rPr>
            </w:pPr>
            <w:r w:rsidRPr="0020233B">
              <w:rPr>
                <w:rFonts w:cstheme="minorHAnsi" w:hint="eastAsia"/>
                <w:color w:val="000000"/>
                <w:w w:val="15"/>
                <w:szCs w:val="20"/>
                <w:shd w:val="solid" w:color="000000" w:fill="000000"/>
                <w:fitText w:val="55" w:id="-130314009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0"/>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0"/>
                <w14:textFill>
                  <w14:solidFill>
                    <w14:srgbClr w14:val="000000">
                      <w14:alpha w14:val="100000"/>
                    </w14:srgbClr>
                  </w14:solidFill>
                </w14:textFill>
              </w:rPr>
              <w:t xml:space="preserve">　</w:t>
            </w:r>
            <w:r w:rsidR="005A0984" w:rsidRPr="005A0984">
              <w:rPr>
                <w:rFonts w:cs="Arial"/>
                <w:iCs/>
                <w:sz w:val="18"/>
                <w:szCs w:val="18"/>
                <w:vertAlign w:val="superscript"/>
              </w:rPr>
              <w:t>3</w:t>
            </w:r>
          </w:p>
        </w:tc>
      </w:tr>
      <w:tr w:rsidR="00A0401C" w:rsidRPr="000A03FD" w14:paraId="538EB631"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3D55055B" w14:textId="77777777" w:rsidR="00A0401C" w:rsidRPr="000A03FD" w:rsidRDefault="00A0401C" w:rsidP="00146960">
            <w:pPr>
              <w:pStyle w:val="Tabletext"/>
              <w:keepNext/>
              <w:keepLines/>
            </w:pPr>
            <w:r w:rsidRPr="000A03FD">
              <w:t xml:space="preserve">Total eligible patients </w:t>
            </w:r>
            <w:r w:rsidRPr="000A03FD">
              <w:rPr>
                <w:vertAlign w:val="superscript"/>
              </w:rPr>
              <w:t>b</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1BB3F71" w14:textId="105C0D99" w:rsidR="00A0401C" w:rsidRPr="00A01CB0" w:rsidDel="00676ED5"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08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089"/>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089"/>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077D7B31" w14:textId="7AC30CB8" w:rsidR="00A0401C" w:rsidRPr="00A01CB0" w:rsidDel="00676ED5"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08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088"/>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088"/>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73EBAF90" w14:textId="7669E276" w:rsidR="00A0401C" w:rsidRPr="00A01CB0" w:rsidDel="00676ED5"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7"/>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7"/>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5" w:type="dxa"/>
            <w:tcBorders>
              <w:top w:val="single" w:sz="4" w:space="0" w:color="auto"/>
              <w:left w:val="nil"/>
              <w:bottom w:val="single" w:sz="4" w:space="0" w:color="auto"/>
              <w:right w:val="single" w:sz="4" w:space="0" w:color="auto"/>
            </w:tcBorders>
            <w:shd w:val="clear" w:color="auto" w:fill="auto"/>
            <w:vAlign w:val="center"/>
          </w:tcPr>
          <w:p w14:paraId="33BB10F4" w14:textId="1959B0A7" w:rsidR="00A0401C" w:rsidRPr="00A01CB0" w:rsidDel="00676ED5"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08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086"/>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086"/>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2A862FB1" w14:textId="55871066" w:rsidR="00A0401C" w:rsidRPr="00A01CB0" w:rsidDel="00676ED5"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5"/>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5"/>
                <w14:textFill>
                  <w14:solidFill>
                    <w14:srgbClr w14:val="000000">
                      <w14:alpha w14:val="100000"/>
                    </w14:srgbClr>
                  </w14:solidFill>
                </w14:textFill>
              </w:rPr>
              <w:t xml:space="preserve">　</w:t>
            </w:r>
            <w:r w:rsidR="005A0984" w:rsidRPr="005A0984">
              <w:rPr>
                <w:rFonts w:cs="Arial"/>
                <w:iCs/>
                <w:sz w:val="18"/>
                <w:szCs w:val="18"/>
                <w:vertAlign w:val="superscrip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78E064FA" w14:textId="5BFDDA18" w:rsidR="00A0401C" w:rsidRPr="00A01CB0" w:rsidDel="00676ED5"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4"/>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4"/>
                <w14:textFill>
                  <w14:solidFill>
                    <w14:srgbClr w14:val="000000">
                      <w14:alpha w14:val="100000"/>
                    </w14:srgbClr>
                  </w14:solidFill>
                </w14:textFill>
              </w:rPr>
              <w:t xml:space="preserve">　</w:t>
            </w:r>
            <w:r w:rsidR="005A0984" w:rsidRPr="005A0984">
              <w:rPr>
                <w:rFonts w:cs="Arial"/>
                <w:iCs/>
                <w:sz w:val="18"/>
                <w:szCs w:val="18"/>
                <w:vertAlign w:val="superscript"/>
              </w:rPr>
              <w:t>2</w:t>
            </w:r>
          </w:p>
        </w:tc>
      </w:tr>
      <w:tr w:rsidR="00A0401C" w:rsidRPr="000A03FD" w14:paraId="0BC4E96B"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0D4E6551" w14:textId="5D2E2504" w:rsidR="00A0401C" w:rsidRPr="000A03FD" w:rsidRDefault="00A0401C" w:rsidP="00146960">
            <w:pPr>
              <w:pStyle w:val="Tabletext"/>
              <w:keepNext/>
              <w:keepLines/>
            </w:pPr>
            <w:r w:rsidRPr="000A03FD">
              <w:t>Proportion of patients treated (</w:t>
            </w:r>
            <w:r w:rsidR="00795B9B">
              <w:t>uptake</w:t>
            </w:r>
            <w:r w:rsidRPr="000A03FD">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917E04" w14:textId="7AEB035D" w:rsidR="00A0401C" w:rsidRPr="000A03FD" w:rsidRDefault="00A0401C" w:rsidP="00146960">
            <w:pPr>
              <w:pStyle w:val="Tabletext"/>
              <w:keepNext/>
              <w:keepLines/>
              <w:jc w:val="center"/>
              <w:rPr>
                <w:rFonts w:cstheme="minorHAnsi"/>
                <w:szCs w:val="20"/>
              </w:rPr>
            </w:pPr>
            <w:r w:rsidRPr="000A03FD">
              <w:rPr>
                <w:rFonts w:cstheme="minorHAnsi"/>
                <w:szCs w:val="20"/>
              </w:rPr>
              <w:t>48%</w:t>
            </w:r>
          </w:p>
        </w:tc>
        <w:tc>
          <w:tcPr>
            <w:tcW w:w="1086" w:type="dxa"/>
            <w:tcBorders>
              <w:top w:val="single" w:sz="4" w:space="0" w:color="auto"/>
              <w:left w:val="nil"/>
              <w:bottom w:val="single" w:sz="4" w:space="0" w:color="auto"/>
              <w:right w:val="single" w:sz="4" w:space="0" w:color="auto"/>
            </w:tcBorders>
            <w:shd w:val="clear" w:color="auto" w:fill="auto"/>
            <w:vAlign w:val="center"/>
          </w:tcPr>
          <w:p w14:paraId="4F9C0BA9" w14:textId="2974E5A2" w:rsidR="00A0401C" w:rsidRPr="000A03FD" w:rsidRDefault="00A0401C" w:rsidP="00146960">
            <w:pPr>
              <w:pStyle w:val="Tabletext"/>
              <w:keepNext/>
              <w:keepLines/>
              <w:jc w:val="center"/>
              <w:rPr>
                <w:rFonts w:cstheme="minorHAnsi"/>
                <w:szCs w:val="20"/>
              </w:rPr>
            </w:pPr>
            <w:r w:rsidRPr="000A03FD">
              <w:rPr>
                <w:rFonts w:cstheme="minorHAnsi"/>
                <w:szCs w:val="20"/>
              </w:rPr>
              <w:t>48%</w:t>
            </w:r>
          </w:p>
        </w:tc>
        <w:tc>
          <w:tcPr>
            <w:tcW w:w="1086" w:type="dxa"/>
            <w:tcBorders>
              <w:top w:val="single" w:sz="4" w:space="0" w:color="auto"/>
              <w:left w:val="nil"/>
              <w:bottom w:val="single" w:sz="4" w:space="0" w:color="auto"/>
              <w:right w:val="single" w:sz="4" w:space="0" w:color="auto"/>
            </w:tcBorders>
            <w:shd w:val="clear" w:color="auto" w:fill="auto"/>
            <w:vAlign w:val="center"/>
          </w:tcPr>
          <w:p w14:paraId="307832AE" w14:textId="5B361110" w:rsidR="00A0401C" w:rsidRPr="000A03FD" w:rsidRDefault="00A0401C" w:rsidP="00146960">
            <w:pPr>
              <w:pStyle w:val="Tabletext"/>
              <w:keepNext/>
              <w:keepLines/>
              <w:jc w:val="center"/>
              <w:rPr>
                <w:rFonts w:cstheme="minorHAnsi"/>
                <w:szCs w:val="20"/>
              </w:rPr>
            </w:pPr>
            <w:r w:rsidRPr="000A03FD">
              <w:rPr>
                <w:rFonts w:cstheme="minorHAnsi"/>
                <w:szCs w:val="20"/>
              </w:rPr>
              <w:t>48%</w:t>
            </w:r>
          </w:p>
        </w:tc>
        <w:tc>
          <w:tcPr>
            <w:tcW w:w="1085" w:type="dxa"/>
            <w:tcBorders>
              <w:top w:val="single" w:sz="4" w:space="0" w:color="auto"/>
              <w:left w:val="nil"/>
              <w:bottom w:val="single" w:sz="4" w:space="0" w:color="auto"/>
              <w:right w:val="single" w:sz="4" w:space="0" w:color="auto"/>
            </w:tcBorders>
            <w:shd w:val="clear" w:color="auto" w:fill="auto"/>
            <w:vAlign w:val="center"/>
          </w:tcPr>
          <w:p w14:paraId="0E3D005A" w14:textId="4128520B" w:rsidR="00A0401C" w:rsidRPr="000A03FD" w:rsidRDefault="00A0401C" w:rsidP="00146960">
            <w:pPr>
              <w:pStyle w:val="Tabletext"/>
              <w:keepNext/>
              <w:keepLines/>
              <w:jc w:val="center"/>
              <w:rPr>
                <w:rFonts w:cstheme="minorHAnsi"/>
                <w:szCs w:val="20"/>
              </w:rPr>
            </w:pPr>
            <w:r w:rsidRPr="000A03FD">
              <w:rPr>
                <w:rFonts w:cstheme="minorHAnsi"/>
                <w:szCs w:val="20"/>
              </w:rPr>
              <w:t>48%</w:t>
            </w:r>
          </w:p>
        </w:tc>
        <w:tc>
          <w:tcPr>
            <w:tcW w:w="1086" w:type="dxa"/>
            <w:tcBorders>
              <w:top w:val="single" w:sz="4" w:space="0" w:color="auto"/>
              <w:left w:val="nil"/>
              <w:bottom w:val="single" w:sz="4" w:space="0" w:color="auto"/>
              <w:right w:val="single" w:sz="4" w:space="0" w:color="auto"/>
            </w:tcBorders>
            <w:shd w:val="clear" w:color="auto" w:fill="auto"/>
            <w:vAlign w:val="center"/>
          </w:tcPr>
          <w:p w14:paraId="55432694" w14:textId="159B3E16" w:rsidR="00A0401C" w:rsidRPr="000A03FD" w:rsidRDefault="00A0401C" w:rsidP="00146960">
            <w:pPr>
              <w:pStyle w:val="Tabletext"/>
              <w:keepNext/>
              <w:keepLines/>
              <w:jc w:val="center"/>
              <w:rPr>
                <w:rFonts w:cstheme="minorHAnsi"/>
                <w:szCs w:val="20"/>
              </w:rPr>
            </w:pPr>
            <w:r w:rsidRPr="000A03FD">
              <w:rPr>
                <w:rFonts w:cstheme="minorHAnsi"/>
                <w:szCs w:val="20"/>
              </w:rPr>
              <w:t>48%</w:t>
            </w:r>
          </w:p>
        </w:tc>
        <w:tc>
          <w:tcPr>
            <w:tcW w:w="1086" w:type="dxa"/>
            <w:tcBorders>
              <w:top w:val="single" w:sz="4" w:space="0" w:color="auto"/>
              <w:left w:val="nil"/>
              <w:bottom w:val="single" w:sz="4" w:space="0" w:color="auto"/>
              <w:right w:val="single" w:sz="4" w:space="0" w:color="auto"/>
            </w:tcBorders>
            <w:shd w:val="clear" w:color="auto" w:fill="auto"/>
            <w:vAlign w:val="center"/>
          </w:tcPr>
          <w:p w14:paraId="0C2BEA37" w14:textId="5AB03E11" w:rsidR="00A0401C" w:rsidRPr="000A03FD" w:rsidRDefault="00A0401C" w:rsidP="00146960">
            <w:pPr>
              <w:pStyle w:val="Tabletext"/>
              <w:keepNext/>
              <w:keepLines/>
              <w:jc w:val="center"/>
              <w:rPr>
                <w:rFonts w:cstheme="minorHAnsi"/>
                <w:szCs w:val="20"/>
              </w:rPr>
            </w:pPr>
            <w:r w:rsidRPr="000A03FD">
              <w:rPr>
                <w:rFonts w:cstheme="minorHAnsi"/>
                <w:szCs w:val="20"/>
              </w:rPr>
              <w:t>48%</w:t>
            </w:r>
          </w:p>
        </w:tc>
      </w:tr>
      <w:tr w:rsidR="00A0401C" w:rsidRPr="000A03FD" w14:paraId="1D841CC0"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0E97EB87" w14:textId="0AFED58F" w:rsidR="00A0401C" w:rsidRPr="000A03FD" w:rsidRDefault="00FA45CF" w:rsidP="00146960">
            <w:pPr>
              <w:pStyle w:val="Tabletext"/>
              <w:keepNext/>
              <w:keepLines/>
            </w:pPr>
            <w:r w:rsidRPr="000A03FD">
              <w:t>Total electing treatment</w:t>
            </w:r>
            <w:r w:rsidR="00A0401C" w:rsidRPr="000A03FD">
              <w:t xml:space="preserve"> (includes initiating and continuing patients)</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5335C5A" w14:textId="6A5A1530"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08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083"/>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083"/>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4E6ADF62" w14:textId="2317A51A"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08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082"/>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082"/>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750881A6" w14:textId="570CECD9"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1"/>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1"/>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5" w:type="dxa"/>
            <w:tcBorders>
              <w:top w:val="single" w:sz="4" w:space="0" w:color="auto"/>
              <w:left w:val="nil"/>
              <w:bottom w:val="single" w:sz="4" w:space="0" w:color="auto"/>
              <w:right w:val="single" w:sz="4" w:space="0" w:color="auto"/>
            </w:tcBorders>
            <w:shd w:val="clear" w:color="auto" w:fill="auto"/>
            <w:vAlign w:val="center"/>
          </w:tcPr>
          <w:p w14:paraId="6262AF58" w14:textId="3754C2BF"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08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080"/>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080"/>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7EEDAE7D" w14:textId="345AFADC"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9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6"/>
                <w14:textFill>
                  <w14:solidFill>
                    <w14:srgbClr w14:val="000000">
                      <w14:alpha w14:val="100000"/>
                    </w14:srgbClr>
                  </w14:solidFill>
                </w14:textFill>
              </w:rPr>
              <w:t xml:space="preserve">　</w:t>
            </w:r>
            <w:r w:rsidR="005A0984" w:rsidRPr="005A0984">
              <w:rPr>
                <w:rFonts w:cs="Arial"/>
                <w:iCs/>
                <w:sz w:val="18"/>
                <w:szCs w:val="18"/>
                <w:vertAlign w:val="superscrip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7F4BE459" w14:textId="266D733F"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9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5"/>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5"/>
                <w14:textFill>
                  <w14:solidFill>
                    <w14:srgbClr w14:val="000000">
                      <w14:alpha w14:val="100000"/>
                    </w14:srgbClr>
                  </w14:solidFill>
                </w14:textFill>
              </w:rPr>
              <w:t xml:space="preserve">　</w:t>
            </w:r>
            <w:r w:rsidR="005A0984" w:rsidRPr="005A0984">
              <w:rPr>
                <w:rFonts w:cs="Arial"/>
                <w:iCs/>
                <w:sz w:val="18"/>
                <w:szCs w:val="18"/>
                <w:vertAlign w:val="superscript"/>
              </w:rPr>
              <w:t>3</w:t>
            </w:r>
          </w:p>
        </w:tc>
      </w:tr>
      <w:tr w:rsidR="00A0401C" w:rsidRPr="000A03FD" w14:paraId="6B631E17"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1A1ADCB9" w14:textId="45577536" w:rsidR="00A0401C" w:rsidRPr="000A03FD" w:rsidRDefault="00FA45CF" w:rsidP="00146960">
            <w:pPr>
              <w:pStyle w:val="Tabletext"/>
              <w:keepNext/>
              <w:keepLines/>
              <w:rPr>
                <w:vertAlign w:val="superscript"/>
              </w:rPr>
            </w:pPr>
            <w:r w:rsidRPr="000A03FD">
              <w:t>Total PBS/RPBS scripts</w:t>
            </w:r>
            <w:r w:rsidR="004C4C58" w:rsidRPr="000A03FD">
              <w:t xml:space="preserve"> </w:t>
            </w:r>
            <w:r w:rsidR="004C4C58" w:rsidRPr="000A03FD">
              <w:rPr>
                <w:vertAlign w:val="superscript"/>
              </w:rPr>
              <w:t>c</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92571D" w14:textId="6D7253F8"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09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094"/>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094"/>
                <w14:textFill>
                  <w14:solidFill>
                    <w14:srgbClr w14:val="000000">
                      <w14:alpha w14:val="100000"/>
                    </w14:srgbClr>
                  </w14:solidFill>
                </w14:textFill>
              </w:rPr>
              <w:t xml:space="preserve">　</w:t>
            </w:r>
            <w:r w:rsidR="005A0984" w:rsidRPr="005A0984">
              <w:rPr>
                <w:rFonts w:cs="Arial"/>
                <w:iCs/>
                <w:sz w:val="18"/>
                <w:szCs w:val="18"/>
                <w:vertAlign w:val="superscrip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7024A5F6" w14:textId="639B0F66"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09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093"/>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093"/>
                <w14:textFill>
                  <w14:solidFill>
                    <w14:srgbClr w14:val="000000">
                      <w14:alpha w14:val="100000"/>
                    </w14:srgbClr>
                  </w14:solidFill>
                </w14:textFill>
              </w:rPr>
              <w:t xml:space="preserve">　</w:t>
            </w:r>
            <w:r w:rsidR="005A0984" w:rsidRPr="005A0984">
              <w:rPr>
                <w:rFonts w:cs="Arial"/>
                <w:iCs/>
                <w:sz w:val="18"/>
                <w:szCs w:val="18"/>
                <w:vertAlign w:val="superscrip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48FFB192" w14:textId="4FEF8882"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92"/>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2"/>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2"/>
                <w14:textFill>
                  <w14:solidFill>
                    <w14:srgbClr w14:val="000000">
                      <w14:alpha w14:val="100000"/>
                    </w14:srgbClr>
                  </w14:solidFill>
                </w14:textFill>
              </w:rPr>
              <w:t xml:space="preserve">　</w:t>
            </w:r>
            <w:r w:rsidR="005A0984" w:rsidRPr="005A0984">
              <w:rPr>
                <w:rFonts w:cs="Arial"/>
                <w:iCs/>
                <w:sz w:val="18"/>
                <w:szCs w:val="18"/>
                <w:vertAlign w:val="superscript"/>
              </w:rPr>
              <w:t>4</w:t>
            </w:r>
          </w:p>
        </w:tc>
        <w:tc>
          <w:tcPr>
            <w:tcW w:w="1085" w:type="dxa"/>
            <w:tcBorders>
              <w:top w:val="single" w:sz="4" w:space="0" w:color="auto"/>
              <w:left w:val="nil"/>
              <w:bottom w:val="single" w:sz="4" w:space="0" w:color="auto"/>
              <w:right w:val="single" w:sz="4" w:space="0" w:color="auto"/>
            </w:tcBorders>
            <w:shd w:val="clear" w:color="auto" w:fill="auto"/>
            <w:vAlign w:val="center"/>
          </w:tcPr>
          <w:p w14:paraId="144C1AC3" w14:textId="58EDD570"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091"/>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091"/>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091"/>
                <w14:textFill>
                  <w14:solidFill>
                    <w14:srgbClr w14:val="000000">
                      <w14:alpha w14:val="100000"/>
                    </w14:srgbClr>
                  </w14:solidFill>
                </w14:textFill>
              </w:rPr>
              <w:t xml:space="preserve">　</w:t>
            </w:r>
            <w:r w:rsidR="005A0984" w:rsidRPr="005A0984">
              <w:rPr>
                <w:rFonts w:cs="Arial"/>
                <w:iCs/>
                <w:sz w:val="18"/>
                <w:szCs w:val="18"/>
                <w:vertAlign w:val="superscrip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46AB73D2" w14:textId="541867E0"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90"/>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90"/>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90"/>
                <w14:textFill>
                  <w14:solidFill>
                    <w14:srgbClr w14:val="000000">
                      <w14:alpha w14:val="100000"/>
                    </w14:srgbClr>
                  </w14:solidFill>
                </w14:textFill>
              </w:rPr>
              <w:t xml:space="preserve">　</w:t>
            </w:r>
            <w:r w:rsidR="005A0984" w:rsidRPr="005A0984">
              <w:rPr>
                <w:rFonts w:cs="Arial"/>
                <w:iCs/>
                <w:sz w:val="18"/>
                <w:szCs w:val="18"/>
                <w:vertAlign w:val="superscrip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3A8715FB" w14:textId="2B6BCA26" w:rsidR="00A0401C"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9"/>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9"/>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9"/>
                <w14:textFill>
                  <w14:solidFill>
                    <w14:srgbClr w14:val="000000">
                      <w14:alpha w14:val="100000"/>
                    </w14:srgbClr>
                  </w14:solidFill>
                </w14:textFill>
              </w:rPr>
              <w:t xml:space="preserve">　</w:t>
            </w:r>
            <w:r w:rsidR="005A0984" w:rsidRPr="005A0984">
              <w:rPr>
                <w:rFonts w:cs="Arial"/>
                <w:iCs/>
                <w:sz w:val="18"/>
                <w:szCs w:val="18"/>
                <w:vertAlign w:val="superscript"/>
              </w:rPr>
              <w:t>5</w:t>
            </w:r>
          </w:p>
        </w:tc>
      </w:tr>
      <w:tr w:rsidR="00D55D58" w:rsidRPr="000A03FD" w14:paraId="5117109F" w14:textId="77777777" w:rsidTr="00146960">
        <w:tc>
          <w:tcPr>
            <w:tcW w:w="9060" w:type="dxa"/>
            <w:gridSpan w:val="7"/>
            <w:tcBorders>
              <w:top w:val="single" w:sz="4" w:space="0" w:color="auto"/>
              <w:left w:val="single" w:sz="4" w:space="0" w:color="auto"/>
              <w:bottom w:val="single" w:sz="4" w:space="0" w:color="auto"/>
              <w:right w:val="single" w:sz="4" w:space="0" w:color="auto"/>
            </w:tcBorders>
            <w:vAlign w:val="center"/>
          </w:tcPr>
          <w:p w14:paraId="7A3151AB" w14:textId="0901F9D4" w:rsidR="00D55D58" w:rsidRPr="000A03FD" w:rsidRDefault="00D55D58" w:rsidP="00D55D58">
            <w:pPr>
              <w:pStyle w:val="Tabletext"/>
              <w:keepNext/>
              <w:keepLines/>
              <w:rPr>
                <w:rFonts w:cstheme="minorHAnsi"/>
                <w:szCs w:val="20"/>
              </w:rPr>
            </w:pPr>
            <w:r w:rsidRPr="000A03FD">
              <w:t>PBS/RPBS cost less co-pay</w:t>
            </w:r>
          </w:p>
        </w:tc>
      </w:tr>
      <w:tr w:rsidR="00D55D58" w:rsidRPr="000A03FD" w14:paraId="3175F1AE" w14:textId="77777777" w:rsidTr="00146960">
        <w:tc>
          <w:tcPr>
            <w:tcW w:w="2546" w:type="dxa"/>
            <w:tcBorders>
              <w:top w:val="single" w:sz="4" w:space="0" w:color="auto"/>
              <w:left w:val="single" w:sz="4" w:space="0" w:color="auto"/>
              <w:bottom w:val="single" w:sz="4" w:space="0" w:color="auto"/>
              <w:right w:val="single" w:sz="4" w:space="0" w:color="auto"/>
            </w:tcBorders>
            <w:vAlign w:val="center"/>
          </w:tcPr>
          <w:p w14:paraId="75933F1C" w14:textId="47F05750" w:rsidR="00D55D58" w:rsidRPr="000A03FD" w:rsidRDefault="00D55D58" w:rsidP="00146960">
            <w:pPr>
              <w:pStyle w:val="Tabletext"/>
              <w:keepNext/>
              <w:keepLines/>
            </w:pPr>
            <w:r w:rsidRPr="000A03FD">
              <w:t>Total (eff)</w:t>
            </w:r>
            <w:r w:rsidR="00A01CB0">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CE8FB13" w14:textId="264BD69E" w:rsidR="00D55D58"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4" w:id="-1303140088"/>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4" w:id="-1303140088"/>
                <w14:textFill>
                  <w14:solidFill>
                    <w14:srgbClr w14:val="000000">
                      <w14:alpha w14:val="100000"/>
                    </w14:srgbClr>
                  </w14:solidFill>
                </w14:textFill>
              </w:rPr>
              <w:t>|</w:t>
            </w:r>
            <w:r w:rsidRPr="0020233B">
              <w:rPr>
                <w:rFonts w:cstheme="minorHAnsi" w:hint="eastAsia"/>
                <w:color w:val="000000"/>
                <w:spacing w:val="-1"/>
                <w:w w:val="15"/>
                <w:szCs w:val="20"/>
                <w:shd w:val="solid" w:color="000000" w:fill="000000"/>
                <w:fitText w:val="64" w:id="-1303140088"/>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nil"/>
              <w:bottom w:val="single" w:sz="4" w:space="0" w:color="auto"/>
              <w:right w:val="single" w:sz="4" w:space="0" w:color="auto"/>
            </w:tcBorders>
            <w:shd w:val="clear" w:color="auto" w:fill="auto"/>
            <w:vAlign w:val="center"/>
          </w:tcPr>
          <w:p w14:paraId="00F4E2F2" w14:textId="2816665A" w:rsidR="00D55D58"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4" w:id="-1303140087"/>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4" w:id="-1303140087"/>
                <w14:textFill>
                  <w14:solidFill>
                    <w14:srgbClr w14:val="000000">
                      <w14:alpha w14:val="100000"/>
                    </w14:srgbClr>
                  </w14:solidFill>
                </w14:textFill>
              </w:rPr>
              <w:t>|</w:t>
            </w:r>
            <w:r w:rsidRPr="0020233B">
              <w:rPr>
                <w:rFonts w:cstheme="minorHAnsi" w:hint="eastAsia"/>
                <w:color w:val="000000"/>
                <w:spacing w:val="-11"/>
                <w:w w:val="15"/>
                <w:szCs w:val="20"/>
                <w:shd w:val="solid" w:color="000000" w:fill="000000"/>
                <w:fitText w:val="54" w:id="-1303140087"/>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nil"/>
              <w:bottom w:val="single" w:sz="4" w:space="0" w:color="auto"/>
              <w:right w:val="single" w:sz="4" w:space="0" w:color="auto"/>
            </w:tcBorders>
            <w:shd w:val="clear" w:color="auto" w:fill="auto"/>
            <w:vAlign w:val="center"/>
          </w:tcPr>
          <w:p w14:paraId="4DB305A0" w14:textId="20EC7256" w:rsidR="00D55D58"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6"/>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6"/>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6"/>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5" w:type="dxa"/>
            <w:tcBorders>
              <w:top w:val="single" w:sz="4" w:space="0" w:color="auto"/>
              <w:left w:val="nil"/>
              <w:bottom w:val="single" w:sz="4" w:space="0" w:color="auto"/>
              <w:right w:val="single" w:sz="4" w:space="0" w:color="auto"/>
            </w:tcBorders>
            <w:shd w:val="clear" w:color="auto" w:fill="auto"/>
            <w:vAlign w:val="center"/>
          </w:tcPr>
          <w:p w14:paraId="67EBAF4E" w14:textId="2294DB46" w:rsidR="00D55D58"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63" w:id="-1303140085"/>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63" w:id="-1303140085"/>
                <w14:textFill>
                  <w14:solidFill>
                    <w14:srgbClr w14:val="000000">
                      <w14:alpha w14:val="100000"/>
                    </w14:srgbClr>
                  </w14:solidFill>
                </w14:textFill>
              </w:rPr>
              <w:t>|</w:t>
            </w:r>
            <w:r w:rsidRPr="0020233B">
              <w:rPr>
                <w:rFonts w:cstheme="minorHAnsi" w:hint="eastAsia"/>
                <w:color w:val="000000"/>
                <w:spacing w:val="-2"/>
                <w:w w:val="15"/>
                <w:szCs w:val="20"/>
                <w:shd w:val="solid" w:color="000000" w:fill="000000"/>
                <w:fitText w:val="63" w:id="-1303140085"/>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nil"/>
              <w:bottom w:val="single" w:sz="4" w:space="0" w:color="auto"/>
              <w:right w:val="single" w:sz="4" w:space="0" w:color="auto"/>
            </w:tcBorders>
            <w:shd w:val="clear" w:color="auto" w:fill="auto"/>
            <w:vAlign w:val="center"/>
          </w:tcPr>
          <w:p w14:paraId="57B12305" w14:textId="5AFA60A5" w:rsidR="00D55D58"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4"/>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4"/>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4"/>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nil"/>
              <w:bottom w:val="single" w:sz="4" w:space="0" w:color="auto"/>
              <w:right w:val="single" w:sz="4" w:space="0" w:color="auto"/>
            </w:tcBorders>
            <w:shd w:val="clear" w:color="auto" w:fill="auto"/>
            <w:vAlign w:val="center"/>
          </w:tcPr>
          <w:p w14:paraId="41994EEF" w14:textId="69C8CE0D" w:rsidR="00D55D58" w:rsidRPr="00A01CB0" w:rsidRDefault="0020233B" w:rsidP="00146960">
            <w:pPr>
              <w:pStyle w:val="Tabletext"/>
              <w:keepNext/>
              <w:keepLines/>
              <w:jc w:val="center"/>
              <w:rPr>
                <w:rFonts w:cstheme="minorHAnsi"/>
                <w:szCs w:val="20"/>
                <w:highlight w:val="yellow"/>
              </w:rPr>
            </w:pPr>
            <w:r w:rsidRPr="0020233B">
              <w:rPr>
                <w:rFonts w:cstheme="minorHAnsi" w:hint="eastAsia"/>
                <w:color w:val="000000"/>
                <w:w w:val="15"/>
                <w:szCs w:val="20"/>
                <w:shd w:val="solid" w:color="000000" w:fill="000000"/>
                <w:fitText w:val="55" w:id="-1303140083"/>
                <w14:textFill>
                  <w14:solidFill>
                    <w14:srgbClr w14:val="000000">
                      <w14:alpha w14:val="100000"/>
                    </w14:srgbClr>
                  </w14:solidFill>
                </w14:textFill>
              </w:rPr>
              <w:t xml:space="preserve">　</w:t>
            </w:r>
            <w:r w:rsidRPr="0020233B">
              <w:rPr>
                <w:rFonts w:cstheme="minorHAnsi"/>
                <w:color w:val="000000"/>
                <w:w w:val="15"/>
                <w:szCs w:val="20"/>
                <w:shd w:val="solid" w:color="000000" w:fill="000000"/>
                <w:fitText w:val="55" w:id="-1303140083"/>
                <w14:textFill>
                  <w14:solidFill>
                    <w14:srgbClr w14:val="000000">
                      <w14:alpha w14:val="100000"/>
                    </w14:srgbClr>
                  </w14:solidFill>
                </w14:textFill>
              </w:rPr>
              <w:t>|</w:t>
            </w:r>
            <w:r w:rsidRPr="0020233B">
              <w:rPr>
                <w:rFonts w:cstheme="minorHAnsi" w:hint="eastAsia"/>
                <w:color w:val="000000"/>
                <w:spacing w:val="-10"/>
                <w:w w:val="15"/>
                <w:szCs w:val="20"/>
                <w:shd w:val="solid" w:color="000000" w:fill="000000"/>
                <w:fitText w:val="55" w:id="-1303140083"/>
                <w14:textFill>
                  <w14:solidFill>
                    <w14:srgbClr w14:val="000000">
                      <w14:alpha w14:val="100000"/>
                    </w14:srgbClr>
                  </w14:solidFill>
                </w14:textFill>
              </w:rPr>
              <w:t xml:space="preserve">　</w:t>
            </w:r>
            <w:r w:rsidR="00C57846" w:rsidRPr="00C57846">
              <w:rPr>
                <w:rFonts w:cs="Arial"/>
                <w:iCs/>
                <w:sz w:val="18"/>
                <w:szCs w:val="18"/>
                <w:vertAlign w:val="superscript"/>
              </w:rPr>
              <w:t>6</w:t>
            </w:r>
          </w:p>
        </w:tc>
      </w:tr>
      <w:tr w:rsidR="00D55D58" w:rsidRPr="000A03FD" w14:paraId="2E532296" w14:textId="77777777" w:rsidTr="00146960">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1A1FC27" w14:textId="77777777" w:rsidR="00D55D58" w:rsidRPr="000A03FD" w:rsidRDefault="00D55D58" w:rsidP="00146960">
            <w:pPr>
              <w:pStyle w:val="Tabletext"/>
              <w:keepNext/>
              <w:keepLines/>
              <w:rPr>
                <w:b/>
              </w:rPr>
            </w:pPr>
            <w:r w:rsidRPr="000A03FD">
              <w:rPr>
                <w:b/>
              </w:rPr>
              <w:t>Estimation of changes in use and financial impact of other medicines (PBS and RPBS)</w:t>
            </w:r>
          </w:p>
        </w:tc>
      </w:tr>
      <w:tr w:rsidR="00D55D58" w:rsidRPr="000A03FD" w14:paraId="4497E9AD" w14:textId="77777777" w:rsidTr="00710D51">
        <w:tc>
          <w:tcPr>
            <w:tcW w:w="2546" w:type="dxa"/>
            <w:tcBorders>
              <w:top w:val="single" w:sz="4" w:space="0" w:color="auto"/>
              <w:left w:val="single" w:sz="4" w:space="0" w:color="auto"/>
              <w:bottom w:val="single" w:sz="4" w:space="0" w:color="auto"/>
              <w:right w:val="single" w:sz="4" w:space="0" w:color="auto"/>
            </w:tcBorders>
            <w:vAlign w:val="center"/>
            <w:hideMark/>
          </w:tcPr>
          <w:p w14:paraId="466293BB" w14:textId="595E525D" w:rsidR="00D55D58" w:rsidRPr="000A03FD" w:rsidRDefault="00D55D58" w:rsidP="00146960">
            <w:pPr>
              <w:pStyle w:val="Tabletext"/>
              <w:keepNext/>
              <w:keepLines/>
            </w:pPr>
            <w:r w:rsidRPr="000A03FD">
              <w:t>Total cost of replaced medicines (pub/eff)</w:t>
            </w:r>
            <w:r w:rsidR="00A01CB0">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A5276" w14:textId="3CFC3B81" w:rsidR="00D55D58"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64" w:id="-1303140082"/>
                <w14:textFill>
                  <w14:solidFill>
                    <w14:srgbClr w14:val="000000">
                      <w14:alpha w14:val="100000"/>
                    </w14:srgbClr>
                  </w14:solidFill>
                </w14:textFill>
              </w:rPr>
              <w:t xml:space="preserve">　</w:t>
            </w:r>
            <w:r w:rsidRPr="0020233B">
              <w:rPr>
                <w:color w:val="000000"/>
                <w:w w:val="15"/>
                <w:shd w:val="solid" w:color="000000" w:fill="000000"/>
                <w:fitText w:val="64" w:id="-1303140082"/>
                <w14:textFill>
                  <w14:solidFill>
                    <w14:srgbClr w14:val="000000">
                      <w14:alpha w14:val="100000"/>
                    </w14:srgbClr>
                  </w14:solidFill>
                </w14:textFill>
              </w:rPr>
              <w:t>|</w:t>
            </w:r>
            <w:r w:rsidRPr="0020233B">
              <w:rPr>
                <w:rFonts w:hint="eastAsia"/>
                <w:color w:val="000000"/>
                <w:spacing w:val="-1"/>
                <w:w w:val="15"/>
                <w:shd w:val="solid" w:color="000000" w:fill="000000"/>
                <w:fitText w:val="64" w:id="-1303140082"/>
                <w14:textFill>
                  <w14:solidFill>
                    <w14:srgbClr w14:val="000000">
                      <w14:alpha w14:val="100000"/>
                    </w14:srgbClr>
                  </w14:solidFill>
                </w14:textFill>
              </w:rPr>
              <w:t xml:space="preserve">　</w:t>
            </w:r>
            <w:r w:rsidR="00C57846" w:rsidRPr="00C57846">
              <w:rPr>
                <w:rFonts w:cs="Arial"/>
                <w:iCs/>
                <w:sz w:val="18"/>
                <w:szCs w:val="18"/>
                <w:vertAlign w:val="superscript"/>
              </w:rPr>
              <w:t>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A576D" w14:textId="2A765619" w:rsidR="00D55D58"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4" w:id="-1303140081"/>
                <w14:textFill>
                  <w14:solidFill>
                    <w14:srgbClr w14:val="000000">
                      <w14:alpha w14:val="100000"/>
                    </w14:srgbClr>
                  </w14:solidFill>
                </w14:textFill>
              </w:rPr>
              <w:t xml:space="preserve">　</w:t>
            </w:r>
            <w:r w:rsidRPr="0020233B">
              <w:rPr>
                <w:color w:val="000000"/>
                <w:w w:val="15"/>
                <w:shd w:val="solid" w:color="000000" w:fill="000000"/>
                <w:fitText w:val="54" w:id="-1303140081"/>
                <w14:textFill>
                  <w14:solidFill>
                    <w14:srgbClr w14:val="000000">
                      <w14:alpha w14:val="100000"/>
                    </w14:srgbClr>
                  </w14:solidFill>
                </w14:textFill>
              </w:rPr>
              <w:t>|</w:t>
            </w:r>
            <w:r w:rsidRPr="0020233B">
              <w:rPr>
                <w:rFonts w:hint="eastAsia"/>
                <w:color w:val="000000"/>
                <w:spacing w:val="-11"/>
                <w:w w:val="15"/>
                <w:shd w:val="solid" w:color="000000" w:fill="000000"/>
                <w:fitText w:val="54" w:id="-1303140081"/>
                <w14:textFill>
                  <w14:solidFill>
                    <w14:srgbClr w14:val="000000">
                      <w14:alpha w14:val="100000"/>
                    </w14:srgbClr>
                  </w14:solidFill>
                </w14:textFill>
              </w:rPr>
              <w:t xml:space="preserve">　</w:t>
            </w:r>
            <w:r w:rsidR="00C57846" w:rsidRPr="00C57846">
              <w:rPr>
                <w:rFonts w:cs="Arial"/>
                <w:iCs/>
                <w:sz w:val="18"/>
                <w:szCs w:val="18"/>
                <w:vertAlign w:val="superscript"/>
              </w:rPr>
              <w:t>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8D347" w14:textId="5B9D63FC" w:rsidR="00D55D58"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5" w:id="-1303140080"/>
                <w14:textFill>
                  <w14:solidFill>
                    <w14:srgbClr w14:val="000000">
                      <w14:alpha w14:val="100000"/>
                    </w14:srgbClr>
                  </w14:solidFill>
                </w14:textFill>
              </w:rPr>
              <w:t xml:space="preserve">　</w:t>
            </w:r>
            <w:r w:rsidRPr="0020233B">
              <w:rPr>
                <w:color w:val="000000"/>
                <w:w w:val="15"/>
                <w:shd w:val="solid" w:color="000000" w:fill="000000"/>
                <w:fitText w:val="55" w:id="-1303140080"/>
                <w14:textFill>
                  <w14:solidFill>
                    <w14:srgbClr w14:val="000000">
                      <w14:alpha w14:val="100000"/>
                    </w14:srgbClr>
                  </w14:solidFill>
                </w14:textFill>
              </w:rPr>
              <w:t>|</w:t>
            </w:r>
            <w:r w:rsidRPr="0020233B">
              <w:rPr>
                <w:rFonts w:hint="eastAsia"/>
                <w:color w:val="000000"/>
                <w:spacing w:val="-10"/>
                <w:w w:val="15"/>
                <w:shd w:val="solid" w:color="000000" w:fill="000000"/>
                <w:fitText w:val="55" w:id="-1303140080"/>
                <w14:textFill>
                  <w14:solidFill>
                    <w14:srgbClr w14:val="000000">
                      <w14:alpha w14:val="100000"/>
                    </w14:srgbClr>
                  </w14:solidFill>
                </w14:textFill>
              </w:rPr>
              <w:t xml:space="preserve">　</w:t>
            </w:r>
            <w:r w:rsidR="00C57846" w:rsidRPr="00C57846">
              <w:rPr>
                <w:rFonts w:cs="Arial"/>
                <w:iCs/>
                <w:sz w:val="18"/>
                <w:szCs w:val="18"/>
                <w:vertAlign w:val="superscript"/>
              </w:rPr>
              <w:t>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2D1A" w14:textId="084A9F01" w:rsidR="00D55D58"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63" w:id="-1303140096"/>
                <w14:textFill>
                  <w14:solidFill>
                    <w14:srgbClr w14:val="000000">
                      <w14:alpha w14:val="100000"/>
                    </w14:srgbClr>
                  </w14:solidFill>
                </w14:textFill>
              </w:rPr>
              <w:t xml:space="preserve">　</w:t>
            </w:r>
            <w:r w:rsidRPr="0020233B">
              <w:rPr>
                <w:color w:val="000000"/>
                <w:w w:val="15"/>
                <w:shd w:val="solid" w:color="000000" w:fill="000000"/>
                <w:fitText w:val="63" w:id="-1303140096"/>
                <w14:textFill>
                  <w14:solidFill>
                    <w14:srgbClr w14:val="000000">
                      <w14:alpha w14:val="100000"/>
                    </w14:srgbClr>
                  </w14:solidFill>
                </w14:textFill>
              </w:rPr>
              <w:t>|</w:t>
            </w:r>
            <w:r w:rsidRPr="0020233B">
              <w:rPr>
                <w:rFonts w:hint="eastAsia"/>
                <w:color w:val="000000"/>
                <w:spacing w:val="-2"/>
                <w:w w:val="15"/>
                <w:shd w:val="solid" w:color="000000" w:fill="000000"/>
                <w:fitText w:val="63" w:id="-1303140096"/>
                <w14:textFill>
                  <w14:solidFill>
                    <w14:srgbClr w14:val="000000">
                      <w14:alpha w14:val="100000"/>
                    </w14:srgbClr>
                  </w14:solidFill>
                </w14:textFill>
              </w:rPr>
              <w:t xml:space="preserve">　</w:t>
            </w:r>
            <w:r w:rsidR="00C57846" w:rsidRPr="00C57846">
              <w:rPr>
                <w:rFonts w:cs="Arial"/>
                <w:iCs/>
                <w:sz w:val="18"/>
                <w:szCs w:val="18"/>
                <w:vertAlign w:val="superscript"/>
              </w:rPr>
              <w:t>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4FDE9" w14:textId="6AC39017" w:rsidR="00D55D58"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5" w:id="-1303140095"/>
                <w14:textFill>
                  <w14:solidFill>
                    <w14:srgbClr w14:val="000000">
                      <w14:alpha w14:val="100000"/>
                    </w14:srgbClr>
                  </w14:solidFill>
                </w14:textFill>
              </w:rPr>
              <w:t xml:space="preserve">　</w:t>
            </w:r>
            <w:r w:rsidRPr="0020233B">
              <w:rPr>
                <w:color w:val="000000"/>
                <w:w w:val="15"/>
                <w:shd w:val="solid" w:color="000000" w:fill="000000"/>
                <w:fitText w:val="55" w:id="-1303140095"/>
                <w14:textFill>
                  <w14:solidFill>
                    <w14:srgbClr w14:val="000000">
                      <w14:alpha w14:val="100000"/>
                    </w14:srgbClr>
                  </w14:solidFill>
                </w14:textFill>
              </w:rPr>
              <w:t>|</w:t>
            </w:r>
            <w:r w:rsidRPr="0020233B">
              <w:rPr>
                <w:rFonts w:hint="eastAsia"/>
                <w:color w:val="000000"/>
                <w:spacing w:val="-10"/>
                <w:w w:val="15"/>
                <w:shd w:val="solid" w:color="000000" w:fill="000000"/>
                <w:fitText w:val="55" w:id="-1303140095"/>
                <w14:textFill>
                  <w14:solidFill>
                    <w14:srgbClr w14:val="000000">
                      <w14:alpha w14:val="100000"/>
                    </w14:srgbClr>
                  </w14:solidFill>
                </w14:textFill>
              </w:rPr>
              <w:t xml:space="preserve">　</w:t>
            </w:r>
            <w:r w:rsidR="00C57846" w:rsidRPr="00C57846">
              <w:rPr>
                <w:rFonts w:cs="Arial"/>
                <w:iCs/>
                <w:sz w:val="18"/>
                <w:szCs w:val="18"/>
                <w:vertAlign w:val="superscript"/>
              </w:rPr>
              <w:t>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DA7B6" w14:textId="71678F48" w:rsidR="00D55D58" w:rsidRPr="00A01CB0" w:rsidRDefault="0020233B" w:rsidP="00146960">
            <w:pPr>
              <w:pStyle w:val="Tabletext"/>
              <w:keepNext/>
              <w:keepLines/>
              <w:jc w:val="center"/>
              <w:rPr>
                <w:highlight w:val="yellow"/>
              </w:rPr>
            </w:pPr>
            <w:r w:rsidRPr="0020233B">
              <w:rPr>
                <w:rFonts w:hint="eastAsia"/>
                <w:color w:val="000000"/>
                <w:w w:val="15"/>
                <w:shd w:val="solid" w:color="000000" w:fill="000000"/>
                <w:fitText w:val="55" w:id="-1303140094"/>
                <w14:textFill>
                  <w14:solidFill>
                    <w14:srgbClr w14:val="000000">
                      <w14:alpha w14:val="100000"/>
                    </w14:srgbClr>
                  </w14:solidFill>
                </w14:textFill>
              </w:rPr>
              <w:t xml:space="preserve">　</w:t>
            </w:r>
            <w:r w:rsidRPr="0020233B">
              <w:rPr>
                <w:color w:val="000000"/>
                <w:w w:val="15"/>
                <w:shd w:val="solid" w:color="000000" w:fill="000000"/>
                <w:fitText w:val="55" w:id="-1303140094"/>
                <w14:textFill>
                  <w14:solidFill>
                    <w14:srgbClr w14:val="000000">
                      <w14:alpha w14:val="100000"/>
                    </w14:srgbClr>
                  </w14:solidFill>
                </w14:textFill>
              </w:rPr>
              <w:t>|</w:t>
            </w:r>
            <w:r w:rsidRPr="0020233B">
              <w:rPr>
                <w:rFonts w:hint="eastAsia"/>
                <w:color w:val="000000"/>
                <w:spacing w:val="-10"/>
                <w:w w:val="15"/>
                <w:shd w:val="solid" w:color="000000" w:fill="000000"/>
                <w:fitText w:val="55" w:id="-1303140094"/>
                <w14:textFill>
                  <w14:solidFill>
                    <w14:srgbClr w14:val="000000">
                      <w14:alpha w14:val="100000"/>
                    </w14:srgbClr>
                  </w14:solidFill>
                </w14:textFill>
              </w:rPr>
              <w:t xml:space="preserve">　</w:t>
            </w:r>
            <w:r w:rsidR="00C57846" w:rsidRPr="00C57846">
              <w:rPr>
                <w:rFonts w:cs="Arial"/>
                <w:iCs/>
                <w:sz w:val="18"/>
                <w:szCs w:val="18"/>
                <w:vertAlign w:val="superscript"/>
              </w:rPr>
              <w:t>7</w:t>
            </w:r>
          </w:p>
        </w:tc>
      </w:tr>
      <w:tr w:rsidR="00D55D58" w:rsidRPr="000A03FD" w14:paraId="146A5F69" w14:textId="77777777" w:rsidTr="00146960">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12EC75A8" w14:textId="77777777" w:rsidR="00D55D58" w:rsidRPr="000A03FD" w:rsidRDefault="00D55D58" w:rsidP="00146960">
            <w:pPr>
              <w:pStyle w:val="Tabletext"/>
              <w:keepNext/>
              <w:keepLines/>
              <w:rPr>
                <w:b/>
              </w:rPr>
            </w:pPr>
            <w:r w:rsidRPr="000A03FD">
              <w:rPr>
                <w:b/>
              </w:rPr>
              <w:t>Estimated financial implications for the PBS/RPBS</w:t>
            </w:r>
          </w:p>
        </w:tc>
      </w:tr>
      <w:tr w:rsidR="00ED3DD3" w:rsidRPr="000A03FD" w14:paraId="06981D83" w14:textId="77777777" w:rsidTr="00FC0D7C">
        <w:tc>
          <w:tcPr>
            <w:tcW w:w="2546" w:type="dxa"/>
            <w:tcBorders>
              <w:top w:val="single" w:sz="4" w:space="0" w:color="auto"/>
              <w:left w:val="single" w:sz="4" w:space="0" w:color="auto"/>
              <w:bottom w:val="single" w:sz="4" w:space="0" w:color="auto"/>
              <w:right w:val="single" w:sz="4" w:space="0" w:color="auto"/>
            </w:tcBorders>
            <w:vAlign w:val="center"/>
            <w:hideMark/>
          </w:tcPr>
          <w:p w14:paraId="4FDB0D85" w14:textId="6C1B016E" w:rsidR="00ED3DD3" w:rsidRPr="000A03FD" w:rsidRDefault="00ED3DD3" w:rsidP="00ED3DD3">
            <w:pPr>
              <w:pStyle w:val="Tabletext"/>
              <w:keepNext/>
              <w:keepLines/>
            </w:pPr>
            <w:r w:rsidRPr="000A03FD">
              <w:t>Net cost to PBS/RPBS (eff)</w:t>
            </w:r>
            <w:r w:rsidR="00A01CB0">
              <w:t xml:space="preserve"> ($)</w:t>
            </w:r>
          </w:p>
        </w:tc>
        <w:tc>
          <w:tcPr>
            <w:tcW w:w="1085" w:type="dxa"/>
            <w:tcBorders>
              <w:top w:val="single" w:sz="4" w:space="0" w:color="auto"/>
              <w:left w:val="single" w:sz="4" w:space="0" w:color="auto"/>
              <w:bottom w:val="single" w:sz="4" w:space="0" w:color="auto"/>
              <w:right w:val="single" w:sz="4" w:space="0" w:color="auto"/>
            </w:tcBorders>
            <w:hideMark/>
          </w:tcPr>
          <w:p w14:paraId="21A28102" w14:textId="383E1E92" w:rsidR="00ED3DD3" w:rsidRPr="00A01CB0" w:rsidRDefault="0020233B" w:rsidP="00ED3DD3">
            <w:pPr>
              <w:pStyle w:val="Tabletext"/>
              <w:keepNext/>
              <w:keepLines/>
              <w:jc w:val="center"/>
              <w:rPr>
                <w:highlight w:val="yellow"/>
              </w:rPr>
            </w:pPr>
            <w:r w:rsidRPr="0020233B">
              <w:rPr>
                <w:rFonts w:hint="eastAsia"/>
                <w:color w:val="000000"/>
                <w:w w:val="15"/>
                <w:shd w:val="solid" w:color="000000" w:fill="000000"/>
                <w:fitText w:val="64" w:id="-1303140093"/>
                <w14:textFill>
                  <w14:solidFill>
                    <w14:srgbClr w14:val="000000">
                      <w14:alpha w14:val="100000"/>
                    </w14:srgbClr>
                  </w14:solidFill>
                </w14:textFill>
              </w:rPr>
              <w:t xml:space="preserve">　</w:t>
            </w:r>
            <w:r w:rsidRPr="0020233B">
              <w:rPr>
                <w:color w:val="000000"/>
                <w:w w:val="15"/>
                <w:shd w:val="solid" w:color="000000" w:fill="000000"/>
                <w:fitText w:val="64" w:id="-1303140093"/>
                <w14:textFill>
                  <w14:solidFill>
                    <w14:srgbClr w14:val="000000">
                      <w14:alpha w14:val="100000"/>
                    </w14:srgbClr>
                  </w14:solidFill>
                </w14:textFill>
              </w:rPr>
              <w:t>|</w:t>
            </w:r>
            <w:r w:rsidRPr="0020233B">
              <w:rPr>
                <w:rFonts w:hint="eastAsia"/>
                <w:color w:val="000000"/>
                <w:spacing w:val="-1"/>
                <w:w w:val="15"/>
                <w:shd w:val="solid" w:color="000000" w:fill="000000"/>
                <w:fitText w:val="64" w:id="-1303140093"/>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single" w:sz="4" w:space="0" w:color="auto"/>
              <w:bottom w:val="single" w:sz="4" w:space="0" w:color="auto"/>
              <w:right w:val="single" w:sz="4" w:space="0" w:color="auto"/>
            </w:tcBorders>
            <w:hideMark/>
          </w:tcPr>
          <w:p w14:paraId="723BED76" w14:textId="6F27F8CC" w:rsidR="00ED3DD3" w:rsidRPr="00A01CB0" w:rsidRDefault="0020233B" w:rsidP="00ED3DD3">
            <w:pPr>
              <w:pStyle w:val="Tabletext"/>
              <w:keepNext/>
              <w:keepLines/>
              <w:jc w:val="center"/>
              <w:rPr>
                <w:highlight w:val="yellow"/>
              </w:rPr>
            </w:pPr>
            <w:r w:rsidRPr="0020233B">
              <w:rPr>
                <w:rFonts w:hint="eastAsia"/>
                <w:color w:val="000000"/>
                <w:w w:val="15"/>
                <w:shd w:val="solid" w:color="000000" w:fill="000000"/>
                <w:fitText w:val="54" w:id="-1303140092"/>
                <w14:textFill>
                  <w14:solidFill>
                    <w14:srgbClr w14:val="000000">
                      <w14:alpha w14:val="100000"/>
                    </w14:srgbClr>
                  </w14:solidFill>
                </w14:textFill>
              </w:rPr>
              <w:t xml:space="preserve">　</w:t>
            </w:r>
            <w:r w:rsidRPr="0020233B">
              <w:rPr>
                <w:color w:val="000000"/>
                <w:w w:val="15"/>
                <w:shd w:val="solid" w:color="000000" w:fill="000000"/>
                <w:fitText w:val="54" w:id="-1303140092"/>
                <w14:textFill>
                  <w14:solidFill>
                    <w14:srgbClr w14:val="000000">
                      <w14:alpha w14:val="100000"/>
                    </w14:srgbClr>
                  </w14:solidFill>
                </w14:textFill>
              </w:rPr>
              <w:t>|</w:t>
            </w:r>
            <w:r w:rsidRPr="0020233B">
              <w:rPr>
                <w:rFonts w:hint="eastAsia"/>
                <w:color w:val="000000"/>
                <w:spacing w:val="-11"/>
                <w:w w:val="15"/>
                <w:shd w:val="solid" w:color="000000" w:fill="000000"/>
                <w:fitText w:val="54" w:id="-1303140092"/>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single" w:sz="4" w:space="0" w:color="auto"/>
              <w:bottom w:val="single" w:sz="4" w:space="0" w:color="auto"/>
              <w:right w:val="single" w:sz="4" w:space="0" w:color="auto"/>
            </w:tcBorders>
            <w:hideMark/>
          </w:tcPr>
          <w:p w14:paraId="0011A981" w14:textId="548242DF" w:rsidR="00ED3DD3" w:rsidRPr="00A01CB0" w:rsidRDefault="0020233B" w:rsidP="00ED3DD3">
            <w:pPr>
              <w:pStyle w:val="Tabletext"/>
              <w:keepNext/>
              <w:keepLines/>
              <w:jc w:val="center"/>
              <w:rPr>
                <w:highlight w:val="yellow"/>
              </w:rPr>
            </w:pPr>
            <w:r w:rsidRPr="0020233B">
              <w:rPr>
                <w:rFonts w:hint="eastAsia"/>
                <w:color w:val="000000"/>
                <w:w w:val="15"/>
                <w:shd w:val="solid" w:color="000000" w:fill="000000"/>
                <w:fitText w:val="55" w:id="-1303140091"/>
                <w14:textFill>
                  <w14:solidFill>
                    <w14:srgbClr w14:val="000000">
                      <w14:alpha w14:val="100000"/>
                    </w14:srgbClr>
                  </w14:solidFill>
                </w14:textFill>
              </w:rPr>
              <w:t xml:space="preserve">　</w:t>
            </w:r>
            <w:r w:rsidRPr="0020233B">
              <w:rPr>
                <w:color w:val="000000"/>
                <w:w w:val="15"/>
                <w:shd w:val="solid" w:color="000000" w:fill="000000"/>
                <w:fitText w:val="55" w:id="-1303140091"/>
                <w14:textFill>
                  <w14:solidFill>
                    <w14:srgbClr w14:val="000000">
                      <w14:alpha w14:val="100000"/>
                    </w14:srgbClr>
                  </w14:solidFill>
                </w14:textFill>
              </w:rPr>
              <w:t>|</w:t>
            </w:r>
            <w:r w:rsidRPr="0020233B">
              <w:rPr>
                <w:rFonts w:hint="eastAsia"/>
                <w:color w:val="000000"/>
                <w:spacing w:val="-10"/>
                <w:w w:val="15"/>
                <w:shd w:val="solid" w:color="000000" w:fill="000000"/>
                <w:fitText w:val="55" w:id="-1303140091"/>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5" w:type="dxa"/>
            <w:tcBorders>
              <w:top w:val="single" w:sz="4" w:space="0" w:color="auto"/>
              <w:left w:val="single" w:sz="4" w:space="0" w:color="auto"/>
              <w:bottom w:val="single" w:sz="4" w:space="0" w:color="auto"/>
              <w:right w:val="single" w:sz="4" w:space="0" w:color="auto"/>
            </w:tcBorders>
            <w:hideMark/>
          </w:tcPr>
          <w:p w14:paraId="40A0610D" w14:textId="04CABA23" w:rsidR="00ED3DD3" w:rsidRPr="00A01CB0" w:rsidRDefault="0020233B" w:rsidP="00ED3DD3">
            <w:pPr>
              <w:pStyle w:val="Tabletext"/>
              <w:keepNext/>
              <w:keepLines/>
              <w:jc w:val="center"/>
              <w:rPr>
                <w:highlight w:val="yellow"/>
              </w:rPr>
            </w:pPr>
            <w:r w:rsidRPr="0020233B">
              <w:rPr>
                <w:rFonts w:hint="eastAsia"/>
                <w:color w:val="000000"/>
                <w:w w:val="15"/>
                <w:shd w:val="solid" w:color="000000" w:fill="000000"/>
                <w:fitText w:val="63" w:id="-1303140090"/>
                <w14:textFill>
                  <w14:solidFill>
                    <w14:srgbClr w14:val="000000">
                      <w14:alpha w14:val="100000"/>
                    </w14:srgbClr>
                  </w14:solidFill>
                </w14:textFill>
              </w:rPr>
              <w:t xml:space="preserve">　</w:t>
            </w:r>
            <w:r w:rsidRPr="0020233B">
              <w:rPr>
                <w:color w:val="000000"/>
                <w:w w:val="15"/>
                <w:shd w:val="solid" w:color="000000" w:fill="000000"/>
                <w:fitText w:val="63" w:id="-1303140090"/>
                <w14:textFill>
                  <w14:solidFill>
                    <w14:srgbClr w14:val="000000">
                      <w14:alpha w14:val="100000"/>
                    </w14:srgbClr>
                  </w14:solidFill>
                </w14:textFill>
              </w:rPr>
              <w:t>|</w:t>
            </w:r>
            <w:r w:rsidRPr="0020233B">
              <w:rPr>
                <w:rFonts w:hint="eastAsia"/>
                <w:color w:val="000000"/>
                <w:spacing w:val="-2"/>
                <w:w w:val="15"/>
                <w:shd w:val="solid" w:color="000000" w:fill="000000"/>
                <w:fitText w:val="63" w:id="-1303140090"/>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single" w:sz="4" w:space="0" w:color="auto"/>
              <w:bottom w:val="single" w:sz="4" w:space="0" w:color="auto"/>
              <w:right w:val="single" w:sz="4" w:space="0" w:color="auto"/>
            </w:tcBorders>
            <w:hideMark/>
          </w:tcPr>
          <w:p w14:paraId="63B8097C" w14:textId="703792C2" w:rsidR="00ED3DD3" w:rsidRPr="00A01CB0" w:rsidRDefault="0020233B" w:rsidP="00ED3DD3">
            <w:pPr>
              <w:pStyle w:val="Tabletext"/>
              <w:keepNext/>
              <w:keepLines/>
              <w:jc w:val="center"/>
              <w:rPr>
                <w:highlight w:val="yellow"/>
              </w:rPr>
            </w:pPr>
            <w:r w:rsidRPr="0020233B">
              <w:rPr>
                <w:rFonts w:hint="eastAsia"/>
                <w:color w:val="000000"/>
                <w:w w:val="15"/>
                <w:shd w:val="solid" w:color="000000" w:fill="000000"/>
                <w:fitText w:val="55" w:id="-1303140089"/>
                <w14:textFill>
                  <w14:solidFill>
                    <w14:srgbClr w14:val="000000">
                      <w14:alpha w14:val="100000"/>
                    </w14:srgbClr>
                  </w14:solidFill>
                </w14:textFill>
              </w:rPr>
              <w:t xml:space="preserve">　</w:t>
            </w:r>
            <w:r w:rsidRPr="0020233B">
              <w:rPr>
                <w:color w:val="000000"/>
                <w:w w:val="15"/>
                <w:shd w:val="solid" w:color="000000" w:fill="000000"/>
                <w:fitText w:val="55" w:id="-1303140089"/>
                <w14:textFill>
                  <w14:solidFill>
                    <w14:srgbClr w14:val="000000">
                      <w14:alpha w14:val="100000"/>
                    </w14:srgbClr>
                  </w14:solidFill>
                </w14:textFill>
              </w:rPr>
              <w:t>|</w:t>
            </w:r>
            <w:r w:rsidRPr="0020233B">
              <w:rPr>
                <w:rFonts w:hint="eastAsia"/>
                <w:color w:val="000000"/>
                <w:spacing w:val="-10"/>
                <w:w w:val="15"/>
                <w:shd w:val="solid" w:color="000000" w:fill="000000"/>
                <w:fitText w:val="55" w:id="-1303140089"/>
                <w14:textFill>
                  <w14:solidFill>
                    <w14:srgbClr w14:val="000000">
                      <w14:alpha w14:val="100000"/>
                    </w14:srgbClr>
                  </w14:solidFill>
                </w14:textFill>
              </w:rPr>
              <w:t xml:space="preserve">　</w:t>
            </w:r>
            <w:r w:rsidR="00C57846" w:rsidRPr="00C57846">
              <w:rPr>
                <w:rFonts w:cs="Arial"/>
                <w:iCs/>
                <w:sz w:val="18"/>
                <w:szCs w:val="18"/>
                <w:vertAlign w:val="superscript"/>
              </w:rPr>
              <w:t>6</w:t>
            </w:r>
          </w:p>
        </w:tc>
        <w:tc>
          <w:tcPr>
            <w:tcW w:w="1086" w:type="dxa"/>
            <w:tcBorders>
              <w:top w:val="single" w:sz="4" w:space="0" w:color="auto"/>
              <w:left w:val="single" w:sz="4" w:space="0" w:color="auto"/>
              <w:bottom w:val="single" w:sz="4" w:space="0" w:color="auto"/>
              <w:right w:val="single" w:sz="4" w:space="0" w:color="auto"/>
            </w:tcBorders>
            <w:hideMark/>
          </w:tcPr>
          <w:p w14:paraId="2650D8C1" w14:textId="5BB027D9" w:rsidR="00ED3DD3" w:rsidRPr="00A01CB0" w:rsidRDefault="0020233B" w:rsidP="00ED3DD3">
            <w:pPr>
              <w:pStyle w:val="Tabletext"/>
              <w:keepNext/>
              <w:keepLines/>
              <w:jc w:val="center"/>
              <w:rPr>
                <w:highlight w:val="yellow"/>
              </w:rPr>
            </w:pPr>
            <w:r w:rsidRPr="0020233B">
              <w:rPr>
                <w:rFonts w:hint="eastAsia"/>
                <w:color w:val="000000"/>
                <w:w w:val="15"/>
                <w:shd w:val="solid" w:color="000000" w:fill="000000"/>
                <w:fitText w:val="55" w:id="-1303140088"/>
                <w14:textFill>
                  <w14:solidFill>
                    <w14:srgbClr w14:val="000000">
                      <w14:alpha w14:val="100000"/>
                    </w14:srgbClr>
                  </w14:solidFill>
                </w14:textFill>
              </w:rPr>
              <w:t xml:space="preserve">　</w:t>
            </w:r>
            <w:r w:rsidRPr="0020233B">
              <w:rPr>
                <w:color w:val="000000"/>
                <w:w w:val="15"/>
                <w:shd w:val="solid" w:color="000000" w:fill="000000"/>
                <w:fitText w:val="55" w:id="-1303140088"/>
                <w14:textFill>
                  <w14:solidFill>
                    <w14:srgbClr w14:val="000000">
                      <w14:alpha w14:val="100000"/>
                    </w14:srgbClr>
                  </w14:solidFill>
                </w14:textFill>
              </w:rPr>
              <w:t>|</w:t>
            </w:r>
            <w:r w:rsidRPr="0020233B">
              <w:rPr>
                <w:rFonts w:hint="eastAsia"/>
                <w:color w:val="000000"/>
                <w:spacing w:val="-10"/>
                <w:w w:val="15"/>
                <w:shd w:val="solid" w:color="000000" w:fill="000000"/>
                <w:fitText w:val="55" w:id="-1303140088"/>
                <w14:textFill>
                  <w14:solidFill>
                    <w14:srgbClr w14:val="000000">
                      <w14:alpha w14:val="100000"/>
                    </w14:srgbClr>
                  </w14:solidFill>
                </w14:textFill>
              </w:rPr>
              <w:t xml:space="preserve">　</w:t>
            </w:r>
            <w:r w:rsidR="00C57846" w:rsidRPr="00C57846">
              <w:rPr>
                <w:rFonts w:cs="Arial"/>
                <w:iCs/>
                <w:sz w:val="18"/>
                <w:szCs w:val="18"/>
                <w:vertAlign w:val="superscript"/>
              </w:rPr>
              <w:t>6</w:t>
            </w:r>
          </w:p>
        </w:tc>
      </w:tr>
    </w:tbl>
    <w:p w14:paraId="65170926" w14:textId="4E4EF766" w:rsidR="00710D51" w:rsidRPr="000A03FD" w:rsidRDefault="00710D51" w:rsidP="00710D51">
      <w:pPr>
        <w:pStyle w:val="TableFooter"/>
        <w:keepNext/>
        <w:keepLines/>
      </w:pPr>
      <w:r w:rsidRPr="000A03FD">
        <w:t xml:space="preserve">Source: Tables 4-5 (p193) of the resubmission and prepared </w:t>
      </w:r>
      <w:r w:rsidR="00713C89" w:rsidRPr="000A03FD">
        <w:t>per PBAC respecified estimates</w:t>
      </w:r>
    </w:p>
    <w:p w14:paraId="451AF7DC" w14:textId="41332D7E" w:rsidR="00710D51" w:rsidRPr="009E6C5A" w:rsidRDefault="00710D51" w:rsidP="00710D51">
      <w:pPr>
        <w:pStyle w:val="TableFooter"/>
        <w:keepNext/>
        <w:keepLines/>
      </w:pPr>
      <w:r w:rsidRPr="000A03FD">
        <w:t xml:space="preserve">a. Patients eligible for surgery were those: </w:t>
      </w:r>
      <w:r w:rsidRPr="009E6C5A">
        <w:t>with BEC ≥300 cells/µL (68.3%); CRSwNP patients requiring surgery (47.0%); CRSwNP patients suitable for surgery (93.0%); CRSwNP patients who will experience NP regrowth post-surgical removal (21.0%); Patients who do not have comorbid severe eosinophilic asthma (89.22%).</w:t>
      </w:r>
    </w:p>
    <w:p w14:paraId="36A398FA" w14:textId="77777777" w:rsidR="00710D51" w:rsidRPr="009E6C5A" w:rsidRDefault="00710D51" w:rsidP="00710D51">
      <w:pPr>
        <w:pStyle w:val="TableFooter"/>
        <w:keepNext/>
        <w:keepLines/>
      </w:pPr>
      <w:r w:rsidRPr="009E6C5A">
        <w:t>Patients ineligible for surgery were those: with BEC ≥300 cells/µL (68.3%); CRSwNP patients requiring surgery (47.0%); CRSwNP patients unsuitable for surgery (7.0%); Patients who do not have comorbid severe eosinophilic asthma (89.22%).</w:t>
      </w:r>
    </w:p>
    <w:p w14:paraId="53D20159" w14:textId="2DF76639" w:rsidR="00710D51" w:rsidRPr="009E6C5A" w:rsidRDefault="00710D51" w:rsidP="00710D51">
      <w:pPr>
        <w:pStyle w:val="TableFooter"/>
        <w:keepNext/>
        <w:keepLines/>
      </w:pPr>
      <w:r w:rsidRPr="009E6C5A">
        <w:t xml:space="preserve">b. </w:t>
      </w:r>
      <w:r w:rsidR="004C4C58" w:rsidRPr="009E6C5A">
        <w:t>S</w:t>
      </w:r>
      <w:r w:rsidRPr="009E6C5A">
        <w:t>um of patients eligible and ineligible for surgery.</w:t>
      </w:r>
    </w:p>
    <w:p w14:paraId="00F74DA3" w14:textId="061FF377" w:rsidR="00581B49" w:rsidRPr="000A03FD" w:rsidRDefault="00710D51" w:rsidP="00710D51">
      <w:pPr>
        <w:pStyle w:val="TableFooter"/>
        <w:keepNext/>
        <w:keepLines/>
      </w:pPr>
      <w:r w:rsidRPr="009E6C5A">
        <w:t xml:space="preserve">c. </w:t>
      </w:r>
      <w:r w:rsidR="00581B49" w:rsidRPr="009E6C5A">
        <w:t>Total electing treatment multiplied by 9.6 scripts (based on an average of 21.5 scripts over 2.24 years</w:t>
      </w:r>
      <w:r w:rsidR="00581B49" w:rsidRPr="000A03FD">
        <w:t>)</w:t>
      </w:r>
    </w:p>
    <w:p w14:paraId="3D404E71" w14:textId="38CAB434" w:rsidR="00A0401C" w:rsidRDefault="00581B49" w:rsidP="000B1FB6">
      <w:pPr>
        <w:pStyle w:val="TableFooter"/>
        <w:keepNext/>
        <w:keepLines/>
      </w:pPr>
      <w:r w:rsidRPr="000A03FD">
        <w:t>Average of 21.5 scripts based on s</w:t>
      </w:r>
      <w:r w:rsidR="004C4C58" w:rsidRPr="000A03FD">
        <w:t>um of scripts in Year 1 (Initial 5.6736 (6 x 0.9456) + Continuing 4.80</w:t>
      </w:r>
      <w:r w:rsidRPr="000A03FD">
        <w:t>55</w:t>
      </w:r>
      <w:r w:rsidR="004C4C58" w:rsidRPr="000A03FD">
        <w:t xml:space="preserve"> (7 x 0.9456 x 0.726)) plus Year 2 (Continuing 8.9246 (13 x 0.9456 x 0.726)) plus Year 3 (Continuing 2.1385 (3.115 x 0.9456 x 0.726))</w:t>
      </w:r>
    </w:p>
    <w:p w14:paraId="5FB03552" w14:textId="77777777" w:rsidR="005A0984" w:rsidRPr="009A6D58" w:rsidRDefault="005A0984" w:rsidP="005A098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5FA720B" w14:textId="0D238D8A" w:rsidR="005A0984" w:rsidRPr="009A6D58" w:rsidRDefault="005A0984" w:rsidP="005A098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100,000 to &lt; 200,000</w:t>
      </w:r>
    </w:p>
    <w:p w14:paraId="73F5CF02" w14:textId="01E84A39" w:rsidR="005A0984" w:rsidRPr="009A6D58" w:rsidRDefault="005A0984" w:rsidP="005A098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5,000 to &lt; 10,000</w:t>
      </w:r>
    </w:p>
    <w:p w14:paraId="381376B7" w14:textId="15260164" w:rsidR="005A0984" w:rsidRDefault="005A0984" w:rsidP="005A098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500 to &lt; 5,000</w:t>
      </w:r>
    </w:p>
    <w:p w14:paraId="5DBE0F0A" w14:textId="6977C50F" w:rsidR="005A0984" w:rsidRDefault="005A0984" w:rsidP="005A098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30,000 to &lt; 40,000</w:t>
      </w:r>
    </w:p>
    <w:p w14:paraId="5F53D430" w14:textId="0EB4E03E" w:rsidR="005A0984" w:rsidRDefault="005A0984" w:rsidP="005A098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40,000 to &lt; 50,000</w:t>
      </w:r>
    </w:p>
    <w:p w14:paraId="2E00224F" w14:textId="781505B8" w:rsidR="005A0984" w:rsidRDefault="005A0984" w:rsidP="005A098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C57846">
        <w:rPr>
          <w:rFonts w:ascii="Arial Narrow" w:hAnsi="Arial Narrow"/>
          <w:i/>
          <w:sz w:val="18"/>
          <w:szCs w:val="18"/>
        </w:rPr>
        <w:t>$10 million to &lt; $20 million</w:t>
      </w:r>
    </w:p>
    <w:p w14:paraId="1A031ED2" w14:textId="14E76B68" w:rsidR="000B1FB6" w:rsidRPr="000A03FD" w:rsidRDefault="005A0984" w:rsidP="00C730B3">
      <w:r>
        <w:rPr>
          <w:rFonts w:ascii="Arial Narrow" w:hAnsi="Arial Narrow"/>
          <w:i/>
          <w:sz w:val="18"/>
          <w:szCs w:val="18"/>
          <w:vertAlign w:val="superscript"/>
        </w:rPr>
        <w:t>7</w:t>
      </w:r>
      <w:r>
        <w:rPr>
          <w:rFonts w:ascii="Arial Narrow" w:hAnsi="Arial Narrow"/>
          <w:i/>
          <w:sz w:val="18"/>
          <w:szCs w:val="18"/>
        </w:rPr>
        <w:t xml:space="preserve"> </w:t>
      </w:r>
      <w:r w:rsidR="00C57846">
        <w:rPr>
          <w:rFonts w:ascii="Arial Narrow" w:hAnsi="Arial Narrow"/>
          <w:i/>
          <w:sz w:val="18"/>
          <w:szCs w:val="18"/>
        </w:rPr>
        <w:t>$0 to &lt; $10 million</w:t>
      </w:r>
    </w:p>
    <w:p w14:paraId="274A4000" w14:textId="0B36EF9C" w:rsidR="00E31961" w:rsidRPr="000A03FD" w:rsidRDefault="00C03EDA" w:rsidP="00D244B6">
      <w:pPr>
        <w:pStyle w:val="3-BodyText"/>
      </w:pPr>
      <w:r w:rsidRPr="000A03FD">
        <w:lastRenderedPageBreak/>
        <w:t xml:space="preserve">The </w:t>
      </w:r>
      <w:r w:rsidR="00581B49" w:rsidRPr="000A03FD">
        <w:t xml:space="preserve">revised </w:t>
      </w:r>
      <w:r w:rsidRPr="000A03FD">
        <w:t>total cost to the PBS/RPBS of listing mepolizumab</w:t>
      </w:r>
      <w:r w:rsidR="00581B49" w:rsidRPr="000A03FD">
        <w:t xml:space="preserve"> </w:t>
      </w:r>
      <w:r w:rsidRPr="000A03FD">
        <w:t xml:space="preserve">was estimated to be </w:t>
      </w:r>
      <w:r w:rsidR="00B912D2" w:rsidRPr="000A03FD">
        <w:t>$</w:t>
      </w:r>
      <w:r w:rsidR="004E5BF4">
        <w:t>10 million to &lt; $20 million</w:t>
      </w:r>
      <w:r w:rsidRPr="000A03FD">
        <w:t xml:space="preserve"> in Year 6, and a total of $</w:t>
      </w:r>
      <w:r w:rsidR="004E5BF4">
        <w:t>90 million to &lt; $100</w:t>
      </w:r>
      <w:r w:rsidRPr="000A03FD">
        <w:t xml:space="preserve"> million in the first 6 years of listing</w:t>
      </w:r>
      <w:r w:rsidR="00CE7192" w:rsidRPr="000A03FD">
        <w:t>.</w:t>
      </w:r>
      <w:r w:rsidR="0035448E" w:rsidRPr="000A03FD">
        <w:t xml:space="preserve"> </w:t>
      </w:r>
    </w:p>
    <w:p w14:paraId="5CD4248C" w14:textId="76E72CC4" w:rsidR="00513AC7" w:rsidRPr="000A03FD" w:rsidRDefault="00E31961" w:rsidP="000F4AB9">
      <w:pPr>
        <w:pStyle w:val="3-BodyText"/>
      </w:pPr>
      <w:bookmarkStart w:id="93" w:name="_Hlk119499668"/>
      <w:r w:rsidRPr="000A03FD">
        <w:t xml:space="preserve">The PBAC considered it was reasonable to accept the </w:t>
      </w:r>
      <w:r w:rsidR="00795B9B">
        <w:t xml:space="preserve">revised </w:t>
      </w:r>
      <w:r w:rsidRPr="000A03FD">
        <w:t xml:space="preserve">financial estimates as the basis of a risk sharing arrangement (RSA). </w:t>
      </w:r>
      <w:bookmarkEnd w:id="93"/>
    </w:p>
    <w:p w14:paraId="2238DEE9" w14:textId="309679DD" w:rsidR="00576972" w:rsidRPr="000A03FD" w:rsidRDefault="00576972" w:rsidP="00606FBA">
      <w:pPr>
        <w:pStyle w:val="4-SubsectionHeading"/>
      </w:pPr>
      <w:bookmarkStart w:id="94" w:name="_Toc22897648"/>
      <w:bookmarkStart w:id="95" w:name="_Toc113982851"/>
      <w:r w:rsidRPr="000A03FD">
        <w:t>Quality Use of Medicines</w:t>
      </w:r>
      <w:bookmarkEnd w:id="94"/>
      <w:bookmarkEnd w:id="95"/>
    </w:p>
    <w:p w14:paraId="35D043FB" w14:textId="63AC6AB2" w:rsidR="00E021D9" w:rsidRPr="000A03FD" w:rsidRDefault="00E021D9" w:rsidP="00606FBA">
      <w:pPr>
        <w:pStyle w:val="3-BodyText"/>
      </w:pPr>
      <w:r w:rsidRPr="000A03FD">
        <w:t>The Sponsor plans to offer an educational program on CRSwNP (meetings and materials), including how to use the pre-filled pen and who is an appropriate candidate for treatment. The Sponsor will provide healthcare professionals with patient-materials (e.g., videos) to support/train patients to self-administer the pre-filled pen. The Sponsor is currently sponsoring a patient support program (via Sonic Healthcare), which includes a program nurse providing training on how to self-administer for patients with severe eosinophilic asthma (TGA and PBS listed).</w:t>
      </w:r>
    </w:p>
    <w:p w14:paraId="6015A395" w14:textId="2EDB6A4E" w:rsidR="00576972" w:rsidRPr="000A03FD" w:rsidRDefault="00576972" w:rsidP="00606FBA">
      <w:pPr>
        <w:pStyle w:val="4-SubsectionHeading"/>
      </w:pPr>
      <w:bookmarkStart w:id="96" w:name="_Toc22897649"/>
      <w:bookmarkStart w:id="97" w:name="_Toc113982852"/>
      <w:r w:rsidRPr="000A03FD">
        <w:t>Financial Management – Risk Sharing Arrangements</w:t>
      </w:r>
      <w:bookmarkEnd w:id="96"/>
      <w:bookmarkEnd w:id="97"/>
    </w:p>
    <w:p w14:paraId="427AF6D4" w14:textId="62021179" w:rsidR="00F15ADF" w:rsidRPr="000A03FD" w:rsidRDefault="00206ED2" w:rsidP="00F15ADF">
      <w:pPr>
        <w:pStyle w:val="3-BodyText"/>
      </w:pPr>
      <w:r w:rsidRPr="000A03FD">
        <w:t>The resubmission did not propose a</w:t>
      </w:r>
      <w:r w:rsidR="00C31D6F" w:rsidRPr="000A03FD">
        <w:t>n RSA</w:t>
      </w:r>
      <w:r w:rsidRPr="000A03FD">
        <w:t xml:space="preserve">. </w:t>
      </w:r>
      <w:r w:rsidR="00E31961" w:rsidRPr="000A03FD">
        <w:t>In November 2021, t</w:t>
      </w:r>
      <w:r w:rsidRPr="000A03FD">
        <w:t xml:space="preserve">he PBAC considered that if patients unsuitable for surgery were to be included in the proposed PBS </w:t>
      </w:r>
      <w:r w:rsidR="003A5D20" w:rsidRPr="000A03FD">
        <w:t>population,</w:t>
      </w:r>
      <w:r w:rsidRPr="000A03FD">
        <w:t xml:space="preserve"> then a</w:t>
      </w:r>
      <w:r w:rsidR="003A5D20">
        <w:t>n</w:t>
      </w:r>
      <w:r w:rsidRPr="000A03FD">
        <w:t xml:space="preserve"> </w:t>
      </w:r>
      <w:r w:rsidR="00FC0D7C" w:rsidRPr="000A03FD">
        <w:t>RSA</w:t>
      </w:r>
      <w:r w:rsidRPr="000A03FD">
        <w:t xml:space="preserve"> would be required to manage uncertainty associated with the uptake in this population (paragraph 7.8, mepolizumab</w:t>
      </w:r>
      <w:r w:rsidR="00571B0C" w:rsidRPr="000A03FD">
        <w:t xml:space="preserve"> </w:t>
      </w:r>
      <w:r w:rsidR="00392A7B">
        <w:t>PSD</w:t>
      </w:r>
      <w:r w:rsidR="00571B0C" w:rsidRPr="000A03FD">
        <w:t>,</w:t>
      </w:r>
      <w:r w:rsidRPr="000A03FD">
        <w:t xml:space="preserve"> November 2021</w:t>
      </w:r>
      <w:r w:rsidR="006E65D0" w:rsidRPr="000A03FD">
        <w:t xml:space="preserve"> PBAC meeting</w:t>
      </w:r>
      <w:r w:rsidRPr="000A03FD">
        <w:t>). The resubmission included patients unsuitable for surgery in the requested population.</w:t>
      </w:r>
      <w:r w:rsidR="00E31961" w:rsidRPr="000A03FD">
        <w:t xml:space="preserve"> </w:t>
      </w:r>
      <w:r w:rsidR="0064680C" w:rsidRPr="000A03FD">
        <w:t>The PSCR considered the potential sources of uncertainty in the eligible population to be those with BEC ≥150</w:t>
      </w:r>
      <w:r w:rsidR="009E6C5A">
        <w:t xml:space="preserve"> </w:t>
      </w:r>
      <w:r w:rsidR="0064680C" w:rsidRPr="000A03FD">
        <w:t>and &lt;</w:t>
      </w:r>
      <w:r w:rsidR="009E6C5A" w:rsidRPr="000A03FD">
        <w:t>300</w:t>
      </w:r>
      <w:r w:rsidR="009E6C5A">
        <w:t> </w:t>
      </w:r>
      <w:r w:rsidR="0064680C" w:rsidRPr="000A03FD">
        <w:t xml:space="preserve">cells/µL, patients re-initiating following a treatment break and patients not eligible for surgery. </w:t>
      </w:r>
      <w:r w:rsidR="00F15ADF" w:rsidRPr="000A03FD">
        <w:t>The PSCR stated the Sponsor is willing to propose annual caps in an RSA equal to the estimated net effective cost to the PBS/RPBS</w:t>
      </w:r>
      <w:r w:rsidR="000A03FD">
        <w:t>.</w:t>
      </w:r>
    </w:p>
    <w:p w14:paraId="19D92325" w14:textId="7D833337" w:rsidR="00776ED6" w:rsidRPr="000A03FD" w:rsidRDefault="00776ED6" w:rsidP="003355F5">
      <w:pPr>
        <w:pStyle w:val="3-BodyText"/>
      </w:pPr>
      <w:r w:rsidRPr="000A03FD">
        <w:t xml:space="preserve">The PSCR further stated that an appropriate rebate for mepolizumab expenditure above these proposed caps would be </w:t>
      </w:r>
      <w:r w:rsidR="0020233B" w:rsidRPr="00685AB3">
        <w:rPr>
          <w:color w:val="000000"/>
          <w:w w:val="15"/>
          <w:shd w:val="solid" w:color="000000" w:fill="000000"/>
          <w:fitText w:val="-20" w:id="-1303140087"/>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087"/>
          <w14:textFill>
            <w14:solidFill>
              <w14:srgbClr w14:val="000000">
                <w14:alpha w14:val="100000"/>
              </w14:srgbClr>
            </w14:solidFill>
          </w14:textFill>
        </w:rPr>
        <w:t>|</w:t>
      </w:r>
      <w:r w:rsidRPr="000A03FD">
        <w:t xml:space="preserve">%. The PSCR derived this value based on the difference between the annual net cost of mepolizumab per patient in the financial </w:t>
      </w:r>
      <w:r w:rsidRPr="00F67823">
        <w:t>estimates ($</w:t>
      </w:r>
      <w:r w:rsidR="0020233B" w:rsidRPr="00685AB3">
        <w:rPr>
          <w:color w:val="000000"/>
          <w:w w:val="15"/>
          <w:shd w:val="solid" w:color="000000" w:fill="000000"/>
          <w:fitText w:val="-20" w:id="-1303140086"/>
          <w14:textFill>
            <w14:solidFill>
              <w14:srgbClr w14:val="000000">
                <w14:alpha w14:val="100000"/>
              </w14:srgbClr>
            </w14:solidFill>
          </w14:textFill>
        </w:rPr>
        <w:t xml:space="preserve">|  </w:t>
      </w:r>
      <w:r w:rsidR="0020233B" w:rsidRPr="00685AB3">
        <w:rPr>
          <w:color w:val="000000"/>
          <w:spacing w:val="-69"/>
          <w:w w:val="15"/>
          <w:shd w:val="solid" w:color="000000" w:fill="000000"/>
          <w:fitText w:val="-20" w:id="-1303140086"/>
          <w14:textFill>
            <w14:solidFill>
              <w14:srgbClr w14:val="000000">
                <w14:alpha w14:val="100000"/>
              </w14:srgbClr>
            </w14:solidFill>
          </w14:textFill>
        </w:rPr>
        <w:t>|</w:t>
      </w:r>
      <w:r w:rsidR="00C03C65" w:rsidRPr="00C03C65">
        <w:t xml:space="preserve"> </w:t>
      </w:r>
      <w:r w:rsidR="00F32A8B" w:rsidRPr="00F67823">
        <w:t>including co-payments and compliance</w:t>
      </w:r>
      <w:r w:rsidRPr="00F67823">
        <w:t xml:space="preserve">) and the average annual cost of nasal polyp surgery avoided in the financial estimates ($2,255.44 – calculated as cost of surgery ($8,543.32) multiplied by the annual risk of surgery before week 52 for SoC patients (26.4%)), as a proportion of the annual net cost of mepolizumab </w:t>
      </w:r>
      <w:r w:rsidRPr="000A03FD">
        <w:t>per patient.</w:t>
      </w:r>
      <w:r w:rsidR="00F32A8B" w:rsidRPr="000A03FD">
        <w:t xml:space="preserve"> The ESC</w:t>
      </w:r>
      <w:r w:rsidR="00BA362B" w:rsidRPr="000A03FD">
        <w:t xml:space="preserve"> disagreed with the assumption made by the </w:t>
      </w:r>
      <w:r w:rsidR="00F32A8B" w:rsidRPr="000A03FD">
        <w:t xml:space="preserve">PSCR </w:t>
      </w:r>
      <w:r w:rsidR="00BA362B" w:rsidRPr="000A03FD">
        <w:t>that</w:t>
      </w:r>
      <w:r w:rsidR="00F32A8B" w:rsidRPr="000A03FD">
        <w:t xml:space="preserve"> any use above the caps would still be cost-effective</w:t>
      </w:r>
      <w:r w:rsidR="00BA362B" w:rsidRPr="000A03FD">
        <w:t xml:space="preserve"> and considered that a 100% rebate would be more appropriate given the potential sources of uncertainties in the financial estimates. </w:t>
      </w:r>
      <w:r w:rsidR="00AB22AF" w:rsidRPr="000A03FD">
        <w:t xml:space="preserve">The PBAC noted the revised financial estimates presented in </w:t>
      </w:r>
      <w:r w:rsidR="00AB22AF" w:rsidRPr="000A03FD">
        <w:fldChar w:fldCharType="begin" w:fldLock="1"/>
      </w:r>
      <w:r w:rsidR="00AB22AF" w:rsidRPr="000A03FD">
        <w:instrText xml:space="preserve"> REF _Ref119429627 \h </w:instrText>
      </w:r>
      <w:r w:rsidR="00D03311" w:rsidRPr="000A03FD">
        <w:instrText xml:space="preserve"> \* MERGEFORMAT </w:instrText>
      </w:r>
      <w:r w:rsidR="00AB22AF" w:rsidRPr="000A03FD">
        <w:fldChar w:fldCharType="separate"/>
      </w:r>
      <w:r w:rsidR="00AB22AF" w:rsidRPr="000A03FD">
        <w:t>Table 19</w:t>
      </w:r>
      <w:r w:rsidR="00AB22AF" w:rsidRPr="000A03FD">
        <w:fldChar w:fldCharType="end"/>
      </w:r>
      <w:r w:rsidR="00F32A8B" w:rsidRPr="000A03FD">
        <w:t xml:space="preserve"> </w:t>
      </w:r>
      <w:r w:rsidR="00D03311" w:rsidRPr="000A03FD">
        <w:t xml:space="preserve">and considered them to be </w:t>
      </w:r>
      <w:r w:rsidR="00647F6E" w:rsidRPr="000A03FD">
        <w:t xml:space="preserve">an </w:t>
      </w:r>
      <w:r w:rsidR="00D03311" w:rsidRPr="000A03FD">
        <w:t xml:space="preserve">appropriate basis of </w:t>
      </w:r>
      <w:proofErr w:type="gramStart"/>
      <w:r w:rsidR="00D03311" w:rsidRPr="000A03FD">
        <w:t>a</w:t>
      </w:r>
      <w:proofErr w:type="gramEnd"/>
      <w:r w:rsidR="00D03311" w:rsidRPr="000A03FD">
        <w:t xml:space="preserve"> RSA. </w:t>
      </w:r>
    </w:p>
    <w:p w14:paraId="0A1BEA72" w14:textId="2F1CD682" w:rsidR="003747D2" w:rsidRPr="000A03FD" w:rsidRDefault="003747D2" w:rsidP="003747D2">
      <w:pPr>
        <w:pStyle w:val="3-BodyText"/>
        <w:numPr>
          <w:ilvl w:val="0"/>
          <w:numId w:val="0"/>
        </w:numPr>
        <w:ind w:left="720"/>
        <w:rPr>
          <w:i/>
        </w:rPr>
      </w:pPr>
      <w:r w:rsidRPr="000A03FD">
        <w:rPr>
          <w:i/>
        </w:rPr>
        <w:t>For more detail on PBAC’s view, see section 7 PBAC outcome</w:t>
      </w:r>
    </w:p>
    <w:p w14:paraId="0CE65C9B" w14:textId="77777777" w:rsidR="0046635A" w:rsidRPr="000A03FD" w:rsidRDefault="0046635A" w:rsidP="0006735E">
      <w:pPr>
        <w:pStyle w:val="2-SectionHeading"/>
      </w:pPr>
      <w:bookmarkStart w:id="98" w:name="_Hlk76381249"/>
      <w:bookmarkStart w:id="99" w:name="_Hlk76377955"/>
      <w:r w:rsidRPr="000A03FD">
        <w:lastRenderedPageBreak/>
        <w:t>PBAC Outcome</w:t>
      </w:r>
    </w:p>
    <w:p w14:paraId="103454F9" w14:textId="2EA50596" w:rsidR="0046635A" w:rsidRPr="000A03FD" w:rsidRDefault="0046635A" w:rsidP="00E85AED">
      <w:pPr>
        <w:widowControl w:val="0"/>
        <w:numPr>
          <w:ilvl w:val="1"/>
          <w:numId w:val="1"/>
        </w:numPr>
        <w:spacing w:after="120"/>
        <w:rPr>
          <w:rFonts w:asciiTheme="minorHAnsi" w:hAnsiTheme="minorHAnsi"/>
          <w:snapToGrid w:val="0"/>
          <w:lang w:eastAsia="en-US"/>
        </w:rPr>
      </w:pPr>
      <w:r w:rsidRPr="000A03FD">
        <w:rPr>
          <w:rFonts w:asciiTheme="minorHAnsi" w:hAnsiTheme="minorHAnsi"/>
          <w:snapToGrid w:val="0"/>
          <w:lang w:eastAsia="en-US"/>
        </w:rPr>
        <w:t xml:space="preserve">The PBAC recommended the </w:t>
      </w:r>
      <w:r w:rsidR="00E85AED" w:rsidRPr="000A03FD">
        <w:rPr>
          <w:rFonts w:asciiTheme="minorHAnsi" w:hAnsiTheme="minorHAnsi"/>
          <w:snapToGrid w:val="0"/>
          <w:lang w:eastAsia="en-US"/>
        </w:rPr>
        <w:t xml:space="preserve">Authority Required </w:t>
      </w:r>
      <w:r w:rsidRPr="000A03FD">
        <w:rPr>
          <w:rFonts w:asciiTheme="minorHAnsi" w:hAnsiTheme="minorHAnsi"/>
          <w:snapToGrid w:val="0"/>
          <w:lang w:eastAsia="en-US"/>
        </w:rPr>
        <w:t xml:space="preserve">listing of </w:t>
      </w:r>
      <w:r w:rsidR="00647F6E" w:rsidRPr="000A03FD">
        <w:rPr>
          <w:rFonts w:asciiTheme="minorHAnsi" w:hAnsiTheme="minorHAnsi"/>
          <w:snapToGrid w:val="0"/>
          <w:lang w:eastAsia="en-US"/>
        </w:rPr>
        <w:t>mepolizumab</w:t>
      </w:r>
      <w:r w:rsidR="00647F6E" w:rsidRPr="000A03FD">
        <w:t xml:space="preserve"> for the treatment of chronic rhinosinusitis with nasal polyps </w:t>
      </w:r>
      <w:r w:rsidR="00FA6944" w:rsidRPr="000A03FD">
        <w:t>(CRSwNP)</w:t>
      </w:r>
      <w:r w:rsidRPr="000A03FD">
        <w:rPr>
          <w:rFonts w:asciiTheme="minorHAnsi" w:hAnsiTheme="minorHAnsi"/>
          <w:snapToGrid w:val="0"/>
          <w:lang w:eastAsia="en-US"/>
        </w:rPr>
        <w:t>, on the basis that it should be available only under special arrangements under Section 100</w:t>
      </w:r>
      <w:r w:rsidR="00E85AED" w:rsidRPr="000A03FD">
        <w:rPr>
          <w:rFonts w:asciiTheme="minorHAnsi" w:hAnsiTheme="minorHAnsi"/>
          <w:snapToGrid w:val="0"/>
          <w:lang w:eastAsia="en-US"/>
        </w:rPr>
        <w:t xml:space="preserve"> (</w:t>
      </w:r>
      <w:r w:rsidR="00E85AED" w:rsidRPr="000A03FD">
        <w:rPr>
          <w:rFonts w:asciiTheme="minorHAnsi" w:hAnsiTheme="minorHAnsi"/>
          <w:snapToGrid w:val="0"/>
        </w:rPr>
        <w:t>Highly Specialised Drugs Program)</w:t>
      </w:r>
      <w:r w:rsidR="000A03FD">
        <w:rPr>
          <w:rFonts w:asciiTheme="minorHAnsi" w:hAnsiTheme="minorHAnsi"/>
          <w:snapToGrid w:val="0"/>
          <w:lang w:eastAsia="en-US"/>
        </w:rPr>
        <w:t xml:space="preserve">. </w:t>
      </w:r>
      <w:r w:rsidR="00F26454" w:rsidRPr="000A03FD">
        <w:rPr>
          <w:rFonts w:asciiTheme="minorHAnsi" w:hAnsiTheme="minorHAnsi"/>
          <w:snapToGrid w:val="0"/>
          <w:lang w:eastAsia="en-US"/>
        </w:rPr>
        <w:t>The PBAC considered that the</w:t>
      </w:r>
      <w:r w:rsidR="00F26454" w:rsidRPr="000A03FD">
        <w:t xml:space="preserve"> blood eosinophil count (BEC) threshold for access to mepolizumab should be </w:t>
      </w:r>
      <w:r w:rsidR="00F26454" w:rsidRPr="000A03FD">
        <w:rPr>
          <w:rFonts w:cs="Calibri"/>
        </w:rPr>
        <w:t>≥</w:t>
      </w:r>
      <w:r w:rsidR="00F26454" w:rsidRPr="000A03FD">
        <w:t>300</w:t>
      </w:r>
      <w:r w:rsidR="00A732B5">
        <w:t> </w:t>
      </w:r>
      <w:r w:rsidR="00F26454" w:rsidRPr="000A03FD">
        <w:t>cells/µL</w:t>
      </w:r>
      <w:r w:rsidR="00F26454" w:rsidRPr="000A03FD">
        <w:rPr>
          <w:rFonts w:asciiTheme="minorHAnsi" w:hAnsiTheme="minorHAnsi"/>
          <w:snapToGrid w:val="0"/>
          <w:lang w:eastAsia="en-US"/>
        </w:rPr>
        <w:t xml:space="preserve">. </w:t>
      </w:r>
      <w:r w:rsidRPr="000A03FD">
        <w:rPr>
          <w:rFonts w:asciiTheme="minorHAnsi" w:hAnsiTheme="minorHAnsi"/>
          <w:snapToGrid w:val="0"/>
          <w:lang w:eastAsia="en-US"/>
        </w:rPr>
        <w:t xml:space="preserve">The PBAC is satisfied that </w:t>
      </w:r>
      <w:r w:rsidR="00647F6E" w:rsidRPr="000A03FD">
        <w:rPr>
          <w:rFonts w:asciiTheme="minorHAnsi" w:hAnsiTheme="minorHAnsi"/>
          <w:snapToGrid w:val="0"/>
          <w:lang w:eastAsia="en-US"/>
        </w:rPr>
        <w:t>mepolizumab</w:t>
      </w:r>
      <w:r w:rsidRPr="000A03FD">
        <w:rPr>
          <w:rFonts w:asciiTheme="minorHAnsi" w:hAnsiTheme="minorHAnsi"/>
          <w:snapToGrid w:val="0"/>
          <w:lang w:eastAsia="en-US"/>
        </w:rPr>
        <w:t xml:space="preserve"> provides, for some patients, a significant improvement in efficacy over </w:t>
      </w:r>
      <w:r w:rsidR="00E85AED" w:rsidRPr="000A03FD">
        <w:t>standard of care (SoC)</w:t>
      </w:r>
      <w:r w:rsidRPr="000A03FD">
        <w:rPr>
          <w:rFonts w:asciiTheme="minorHAnsi" w:hAnsiTheme="minorHAnsi"/>
          <w:snapToGrid w:val="0"/>
          <w:lang w:eastAsia="en-US"/>
        </w:rPr>
        <w:t xml:space="preserve">. </w:t>
      </w:r>
      <w:r w:rsidR="00FA6944" w:rsidRPr="000A03FD">
        <w:rPr>
          <w:rFonts w:asciiTheme="minorHAnsi" w:hAnsiTheme="minorHAnsi"/>
          <w:snapToGrid w:val="0"/>
          <w:lang w:eastAsia="en-US"/>
        </w:rPr>
        <w:t xml:space="preserve">The PBAC considered that </w:t>
      </w:r>
      <w:r w:rsidR="00F93595" w:rsidRPr="000A03FD">
        <w:rPr>
          <w:rFonts w:asciiTheme="minorHAnsi" w:hAnsiTheme="minorHAnsi"/>
          <w:snapToGrid w:val="0"/>
          <w:lang w:eastAsia="en-US"/>
        </w:rPr>
        <w:t xml:space="preserve">due to the limitations of the treatment options currently available </w:t>
      </w:r>
      <w:r w:rsidR="00FA6944" w:rsidRPr="000A03FD">
        <w:rPr>
          <w:rFonts w:asciiTheme="minorHAnsi" w:hAnsiTheme="minorHAnsi"/>
          <w:snapToGrid w:val="0"/>
          <w:lang w:eastAsia="en-US"/>
        </w:rPr>
        <w:t xml:space="preserve">the addition of mepolizumab offered high added therapeutic value. </w:t>
      </w:r>
    </w:p>
    <w:p w14:paraId="21DF5107" w14:textId="43C4CFBB" w:rsidR="00647F6E" w:rsidRPr="000A03FD" w:rsidRDefault="00647F6E" w:rsidP="00FA6944">
      <w:pPr>
        <w:widowControl w:val="0"/>
        <w:numPr>
          <w:ilvl w:val="1"/>
          <w:numId w:val="1"/>
        </w:numPr>
        <w:spacing w:after="120"/>
        <w:rPr>
          <w:rFonts w:asciiTheme="minorHAnsi" w:hAnsiTheme="minorHAnsi"/>
          <w:snapToGrid w:val="0"/>
          <w:lang w:eastAsia="en-US"/>
        </w:rPr>
      </w:pPr>
      <w:r w:rsidRPr="000A03FD">
        <w:rPr>
          <w:rFonts w:asciiTheme="minorHAnsi" w:hAnsiTheme="minorHAnsi"/>
          <w:snapToGrid w:val="0"/>
          <w:lang w:eastAsia="en-US"/>
        </w:rPr>
        <w:t xml:space="preserve">The PBAC’s recommendation for listing was based on, among other matters, its assessment, that the cost-effectiveness of </w:t>
      </w:r>
      <w:r w:rsidR="00E85AED" w:rsidRPr="000A03FD">
        <w:rPr>
          <w:rFonts w:asciiTheme="minorHAnsi" w:hAnsiTheme="minorHAnsi"/>
          <w:snapToGrid w:val="0"/>
          <w:lang w:eastAsia="en-US"/>
        </w:rPr>
        <w:t>mepolizumab</w:t>
      </w:r>
      <w:r w:rsidRPr="000A03FD">
        <w:rPr>
          <w:rFonts w:asciiTheme="minorHAnsi" w:hAnsiTheme="minorHAnsi"/>
          <w:snapToGrid w:val="0"/>
          <w:lang w:eastAsia="en-US"/>
        </w:rPr>
        <w:t xml:space="preserve"> would be acceptable at the price proposed in the </w:t>
      </w:r>
      <w:r w:rsidR="00E61DF0" w:rsidRPr="000A03FD">
        <w:rPr>
          <w:rFonts w:asciiTheme="minorHAnsi" w:hAnsiTheme="minorHAnsi"/>
          <w:snapToGrid w:val="0"/>
          <w:lang w:eastAsia="en-US"/>
        </w:rPr>
        <w:t>pre-PBAC response</w:t>
      </w:r>
      <w:r w:rsidR="00E85AED" w:rsidRPr="000A03FD">
        <w:rPr>
          <w:rFonts w:asciiTheme="minorHAnsi" w:hAnsiTheme="minorHAnsi"/>
          <w:snapToGrid w:val="0"/>
          <w:lang w:eastAsia="en-US"/>
        </w:rPr>
        <w:t xml:space="preserve">, and </w:t>
      </w:r>
      <w:r w:rsidR="00FA6944" w:rsidRPr="000A03FD">
        <w:rPr>
          <w:rFonts w:asciiTheme="minorHAnsi" w:hAnsiTheme="minorHAnsi"/>
          <w:snapToGrid w:val="0"/>
          <w:lang w:eastAsia="en-US"/>
        </w:rPr>
        <w:t xml:space="preserve">with a risk sharing arrangement (RSA) to address the uncertainty associated with including patients unsuitable for surgery in the proposed PBS population. </w:t>
      </w:r>
    </w:p>
    <w:p w14:paraId="21F90659" w14:textId="316256DC" w:rsidR="00F93595" w:rsidRPr="000A03FD" w:rsidRDefault="00F93595" w:rsidP="00F93595">
      <w:pPr>
        <w:pStyle w:val="3-BodyText"/>
        <w:widowControl w:val="0"/>
        <w:rPr>
          <w:lang w:eastAsia="en-US"/>
        </w:rPr>
      </w:pPr>
      <w:r w:rsidRPr="000A03FD">
        <w:t>The PBAC noted the input from individuals, health care professionals and organisations that described the limitations of the treatment options currently available for CRSwNP along with the positive effects of mepolizumab on disease severity and Quality of Life (QoL).</w:t>
      </w:r>
      <w:r w:rsidR="005E431E" w:rsidRPr="000A03FD">
        <w:t xml:space="preserve"> The PBAC also noted the advice from ESC regarding the long wait times for nasal polyp (NP) surgery.</w:t>
      </w:r>
      <w:r w:rsidRPr="000A03FD">
        <w:t xml:space="preserve"> The PBAC considered there was a</w:t>
      </w:r>
      <w:r w:rsidR="00B20BF8" w:rsidRPr="000A03FD">
        <w:t xml:space="preserve"> high </w:t>
      </w:r>
      <w:r w:rsidRPr="000A03FD">
        <w:t>clinical need for effective treatment</w:t>
      </w:r>
      <w:r w:rsidR="00B20BF8" w:rsidRPr="000A03FD">
        <w:t xml:space="preserve">s for CRSwNP. </w:t>
      </w:r>
    </w:p>
    <w:p w14:paraId="18C8112B" w14:textId="77777777" w:rsidR="005676F0" w:rsidRPr="000A03FD" w:rsidRDefault="005676F0" w:rsidP="005676F0">
      <w:pPr>
        <w:widowControl w:val="0"/>
        <w:numPr>
          <w:ilvl w:val="1"/>
          <w:numId w:val="1"/>
        </w:numPr>
        <w:spacing w:after="120"/>
        <w:jc w:val="left"/>
        <w:rPr>
          <w:rFonts w:ascii="Times New Roman" w:hAnsi="Times New Roman" w:cs="Times New Roman"/>
          <w:lang w:eastAsia="en-US"/>
        </w:rPr>
      </w:pPr>
      <w:r w:rsidRPr="000A03FD">
        <w:rPr>
          <w:rFonts w:asciiTheme="minorHAnsi" w:hAnsiTheme="minorHAnsi"/>
          <w:snapToGrid w:val="0"/>
          <w:lang w:eastAsia="en-US"/>
        </w:rPr>
        <w:t>With regard to the requested listing and restriction, the PBAC advised that:</w:t>
      </w:r>
    </w:p>
    <w:p w14:paraId="4E475B63" w14:textId="77777777" w:rsidR="005676F0" w:rsidRPr="000A03FD" w:rsidRDefault="005676F0" w:rsidP="000B1FB6">
      <w:pPr>
        <w:pStyle w:val="3-BodyText"/>
        <w:numPr>
          <w:ilvl w:val="0"/>
          <w:numId w:val="15"/>
        </w:numPr>
        <w:spacing w:after="40"/>
        <w:ind w:left="1077" w:hanging="357"/>
        <w:rPr>
          <w:rFonts w:ascii="Times New Roman" w:hAnsi="Times New Roman" w:cs="Times New Roman"/>
          <w:lang w:eastAsia="en-US"/>
        </w:rPr>
      </w:pPr>
      <w:r w:rsidRPr="000A03FD">
        <w:rPr>
          <w:lang w:eastAsia="en-US"/>
        </w:rPr>
        <w:t xml:space="preserve">A </w:t>
      </w:r>
      <w:r w:rsidRPr="000A03FD">
        <w:rPr>
          <w:rFonts w:ascii="Calibri" w:hAnsi="Calibri"/>
          <w:bCs/>
        </w:rPr>
        <w:t>Section 100 Highly Specialised Drugs Program listing is appropriate, noting that this was consistent with the current restriction for mepolizumab for uncontrolled severe asthma.</w:t>
      </w:r>
    </w:p>
    <w:p w14:paraId="2289CAB8" w14:textId="0BD4172D" w:rsidR="005676F0" w:rsidRPr="000A03FD" w:rsidRDefault="005676F0" w:rsidP="000B1FB6">
      <w:pPr>
        <w:pStyle w:val="3-BodyText"/>
        <w:numPr>
          <w:ilvl w:val="0"/>
          <w:numId w:val="15"/>
        </w:numPr>
        <w:spacing w:after="40"/>
        <w:ind w:left="1077" w:hanging="357"/>
        <w:rPr>
          <w:rFonts w:ascii="Times New Roman" w:hAnsi="Times New Roman" w:cs="Times New Roman"/>
          <w:lang w:eastAsia="en-US"/>
        </w:rPr>
      </w:pPr>
      <w:r w:rsidRPr="000A03FD">
        <w:t>Reference to patients with a baseline BEC ≥150 but &lt;300</w:t>
      </w:r>
      <w:r w:rsidR="00A732B5">
        <w:t> </w:t>
      </w:r>
      <w:r w:rsidRPr="000A03FD">
        <w:t>cells/</w:t>
      </w:r>
      <w:r w:rsidRPr="000A03FD">
        <w:rPr>
          <w:rFonts w:cstheme="minorHAnsi"/>
        </w:rPr>
        <w:t>µ</w:t>
      </w:r>
      <w:r w:rsidRPr="000A03FD">
        <w:t>L while receiving treatment with oral corticosteroid (OCS) in the past 12 months be removed from the restriction. The PBAC considered there was no clinical, economic or financial evidence presented in the resubmission to inform this sub-group of patients. The PBAC acknowledged the sensitivity of BEC to OCS as raised by ESC but considered the inclusion of such a criterion could lead to inappropriate use of OCS to meet the restriction criteria.</w:t>
      </w:r>
    </w:p>
    <w:p w14:paraId="1B32C1F3" w14:textId="6FC71A0B" w:rsidR="005676F0" w:rsidRPr="000A03FD" w:rsidRDefault="005676F0" w:rsidP="000B1FB6">
      <w:pPr>
        <w:pStyle w:val="3-BodyText"/>
        <w:numPr>
          <w:ilvl w:val="0"/>
          <w:numId w:val="15"/>
        </w:numPr>
        <w:spacing w:after="40"/>
        <w:ind w:left="1077" w:hanging="357"/>
        <w:rPr>
          <w:rFonts w:ascii="Calibri" w:hAnsi="Calibri"/>
          <w:bCs/>
          <w:i/>
          <w:iCs/>
        </w:rPr>
      </w:pPr>
      <w:r w:rsidRPr="000A03FD">
        <w:t>It was reasonable to include overall VAS in the continuing treatment restriction as one of the options for demonstrating an adequate response to therapy (</w:t>
      </w:r>
      <w:r w:rsidRPr="000A03FD">
        <w:rPr>
          <w:rFonts w:ascii="Calibri" w:hAnsi="Calibri"/>
          <w:bCs/>
        </w:rPr>
        <w:t>≥2.5 points improvement from baseline)</w:t>
      </w:r>
      <w:r w:rsidRPr="000A03FD">
        <w:t xml:space="preserve">. </w:t>
      </w:r>
    </w:p>
    <w:p w14:paraId="0547373C" w14:textId="7FF7EEEC" w:rsidR="005676F0" w:rsidRPr="000A03FD" w:rsidRDefault="005676F0" w:rsidP="000B1FB6">
      <w:pPr>
        <w:pStyle w:val="3-BodyText"/>
        <w:numPr>
          <w:ilvl w:val="0"/>
          <w:numId w:val="15"/>
        </w:numPr>
        <w:spacing w:after="40"/>
        <w:ind w:left="1077" w:hanging="357"/>
        <w:rPr>
          <w:rFonts w:ascii="Calibri" w:hAnsi="Calibri"/>
          <w:bCs/>
          <w:i/>
          <w:iCs/>
        </w:rPr>
      </w:pPr>
      <w:r w:rsidRPr="000A03FD">
        <w:t xml:space="preserve">The PBAC agreed with the ESC that there may be situations where patients responding to mepolizumab still require surgery and hence the requirement for patients to discontinue mepolizumab treatment after undergoing NP surgery should be removed from the restriction (see paragraph </w:t>
      </w:r>
      <w:r w:rsidRPr="000A03FD">
        <w:fldChar w:fldCharType="begin" w:fldLock="1"/>
      </w:r>
      <w:r w:rsidRPr="000A03FD">
        <w:instrText xml:space="preserve"> REF _Ref117072253 \r \h </w:instrText>
      </w:r>
      <w:r w:rsidRPr="000A03FD">
        <w:fldChar w:fldCharType="separate"/>
      </w:r>
      <w:r w:rsidR="009849D7">
        <w:t>3.6</w:t>
      </w:r>
      <w:r w:rsidRPr="000A03FD">
        <w:fldChar w:fldCharType="end"/>
      </w:r>
      <w:r w:rsidRPr="000A03FD">
        <w:t>).</w:t>
      </w:r>
    </w:p>
    <w:p w14:paraId="181EB5DE" w14:textId="19F2BB27" w:rsidR="005676F0" w:rsidRPr="000A03FD" w:rsidRDefault="005676F0" w:rsidP="000B1FB6">
      <w:pPr>
        <w:pStyle w:val="3-BodyText"/>
        <w:numPr>
          <w:ilvl w:val="0"/>
          <w:numId w:val="15"/>
        </w:numPr>
        <w:spacing w:after="40"/>
        <w:ind w:left="1077" w:hanging="357"/>
        <w:rPr>
          <w:rFonts w:ascii="Calibri" w:hAnsi="Calibri"/>
          <w:bCs/>
          <w:i/>
          <w:iCs/>
        </w:rPr>
      </w:pPr>
      <w:r w:rsidRPr="000A03FD">
        <w:lastRenderedPageBreak/>
        <w:t xml:space="preserve">The PBAC noted the ESC suggestion to include reference to the need to have ‘have </w:t>
      </w:r>
      <w:r w:rsidR="003A5D20" w:rsidRPr="000A03FD">
        <w:t>failed or</w:t>
      </w:r>
      <w:r w:rsidRPr="000A03FD">
        <w:t xml:space="preserve"> ceased to respond to’ </w:t>
      </w:r>
      <w:r w:rsidR="005115A9">
        <w:t xml:space="preserve">with </w:t>
      </w:r>
      <w:r w:rsidRPr="000A03FD">
        <w:t xml:space="preserve">respect to the </w:t>
      </w:r>
      <w:r w:rsidR="005115A9">
        <w:t xml:space="preserve">12 month </w:t>
      </w:r>
      <w:r w:rsidRPr="000A03FD">
        <w:t xml:space="preserve">treatment break in the initial treatment criteria (see paragraph </w:t>
      </w:r>
      <w:r w:rsidRPr="000A03FD">
        <w:fldChar w:fldCharType="begin" w:fldLock="1"/>
      </w:r>
      <w:r w:rsidRPr="000A03FD">
        <w:instrText xml:space="preserve"> REF _Ref116047246 \r \h </w:instrText>
      </w:r>
      <w:r w:rsidRPr="000A03FD">
        <w:fldChar w:fldCharType="separate"/>
      </w:r>
      <w:r w:rsidR="009849D7">
        <w:t>3.7</w:t>
      </w:r>
      <w:r w:rsidRPr="000A03FD">
        <w:fldChar w:fldCharType="end"/>
      </w:r>
      <w:r w:rsidRPr="000A03FD">
        <w:t xml:space="preserve">). </w:t>
      </w:r>
      <w:r w:rsidR="00254FFE">
        <w:t>The PBAC noted this would mean the criteria would be ‘Patient must have had a 12 month break in PBS subsidised therapy after having failed or ceased to respond to treatment with a biological medicine for this condition’. T</w:t>
      </w:r>
      <w:r w:rsidRPr="000A03FD">
        <w:t xml:space="preserve">he PBAC was concerned that, for this condition, such wording may </w:t>
      </w:r>
      <w:r w:rsidR="00254FFE">
        <w:t xml:space="preserve">reduce adherence to the 12 month treatment break </w:t>
      </w:r>
      <w:r w:rsidRPr="000A03FD">
        <w:t xml:space="preserve">and hence </w:t>
      </w:r>
      <w:r w:rsidR="00FC0D7C" w:rsidRPr="000A03FD">
        <w:t xml:space="preserve">advised </w:t>
      </w:r>
      <w:r w:rsidRPr="000A03FD">
        <w:t xml:space="preserve">it should not be included in the restriction. </w:t>
      </w:r>
    </w:p>
    <w:p w14:paraId="74886FD6" w14:textId="77777777" w:rsidR="005676F0" w:rsidRPr="000A03FD" w:rsidRDefault="005676F0" w:rsidP="000B1FB6">
      <w:pPr>
        <w:pStyle w:val="3-BodyText"/>
        <w:numPr>
          <w:ilvl w:val="0"/>
          <w:numId w:val="15"/>
        </w:numPr>
        <w:spacing w:after="40"/>
        <w:ind w:left="1077" w:hanging="357"/>
      </w:pPr>
      <w:r w:rsidRPr="000A03FD">
        <w:t>The clinical criteria that the ‘patient must be under the care of the same physician for at least 6 months; OR must have been diagnosed with CRSwNP by a multidisciplinary team (MDT)’ was not required given the proposed restriction also required patients to have a diagnosis of CRSwNP by nasal endoscopy or CT scan or from at least two physicians and/or ENT surgeons experienced in the management of CRSwNP.</w:t>
      </w:r>
    </w:p>
    <w:p w14:paraId="7D05592D" w14:textId="77777777" w:rsidR="009B6037" w:rsidRPr="000A03FD" w:rsidRDefault="005676F0" w:rsidP="000B1FB6">
      <w:pPr>
        <w:pStyle w:val="3-BodyText"/>
        <w:numPr>
          <w:ilvl w:val="0"/>
          <w:numId w:val="15"/>
        </w:numPr>
        <w:spacing w:after="40"/>
        <w:ind w:left="1077" w:hanging="357"/>
      </w:pPr>
      <w:r w:rsidRPr="000A03FD">
        <w:t xml:space="preserve">A grandfathering restriction is appropriate. </w:t>
      </w:r>
    </w:p>
    <w:p w14:paraId="7D0DE2F0" w14:textId="11E443AF" w:rsidR="005676F0" w:rsidRPr="000A03FD" w:rsidRDefault="005676F0" w:rsidP="000B1FB6">
      <w:pPr>
        <w:pStyle w:val="3-BodyText"/>
        <w:numPr>
          <w:ilvl w:val="0"/>
          <w:numId w:val="15"/>
        </w:numPr>
        <w:ind w:left="1077" w:hanging="357"/>
      </w:pPr>
      <w:r w:rsidRPr="000A03FD">
        <w:rPr>
          <w:rFonts w:ascii="Calibri" w:hAnsi="Calibri"/>
          <w:bCs/>
        </w:rPr>
        <w:t>A Written/Electronic - full assessment via the Online PBS Authorities (OPA) system is appropriate.</w:t>
      </w:r>
    </w:p>
    <w:p w14:paraId="6C9CD486" w14:textId="394B49CF" w:rsidR="00647F6E" w:rsidRPr="000A03FD" w:rsidRDefault="00444AEA" w:rsidP="00444AEA">
      <w:pPr>
        <w:widowControl w:val="0"/>
        <w:numPr>
          <w:ilvl w:val="1"/>
          <w:numId w:val="1"/>
        </w:numPr>
        <w:spacing w:after="120"/>
        <w:rPr>
          <w:rFonts w:asciiTheme="minorHAnsi" w:hAnsiTheme="minorHAnsi"/>
          <w:snapToGrid w:val="0"/>
          <w:lang w:eastAsia="en-US"/>
        </w:rPr>
      </w:pPr>
      <w:r w:rsidRPr="000A03FD">
        <w:t xml:space="preserve">The PBAC reaffirmed its November 2021 advice that the nominated comparator of SoC was appropriate (7.3, mepolizumab </w:t>
      </w:r>
      <w:r w:rsidR="00392A7B">
        <w:t>PSD</w:t>
      </w:r>
      <w:r w:rsidRPr="000A03FD">
        <w:t xml:space="preserve">, November 2021 PBAC meeting). </w:t>
      </w:r>
    </w:p>
    <w:p w14:paraId="38462C9C" w14:textId="24878657" w:rsidR="00444AEA" w:rsidRPr="000A03FD" w:rsidRDefault="00A62D28" w:rsidP="00444AEA">
      <w:pPr>
        <w:widowControl w:val="0"/>
        <w:numPr>
          <w:ilvl w:val="1"/>
          <w:numId w:val="1"/>
        </w:numPr>
        <w:spacing w:after="120"/>
        <w:rPr>
          <w:rFonts w:asciiTheme="minorHAnsi" w:hAnsiTheme="minorHAnsi"/>
          <w:snapToGrid w:val="0"/>
          <w:lang w:eastAsia="en-US"/>
        </w:rPr>
      </w:pPr>
      <w:r w:rsidRPr="000A03FD">
        <w:t>The</w:t>
      </w:r>
      <w:r w:rsidR="00444AEA" w:rsidRPr="000A03FD">
        <w:t xml:space="preserve"> resubmission was </w:t>
      </w:r>
      <w:r w:rsidR="00444AEA" w:rsidRPr="000A03FD">
        <w:rPr>
          <w:rFonts w:cs="Calibri"/>
        </w:rPr>
        <w:t xml:space="preserve">based on </w:t>
      </w:r>
      <w:r w:rsidRPr="000A03FD">
        <w:rPr>
          <w:rFonts w:cs="Calibri"/>
        </w:rPr>
        <w:t>the</w:t>
      </w:r>
      <w:r w:rsidR="00444AEA" w:rsidRPr="000A03FD">
        <w:rPr>
          <w:rFonts w:cs="Calibri"/>
        </w:rPr>
        <w:t xml:space="preserve"> SYNAPSE </w:t>
      </w:r>
      <w:r w:rsidR="00F26454" w:rsidRPr="000A03FD">
        <w:rPr>
          <w:rFonts w:cs="Calibri"/>
        </w:rPr>
        <w:t xml:space="preserve">trial (N=407) </w:t>
      </w:r>
      <w:r w:rsidR="00444AEA" w:rsidRPr="000A03FD">
        <w:rPr>
          <w:rFonts w:cs="Calibri"/>
        </w:rPr>
        <w:t>comparing mepolizumab to placebo</w:t>
      </w:r>
      <w:r w:rsidR="00F26454" w:rsidRPr="000A03FD">
        <w:rPr>
          <w:rFonts w:cs="Calibri"/>
        </w:rPr>
        <w:t xml:space="preserve"> in patients with </w:t>
      </w:r>
      <w:r w:rsidR="00444AEA" w:rsidRPr="000A03FD">
        <w:rPr>
          <w:rFonts w:cs="Calibri"/>
        </w:rPr>
        <w:t xml:space="preserve">CRSwNP patients with uncontrolled symptoms after at least one NP surgery and treatment with </w:t>
      </w:r>
      <w:r w:rsidR="00F26454" w:rsidRPr="000A03FD">
        <w:rPr>
          <w:rFonts w:cs="Calibri"/>
        </w:rPr>
        <w:t>intranasal corticosteroids (</w:t>
      </w:r>
      <w:r w:rsidR="00444AEA" w:rsidRPr="000A03FD">
        <w:rPr>
          <w:rFonts w:cs="Calibri"/>
        </w:rPr>
        <w:t>INCS</w:t>
      </w:r>
      <w:r w:rsidR="00F26454" w:rsidRPr="000A03FD">
        <w:rPr>
          <w:rFonts w:cs="Calibri"/>
        </w:rPr>
        <w:t>)</w:t>
      </w:r>
      <w:r w:rsidRPr="000A03FD">
        <w:rPr>
          <w:rFonts w:cs="Calibri"/>
        </w:rPr>
        <w:t xml:space="preserve">, with the clinical </w:t>
      </w:r>
      <w:r w:rsidR="00444AEA" w:rsidRPr="000A03FD">
        <w:rPr>
          <w:rFonts w:cs="Calibri"/>
        </w:rPr>
        <w:t xml:space="preserve">claim based on the SYNAPSE BEC </w:t>
      </w:r>
      <w:r w:rsidR="00444AEA" w:rsidRPr="000A03FD">
        <w:rPr>
          <w:rFonts w:cstheme="minorHAnsi"/>
        </w:rPr>
        <w:t>≥300</w:t>
      </w:r>
      <w:r w:rsidR="00A732B5">
        <w:rPr>
          <w:rFonts w:cstheme="minorHAnsi"/>
        </w:rPr>
        <w:t> </w:t>
      </w:r>
      <w:r w:rsidR="00444AEA" w:rsidRPr="000A03FD">
        <w:rPr>
          <w:rFonts w:cs="Calibri"/>
        </w:rPr>
        <w:t>cells/</w:t>
      </w:r>
      <w:r w:rsidR="00444AEA" w:rsidRPr="000A03FD">
        <w:rPr>
          <w:rFonts w:cstheme="minorHAnsi"/>
        </w:rPr>
        <w:t>µL sub-group.</w:t>
      </w:r>
      <w:r w:rsidR="00F26454" w:rsidRPr="000A03FD">
        <w:rPr>
          <w:rFonts w:cstheme="minorHAnsi"/>
        </w:rPr>
        <w:t xml:space="preserve"> </w:t>
      </w:r>
      <w:r w:rsidRPr="000A03FD">
        <w:rPr>
          <w:rFonts w:cstheme="minorHAnsi"/>
        </w:rPr>
        <w:t xml:space="preserve">The PBAC reaffirmed its November 2021 advice that </w:t>
      </w:r>
      <w:r w:rsidR="00F26454" w:rsidRPr="000A03FD">
        <w:t xml:space="preserve">the </w:t>
      </w:r>
      <w:r w:rsidRPr="000A03FD">
        <w:t xml:space="preserve">Committee </w:t>
      </w:r>
      <w:r w:rsidR="00F26454" w:rsidRPr="000A03FD">
        <w:t xml:space="preserve">accepted the claim of clinical superiority of mepolizumab in the BEC </w:t>
      </w:r>
      <w:r w:rsidR="00F26454" w:rsidRPr="000A03FD">
        <w:rPr>
          <w:rFonts w:cs="Calibri"/>
        </w:rPr>
        <w:t>≥</w:t>
      </w:r>
      <w:r w:rsidR="00F26454" w:rsidRPr="000A03FD">
        <w:t xml:space="preserve">300 subgroup based on SYNAPSE trial </w:t>
      </w:r>
      <w:r w:rsidRPr="000A03FD">
        <w:t xml:space="preserve">evidence </w:t>
      </w:r>
      <w:r w:rsidR="00F26454" w:rsidRPr="000A03FD">
        <w:t xml:space="preserve">(paragraph 7.5, mepolizumab </w:t>
      </w:r>
      <w:r w:rsidR="00392A7B">
        <w:t>PSD</w:t>
      </w:r>
      <w:r w:rsidR="00F26454" w:rsidRPr="000A03FD">
        <w:t>, November 2021 PBAC meeting).</w:t>
      </w:r>
      <w:r w:rsidRPr="000A03FD">
        <w:t xml:space="preserve"> </w:t>
      </w:r>
    </w:p>
    <w:p w14:paraId="5FD6348A" w14:textId="2018C661" w:rsidR="00A62D28" w:rsidRPr="000A03FD" w:rsidRDefault="00A62D28" w:rsidP="00A62D28">
      <w:pPr>
        <w:pStyle w:val="3-BodyText"/>
        <w:rPr>
          <w:rFonts w:eastAsia="Calibri"/>
        </w:rPr>
      </w:pPr>
      <w:r w:rsidRPr="000A03FD">
        <w:rPr>
          <w:rFonts w:eastAsia="Calibri"/>
        </w:rPr>
        <w:t xml:space="preserve">The PBAC reaffirmed its November 2021 advice that the claim of non-inferior safety was reasonable (paragraph 7.6, mepolizumab </w:t>
      </w:r>
      <w:r w:rsidR="00392A7B">
        <w:rPr>
          <w:rFonts w:eastAsia="Calibri"/>
        </w:rPr>
        <w:t>PSD</w:t>
      </w:r>
      <w:r w:rsidRPr="000A03FD">
        <w:rPr>
          <w:rFonts w:eastAsia="Calibri"/>
        </w:rPr>
        <w:t xml:space="preserve">, </w:t>
      </w:r>
      <w:r w:rsidR="00A97FF0" w:rsidRPr="000A03FD">
        <w:rPr>
          <w:rFonts w:eastAsia="Calibri"/>
        </w:rPr>
        <w:t>November </w:t>
      </w:r>
      <w:r w:rsidRPr="000A03FD">
        <w:rPr>
          <w:rFonts w:eastAsia="Calibri"/>
        </w:rPr>
        <w:t xml:space="preserve">2021 </w:t>
      </w:r>
      <w:r w:rsidRPr="000A03FD">
        <w:t>PBAC meeting</w:t>
      </w:r>
      <w:r w:rsidRPr="000A03FD">
        <w:rPr>
          <w:rFonts w:eastAsia="Calibri"/>
        </w:rPr>
        <w:t>).</w:t>
      </w:r>
    </w:p>
    <w:p w14:paraId="3BCA1734" w14:textId="1FE7F982" w:rsidR="000634C3" w:rsidRPr="000A03FD" w:rsidRDefault="00237904" w:rsidP="00751369">
      <w:pPr>
        <w:widowControl w:val="0"/>
        <w:numPr>
          <w:ilvl w:val="1"/>
          <w:numId w:val="1"/>
        </w:numPr>
        <w:spacing w:after="120"/>
      </w:pPr>
      <w:r w:rsidRPr="000A03FD">
        <w:rPr>
          <w:rFonts w:asciiTheme="minorHAnsi" w:hAnsiTheme="minorHAnsi"/>
          <w:snapToGrid w:val="0"/>
          <w:lang w:eastAsia="en-US"/>
        </w:rPr>
        <w:t xml:space="preserve">The PBAC recalled that in November 2021, it had </w:t>
      </w:r>
      <w:r w:rsidRPr="000A03FD">
        <w:t xml:space="preserve">agreed with the ESC that a respecified base case </w:t>
      </w:r>
      <w:r w:rsidRPr="000A03FD">
        <w:rPr>
          <w:iCs/>
        </w:rPr>
        <w:t xml:space="preserve">incorporating </w:t>
      </w:r>
      <w:r w:rsidR="00751369" w:rsidRPr="000A03FD">
        <w:rPr>
          <w:iCs/>
        </w:rPr>
        <w:t xml:space="preserve">a 5 year time horizon, an assumption of 24.6% loss of response </w:t>
      </w:r>
      <w:r w:rsidR="000A238F" w:rsidRPr="000A03FD">
        <w:rPr>
          <w:iCs/>
        </w:rPr>
        <w:t xml:space="preserve">(27.6% for the </w:t>
      </w:r>
      <w:r w:rsidR="000A238F" w:rsidRPr="000A03FD">
        <w:t>BEC ≥300</w:t>
      </w:r>
      <w:r w:rsidR="00A732B5">
        <w:t> </w:t>
      </w:r>
      <w:r w:rsidR="000A238F" w:rsidRPr="000A03FD">
        <w:t>cells/µL</w:t>
      </w:r>
      <w:r w:rsidR="000A238F" w:rsidRPr="000A03FD">
        <w:rPr>
          <w:iCs/>
        </w:rPr>
        <w:t xml:space="preserve"> sub-group, see paragraph </w:t>
      </w:r>
      <w:r w:rsidR="000A238F" w:rsidRPr="000A03FD">
        <w:rPr>
          <w:iCs/>
        </w:rPr>
        <w:fldChar w:fldCharType="begin" w:fldLock="1"/>
      </w:r>
      <w:r w:rsidR="000A238F" w:rsidRPr="000A03FD">
        <w:rPr>
          <w:iCs/>
        </w:rPr>
        <w:instrText xml:space="preserve"> REF _Ref119494150 \r \h </w:instrText>
      </w:r>
      <w:r w:rsidR="000A238F" w:rsidRPr="000A03FD">
        <w:rPr>
          <w:iCs/>
        </w:rPr>
      </w:r>
      <w:r w:rsidR="000A238F" w:rsidRPr="000A03FD">
        <w:rPr>
          <w:iCs/>
        </w:rPr>
        <w:fldChar w:fldCharType="separate"/>
      </w:r>
      <w:r w:rsidR="00FC0D7C" w:rsidRPr="000A03FD">
        <w:rPr>
          <w:iCs/>
        </w:rPr>
        <w:t>6.40</w:t>
      </w:r>
      <w:r w:rsidR="000A238F" w:rsidRPr="000A03FD">
        <w:rPr>
          <w:iCs/>
        </w:rPr>
        <w:fldChar w:fldCharType="end"/>
      </w:r>
      <w:r w:rsidR="000A238F" w:rsidRPr="000A03FD">
        <w:rPr>
          <w:iCs/>
        </w:rPr>
        <w:t xml:space="preserve">) </w:t>
      </w:r>
      <w:r w:rsidR="00751369" w:rsidRPr="000A03FD">
        <w:rPr>
          <w:iCs/>
        </w:rPr>
        <w:t xml:space="preserve">and </w:t>
      </w:r>
      <w:r w:rsidRPr="000A03FD">
        <w:rPr>
          <w:iCs/>
        </w:rPr>
        <w:t xml:space="preserve">the </w:t>
      </w:r>
      <w:r w:rsidR="00751369" w:rsidRPr="000A03FD">
        <w:t>SoC responder utility applied to both arms from Week 52 and applied to those who had effective surgery</w:t>
      </w:r>
      <w:r w:rsidR="00751369" w:rsidRPr="000A03FD">
        <w:rPr>
          <w:iCs/>
        </w:rPr>
        <w:t xml:space="preserve"> </w:t>
      </w:r>
      <w:r w:rsidRPr="000A03FD">
        <w:rPr>
          <w:iCs/>
        </w:rPr>
        <w:t>would be appropriate</w:t>
      </w:r>
      <w:r w:rsidR="00751369" w:rsidRPr="000A03FD">
        <w:rPr>
          <w:iCs/>
        </w:rPr>
        <w:t xml:space="preserve"> (</w:t>
      </w:r>
      <w:r w:rsidR="00751369" w:rsidRPr="000A03FD">
        <w:rPr>
          <w:rFonts w:eastAsia="Calibri"/>
        </w:rPr>
        <w:t xml:space="preserve">paragraph 7.7, mepolizumab </w:t>
      </w:r>
      <w:r w:rsidR="00392A7B">
        <w:rPr>
          <w:rFonts w:eastAsia="Calibri"/>
        </w:rPr>
        <w:t>PSD</w:t>
      </w:r>
      <w:r w:rsidR="00751369" w:rsidRPr="000A03FD">
        <w:rPr>
          <w:rFonts w:eastAsia="Calibri"/>
        </w:rPr>
        <w:t xml:space="preserve">, November 2021 </w:t>
      </w:r>
      <w:r w:rsidR="00751369" w:rsidRPr="000A03FD">
        <w:t>PBAC meeting</w:t>
      </w:r>
      <w:r w:rsidR="00751369" w:rsidRPr="000A03FD">
        <w:rPr>
          <w:rFonts w:eastAsia="Calibri"/>
        </w:rPr>
        <w:t xml:space="preserve">). </w:t>
      </w:r>
      <w:r w:rsidR="00A16344" w:rsidRPr="000A03FD">
        <w:rPr>
          <w:rFonts w:eastAsia="Calibri"/>
        </w:rPr>
        <w:t xml:space="preserve">The PBAC noted the resubmission provided a respecified base case that incorporated </w:t>
      </w:r>
      <w:r w:rsidR="000A238F" w:rsidRPr="000A03FD">
        <w:rPr>
          <w:rFonts w:eastAsia="Calibri"/>
        </w:rPr>
        <w:t xml:space="preserve">both the 5 year time horizon and the requested approach to SoC responder utility inputs. However, the </w:t>
      </w:r>
      <w:r w:rsidR="00903C94" w:rsidRPr="000A03FD">
        <w:rPr>
          <w:rFonts w:eastAsia="Calibri"/>
        </w:rPr>
        <w:t xml:space="preserve">PBAC considered the </w:t>
      </w:r>
      <w:r w:rsidR="000A238F" w:rsidRPr="000A03FD">
        <w:rPr>
          <w:rFonts w:eastAsia="Calibri"/>
        </w:rPr>
        <w:t xml:space="preserve">loss of response assumptions applied </w:t>
      </w:r>
      <w:r w:rsidR="00903C94" w:rsidRPr="000A03FD">
        <w:rPr>
          <w:rFonts w:eastAsia="Calibri"/>
        </w:rPr>
        <w:t xml:space="preserve">in the resubmission were not consistent with the Committee’s </w:t>
      </w:r>
      <w:r w:rsidR="000A238F" w:rsidRPr="000A03FD">
        <w:rPr>
          <w:rFonts w:eastAsia="Calibri"/>
        </w:rPr>
        <w:t>November 2021</w:t>
      </w:r>
      <w:r w:rsidR="00903C94" w:rsidRPr="000A03FD">
        <w:rPr>
          <w:rFonts w:eastAsia="Calibri"/>
        </w:rPr>
        <w:t xml:space="preserve"> advice and favoured mepolizumab (</w:t>
      </w:r>
      <w:bookmarkStart w:id="100" w:name="_Hlk119495321"/>
      <w:r w:rsidR="00903C94" w:rsidRPr="000A03FD">
        <w:rPr>
          <w:rFonts w:eastAsia="Calibri"/>
        </w:rPr>
        <w:t xml:space="preserve">see paragraphs </w:t>
      </w:r>
      <w:r w:rsidR="00903C94" w:rsidRPr="000A03FD">
        <w:rPr>
          <w:rFonts w:eastAsia="Calibri"/>
        </w:rPr>
        <w:fldChar w:fldCharType="begin" w:fldLock="1"/>
      </w:r>
      <w:r w:rsidR="00903C94" w:rsidRPr="000A03FD">
        <w:rPr>
          <w:rFonts w:eastAsia="Calibri"/>
        </w:rPr>
        <w:instrText xml:space="preserve"> REF _Ref119494110 \r \h </w:instrText>
      </w:r>
      <w:r w:rsidR="00903C94" w:rsidRPr="000A03FD">
        <w:rPr>
          <w:rFonts w:eastAsia="Calibri"/>
        </w:rPr>
      </w:r>
      <w:r w:rsidR="00903C94" w:rsidRPr="000A03FD">
        <w:rPr>
          <w:rFonts w:eastAsia="Calibri"/>
        </w:rPr>
        <w:fldChar w:fldCharType="separate"/>
      </w:r>
      <w:r w:rsidR="009849D7">
        <w:rPr>
          <w:rFonts w:eastAsia="Calibri"/>
        </w:rPr>
        <w:t>6.39</w:t>
      </w:r>
      <w:r w:rsidR="00903C94" w:rsidRPr="000A03FD">
        <w:rPr>
          <w:rFonts w:eastAsia="Calibri"/>
        </w:rPr>
        <w:fldChar w:fldCharType="end"/>
      </w:r>
      <w:r w:rsidR="00903C94" w:rsidRPr="000A03FD">
        <w:rPr>
          <w:rFonts w:eastAsia="Calibri"/>
        </w:rPr>
        <w:t xml:space="preserve"> and </w:t>
      </w:r>
      <w:r w:rsidR="00903C94" w:rsidRPr="000A03FD">
        <w:rPr>
          <w:rFonts w:eastAsia="Calibri"/>
        </w:rPr>
        <w:fldChar w:fldCharType="begin" w:fldLock="1"/>
      </w:r>
      <w:r w:rsidR="00903C94" w:rsidRPr="000A03FD">
        <w:rPr>
          <w:rFonts w:eastAsia="Calibri"/>
        </w:rPr>
        <w:instrText xml:space="preserve"> REF _Ref119494150 \r \h </w:instrText>
      </w:r>
      <w:r w:rsidR="00903C94" w:rsidRPr="000A03FD">
        <w:rPr>
          <w:rFonts w:eastAsia="Calibri"/>
        </w:rPr>
      </w:r>
      <w:r w:rsidR="00903C94" w:rsidRPr="000A03FD">
        <w:rPr>
          <w:rFonts w:eastAsia="Calibri"/>
        </w:rPr>
        <w:fldChar w:fldCharType="separate"/>
      </w:r>
      <w:r w:rsidR="009849D7">
        <w:rPr>
          <w:rFonts w:eastAsia="Calibri"/>
        </w:rPr>
        <w:t>6.40</w:t>
      </w:r>
      <w:r w:rsidR="00903C94" w:rsidRPr="000A03FD">
        <w:rPr>
          <w:rFonts w:eastAsia="Calibri"/>
        </w:rPr>
        <w:fldChar w:fldCharType="end"/>
      </w:r>
      <w:bookmarkEnd w:id="100"/>
      <w:r w:rsidR="00903C94" w:rsidRPr="000A03FD">
        <w:rPr>
          <w:rFonts w:eastAsia="Calibri"/>
        </w:rPr>
        <w:t>)</w:t>
      </w:r>
      <w:r w:rsidR="000A238F" w:rsidRPr="000A03FD">
        <w:rPr>
          <w:rFonts w:eastAsia="Calibri"/>
        </w:rPr>
        <w:t xml:space="preserve">. </w:t>
      </w:r>
      <w:r w:rsidR="00903C94" w:rsidRPr="000A03FD">
        <w:rPr>
          <w:rFonts w:eastAsia="Calibri"/>
        </w:rPr>
        <w:t xml:space="preserve">The PBAC </w:t>
      </w:r>
      <w:r w:rsidR="009C7688" w:rsidRPr="000A03FD">
        <w:rPr>
          <w:rFonts w:eastAsia="Calibri"/>
        </w:rPr>
        <w:t xml:space="preserve">noted the pre-PBAC response argument regarding the plausibility of assuming a 47.1% annual loss of response for the SoC arm (see paragraph </w:t>
      </w:r>
      <w:r w:rsidR="009C7688" w:rsidRPr="000A03FD">
        <w:rPr>
          <w:rFonts w:eastAsia="Calibri"/>
        </w:rPr>
        <w:fldChar w:fldCharType="begin" w:fldLock="1"/>
      </w:r>
      <w:r w:rsidR="009C7688" w:rsidRPr="000A03FD">
        <w:rPr>
          <w:rFonts w:eastAsia="Calibri"/>
        </w:rPr>
        <w:instrText xml:space="preserve"> REF </w:instrText>
      </w:r>
      <w:r w:rsidR="009C7688" w:rsidRPr="000A03FD">
        <w:rPr>
          <w:rFonts w:eastAsia="Calibri"/>
        </w:rPr>
        <w:lastRenderedPageBreak/>
        <w:instrText xml:space="preserve">_Ref119494150 \r \h </w:instrText>
      </w:r>
      <w:r w:rsidR="009C7688" w:rsidRPr="000A03FD">
        <w:rPr>
          <w:rFonts w:eastAsia="Calibri"/>
        </w:rPr>
      </w:r>
      <w:r w:rsidR="009C7688" w:rsidRPr="000A03FD">
        <w:rPr>
          <w:rFonts w:eastAsia="Calibri"/>
        </w:rPr>
        <w:fldChar w:fldCharType="separate"/>
      </w:r>
      <w:r w:rsidR="009849D7">
        <w:rPr>
          <w:rFonts w:eastAsia="Calibri"/>
        </w:rPr>
        <w:t>6.40</w:t>
      </w:r>
      <w:r w:rsidR="009C7688" w:rsidRPr="000A03FD">
        <w:rPr>
          <w:rFonts w:eastAsia="Calibri"/>
        </w:rPr>
        <w:fldChar w:fldCharType="end"/>
      </w:r>
      <w:r w:rsidR="009C7688" w:rsidRPr="000A03FD">
        <w:rPr>
          <w:rFonts w:eastAsia="Calibri"/>
        </w:rPr>
        <w:t>)</w:t>
      </w:r>
      <w:r w:rsidR="00D612AC" w:rsidRPr="000A03FD">
        <w:rPr>
          <w:rFonts w:eastAsia="Calibri"/>
        </w:rPr>
        <w:t xml:space="preserve"> </w:t>
      </w:r>
      <w:r w:rsidR="009C7688" w:rsidRPr="000A03FD">
        <w:rPr>
          <w:rFonts w:eastAsia="Calibri"/>
        </w:rPr>
        <w:t xml:space="preserve">and considered it </w:t>
      </w:r>
      <w:r w:rsidR="00D612AC" w:rsidRPr="000A03FD">
        <w:rPr>
          <w:rFonts w:eastAsia="Calibri"/>
        </w:rPr>
        <w:t xml:space="preserve">was reasonable. The PBAC agreed with ESC advice that appropriate mepolizumab costs for non-responders should be included in the economic model (see paragraph </w:t>
      </w:r>
      <w:r w:rsidR="00D612AC" w:rsidRPr="000A03FD">
        <w:rPr>
          <w:rFonts w:eastAsia="Calibri"/>
        </w:rPr>
        <w:fldChar w:fldCharType="begin" w:fldLock="1"/>
      </w:r>
      <w:r w:rsidR="00D612AC" w:rsidRPr="000A03FD">
        <w:rPr>
          <w:rFonts w:eastAsia="Calibri"/>
        </w:rPr>
        <w:instrText xml:space="preserve"> REF _Ref116305982 \r \h </w:instrText>
      </w:r>
      <w:r w:rsidR="00D612AC" w:rsidRPr="000A03FD">
        <w:rPr>
          <w:rFonts w:eastAsia="Calibri"/>
        </w:rPr>
      </w:r>
      <w:r w:rsidR="00D612AC" w:rsidRPr="000A03FD">
        <w:rPr>
          <w:rFonts w:eastAsia="Calibri"/>
        </w:rPr>
        <w:fldChar w:fldCharType="separate"/>
      </w:r>
      <w:r w:rsidR="009849D7">
        <w:rPr>
          <w:rFonts w:eastAsia="Calibri"/>
        </w:rPr>
        <w:t>6.52</w:t>
      </w:r>
      <w:r w:rsidR="00D612AC" w:rsidRPr="000A03FD">
        <w:rPr>
          <w:rFonts w:eastAsia="Calibri"/>
        </w:rPr>
        <w:fldChar w:fldCharType="end"/>
      </w:r>
      <w:r w:rsidR="00D612AC" w:rsidRPr="000A03FD">
        <w:rPr>
          <w:rFonts w:eastAsia="Calibri"/>
        </w:rPr>
        <w:t>). The PBAC noted the pre-PBAC response provided a re-specified base</w:t>
      </w:r>
      <w:r w:rsidR="009C75B1" w:rsidRPr="000A03FD">
        <w:rPr>
          <w:rFonts w:eastAsia="Calibri"/>
        </w:rPr>
        <w:t>-case</w:t>
      </w:r>
      <w:r w:rsidR="000634C3" w:rsidRPr="000A03FD">
        <w:t xml:space="preserve"> incorporating:</w:t>
      </w:r>
    </w:p>
    <w:p w14:paraId="0985F9FB" w14:textId="6643D679" w:rsidR="000634C3" w:rsidRPr="000A03FD" w:rsidRDefault="000634C3" w:rsidP="000B1FB6">
      <w:pPr>
        <w:pStyle w:val="3-BodyText"/>
        <w:numPr>
          <w:ilvl w:val="0"/>
          <w:numId w:val="15"/>
        </w:numPr>
        <w:spacing w:after="40"/>
        <w:ind w:left="1077" w:hanging="357"/>
      </w:pPr>
      <w:r w:rsidRPr="000A03FD">
        <w:t>a revised mepolizumab price</w:t>
      </w:r>
      <w:r w:rsidR="00FC0D7C" w:rsidRPr="000A03FD">
        <w:t xml:space="preserve"> (see paragraph </w:t>
      </w:r>
      <w:r w:rsidR="00FC0D7C" w:rsidRPr="000A03FD">
        <w:fldChar w:fldCharType="begin" w:fldLock="1"/>
      </w:r>
      <w:r w:rsidR="00FC0D7C" w:rsidRPr="000A03FD">
        <w:instrText xml:space="preserve"> REF _Ref119426086 \r \h </w:instrText>
      </w:r>
      <w:r w:rsidR="00FC0D7C" w:rsidRPr="000A03FD">
        <w:fldChar w:fldCharType="separate"/>
      </w:r>
      <w:r w:rsidR="009849D7">
        <w:t>3.1</w:t>
      </w:r>
      <w:r w:rsidR="00FC0D7C" w:rsidRPr="000A03FD">
        <w:fldChar w:fldCharType="end"/>
      </w:r>
      <w:r w:rsidR="00FC0D7C" w:rsidRPr="000A03FD">
        <w:t>)</w:t>
      </w:r>
      <w:r w:rsidRPr="000A03FD">
        <w:t xml:space="preserve">, </w:t>
      </w:r>
    </w:p>
    <w:p w14:paraId="1DB49D2F" w14:textId="77777777" w:rsidR="000634C3" w:rsidRPr="000A03FD" w:rsidRDefault="000634C3" w:rsidP="000B1FB6">
      <w:pPr>
        <w:pStyle w:val="3-BodyText"/>
        <w:numPr>
          <w:ilvl w:val="0"/>
          <w:numId w:val="15"/>
        </w:numPr>
        <w:spacing w:after="40"/>
        <w:ind w:left="1077" w:hanging="357"/>
      </w:pPr>
      <w:r w:rsidRPr="000A03FD">
        <w:t>differential loss of response (mepolizumab 27.6%, SoC 47.1%),</w:t>
      </w:r>
    </w:p>
    <w:p w14:paraId="4817D144" w14:textId="5B5E68DD" w:rsidR="000634C3" w:rsidRPr="000A03FD" w:rsidRDefault="000634C3" w:rsidP="000B1FB6">
      <w:pPr>
        <w:pStyle w:val="3-BodyText"/>
        <w:numPr>
          <w:ilvl w:val="0"/>
          <w:numId w:val="15"/>
        </w:numPr>
        <w:spacing w:after="40"/>
        <w:ind w:left="1077" w:hanging="357"/>
      </w:pPr>
      <w:r w:rsidRPr="000A03FD">
        <w:t>50% of 24 week mepolizumab cost allocated for mepolizumab week 52+ non-responders,</w:t>
      </w:r>
    </w:p>
    <w:p w14:paraId="7E13349F" w14:textId="77777777" w:rsidR="000634C3" w:rsidRPr="000A03FD" w:rsidRDefault="000634C3" w:rsidP="000B1FB6">
      <w:pPr>
        <w:pStyle w:val="3-BodyText"/>
        <w:numPr>
          <w:ilvl w:val="0"/>
          <w:numId w:val="15"/>
        </w:numPr>
        <w:ind w:left="1077" w:hanging="357"/>
      </w:pPr>
      <w:r w:rsidRPr="000A03FD">
        <w:t>application of 94.56% compliance for mepolizumab.</w:t>
      </w:r>
    </w:p>
    <w:p w14:paraId="39391109" w14:textId="56EFCF03" w:rsidR="009B6037" w:rsidRPr="000A03FD" w:rsidRDefault="000634C3" w:rsidP="009B6037">
      <w:pPr>
        <w:widowControl w:val="0"/>
        <w:spacing w:after="120"/>
        <w:ind w:left="720"/>
      </w:pPr>
      <w:r w:rsidRPr="000A03FD">
        <w:t xml:space="preserve">The PBAC considered the pre-PBAC response re-specified base-case </w:t>
      </w:r>
      <w:r w:rsidR="00555821" w:rsidRPr="000A03FD">
        <w:t xml:space="preserve">along with the revised price submitted in the pre-PBAC response </w:t>
      </w:r>
      <w:r w:rsidRPr="000A03FD">
        <w:t xml:space="preserve">addressed previous concerns regarding the cost-effectiveness of mepolizumab. </w:t>
      </w:r>
    </w:p>
    <w:p w14:paraId="645C8DAE" w14:textId="488B67DB" w:rsidR="005676F0" w:rsidRPr="000A03FD" w:rsidRDefault="009B6037" w:rsidP="00137868">
      <w:pPr>
        <w:pStyle w:val="3-BodyText"/>
        <w:rPr>
          <w:i/>
          <w:iCs/>
        </w:rPr>
      </w:pPr>
      <w:r w:rsidRPr="000A03FD">
        <w:t>The PBAC considered the resubmission financial estimates addressed November 2021</w:t>
      </w:r>
      <w:r w:rsidR="00555821" w:rsidRPr="000A03FD">
        <w:t xml:space="preserve"> PBAC meeting</w:t>
      </w:r>
      <w:r w:rsidRPr="000A03FD">
        <w:t xml:space="preserve"> concerns raised by DUSC regarding prevalence rates of chronic rhinosinusitis and CRSwNP used in the submission along with the inclusion of a proportion of CRSwNP patients already prescribed a PBS-listed biologic for severe asthma</w:t>
      </w:r>
      <w:r w:rsidR="00331315" w:rsidRPr="000A03FD">
        <w:t xml:space="preserve"> </w:t>
      </w:r>
      <w:r w:rsidR="00331315" w:rsidRPr="000A03FD">
        <w:rPr>
          <w:rFonts w:eastAsia="Calibri"/>
        </w:rPr>
        <w:t xml:space="preserve">(paragraph 7.8, mepolizumab </w:t>
      </w:r>
      <w:r w:rsidR="00392A7B">
        <w:rPr>
          <w:rFonts w:eastAsia="Calibri"/>
        </w:rPr>
        <w:t>PSD</w:t>
      </w:r>
      <w:r w:rsidR="00331315" w:rsidRPr="000A03FD">
        <w:rPr>
          <w:rFonts w:eastAsia="Calibri"/>
        </w:rPr>
        <w:t xml:space="preserve">, November 2021 </w:t>
      </w:r>
      <w:r w:rsidR="00331315" w:rsidRPr="000A03FD">
        <w:t>PBAC meeting</w:t>
      </w:r>
      <w:r w:rsidR="00331315" w:rsidRPr="000A03FD">
        <w:rPr>
          <w:rFonts w:eastAsia="Calibri"/>
        </w:rPr>
        <w:t>).</w:t>
      </w:r>
      <w:r w:rsidR="00331315" w:rsidRPr="000A03FD">
        <w:t xml:space="preserve"> </w:t>
      </w:r>
      <w:r w:rsidR="005676F0" w:rsidRPr="000A03FD">
        <w:t xml:space="preserve">The PBAC considered the approach taken by the resubmission to estimate the total number of eligible patients was appropriate. </w:t>
      </w:r>
      <w:r w:rsidR="00331315" w:rsidRPr="000A03FD">
        <w:t xml:space="preserve">However, the PBAC </w:t>
      </w:r>
      <w:r w:rsidR="00555821" w:rsidRPr="000A03FD">
        <w:t xml:space="preserve">expressed </w:t>
      </w:r>
      <w:r w:rsidR="00137868" w:rsidRPr="000A03FD">
        <w:t xml:space="preserve">concern regarding the approach taken to determining the total number of patients electing treatment and subsequent estimates (see paragraphs </w:t>
      </w:r>
      <w:r w:rsidR="00137868" w:rsidRPr="000A03FD">
        <w:fldChar w:fldCharType="begin" w:fldLock="1"/>
      </w:r>
      <w:r w:rsidR="00137868" w:rsidRPr="000A03FD">
        <w:instrText xml:space="preserve"> REF _Ref119499386 \r \h </w:instrText>
      </w:r>
      <w:r w:rsidR="00137868" w:rsidRPr="000A03FD">
        <w:fldChar w:fldCharType="separate"/>
      </w:r>
      <w:r w:rsidR="009849D7">
        <w:t>6.59</w:t>
      </w:r>
      <w:r w:rsidR="00137868" w:rsidRPr="000A03FD">
        <w:fldChar w:fldCharType="end"/>
      </w:r>
      <w:r w:rsidR="00137868" w:rsidRPr="000A03FD">
        <w:t xml:space="preserve"> to </w:t>
      </w:r>
      <w:r w:rsidR="00137868" w:rsidRPr="000A03FD">
        <w:fldChar w:fldCharType="begin" w:fldLock="1"/>
      </w:r>
      <w:r w:rsidR="00137868" w:rsidRPr="000A03FD">
        <w:instrText xml:space="preserve"> REF _Ref119499430 \r \h </w:instrText>
      </w:r>
      <w:r w:rsidR="00137868" w:rsidRPr="000A03FD">
        <w:fldChar w:fldCharType="separate"/>
      </w:r>
      <w:r w:rsidR="009849D7">
        <w:t>6.61</w:t>
      </w:r>
      <w:r w:rsidR="00137868" w:rsidRPr="000A03FD">
        <w:fldChar w:fldCharType="end"/>
      </w:r>
      <w:r w:rsidR="00137868" w:rsidRPr="000A03FD">
        <w:t xml:space="preserve">). </w:t>
      </w:r>
      <w:r w:rsidR="005676F0" w:rsidRPr="000A03FD">
        <w:t xml:space="preserve">Noting the estimated total eligible patients to be appropriate, the PBAC </w:t>
      </w:r>
      <w:r w:rsidR="00A97FF0" w:rsidRPr="000A03FD">
        <w:t xml:space="preserve">advised that </w:t>
      </w:r>
      <w:r w:rsidR="00137868" w:rsidRPr="000A03FD">
        <w:t xml:space="preserve">the </w:t>
      </w:r>
      <w:r w:rsidR="005676F0" w:rsidRPr="000A03FD">
        <w:t xml:space="preserve">financial estimates </w:t>
      </w:r>
      <w:r w:rsidR="00A97FF0" w:rsidRPr="000A03FD">
        <w:t xml:space="preserve">be revised </w:t>
      </w:r>
      <w:r w:rsidR="005676F0" w:rsidRPr="000A03FD">
        <w:t>to include a 48% uptake rate applied across Year 1 to Year 6 with an average of 9.6 scripts per patient treated (</w:t>
      </w:r>
      <w:r w:rsidR="00137868" w:rsidRPr="000A03FD">
        <w:t xml:space="preserve">see paragraph </w:t>
      </w:r>
      <w:r w:rsidR="00137868" w:rsidRPr="000A03FD">
        <w:fldChar w:fldCharType="begin" w:fldLock="1"/>
      </w:r>
      <w:r w:rsidR="00137868" w:rsidRPr="000A03FD">
        <w:instrText xml:space="preserve"> REF _Ref119499430 \r \h </w:instrText>
      </w:r>
      <w:r w:rsidR="00137868" w:rsidRPr="000A03FD">
        <w:fldChar w:fldCharType="separate"/>
      </w:r>
      <w:r w:rsidR="009849D7">
        <w:t>6.61</w:t>
      </w:r>
      <w:r w:rsidR="00137868" w:rsidRPr="000A03FD">
        <w:fldChar w:fldCharType="end"/>
      </w:r>
      <w:r w:rsidR="005676F0" w:rsidRPr="000A03FD">
        <w:t xml:space="preserve">). </w:t>
      </w:r>
      <w:r w:rsidR="008761E0">
        <w:t xml:space="preserve">The PBAC noted that grandfathered patients were accounted for in the prevalence based approach used to determine the financial estimates. </w:t>
      </w:r>
    </w:p>
    <w:p w14:paraId="6D2C2EB2" w14:textId="47EE901D" w:rsidR="006929B1" w:rsidRPr="000A03FD" w:rsidRDefault="00FF2214" w:rsidP="00A56147">
      <w:pPr>
        <w:widowControl w:val="0"/>
        <w:numPr>
          <w:ilvl w:val="1"/>
          <w:numId w:val="1"/>
        </w:numPr>
        <w:spacing w:after="120"/>
        <w:rPr>
          <w:rFonts w:asciiTheme="minorHAnsi" w:hAnsiTheme="minorHAnsi"/>
          <w:snapToGrid w:val="0"/>
          <w:lang w:eastAsia="en-US"/>
        </w:rPr>
      </w:pPr>
      <w:r w:rsidRPr="000A03FD">
        <w:rPr>
          <w:rFonts w:asciiTheme="minorHAnsi" w:hAnsiTheme="minorHAnsi"/>
          <w:snapToGrid w:val="0"/>
          <w:lang w:eastAsia="en-US"/>
        </w:rPr>
        <w:t xml:space="preserve">The PBAC recalled that in November 2021 it had considered </w:t>
      </w:r>
      <w:r w:rsidRPr="000A03FD">
        <w:t xml:space="preserve">that if patients unsuitable for surgery were to be included in the proposed PBS </w:t>
      </w:r>
      <w:r w:rsidR="00CE4BA1" w:rsidRPr="000A03FD">
        <w:t>population,</w:t>
      </w:r>
      <w:r w:rsidRPr="000A03FD">
        <w:t xml:space="preserve"> then a RSA would be required to manage uncertainty associated with the uptake in this population (paragraph 7.8, mepolizumab </w:t>
      </w:r>
      <w:r w:rsidR="00392A7B">
        <w:t>PSD</w:t>
      </w:r>
      <w:r w:rsidRPr="000A03FD">
        <w:t>, November 2021 PBAC meeting). The PBAC noted</w:t>
      </w:r>
      <w:r w:rsidR="00A16DAB" w:rsidRPr="000A03FD">
        <w:t xml:space="preserve"> the</w:t>
      </w:r>
      <w:r w:rsidRPr="000A03FD">
        <w:t xml:space="preserve"> resubmission included patients unsuitable for surgery in the requested population and that an RSA was proposed in the Pre-Sub-Committee Response</w:t>
      </w:r>
      <w:r w:rsidR="002B213D" w:rsidRPr="000A03FD">
        <w:t xml:space="preserve">. </w:t>
      </w:r>
      <w:r w:rsidR="002B213D" w:rsidRPr="000A03FD">
        <w:rPr>
          <w:rFonts w:asciiTheme="minorHAnsi" w:hAnsiTheme="minorHAnsi"/>
          <w:snapToGrid w:val="0"/>
          <w:lang w:eastAsia="en-US"/>
        </w:rPr>
        <w:t xml:space="preserve">The PBAC considered </w:t>
      </w:r>
      <w:r w:rsidR="00A16DAB" w:rsidRPr="000A03FD">
        <w:rPr>
          <w:rFonts w:asciiTheme="minorHAnsi" w:hAnsiTheme="minorHAnsi"/>
          <w:snapToGrid w:val="0"/>
          <w:lang w:eastAsia="en-US"/>
        </w:rPr>
        <w:t xml:space="preserve">an RSA would be </w:t>
      </w:r>
      <w:r w:rsidR="00A56147" w:rsidRPr="000A03FD">
        <w:rPr>
          <w:rFonts w:asciiTheme="minorHAnsi" w:hAnsiTheme="minorHAnsi"/>
          <w:snapToGrid w:val="0"/>
          <w:lang w:eastAsia="en-US"/>
        </w:rPr>
        <w:t>appropriate</w:t>
      </w:r>
      <w:r w:rsidR="00A16DAB" w:rsidRPr="000A03FD">
        <w:rPr>
          <w:rFonts w:asciiTheme="minorHAnsi" w:hAnsiTheme="minorHAnsi"/>
          <w:snapToGrid w:val="0"/>
          <w:lang w:eastAsia="en-US"/>
        </w:rPr>
        <w:t>, with</w:t>
      </w:r>
      <w:r w:rsidR="00A56147" w:rsidRPr="000A03FD">
        <w:rPr>
          <w:rFonts w:asciiTheme="minorHAnsi" w:hAnsiTheme="minorHAnsi"/>
          <w:snapToGrid w:val="0"/>
          <w:lang w:eastAsia="en-US"/>
        </w:rPr>
        <w:t xml:space="preserve"> financial cap</w:t>
      </w:r>
      <w:r w:rsidR="00A16DAB" w:rsidRPr="000A03FD">
        <w:rPr>
          <w:rFonts w:asciiTheme="minorHAnsi" w:hAnsiTheme="minorHAnsi"/>
          <w:snapToGrid w:val="0"/>
          <w:lang w:eastAsia="en-US"/>
        </w:rPr>
        <w:t>s</w:t>
      </w:r>
      <w:r w:rsidR="00A56147" w:rsidRPr="000A03FD">
        <w:rPr>
          <w:rFonts w:asciiTheme="minorHAnsi" w:hAnsiTheme="minorHAnsi"/>
          <w:snapToGrid w:val="0"/>
          <w:lang w:eastAsia="en-US"/>
        </w:rPr>
        <w:t xml:space="preserve"> set at the level of </w:t>
      </w:r>
      <w:r w:rsidR="002B213D" w:rsidRPr="000A03FD">
        <w:rPr>
          <w:rFonts w:asciiTheme="minorHAnsi" w:hAnsiTheme="minorHAnsi"/>
          <w:snapToGrid w:val="0"/>
          <w:lang w:eastAsia="en-US"/>
        </w:rPr>
        <w:t>the revised estimates</w:t>
      </w:r>
      <w:r w:rsidR="00A16DAB" w:rsidRPr="000A03FD">
        <w:rPr>
          <w:rFonts w:asciiTheme="minorHAnsi" w:hAnsiTheme="minorHAnsi"/>
          <w:snapToGrid w:val="0"/>
          <w:lang w:eastAsia="en-US"/>
        </w:rPr>
        <w:t>, as</w:t>
      </w:r>
      <w:r w:rsidR="002B213D" w:rsidRPr="000A03FD">
        <w:rPr>
          <w:rFonts w:asciiTheme="minorHAnsi" w:hAnsiTheme="minorHAnsi"/>
          <w:snapToGrid w:val="0"/>
          <w:lang w:eastAsia="en-US"/>
        </w:rPr>
        <w:t xml:space="preserve"> </w:t>
      </w:r>
      <w:r w:rsidR="002B213D" w:rsidRPr="000A03FD">
        <w:t xml:space="preserve">presented in </w:t>
      </w:r>
      <w:r w:rsidR="00A16DAB" w:rsidRPr="000A03FD">
        <w:fldChar w:fldCharType="begin" w:fldLock="1"/>
      </w:r>
      <w:r w:rsidR="00A16DAB" w:rsidRPr="000A03FD">
        <w:instrText xml:space="preserve"> REF _Ref119429627 \h  \* MERGEFORMAT </w:instrText>
      </w:r>
      <w:r w:rsidR="00A16DAB" w:rsidRPr="000A03FD">
        <w:fldChar w:fldCharType="separate"/>
      </w:r>
      <w:r w:rsidR="009849D7" w:rsidRPr="000A03FD">
        <w:t>Table 19</w:t>
      </w:r>
      <w:r w:rsidR="00A16DAB" w:rsidRPr="000A03FD">
        <w:fldChar w:fldCharType="end"/>
      </w:r>
      <w:r w:rsidR="00A56147" w:rsidRPr="000A03FD">
        <w:t xml:space="preserve">. In addition, the PBAC agreed with the </w:t>
      </w:r>
      <w:r w:rsidR="002B213D" w:rsidRPr="000A03FD">
        <w:rPr>
          <w:rFonts w:asciiTheme="minorHAnsi" w:hAnsiTheme="minorHAnsi"/>
          <w:snapToGrid w:val="0"/>
          <w:lang w:eastAsia="en-US"/>
        </w:rPr>
        <w:t xml:space="preserve">ESC that a </w:t>
      </w:r>
      <w:r w:rsidR="00A56147" w:rsidRPr="000A03FD">
        <w:rPr>
          <w:rFonts w:asciiTheme="minorHAnsi" w:hAnsiTheme="minorHAnsi"/>
          <w:snapToGrid w:val="0"/>
          <w:lang w:eastAsia="en-US"/>
        </w:rPr>
        <w:t xml:space="preserve">100% rebate </w:t>
      </w:r>
      <w:r w:rsidR="008D11BC" w:rsidRPr="000A03FD">
        <w:rPr>
          <w:rFonts w:asciiTheme="minorHAnsi" w:hAnsiTheme="minorHAnsi"/>
          <w:snapToGrid w:val="0"/>
          <w:lang w:eastAsia="en-US"/>
        </w:rPr>
        <w:t xml:space="preserve">for </w:t>
      </w:r>
      <w:r w:rsidR="00A56147" w:rsidRPr="000A03FD">
        <w:rPr>
          <w:rFonts w:asciiTheme="minorHAnsi" w:hAnsiTheme="minorHAnsi"/>
          <w:snapToGrid w:val="0"/>
          <w:lang w:eastAsia="en-US"/>
        </w:rPr>
        <w:t xml:space="preserve">any use above the caps </w:t>
      </w:r>
      <w:r w:rsidR="002B213D" w:rsidRPr="000A03FD">
        <w:rPr>
          <w:rFonts w:asciiTheme="minorHAnsi" w:hAnsiTheme="minorHAnsi"/>
          <w:snapToGrid w:val="0"/>
          <w:lang w:eastAsia="en-US"/>
        </w:rPr>
        <w:t>would</w:t>
      </w:r>
      <w:r w:rsidR="00555821" w:rsidRPr="000A03FD">
        <w:rPr>
          <w:rFonts w:asciiTheme="minorHAnsi" w:hAnsiTheme="minorHAnsi"/>
          <w:snapToGrid w:val="0"/>
          <w:lang w:eastAsia="en-US"/>
        </w:rPr>
        <w:t xml:space="preserve"> </w:t>
      </w:r>
      <w:r w:rsidR="002B213D" w:rsidRPr="000A03FD">
        <w:rPr>
          <w:rFonts w:asciiTheme="minorHAnsi" w:hAnsiTheme="minorHAnsi"/>
          <w:snapToGrid w:val="0"/>
          <w:lang w:eastAsia="en-US"/>
        </w:rPr>
        <w:t>be appropriate to mitigate any residual uncertainties regarding uptake in patients unsuitable for surgery.</w:t>
      </w:r>
    </w:p>
    <w:p w14:paraId="5D0669BD" w14:textId="731E5191" w:rsidR="0046635A" w:rsidRPr="000A03FD" w:rsidRDefault="0046635A" w:rsidP="00A56147">
      <w:pPr>
        <w:widowControl w:val="0"/>
        <w:numPr>
          <w:ilvl w:val="1"/>
          <w:numId w:val="1"/>
        </w:numPr>
        <w:spacing w:after="120"/>
        <w:rPr>
          <w:rFonts w:asciiTheme="minorHAnsi" w:hAnsiTheme="minorHAnsi"/>
          <w:bCs/>
          <w:snapToGrid w:val="0"/>
          <w:lang w:eastAsia="en-US"/>
        </w:rPr>
      </w:pPr>
      <w:r w:rsidRPr="000A03FD">
        <w:rPr>
          <w:rFonts w:asciiTheme="minorHAnsi" w:hAnsiTheme="minorHAnsi"/>
          <w:bCs/>
          <w:snapToGrid w:val="0"/>
          <w:lang w:eastAsia="en-US"/>
        </w:rPr>
        <w:t xml:space="preserve">The PBAC advised that </w:t>
      </w:r>
      <w:r w:rsidR="00CB6C67" w:rsidRPr="000A03FD">
        <w:rPr>
          <w:rFonts w:asciiTheme="minorHAnsi" w:hAnsiTheme="minorHAnsi"/>
          <w:bCs/>
          <w:snapToGrid w:val="0"/>
          <w:lang w:eastAsia="en-US"/>
        </w:rPr>
        <w:t>mepolizumab</w:t>
      </w:r>
      <w:r w:rsidRPr="000A03FD">
        <w:rPr>
          <w:rFonts w:asciiTheme="minorHAnsi" w:hAnsiTheme="minorHAnsi"/>
          <w:bCs/>
          <w:snapToGrid w:val="0"/>
          <w:lang w:eastAsia="en-US"/>
        </w:rPr>
        <w:t xml:space="preserve"> is not suitable for prescribing by nurse practitioners. </w:t>
      </w:r>
    </w:p>
    <w:p w14:paraId="55D12C7B" w14:textId="6CE797DC" w:rsidR="00232D1F" w:rsidRPr="000A03FD" w:rsidRDefault="0046635A" w:rsidP="00A56147">
      <w:pPr>
        <w:widowControl w:val="0"/>
        <w:numPr>
          <w:ilvl w:val="1"/>
          <w:numId w:val="1"/>
        </w:numPr>
        <w:spacing w:after="120"/>
        <w:rPr>
          <w:rFonts w:asciiTheme="minorHAnsi" w:hAnsiTheme="minorHAnsi"/>
          <w:bCs/>
          <w:snapToGrid w:val="0"/>
          <w:lang w:eastAsia="en-US"/>
        </w:rPr>
      </w:pPr>
      <w:r w:rsidRPr="000A03FD">
        <w:rPr>
          <w:rFonts w:asciiTheme="minorHAnsi" w:hAnsiTheme="minorHAnsi"/>
          <w:bCs/>
          <w:snapToGrid w:val="0"/>
          <w:lang w:eastAsia="en-US"/>
        </w:rPr>
        <w:lastRenderedPageBreak/>
        <w:t xml:space="preserve">The PBAC recommended that the Early Supply Rule should not apply. </w:t>
      </w:r>
    </w:p>
    <w:p w14:paraId="1A3F39D7" w14:textId="0BB66142" w:rsidR="0046635A" w:rsidRPr="000A03FD" w:rsidRDefault="0046635A" w:rsidP="00A56147">
      <w:pPr>
        <w:widowControl w:val="0"/>
        <w:numPr>
          <w:ilvl w:val="1"/>
          <w:numId w:val="1"/>
        </w:numPr>
        <w:spacing w:after="120"/>
        <w:rPr>
          <w:rFonts w:asciiTheme="minorHAnsi" w:hAnsiTheme="minorHAnsi"/>
          <w:bCs/>
          <w:snapToGrid w:val="0"/>
          <w:lang w:eastAsia="en-US"/>
        </w:rPr>
      </w:pPr>
      <w:r w:rsidRPr="000A03FD">
        <w:rPr>
          <w:rFonts w:asciiTheme="minorHAnsi" w:hAnsiTheme="minorHAnsi"/>
          <w:bCs/>
          <w:snapToGrid w:val="0"/>
          <w:lang w:eastAsia="en-US"/>
        </w:rPr>
        <w:t xml:space="preserve">The PBAC found that the criteria prescribed by the National Health (Pharmaceuticals and Vaccines – Cost Recovery) Regulations 2022 for Pricing Pathway A were met. </w:t>
      </w:r>
      <w:r w:rsidR="00CE4BA1" w:rsidRPr="000A03FD">
        <w:rPr>
          <w:rFonts w:asciiTheme="minorHAnsi" w:hAnsiTheme="minorHAnsi"/>
          <w:bCs/>
          <w:snapToGrid w:val="0"/>
          <w:lang w:eastAsia="en-US"/>
        </w:rPr>
        <w:t>Specifically,</w:t>
      </w:r>
      <w:r w:rsidRPr="000A03FD">
        <w:rPr>
          <w:rFonts w:asciiTheme="minorHAnsi" w:hAnsiTheme="minorHAnsi"/>
          <w:bCs/>
          <w:snapToGrid w:val="0"/>
          <w:lang w:eastAsia="en-US"/>
        </w:rPr>
        <w:t xml:space="preserve"> the PBAC found that in the circumstances of its recommendation for </w:t>
      </w:r>
      <w:r w:rsidR="00CB6C67" w:rsidRPr="000A03FD">
        <w:rPr>
          <w:rFonts w:asciiTheme="minorHAnsi" w:hAnsiTheme="minorHAnsi"/>
          <w:bCs/>
          <w:snapToGrid w:val="0"/>
          <w:lang w:eastAsia="en-US"/>
        </w:rPr>
        <w:t>mepolizumab</w:t>
      </w:r>
      <w:r w:rsidRPr="000A03FD">
        <w:rPr>
          <w:rFonts w:asciiTheme="minorHAnsi" w:hAnsiTheme="minorHAnsi"/>
          <w:bCs/>
          <w:snapToGrid w:val="0"/>
          <w:lang w:eastAsia="en-US"/>
        </w:rPr>
        <w:t>:</w:t>
      </w:r>
    </w:p>
    <w:p w14:paraId="069AB185" w14:textId="400A6196" w:rsidR="0046635A" w:rsidRPr="000A03FD" w:rsidRDefault="0046635A" w:rsidP="000B1FB6">
      <w:pPr>
        <w:widowControl w:val="0"/>
        <w:numPr>
          <w:ilvl w:val="1"/>
          <w:numId w:val="27"/>
        </w:numPr>
        <w:spacing w:after="40"/>
        <w:ind w:left="1077" w:hanging="357"/>
        <w:rPr>
          <w:rFonts w:asciiTheme="minorHAnsi" w:hAnsiTheme="minorHAnsi" w:cstheme="minorHAnsi"/>
          <w:lang w:eastAsia="en-US"/>
        </w:rPr>
      </w:pPr>
      <w:r w:rsidRPr="000A03FD">
        <w:rPr>
          <w:rFonts w:asciiTheme="minorHAnsi" w:hAnsiTheme="minorHAnsi" w:cstheme="minorHAnsi"/>
          <w:lang w:eastAsia="en-US"/>
        </w:rPr>
        <w:t xml:space="preserve">The treatment is expected to provide a substantial and clinically relevant improvement in efficacy, over alternative therapies, </w:t>
      </w:r>
      <w:r w:rsidR="00490073" w:rsidRPr="000A03FD">
        <w:rPr>
          <w:rFonts w:asciiTheme="minorHAnsi" w:hAnsiTheme="minorHAnsi" w:cstheme="minorHAnsi"/>
          <w:lang w:eastAsia="en-US"/>
        </w:rPr>
        <w:t xml:space="preserve">on the basis of change from baseline in endoscopic nasal polyp score (see paragraph </w:t>
      </w:r>
      <w:r w:rsidR="00490073" w:rsidRPr="000A03FD">
        <w:rPr>
          <w:rFonts w:asciiTheme="minorHAnsi" w:hAnsiTheme="minorHAnsi" w:cstheme="minorHAnsi"/>
          <w:lang w:eastAsia="en-US"/>
        </w:rPr>
        <w:fldChar w:fldCharType="begin" w:fldLock="1"/>
      </w:r>
      <w:r w:rsidR="00490073" w:rsidRPr="000A03FD">
        <w:rPr>
          <w:rFonts w:asciiTheme="minorHAnsi" w:hAnsiTheme="minorHAnsi" w:cstheme="minorHAnsi"/>
          <w:lang w:eastAsia="en-US"/>
        </w:rPr>
        <w:instrText xml:space="preserve"> REF _Ref119502376 \r \h </w:instrText>
      </w:r>
      <w:r w:rsidR="00567FAB" w:rsidRPr="000A03FD">
        <w:rPr>
          <w:rFonts w:asciiTheme="minorHAnsi" w:hAnsiTheme="minorHAnsi" w:cstheme="minorHAnsi"/>
          <w:lang w:eastAsia="en-US"/>
        </w:rPr>
        <w:instrText xml:space="preserve"> \* MERGEFORMAT </w:instrText>
      </w:r>
      <w:r w:rsidR="00490073" w:rsidRPr="000A03FD">
        <w:rPr>
          <w:rFonts w:asciiTheme="minorHAnsi" w:hAnsiTheme="minorHAnsi" w:cstheme="minorHAnsi"/>
          <w:lang w:eastAsia="en-US"/>
        </w:rPr>
      </w:r>
      <w:r w:rsidR="00490073" w:rsidRPr="000A03FD">
        <w:rPr>
          <w:rFonts w:asciiTheme="minorHAnsi" w:hAnsiTheme="minorHAnsi" w:cstheme="minorHAnsi"/>
          <w:lang w:eastAsia="en-US"/>
        </w:rPr>
        <w:fldChar w:fldCharType="separate"/>
      </w:r>
      <w:r w:rsidR="009849D7">
        <w:rPr>
          <w:rFonts w:asciiTheme="minorHAnsi" w:hAnsiTheme="minorHAnsi" w:cstheme="minorHAnsi"/>
          <w:lang w:eastAsia="en-US"/>
        </w:rPr>
        <w:t>6.14</w:t>
      </w:r>
      <w:r w:rsidR="00490073" w:rsidRPr="000A03FD">
        <w:rPr>
          <w:rFonts w:asciiTheme="minorHAnsi" w:hAnsiTheme="minorHAnsi" w:cstheme="minorHAnsi"/>
          <w:lang w:eastAsia="en-US"/>
        </w:rPr>
        <w:fldChar w:fldCharType="end"/>
      </w:r>
      <w:r w:rsidR="00490073" w:rsidRPr="000A03FD">
        <w:rPr>
          <w:rFonts w:asciiTheme="minorHAnsi" w:hAnsiTheme="minorHAnsi" w:cstheme="minorHAnsi"/>
          <w:lang w:eastAsia="en-US"/>
        </w:rPr>
        <w:t>) and nasal obstruction visual analogue scale score</w:t>
      </w:r>
      <w:r w:rsidR="00567FAB" w:rsidRPr="000A03FD">
        <w:rPr>
          <w:rFonts w:asciiTheme="minorHAnsi" w:hAnsiTheme="minorHAnsi" w:cstheme="minorHAnsi"/>
          <w:lang w:eastAsia="en-US"/>
        </w:rPr>
        <w:t xml:space="preserve"> (see paragraph </w:t>
      </w:r>
      <w:r w:rsidR="00567FAB" w:rsidRPr="000A03FD">
        <w:rPr>
          <w:rFonts w:asciiTheme="minorHAnsi" w:hAnsiTheme="minorHAnsi" w:cstheme="minorHAnsi"/>
          <w:lang w:eastAsia="en-US"/>
        </w:rPr>
        <w:fldChar w:fldCharType="begin" w:fldLock="1"/>
      </w:r>
      <w:r w:rsidR="00567FAB" w:rsidRPr="000A03FD">
        <w:rPr>
          <w:rFonts w:asciiTheme="minorHAnsi" w:hAnsiTheme="minorHAnsi" w:cstheme="minorHAnsi"/>
          <w:lang w:eastAsia="en-US"/>
        </w:rPr>
        <w:instrText xml:space="preserve"> REF _Ref119502430 \r \h  \* MERGEFORMAT </w:instrText>
      </w:r>
      <w:r w:rsidR="00567FAB" w:rsidRPr="000A03FD">
        <w:rPr>
          <w:rFonts w:asciiTheme="minorHAnsi" w:hAnsiTheme="minorHAnsi" w:cstheme="minorHAnsi"/>
          <w:lang w:eastAsia="en-US"/>
        </w:rPr>
      </w:r>
      <w:r w:rsidR="00567FAB" w:rsidRPr="000A03FD">
        <w:rPr>
          <w:rFonts w:asciiTheme="minorHAnsi" w:hAnsiTheme="minorHAnsi" w:cstheme="minorHAnsi"/>
          <w:lang w:eastAsia="en-US"/>
        </w:rPr>
        <w:fldChar w:fldCharType="separate"/>
      </w:r>
      <w:r w:rsidR="009849D7">
        <w:rPr>
          <w:rFonts w:asciiTheme="minorHAnsi" w:hAnsiTheme="minorHAnsi" w:cstheme="minorHAnsi"/>
          <w:lang w:eastAsia="en-US"/>
        </w:rPr>
        <w:t>6.15</w:t>
      </w:r>
      <w:r w:rsidR="00567FAB" w:rsidRPr="000A03FD">
        <w:rPr>
          <w:rFonts w:asciiTheme="minorHAnsi" w:hAnsiTheme="minorHAnsi" w:cstheme="minorHAnsi"/>
          <w:lang w:eastAsia="en-US"/>
        </w:rPr>
        <w:fldChar w:fldCharType="end"/>
      </w:r>
      <w:r w:rsidR="00567FAB" w:rsidRPr="000A03FD">
        <w:rPr>
          <w:rFonts w:asciiTheme="minorHAnsi" w:hAnsiTheme="minorHAnsi" w:cstheme="minorHAnsi"/>
          <w:lang w:eastAsia="en-US"/>
        </w:rPr>
        <w:t xml:space="preserve">) </w:t>
      </w:r>
      <w:r w:rsidR="00490073" w:rsidRPr="000A03FD">
        <w:rPr>
          <w:rFonts w:asciiTheme="minorHAnsi" w:hAnsiTheme="minorHAnsi" w:cstheme="minorHAnsi"/>
          <w:lang w:eastAsia="en-US"/>
        </w:rPr>
        <w:t xml:space="preserve">along with the impact seen on time to first nasal surgery </w:t>
      </w:r>
      <w:r w:rsidR="00567FAB" w:rsidRPr="000A03FD">
        <w:rPr>
          <w:rFonts w:asciiTheme="minorHAnsi" w:hAnsiTheme="minorHAnsi" w:cstheme="minorHAnsi"/>
          <w:lang w:eastAsia="en-US"/>
        </w:rPr>
        <w:t xml:space="preserve">(see paragraph </w:t>
      </w:r>
      <w:r w:rsidR="00567FAB" w:rsidRPr="000A03FD">
        <w:rPr>
          <w:rFonts w:asciiTheme="minorHAnsi" w:hAnsiTheme="minorHAnsi" w:cstheme="minorHAnsi"/>
          <w:lang w:eastAsia="en-US"/>
        </w:rPr>
        <w:fldChar w:fldCharType="begin" w:fldLock="1"/>
      </w:r>
      <w:r w:rsidR="00567FAB" w:rsidRPr="000A03FD">
        <w:rPr>
          <w:rFonts w:asciiTheme="minorHAnsi" w:hAnsiTheme="minorHAnsi" w:cstheme="minorHAnsi"/>
          <w:lang w:eastAsia="en-US"/>
        </w:rPr>
        <w:instrText xml:space="preserve"> REF _Ref119502525 \r \h  \* MERGEFORMAT </w:instrText>
      </w:r>
      <w:r w:rsidR="00567FAB" w:rsidRPr="000A03FD">
        <w:rPr>
          <w:rFonts w:asciiTheme="minorHAnsi" w:hAnsiTheme="minorHAnsi" w:cstheme="minorHAnsi"/>
          <w:lang w:eastAsia="en-US"/>
        </w:rPr>
      </w:r>
      <w:r w:rsidR="00567FAB" w:rsidRPr="000A03FD">
        <w:rPr>
          <w:rFonts w:asciiTheme="minorHAnsi" w:hAnsiTheme="minorHAnsi" w:cstheme="minorHAnsi"/>
          <w:lang w:eastAsia="en-US"/>
        </w:rPr>
        <w:fldChar w:fldCharType="separate"/>
      </w:r>
      <w:r w:rsidR="009849D7">
        <w:rPr>
          <w:rFonts w:asciiTheme="minorHAnsi" w:hAnsiTheme="minorHAnsi" w:cstheme="minorHAnsi"/>
          <w:lang w:eastAsia="en-US"/>
        </w:rPr>
        <w:t>6.19</w:t>
      </w:r>
      <w:r w:rsidR="00567FAB" w:rsidRPr="000A03FD">
        <w:rPr>
          <w:rFonts w:asciiTheme="minorHAnsi" w:hAnsiTheme="minorHAnsi" w:cstheme="minorHAnsi"/>
          <w:lang w:eastAsia="en-US"/>
        </w:rPr>
        <w:fldChar w:fldCharType="end"/>
      </w:r>
      <w:r w:rsidR="00567FAB" w:rsidRPr="000A03FD">
        <w:rPr>
          <w:rFonts w:asciiTheme="minorHAnsi" w:hAnsiTheme="minorHAnsi" w:cstheme="minorHAnsi"/>
          <w:lang w:eastAsia="en-US"/>
        </w:rPr>
        <w:t xml:space="preserve">) </w:t>
      </w:r>
      <w:r w:rsidR="00490073" w:rsidRPr="000A03FD">
        <w:rPr>
          <w:rFonts w:asciiTheme="minorHAnsi" w:hAnsiTheme="minorHAnsi" w:cstheme="minorHAnsi"/>
          <w:lang w:eastAsia="en-US"/>
        </w:rPr>
        <w:t xml:space="preserve">and improvements in QoL </w:t>
      </w:r>
      <w:r w:rsidR="00567FAB" w:rsidRPr="000A03FD">
        <w:rPr>
          <w:rFonts w:asciiTheme="minorHAnsi" w:hAnsiTheme="minorHAnsi" w:cstheme="minorHAnsi"/>
          <w:lang w:eastAsia="en-US"/>
        </w:rPr>
        <w:t xml:space="preserve">(see paragraph </w:t>
      </w:r>
      <w:r w:rsidR="00567FAB" w:rsidRPr="000A03FD">
        <w:rPr>
          <w:rFonts w:asciiTheme="minorHAnsi" w:hAnsiTheme="minorHAnsi" w:cstheme="minorHAnsi"/>
          <w:lang w:eastAsia="en-US"/>
        </w:rPr>
        <w:fldChar w:fldCharType="begin" w:fldLock="1"/>
      </w:r>
      <w:r w:rsidR="00567FAB" w:rsidRPr="000A03FD">
        <w:rPr>
          <w:rFonts w:asciiTheme="minorHAnsi" w:hAnsiTheme="minorHAnsi" w:cstheme="minorHAnsi"/>
          <w:lang w:eastAsia="en-US"/>
        </w:rPr>
        <w:instrText xml:space="preserve"> REF _Ref119502576 \r \h  \* MERGEFORMAT </w:instrText>
      </w:r>
      <w:r w:rsidR="00567FAB" w:rsidRPr="000A03FD">
        <w:rPr>
          <w:rFonts w:asciiTheme="minorHAnsi" w:hAnsiTheme="minorHAnsi" w:cstheme="minorHAnsi"/>
          <w:lang w:eastAsia="en-US"/>
        </w:rPr>
      </w:r>
      <w:r w:rsidR="00567FAB" w:rsidRPr="000A03FD">
        <w:rPr>
          <w:rFonts w:asciiTheme="minorHAnsi" w:hAnsiTheme="minorHAnsi" w:cstheme="minorHAnsi"/>
          <w:lang w:eastAsia="en-US"/>
        </w:rPr>
        <w:fldChar w:fldCharType="separate"/>
      </w:r>
      <w:r w:rsidR="009849D7">
        <w:rPr>
          <w:rFonts w:asciiTheme="minorHAnsi" w:hAnsiTheme="minorHAnsi" w:cstheme="minorHAnsi"/>
          <w:lang w:eastAsia="en-US"/>
        </w:rPr>
        <w:t>6.23</w:t>
      </w:r>
      <w:r w:rsidR="00567FAB" w:rsidRPr="000A03FD">
        <w:rPr>
          <w:rFonts w:asciiTheme="minorHAnsi" w:hAnsiTheme="minorHAnsi" w:cstheme="minorHAnsi"/>
          <w:lang w:eastAsia="en-US"/>
        </w:rPr>
        <w:fldChar w:fldCharType="end"/>
      </w:r>
      <w:r w:rsidR="00567FAB" w:rsidRPr="000A03FD">
        <w:rPr>
          <w:rFonts w:asciiTheme="minorHAnsi" w:hAnsiTheme="minorHAnsi" w:cstheme="minorHAnsi"/>
          <w:lang w:eastAsia="en-US"/>
        </w:rPr>
        <w:t>)</w:t>
      </w:r>
      <w:r w:rsidRPr="000A03FD">
        <w:rPr>
          <w:rFonts w:asciiTheme="minorHAnsi" w:hAnsiTheme="minorHAnsi" w:cstheme="minorHAnsi"/>
          <w:lang w:eastAsia="en-US"/>
        </w:rPr>
        <w:t xml:space="preserve">; </w:t>
      </w:r>
    </w:p>
    <w:p w14:paraId="7798E892" w14:textId="074B3D8F" w:rsidR="0046635A" w:rsidRPr="000A03FD" w:rsidRDefault="0046635A" w:rsidP="000B1FB6">
      <w:pPr>
        <w:widowControl w:val="0"/>
        <w:numPr>
          <w:ilvl w:val="1"/>
          <w:numId w:val="27"/>
        </w:numPr>
        <w:spacing w:after="40"/>
        <w:ind w:left="1077" w:hanging="357"/>
        <w:rPr>
          <w:rFonts w:asciiTheme="minorHAnsi" w:hAnsiTheme="minorHAnsi" w:cstheme="minorHAnsi"/>
          <w:lang w:eastAsia="en-US"/>
        </w:rPr>
      </w:pPr>
      <w:r w:rsidRPr="000A03FD">
        <w:rPr>
          <w:rFonts w:asciiTheme="minorHAnsi" w:hAnsiTheme="minorHAnsi" w:cstheme="minorHAnsi"/>
          <w:lang w:eastAsia="en-US"/>
        </w:rPr>
        <w:t xml:space="preserve">The treatment is expected to address a high and urgent unmet clinical need </w:t>
      </w:r>
      <w:r w:rsidR="00A56147" w:rsidRPr="000A03FD">
        <w:rPr>
          <w:rFonts w:asciiTheme="minorHAnsi" w:hAnsiTheme="minorHAnsi" w:cstheme="minorHAnsi"/>
          <w:lang w:eastAsia="en-US"/>
        </w:rPr>
        <w:t>due to the limitations of the treatment options currently available</w:t>
      </w:r>
      <w:r w:rsidRPr="000A03FD">
        <w:rPr>
          <w:rFonts w:asciiTheme="minorHAnsi" w:hAnsiTheme="minorHAnsi" w:cstheme="minorHAnsi"/>
          <w:lang w:eastAsia="en-US"/>
        </w:rPr>
        <w:t>;</w:t>
      </w:r>
    </w:p>
    <w:p w14:paraId="5D3D7907" w14:textId="282E6B90" w:rsidR="0046635A" w:rsidRPr="000A03FD" w:rsidRDefault="0046635A" w:rsidP="000B1FB6">
      <w:pPr>
        <w:widowControl w:val="0"/>
        <w:numPr>
          <w:ilvl w:val="1"/>
          <w:numId w:val="27"/>
        </w:numPr>
        <w:spacing w:after="120"/>
        <w:ind w:left="1077" w:hanging="357"/>
        <w:rPr>
          <w:rFonts w:asciiTheme="minorHAnsi" w:hAnsiTheme="minorHAnsi" w:cstheme="minorHAnsi"/>
          <w:lang w:eastAsia="en-US"/>
        </w:rPr>
      </w:pPr>
      <w:r w:rsidRPr="000A03FD">
        <w:rPr>
          <w:rFonts w:asciiTheme="minorHAnsi" w:hAnsiTheme="minorHAnsi" w:cstheme="minorHAnsi"/>
          <w:lang w:eastAsia="en-US"/>
        </w:rPr>
        <w:t>It would be in the public interest for the subsequent pricing application to be progressed under Pricing Pathway A on the basis of the preceding findings</w:t>
      </w:r>
      <w:r w:rsidR="00555821" w:rsidRPr="000A03FD">
        <w:rPr>
          <w:rFonts w:asciiTheme="minorHAnsi" w:hAnsiTheme="minorHAnsi" w:cstheme="minorHAnsi"/>
          <w:lang w:eastAsia="en-US"/>
        </w:rPr>
        <w:t>.</w:t>
      </w:r>
    </w:p>
    <w:p w14:paraId="41C1ABA5" w14:textId="77777777" w:rsidR="00232D1F" w:rsidRPr="000A03FD" w:rsidRDefault="0046635A" w:rsidP="00A56147">
      <w:pPr>
        <w:widowControl w:val="0"/>
        <w:numPr>
          <w:ilvl w:val="1"/>
          <w:numId w:val="1"/>
        </w:numPr>
        <w:spacing w:after="120"/>
        <w:rPr>
          <w:rFonts w:asciiTheme="minorHAnsi" w:hAnsiTheme="minorHAnsi"/>
          <w:b/>
          <w:bCs/>
          <w:snapToGrid w:val="0"/>
          <w:lang w:eastAsia="en-US"/>
        </w:rPr>
      </w:pPr>
      <w:r w:rsidRPr="000A03FD">
        <w:rPr>
          <w:rFonts w:asciiTheme="minorHAnsi" w:hAnsiTheme="minorHAnsi"/>
          <w:bCs/>
          <w:snapToGrid w:val="0"/>
          <w:lang w:eastAsia="en-US"/>
        </w:rPr>
        <w:t>The PBAC noted that this submission is not eligible for an Independent Review</w:t>
      </w:r>
      <w:r w:rsidR="00232D1F" w:rsidRPr="000A03FD">
        <w:rPr>
          <w:rFonts w:asciiTheme="minorHAnsi" w:hAnsiTheme="minorHAnsi"/>
          <w:bCs/>
          <w:snapToGrid w:val="0"/>
          <w:lang w:eastAsia="en-US"/>
        </w:rPr>
        <w:t xml:space="preserve"> as it received a positive recommendation</w:t>
      </w:r>
      <w:r w:rsidRPr="000A03FD">
        <w:rPr>
          <w:rFonts w:asciiTheme="minorHAnsi" w:hAnsiTheme="minorHAnsi"/>
          <w:bCs/>
          <w:snapToGrid w:val="0"/>
          <w:lang w:eastAsia="en-US"/>
        </w:rPr>
        <w:t xml:space="preserve">. </w:t>
      </w:r>
    </w:p>
    <w:p w14:paraId="08B024CF" w14:textId="403EBC11" w:rsidR="0046635A" w:rsidRPr="000A03FD" w:rsidRDefault="0046635A" w:rsidP="00232D1F">
      <w:pPr>
        <w:widowControl w:val="0"/>
        <w:spacing w:after="120"/>
        <w:jc w:val="left"/>
        <w:rPr>
          <w:rFonts w:asciiTheme="minorHAnsi" w:hAnsiTheme="minorHAnsi"/>
          <w:b/>
          <w:bCs/>
          <w:snapToGrid w:val="0"/>
          <w:lang w:eastAsia="en-US"/>
        </w:rPr>
      </w:pPr>
      <w:r w:rsidRPr="000A03FD">
        <w:rPr>
          <w:rFonts w:asciiTheme="minorHAnsi" w:hAnsiTheme="minorHAnsi"/>
          <w:b/>
          <w:bCs/>
          <w:snapToGrid w:val="0"/>
          <w:lang w:eastAsia="en-US"/>
        </w:rPr>
        <w:t>Outcome:</w:t>
      </w:r>
    </w:p>
    <w:p w14:paraId="2DB4F77D" w14:textId="2B66AE75" w:rsidR="0046635A" w:rsidRPr="000A03FD" w:rsidRDefault="0046635A" w:rsidP="00567FAB">
      <w:pPr>
        <w:spacing w:after="120"/>
        <w:rPr>
          <w:rFonts w:asciiTheme="minorHAnsi" w:hAnsiTheme="minorHAnsi"/>
          <w:bCs/>
          <w:snapToGrid w:val="0"/>
          <w:lang w:eastAsia="en-US"/>
        </w:rPr>
      </w:pPr>
      <w:r w:rsidRPr="000A03FD">
        <w:rPr>
          <w:rFonts w:asciiTheme="minorHAnsi" w:hAnsiTheme="minorHAnsi"/>
          <w:bCs/>
          <w:snapToGrid w:val="0"/>
          <w:lang w:eastAsia="en-US"/>
        </w:rPr>
        <w:t>Recommended</w:t>
      </w:r>
    </w:p>
    <w:bookmarkEnd w:id="98"/>
    <w:p w14:paraId="54109222" w14:textId="77777777" w:rsidR="0046635A" w:rsidRPr="000A03FD" w:rsidRDefault="0046635A" w:rsidP="0006735E">
      <w:pPr>
        <w:pStyle w:val="2-SectionHeading"/>
        <w:rPr>
          <w:iCs/>
        </w:rPr>
      </w:pPr>
      <w:r w:rsidRPr="000A03FD">
        <w:t>Recommended listing</w:t>
      </w:r>
    </w:p>
    <w:p w14:paraId="43F8C4FE" w14:textId="2C1B9F5A" w:rsidR="0046635A" w:rsidRPr="000A03FD" w:rsidRDefault="0046635A" w:rsidP="00232D1F">
      <w:pPr>
        <w:widowControl w:val="0"/>
        <w:numPr>
          <w:ilvl w:val="1"/>
          <w:numId w:val="1"/>
        </w:numPr>
        <w:spacing w:after="120"/>
        <w:contextualSpacing/>
        <w:jc w:val="left"/>
        <w:rPr>
          <w:rFonts w:asciiTheme="minorHAnsi" w:hAnsiTheme="minorHAnsi"/>
          <w:b/>
          <w:bCs/>
          <w:snapToGrid w:val="0"/>
          <w:lang w:eastAsia="en-US"/>
        </w:rPr>
      </w:pPr>
      <w:r w:rsidRPr="000A03FD">
        <w:rPr>
          <w:rFonts w:asciiTheme="minorHAnsi" w:hAnsiTheme="minorHAnsi"/>
          <w:bCs/>
          <w:snapToGrid w:val="0"/>
          <w:lang w:eastAsia="en-US"/>
        </w:rPr>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700"/>
        <w:gridCol w:w="1276"/>
        <w:gridCol w:w="850"/>
        <w:gridCol w:w="709"/>
        <w:gridCol w:w="709"/>
        <w:gridCol w:w="1842"/>
      </w:tblGrid>
      <w:tr w:rsidR="00232D1F" w:rsidRPr="000A03FD" w14:paraId="48885D7C" w14:textId="77777777" w:rsidTr="00A732B5">
        <w:trPr>
          <w:cantSplit/>
          <w:trHeight w:val="471"/>
        </w:trPr>
        <w:tc>
          <w:tcPr>
            <w:tcW w:w="3681" w:type="dxa"/>
            <w:gridSpan w:val="2"/>
          </w:tcPr>
          <w:p w14:paraId="7EEC0397" w14:textId="77777777" w:rsidR="00232D1F" w:rsidRPr="000A03FD" w:rsidRDefault="00232D1F" w:rsidP="00146960">
            <w:pPr>
              <w:keepNext/>
              <w:ind w:left="-57"/>
              <w:rPr>
                <w:rFonts w:ascii="Arial Narrow" w:hAnsi="Arial Narrow"/>
                <w:b/>
                <w:bCs/>
                <w:sz w:val="20"/>
                <w:szCs w:val="20"/>
              </w:rPr>
            </w:pPr>
            <w:r w:rsidRPr="000A03FD">
              <w:rPr>
                <w:rFonts w:ascii="Arial Narrow" w:hAnsi="Arial Narrow"/>
                <w:b/>
                <w:bCs/>
                <w:sz w:val="20"/>
                <w:szCs w:val="20"/>
              </w:rPr>
              <w:t>MEDICINAL PRODUCT</w:t>
            </w:r>
          </w:p>
          <w:p w14:paraId="3F52BD61" w14:textId="77777777" w:rsidR="00232D1F" w:rsidRPr="000A03FD" w:rsidRDefault="00232D1F" w:rsidP="00146960">
            <w:pPr>
              <w:keepNext/>
              <w:ind w:left="-57"/>
              <w:rPr>
                <w:rFonts w:ascii="Arial Narrow" w:hAnsi="Arial Narrow"/>
                <w:b/>
                <w:sz w:val="20"/>
                <w:szCs w:val="20"/>
              </w:rPr>
            </w:pPr>
            <w:r w:rsidRPr="000A03FD">
              <w:rPr>
                <w:rFonts w:ascii="Arial Narrow" w:hAnsi="Arial Narrow"/>
                <w:b/>
                <w:bCs/>
                <w:sz w:val="20"/>
                <w:szCs w:val="20"/>
              </w:rPr>
              <w:t>medicinal product pack</w:t>
            </w:r>
          </w:p>
        </w:tc>
        <w:tc>
          <w:tcPr>
            <w:tcW w:w="1276" w:type="dxa"/>
          </w:tcPr>
          <w:p w14:paraId="64380016" w14:textId="77777777" w:rsidR="00232D1F" w:rsidRPr="000A03FD" w:rsidRDefault="00232D1F" w:rsidP="00146960">
            <w:pPr>
              <w:keepNext/>
              <w:ind w:left="-108"/>
              <w:jc w:val="center"/>
              <w:rPr>
                <w:rFonts w:ascii="Arial Narrow" w:hAnsi="Arial Narrow"/>
                <w:b/>
                <w:sz w:val="20"/>
                <w:szCs w:val="20"/>
              </w:rPr>
            </w:pPr>
            <w:r w:rsidRPr="000A03FD">
              <w:rPr>
                <w:rFonts w:ascii="Arial Narrow" w:hAnsi="Arial Narrow"/>
                <w:b/>
                <w:sz w:val="20"/>
                <w:szCs w:val="20"/>
              </w:rPr>
              <w:t>PBS item code</w:t>
            </w:r>
          </w:p>
        </w:tc>
        <w:tc>
          <w:tcPr>
            <w:tcW w:w="850" w:type="dxa"/>
          </w:tcPr>
          <w:p w14:paraId="536841A1" w14:textId="77777777" w:rsidR="00232D1F" w:rsidRPr="000A03FD" w:rsidRDefault="00232D1F" w:rsidP="00146960">
            <w:pPr>
              <w:keepNext/>
              <w:ind w:left="-108"/>
              <w:jc w:val="center"/>
              <w:rPr>
                <w:rFonts w:ascii="Arial Narrow" w:hAnsi="Arial Narrow"/>
                <w:b/>
                <w:sz w:val="20"/>
                <w:szCs w:val="20"/>
              </w:rPr>
            </w:pPr>
            <w:r w:rsidRPr="000A03FD">
              <w:rPr>
                <w:rFonts w:ascii="Arial Narrow" w:hAnsi="Arial Narrow"/>
                <w:b/>
                <w:sz w:val="20"/>
                <w:szCs w:val="20"/>
              </w:rPr>
              <w:t>Max. qty packs</w:t>
            </w:r>
          </w:p>
        </w:tc>
        <w:tc>
          <w:tcPr>
            <w:tcW w:w="709" w:type="dxa"/>
          </w:tcPr>
          <w:p w14:paraId="61AA9E12" w14:textId="77777777" w:rsidR="00232D1F" w:rsidRPr="000A03FD" w:rsidRDefault="00232D1F" w:rsidP="00146960">
            <w:pPr>
              <w:keepNext/>
              <w:ind w:left="-108"/>
              <w:jc w:val="center"/>
              <w:rPr>
                <w:rFonts w:ascii="Arial Narrow" w:hAnsi="Arial Narrow"/>
                <w:b/>
                <w:sz w:val="20"/>
                <w:szCs w:val="20"/>
              </w:rPr>
            </w:pPr>
            <w:r w:rsidRPr="000A03FD">
              <w:rPr>
                <w:rFonts w:ascii="Arial Narrow" w:hAnsi="Arial Narrow"/>
                <w:b/>
                <w:sz w:val="20"/>
                <w:szCs w:val="20"/>
              </w:rPr>
              <w:t>Max. qty units</w:t>
            </w:r>
          </w:p>
        </w:tc>
        <w:tc>
          <w:tcPr>
            <w:tcW w:w="709" w:type="dxa"/>
          </w:tcPr>
          <w:p w14:paraId="697EF78C" w14:textId="77777777" w:rsidR="00232D1F" w:rsidRPr="000A03FD" w:rsidRDefault="00232D1F" w:rsidP="00146960">
            <w:pPr>
              <w:keepNext/>
              <w:ind w:left="-108"/>
              <w:jc w:val="center"/>
              <w:rPr>
                <w:rFonts w:ascii="Arial Narrow" w:hAnsi="Arial Narrow"/>
                <w:b/>
                <w:sz w:val="20"/>
                <w:szCs w:val="20"/>
              </w:rPr>
            </w:pPr>
            <w:r w:rsidRPr="000A03FD">
              <w:rPr>
                <w:rFonts w:ascii="Arial Narrow" w:hAnsi="Arial Narrow"/>
                <w:b/>
                <w:sz w:val="20"/>
                <w:szCs w:val="20"/>
              </w:rPr>
              <w:t>№.of</w:t>
            </w:r>
          </w:p>
          <w:p w14:paraId="46EB9BFD" w14:textId="77777777" w:rsidR="00232D1F" w:rsidRPr="000A03FD" w:rsidRDefault="00232D1F" w:rsidP="00146960">
            <w:pPr>
              <w:keepNext/>
              <w:ind w:left="-108"/>
              <w:jc w:val="center"/>
              <w:rPr>
                <w:rFonts w:ascii="Arial Narrow" w:hAnsi="Arial Narrow"/>
                <w:b/>
                <w:sz w:val="20"/>
                <w:szCs w:val="20"/>
              </w:rPr>
            </w:pPr>
            <w:r w:rsidRPr="000A03FD">
              <w:rPr>
                <w:rFonts w:ascii="Arial Narrow" w:hAnsi="Arial Narrow"/>
                <w:b/>
                <w:sz w:val="20"/>
                <w:szCs w:val="20"/>
              </w:rPr>
              <w:t>Rpts</w:t>
            </w:r>
          </w:p>
        </w:tc>
        <w:tc>
          <w:tcPr>
            <w:tcW w:w="1842" w:type="dxa"/>
          </w:tcPr>
          <w:p w14:paraId="57CC027D" w14:textId="77777777" w:rsidR="00232D1F" w:rsidRPr="000A03FD" w:rsidRDefault="00232D1F" w:rsidP="00146960">
            <w:pPr>
              <w:keepNext/>
              <w:rPr>
                <w:rFonts w:ascii="Arial Narrow" w:hAnsi="Arial Narrow"/>
                <w:b/>
                <w:sz w:val="20"/>
                <w:szCs w:val="20"/>
              </w:rPr>
            </w:pPr>
            <w:r w:rsidRPr="000A03FD">
              <w:rPr>
                <w:rFonts w:ascii="Arial Narrow" w:hAnsi="Arial Narrow"/>
                <w:b/>
                <w:sz w:val="20"/>
                <w:szCs w:val="20"/>
              </w:rPr>
              <w:t>Available brands</w:t>
            </w:r>
          </w:p>
        </w:tc>
      </w:tr>
      <w:tr w:rsidR="00232D1F" w:rsidRPr="000A03FD" w14:paraId="245F9D5A" w14:textId="77777777" w:rsidTr="00146960">
        <w:trPr>
          <w:cantSplit/>
          <w:trHeight w:val="224"/>
        </w:trPr>
        <w:tc>
          <w:tcPr>
            <w:tcW w:w="9067" w:type="dxa"/>
            <w:gridSpan w:val="7"/>
          </w:tcPr>
          <w:p w14:paraId="3277435A" w14:textId="77777777" w:rsidR="00232D1F" w:rsidRPr="000A03FD" w:rsidRDefault="00232D1F" w:rsidP="00146960">
            <w:pPr>
              <w:keepNext/>
              <w:ind w:left="-57"/>
              <w:rPr>
                <w:rFonts w:ascii="Arial Narrow" w:hAnsi="Arial Narrow"/>
                <w:sz w:val="20"/>
                <w:szCs w:val="20"/>
              </w:rPr>
            </w:pPr>
            <w:r w:rsidRPr="000A03FD">
              <w:rPr>
                <w:rFonts w:ascii="Arial Narrow" w:hAnsi="Arial Narrow"/>
                <w:sz w:val="20"/>
                <w:szCs w:val="20"/>
              </w:rPr>
              <w:t>MEPOLIZUMAB</w:t>
            </w:r>
          </w:p>
        </w:tc>
      </w:tr>
      <w:tr w:rsidR="00232D1F" w:rsidRPr="000A03FD" w14:paraId="4BDE7510" w14:textId="77777777" w:rsidTr="00A732B5">
        <w:trPr>
          <w:cantSplit/>
          <w:trHeight w:val="553"/>
        </w:trPr>
        <w:tc>
          <w:tcPr>
            <w:tcW w:w="3681" w:type="dxa"/>
            <w:gridSpan w:val="2"/>
          </w:tcPr>
          <w:p w14:paraId="03244E61" w14:textId="77777777" w:rsidR="00232D1F" w:rsidRPr="000A03FD" w:rsidRDefault="00685AB3" w:rsidP="00146960">
            <w:pPr>
              <w:keepNext/>
              <w:ind w:left="-57"/>
              <w:rPr>
                <w:rFonts w:ascii="Arial Narrow" w:hAnsi="Arial Narrow"/>
                <w:sz w:val="20"/>
                <w:szCs w:val="20"/>
                <w:highlight w:val="yellow"/>
              </w:rPr>
            </w:pPr>
            <w:hyperlink r:id="rId10" w:history="1">
              <w:r w:rsidR="00232D1F" w:rsidRPr="000A03FD">
                <w:rPr>
                  <w:rFonts w:ascii="Arial Narrow" w:hAnsi="Arial Narrow"/>
                  <w:sz w:val="20"/>
                  <w:szCs w:val="20"/>
                </w:rPr>
                <w:t>mepolizumab 100 mg/mL injection, 1 mL pen</w:t>
              </w:r>
            </w:hyperlink>
            <w:r w:rsidR="00232D1F" w:rsidRPr="000A03FD">
              <w:rPr>
                <w:rFonts w:ascii="Arial Narrow" w:hAnsi="Arial Narrow"/>
                <w:sz w:val="20"/>
                <w:szCs w:val="20"/>
              </w:rPr>
              <w:t xml:space="preserve"> device</w:t>
            </w:r>
          </w:p>
        </w:tc>
        <w:tc>
          <w:tcPr>
            <w:tcW w:w="1276" w:type="dxa"/>
          </w:tcPr>
          <w:p w14:paraId="22DF9A0F"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NEW public</w:t>
            </w:r>
          </w:p>
          <w:p w14:paraId="7725FB7A"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NEW private</w:t>
            </w:r>
          </w:p>
        </w:tc>
        <w:tc>
          <w:tcPr>
            <w:tcW w:w="850" w:type="dxa"/>
          </w:tcPr>
          <w:p w14:paraId="072D79D9"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1</w:t>
            </w:r>
          </w:p>
          <w:p w14:paraId="76A83D7D"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1</w:t>
            </w:r>
          </w:p>
        </w:tc>
        <w:tc>
          <w:tcPr>
            <w:tcW w:w="709" w:type="dxa"/>
          </w:tcPr>
          <w:p w14:paraId="2F4BE570"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1</w:t>
            </w:r>
          </w:p>
          <w:p w14:paraId="0DADCB70"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1</w:t>
            </w:r>
          </w:p>
        </w:tc>
        <w:tc>
          <w:tcPr>
            <w:tcW w:w="709" w:type="dxa"/>
          </w:tcPr>
          <w:p w14:paraId="5F6241AE"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5</w:t>
            </w:r>
          </w:p>
          <w:p w14:paraId="577EA0AD" w14:textId="77777777" w:rsidR="00232D1F" w:rsidRPr="000A03FD" w:rsidRDefault="00232D1F" w:rsidP="00146960">
            <w:pPr>
              <w:keepNext/>
              <w:jc w:val="center"/>
              <w:rPr>
                <w:rFonts w:ascii="Arial Narrow" w:hAnsi="Arial Narrow"/>
                <w:sz w:val="20"/>
                <w:szCs w:val="20"/>
              </w:rPr>
            </w:pPr>
            <w:r w:rsidRPr="000A03FD">
              <w:rPr>
                <w:rFonts w:ascii="Arial Narrow" w:hAnsi="Arial Narrow"/>
                <w:sz w:val="20"/>
                <w:szCs w:val="20"/>
              </w:rPr>
              <w:t>5</w:t>
            </w:r>
          </w:p>
        </w:tc>
        <w:tc>
          <w:tcPr>
            <w:tcW w:w="1842" w:type="dxa"/>
          </w:tcPr>
          <w:p w14:paraId="2FE6FF57" w14:textId="77777777" w:rsidR="00232D1F" w:rsidRPr="000A03FD" w:rsidRDefault="00232D1F" w:rsidP="00146960">
            <w:pPr>
              <w:keepNext/>
              <w:rPr>
                <w:rFonts w:ascii="Arial Narrow" w:hAnsi="Arial Narrow"/>
                <w:sz w:val="20"/>
                <w:szCs w:val="20"/>
              </w:rPr>
            </w:pPr>
            <w:r w:rsidRPr="000A03FD">
              <w:rPr>
                <w:rFonts w:ascii="Arial Narrow" w:hAnsi="Arial Narrow"/>
                <w:sz w:val="20"/>
                <w:szCs w:val="20"/>
              </w:rPr>
              <w:t>Nucala</w:t>
            </w:r>
          </w:p>
        </w:tc>
      </w:tr>
      <w:tr w:rsidR="00232D1F" w:rsidRPr="000A03FD" w14:paraId="4A0C4FBF" w14:textId="77777777" w:rsidTr="0014696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03DB317" w14:textId="77777777" w:rsidR="00232D1F" w:rsidRPr="000A03FD" w:rsidRDefault="00232D1F" w:rsidP="00146960">
            <w:pPr>
              <w:rPr>
                <w:rFonts w:ascii="Arial Narrow" w:hAnsi="Arial Narrow"/>
                <w:sz w:val="20"/>
                <w:szCs w:val="20"/>
              </w:rPr>
            </w:pPr>
          </w:p>
        </w:tc>
      </w:tr>
      <w:tr w:rsidR="00232D1F" w:rsidRPr="000A03FD" w14:paraId="4E94C229" w14:textId="77777777" w:rsidTr="0014696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55C3CC9" w14:textId="77777777" w:rsidR="00232D1F" w:rsidRPr="000A03FD" w:rsidRDefault="00232D1F" w:rsidP="00146960">
            <w:pPr>
              <w:rPr>
                <w:rFonts w:ascii="Arial Narrow" w:hAnsi="Arial Narrow"/>
                <w:b/>
                <w:sz w:val="20"/>
                <w:szCs w:val="20"/>
              </w:rPr>
            </w:pPr>
            <w:bookmarkStart w:id="101" w:name="_Hlk119574468"/>
            <w:r w:rsidRPr="000A03FD">
              <w:rPr>
                <w:rFonts w:ascii="Arial Narrow" w:hAnsi="Arial Narrow"/>
                <w:b/>
                <w:sz w:val="20"/>
                <w:szCs w:val="20"/>
              </w:rPr>
              <w:t>Restriction Summary [new] / Treatment of Concept: [new]</w:t>
            </w:r>
          </w:p>
        </w:tc>
      </w:tr>
      <w:tr w:rsidR="00232D1F" w:rsidRPr="000A03FD" w14:paraId="5DDF4106" w14:textId="77777777" w:rsidTr="00146960">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0836A58C" w14:textId="051EE795"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3379AC99" w14:textId="77777777" w:rsidR="00232D1F" w:rsidRPr="000A03FD" w:rsidRDefault="00232D1F" w:rsidP="00146960">
            <w:pPr>
              <w:rPr>
                <w:rFonts w:ascii="Arial Narrow" w:hAnsi="Arial Narrow"/>
                <w:sz w:val="20"/>
                <w:szCs w:val="20"/>
              </w:rPr>
            </w:pPr>
            <w:r w:rsidRPr="000A03FD">
              <w:rPr>
                <w:rFonts w:ascii="Arial Narrow" w:hAnsi="Arial Narrow"/>
                <w:b/>
                <w:sz w:val="20"/>
                <w:szCs w:val="20"/>
              </w:rPr>
              <w:t xml:space="preserve">Category / Program: </w:t>
            </w:r>
            <w:r w:rsidRPr="000A03FD">
              <w:rPr>
                <w:rFonts w:ascii="Arial Narrow" w:hAnsi="Arial Narrow"/>
                <w:sz w:val="20"/>
                <w:szCs w:val="20"/>
              </w:rPr>
              <w:t>Section 100 – Highly Specialised Drugs Program</w:t>
            </w:r>
          </w:p>
        </w:tc>
      </w:tr>
      <w:tr w:rsidR="00232D1F" w:rsidRPr="000A03FD" w14:paraId="50AFE638" w14:textId="77777777" w:rsidTr="00146960">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8CE5C0B"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FADFC2A" w14:textId="77777777" w:rsidR="00232D1F" w:rsidRPr="000A03FD" w:rsidRDefault="00232D1F" w:rsidP="00146960">
            <w:pPr>
              <w:rPr>
                <w:rFonts w:ascii="Arial Narrow" w:hAnsi="Arial Narrow"/>
                <w:b/>
                <w:sz w:val="20"/>
                <w:szCs w:val="20"/>
              </w:rPr>
            </w:pPr>
            <w:r w:rsidRPr="000A03FD">
              <w:rPr>
                <w:rFonts w:ascii="Arial Narrow" w:hAnsi="Arial Narrow"/>
                <w:b/>
                <w:sz w:val="20"/>
                <w:szCs w:val="20"/>
              </w:rPr>
              <w:t xml:space="preserve">Prescriber type:  </w:t>
            </w:r>
            <w:r w:rsidRPr="000A03FD">
              <w:rPr>
                <w:rFonts w:ascii="Arial Narrow" w:hAnsi="Arial Narrow"/>
                <w:sz w:val="20"/>
                <w:szCs w:val="20"/>
              </w:rPr>
              <w:fldChar w:fldCharType="begin" w:fldLock="1">
                <w:ffData>
                  <w:name w:val=""/>
                  <w:enabled/>
                  <w:calcOnExit w:val="0"/>
                  <w:checkBox>
                    <w:sizeAuto/>
                    <w:default w:val="1"/>
                  </w:checkBox>
                </w:ffData>
              </w:fldChar>
            </w:r>
            <w:r w:rsidRPr="000A03FD">
              <w:rPr>
                <w:rFonts w:ascii="Arial Narrow" w:hAnsi="Arial Narrow"/>
                <w:sz w:val="20"/>
                <w:szCs w:val="20"/>
              </w:rPr>
              <w:instrText xml:space="preserve"> FORMCHECKBOX </w:instrText>
            </w:r>
            <w:r w:rsidR="00685AB3">
              <w:rPr>
                <w:rFonts w:ascii="Arial Narrow" w:hAnsi="Arial Narrow"/>
                <w:sz w:val="20"/>
                <w:szCs w:val="20"/>
              </w:rPr>
            </w:r>
            <w:r w:rsidR="00685AB3">
              <w:rPr>
                <w:rFonts w:ascii="Arial Narrow" w:hAnsi="Arial Narrow"/>
                <w:sz w:val="20"/>
                <w:szCs w:val="20"/>
              </w:rPr>
              <w:fldChar w:fldCharType="separate"/>
            </w:r>
            <w:r w:rsidRPr="000A03FD">
              <w:rPr>
                <w:rFonts w:ascii="Arial Narrow" w:hAnsi="Arial Narrow"/>
                <w:sz w:val="20"/>
                <w:szCs w:val="20"/>
              </w:rPr>
              <w:fldChar w:fldCharType="end"/>
            </w:r>
            <w:r w:rsidRPr="000A03FD">
              <w:rPr>
                <w:rFonts w:ascii="Arial Narrow" w:hAnsi="Arial Narrow"/>
                <w:sz w:val="20"/>
                <w:szCs w:val="20"/>
              </w:rPr>
              <w:t>Medical Practitioners</w:t>
            </w:r>
          </w:p>
        </w:tc>
      </w:tr>
      <w:tr w:rsidR="00232D1F" w:rsidRPr="000A03FD" w14:paraId="71EC58D9" w14:textId="77777777" w:rsidTr="00146960">
        <w:tblPrEx>
          <w:tblCellMar>
            <w:top w:w="15" w:type="dxa"/>
            <w:left w:w="15" w:type="dxa"/>
            <w:bottom w:w="15" w:type="dxa"/>
            <w:right w:w="15" w:type="dxa"/>
          </w:tblCellMar>
          <w:tblLook w:val="04A0" w:firstRow="1" w:lastRow="0" w:firstColumn="1" w:lastColumn="0" w:noHBand="0" w:noVBand="1"/>
        </w:tblPrEx>
        <w:trPr>
          <w:trHeight w:val="282"/>
        </w:trPr>
        <w:tc>
          <w:tcPr>
            <w:tcW w:w="981" w:type="dxa"/>
            <w:vMerge/>
            <w:tcBorders>
              <w:left w:val="single" w:sz="4" w:space="0" w:color="auto"/>
              <w:bottom w:val="single" w:sz="4" w:space="0" w:color="auto"/>
              <w:right w:val="single" w:sz="4" w:space="0" w:color="auto"/>
            </w:tcBorders>
          </w:tcPr>
          <w:p w14:paraId="071FE211"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D3052FB" w14:textId="77777777" w:rsidR="00232D1F" w:rsidRPr="000A03FD" w:rsidRDefault="00232D1F" w:rsidP="00146960">
            <w:pPr>
              <w:rPr>
                <w:rFonts w:ascii="Arial Narrow" w:hAnsi="Arial Narrow" w:cs="Times New Roman"/>
                <w:b/>
                <w:sz w:val="20"/>
                <w:szCs w:val="20"/>
              </w:rPr>
            </w:pPr>
            <w:r w:rsidRPr="000A03FD">
              <w:rPr>
                <w:rFonts w:ascii="Arial Narrow" w:hAnsi="Arial Narrow"/>
                <w:b/>
                <w:sz w:val="20"/>
                <w:szCs w:val="20"/>
              </w:rPr>
              <w:t xml:space="preserve">Restriction type: </w:t>
            </w:r>
            <w:r w:rsidRPr="000A03FD">
              <w:rPr>
                <w:rFonts w:ascii="Arial Narrow" w:eastAsia="Calibri" w:hAnsi="Arial Narrow"/>
                <w:sz w:val="20"/>
                <w:szCs w:val="20"/>
              </w:rPr>
              <w:fldChar w:fldCharType="begin" w:fldLock="1">
                <w:ffData>
                  <w:name w:val=""/>
                  <w:enabled/>
                  <w:calcOnExit w:val="0"/>
                  <w:checkBox>
                    <w:sizeAuto/>
                    <w:default w:val="1"/>
                  </w:checkBox>
                </w:ffData>
              </w:fldChar>
            </w:r>
            <w:r w:rsidRPr="000A03FD">
              <w:rPr>
                <w:rFonts w:ascii="Arial Narrow" w:eastAsia="Calibri" w:hAnsi="Arial Narrow"/>
                <w:sz w:val="20"/>
                <w:szCs w:val="20"/>
              </w:rPr>
              <w:instrText xml:space="preserve"> FORMCHECKBOX </w:instrText>
            </w:r>
            <w:r w:rsidR="00685AB3">
              <w:rPr>
                <w:rFonts w:ascii="Arial Narrow" w:eastAsia="Calibri" w:hAnsi="Arial Narrow"/>
                <w:sz w:val="20"/>
                <w:szCs w:val="20"/>
              </w:rPr>
            </w:r>
            <w:r w:rsidR="00685AB3">
              <w:rPr>
                <w:rFonts w:ascii="Arial Narrow" w:eastAsia="Calibri" w:hAnsi="Arial Narrow"/>
                <w:sz w:val="20"/>
                <w:szCs w:val="20"/>
              </w:rPr>
              <w:fldChar w:fldCharType="separate"/>
            </w:r>
            <w:r w:rsidRPr="000A03FD">
              <w:rPr>
                <w:rFonts w:ascii="Arial Narrow" w:eastAsia="Calibri" w:hAnsi="Arial Narrow"/>
                <w:sz w:val="20"/>
                <w:szCs w:val="20"/>
              </w:rPr>
              <w:fldChar w:fldCharType="end"/>
            </w:r>
            <w:r w:rsidRPr="000A03FD">
              <w:rPr>
                <w:rFonts w:ascii="Arial Narrow" w:eastAsia="Calibri" w:hAnsi="Arial Narrow"/>
                <w:sz w:val="20"/>
                <w:szCs w:val="20"/>
              </w:rPr>
              <w:t xml:space="preserve"> Authority Required (in writing only via post/HPOS upload) </w:t>
            </w:r>
          </w:p>
        </w:tc>
      </w:tr>
      <w:tr w:rsidR="00232D1F" w:rsidRPr="000A03FD" w14:paraId="099E1AF6"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13196BCE"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14971C3" w14:textId="77777777" w:rsidR="00232D1F" w:rsidRPr="000A03FD" w:rsidRDefault="00232D1F" w:rsidP="00146960">
            <w:pPr>
              <w:rPr>
                <w:rFonts w:ascii="Arial Narrow" w:hAnsi="Arial Narrow"/>
                <w:b/>
                <w:sz w:val="20"/>
                <w:szCs w:val="20"/>
              </w:rPr>
            </w:pPr>
          </w:p>
        </w:tc>
      </w:tr>
      <w:tr w:rsidR="00232D1F" w:rsidRPr="000A03FD" w14:paraId="03A60D3A"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117D1009" w14:textId="77777777" w:rsidR="00232D1F" w:rsidRPr="000A03FD" w:rsidRDefault="00232D1F" w:rsidP="00146960">
            <w:pPr>
              <w:jc w:val="center"/>
              <w:rPr>
                <w:rFonts w:ascii="Arial Narrow" w:hAnsi="Arial Narrow"/>
                <w:bCs/>
                <w:sz w:val="20"/>
                <w:szCs w:val="20"/>
              </w:rPr>
            </w:pPr>
          </w:p>
        </w:tc>
        <w:tc>
          <w:tcPr>
            <w:tcW w:w="8086" w:type="dxa"/>
            <w:gridSpan w:val="6"/>
          </w:tcPr>
          <w:p w14:paraId="05DCD362" w14:textId="77777777" w:rsidR="00232D1F" w:rsidRPr="000A03FD" w:rsidRDefault="00232D1F" w:rsidP="00146960">
            <w:pPr>
              <w:rPr>
                <w:rFonts w:ascii="Arial Narrow" w:hAnsi="Arial Narrow"/>
                <w:b/>
                <w:bCs/>
                <w:iCs/>
                <w:sz w:val="20"/>
                <w:szCs w:val="20"/>
              </w:rPr>
            </w:pPr>
            <w:r w:rsidRPr="000A03FD">
              <w:rPr>
                <w:rFonts w:ascii="Arial Narrow" w:hAnsi="Arial Narrow"/>
                <w:b/>
                <w:bCs/>
                <w:iCs/>
                <w:sz w:val="20"/>
                <w:szCs w:val="20"/>
              </w:rPr>
              <w:t>Prescribing Rule level Administrative Advice</w:t>
            </w:r>
          </w:p>
        </w:tc>
      </w:tr>
      <w:tr w:rsidR="00232D1F" w:rsidRPr="000A03FD" w14:paraId="694C3681"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14562D82" w14:textId="0DA6F1C9" w:rsidR="00232D1F" w:rsidRPr="000A03FD" w:rsidRDefault="00232D1F" w:rsidP="00146960">
            <w:pPr>
              <w:jc w:val="center"/>
              <w:rPr>
                <w:rFonts w:ascii="Arial Narrow" w:hAnsi="Arial Narrow"/>
                <w:color w:val="333333"/>
                <w:sz w:val="20"/>
                <w:szCs w:val="20"/>
              </w:rPr>
            </w:pPr>
          </w:p>
        </w:tc>
        <w:tc>
          <w:tcPr>
            <w:tcW w:w="8086" w:type="dxa"/>
            <w:gridSpan w:val="6"/>
          </w:tcPr>
          <w:p w14:paraId="491C99FC" w14:textId="77777777" w:rsidR="00232D1F" w:rsidRPr="000A03FD" w:rsidRDefault="00232D1F" w:rsidP="00146960">
            <w:pPr>
              <w:rPr>
                <w:rFonts w:ascii="Arial Narrow" w:hAnsi="Arial Narrow"/>
                <w:bCs/>
                <w:iCs/>
                <w:color w:val="333333"/>
                <w:sz w:val="20"/>
                <w:szCs w:val="20"/>
              </w:rPr>
            </w:pPr>
            <w:r w:rsidRPr="000A03FD">
              <w:rPr>
                <w:rFonts w:ascii="Arial Narrow" w:hAnsi="Arial Narrow"/>
                <w:b/>
                <w:bCs/>
                <w:iCs/>
                <w:sz w:val="20"/>
                <w:szCs w:val="20"/>
              </w:rPr>
              <w:t xml:space="preserve">Administrative advice: </w:t>
            </w:r>
            <w:r w:rsidRPr="000A03FD">
              <w:rPr>
                <w:rFonts w:ascii="Arial Narrow" w:hAnsi="Arial Narrow"/>
                <w:bCs/>
                <w:iCs/>
                <w:sz w:val="20"/>
                <w:szCs w:val="20"/>
              </w:rPr>
              <w:t>No increase in the maximum quantity or number of units may be authorised.</w:t>
            </w:r>
          </w:p>
        </w:tc>
      </w:tr>
      <w:tr w:rsidR="00232D1F" w:rsidRPr="000A03FD" w14:paraId="4D05CAAF"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2BD3EA86" w14:textId="58965767" w:rsidR="00232D1F" w:rsidRPr="000A03FD" w:rsidRDefault="00232D1F" w:rsidP="00146960">
            <w:pPr>
              <w:jc w:val="center"/>
              <w:rPr>
                <w:rFonts w:ascii="Arial Narrow" w:hAnsi="Arial Narrow"/>
                <w:bCs/>
                <w:sz w:val="20"/>
                <w:szCs w:val="20"/>
              </w:rPr>
            </w:pPr>
          </w:p>
        </w:tc>
        <w:tc>
          <w:tcPr>
            <w:tcW w:w="8086" w:type="dxa"/>
            <w:gridSpan w:val="6"/>
          </w:tcPr>
          <w:p w14:paraId="7BD8F396" w14:textId="77777777" w:rsidR="00232D1F" w:rsidRPr="000A03FD" w:rsidRDefault="00232D1F" w:rsidP="00146960">
            <w:pPr>
              <w:rPr>
                <w:rFonts w:ascii="Arial Narrow" w:hAnsi="Arial Narrow"/>
                <w:b/>
                <w:bCs/>
                <w:iCs/>
                <w:sz w:val="20"/>
                <w:szCs w:val="20"/>
              </w:rPr>
            </w:pPr>
            <w:r w:rsidRPr="000A03FD">
              <w:rPr>
                <w:rFonts w:ascii="Arial Narrow" w:hAnsi="Arial Narrow"/>
                <w:b/>
                <w:bCs/>
                <w:iCs/>
                <w:sz w:val="20"/>
                <w:szCs w:val="20"/>
              </w:rPr>
              <w:t xml:space="preserve">Administrative advice: </w:t>
            </w:r>
            <w:r w:rsidRPr="000A03FD">
              <w:rPr>
                <w:rFonts w:ascii="Arial Narrow" w:hAnsi="Arial Narrow"/>
                <w:iCs/>
                <w:sz w:val="20"/>
                <w:szCs w:val="20"/>
              </w:rPr>
              <w:t>No increase in the maximum number of repeats may be authorised.</w:t>
            </w:r>
          </w:p>
        </w:tc>
      </w:tr>
      <w:tr w:rsidR="00232D1F" w:rsidRPr="000A03FD" w14:paraId="4E5F1673"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723D8BE4" w14:textId="1AA3EAC7" w:rsidR="00232D1F" w:rsidRPr="000A03FD" w:rsidRDefault="00232D1F" w:rsidP="00146960">
            <w:pPr>
              <w:jc w:val="center"/>
              <w:rPr>
                <w:rFonts w:ascii="Arial Narrow" w:hAnsi="Arial Narrow"/>
                <w:color w:val="333333"/>
                <w:sz w:val="20"/>
                <w:szCs w:val="20"/>
              </w:rPr>
            </w:pPr>
          </w:p>
        </w:tc>
        <w:tc>
          <w:tcPr>
            <w:tcW w:w="8086" w:type="dxa"/>
            <w:gridSpan w:val="6"/>
          </w:tcPr>
          <w:p w14:paraId="3E2C8E62" w14:textId="77777777" w:rsidR="00232D1F" w:rsidRPr="000A03FD" w:rsidRDefault="00232D1F" w:rsidP="00146960">
            <w:pPr>
              <w:rPr>
                <w:rFonts w:ascii="Arial Narrow" w:hAnsi="Arial Narrow"/>
                <w:b/>
                <w:bCs/>
                <w:iCs/>
                <w:color w:val="333333"/>
                <w:sz w:val="20"/>
                <w:szCs w:val="20"/>
              </w:rPr>
            </w:pPr>
            <w:r w:rsidRPr="000A03FD">
              <w:rPr>
                <w:rFonts w:ascii="Arial Narrow" w:hAnsi="Arial Narrow"/>
                <w:b/>
                <w:bCs/>
                <w:iCs/>
                <w:sz w:val="20"/>
                <w:szCs w:val="20"/>
              </w:rPr>
              <w:t xml:space="preserve">Administrative advice: </w:t>
            </w:r>
            <w:r w:rsidRPr="000A03FD">
              <w:rPr>
                <w:rFonts w:ascii="Arial Narrow" w:hAnsi="Arial Narrow"/>
                <w:bCs/>
                <w:iCs/>
                <w:sz w:val="20"/>
                <w:szCs w:val="20"/>
              </w:rPr>
              <w:t>Special Pricing Arrangements apply.</w:t>
            </w:r>
          </w:p>
        </w:tc>
      </w:tr>
      <w:tr w:rsidR="00232D1F" w:rsidRPr="000A03FD" w14:paraId="58F68879"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30ED133E" w14:textId="1D729E66" w:rsidR="00232D1F" w:rsidRPr="000A03FD" w:rsidRDefault="00232D1F" w:rsidP="00146960">
            <w:pPr>
              <w:jc w:val="center"/>
              <w:rPr>
                <w:rFonts w:ascii="Arial Narrow" w:hAnsi="Arial Narrow"/>
                <w:bCs/>
                <w:sz w:val="20"/>
                <w:szCs w:val="20"/>
              </w:rPr>
            </w:pPr>
          </w:p>
        </w:tc>
        <w:tc>
          <w:tcPr>
            <w:tcW w:w="8086" w:type="dxa"/>
            <w:gridSpan w:val="6"/>
          </w:tcPr>
          <w:p w14:paraId="120806B8" w14:textId="77777777" w:rsidR="00232D1F" w:rsidRPr="000A03FD" w:rsidRDefault="00232D1F" w:rsidP="00146960">
            <w:pPr>
              <w:rPr>
                <w:rFonts w:ascii="Arial Narrow" w:hAnsi="Arial Narrow"/>
                <w:b/>
                <w:bCs/>
                <w:iCs/>
                <w:sz w:val="20"/>
                <w:szCs w:val="20"/>
              </w:rPr>
            </w:pPr>
            <w:r w:rsidRPr="000A03FD">
              <w:rPr>
                <w:rFonts w:ascii="Arial Narrow" w:hAnsi="Arial Narrow"/>
                <w:b/>
                <w:bCs/>
                <w:iCs/>
                <w:sz w:val="20"/>
                <w:szCs w:val="20"/>
              </w:rPr>
              <w:t xml:space="preserve">Administrative advice: </w:t>
            </w:r>
            <w:r w:rsidRPr="000A03FD">
              <w:rPr>
                <w:rFonts w:ascii="Arial Narrow" w:hAnsi="Arial Narrow"/>
                <w:iCs/>
                <w:color w:val="333333"/>
                <w:sz w:val="20"/>
                <w:szCs w:val="20"/>
              </w:rPr>
              <w:t>The length of a break in therapy is measured from the date that the relevant PBS-subsidised medicine listed for this PBS indication is ceased during the most recent treatment cycle until the date of the subsequent application for treatment under a new treatment cycle</w:t>
            </w:r>
          </w:p>
        </w:tc>
      </w:tr>
      <w:tr w:rsidR="00232D1F" w:rsidRPr="000A03FD" w14:paraId="4CA3D7BF"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04DE7CAD" w14:textId="77777777" w:rsidR="00232D1F" w:rsidRPr="000A03FD" w:rsidRDefault="00232D1F" w:rsidP="00146960">
            <w:pPr>
              <w:jc w:val="center"/>
              <w:rPr>
                <w:rFonts w:ascii="Arial Narrow" w:hAnsi="Arial Narrow"/>
                <w:bCs/>
                <w:sz w:val="20"/>
                <w:szCs w:val="20"/>
              </w:rPr>
            </w:pPr>
          </w:p>
        </w:tc>
        <w:tc>
          <w:tcPr>
            <w:tcW w:w="8086" w:type="dxa"/>
            <w:gridSpan w:val="6"/>
          </w:tcPr>
          <w:p w14:paraId="6661AFD8" w14:textId="77777777" w:rsidR="00232D1F" w:rsidRPr="000A03FD" w:rsidRDefault="00232D1F" w:rsidP="00146960">
            <w:pPr>
              <w:rPr>
                <w:rFonts w:ascii="Arial Narrow" w:hAnsi="Arial Narrow"/>
                <w:b/>
                <w:bCs/>
                <w:i/>
                <w:sz w:val="20"/>
                <w:szCs w:val="20"/>
              </w:rPr>
            </w:pPr>
          </w:p>
        </w:tc>
      </w:tr>
      <w:tr w:rsidR="00232D1F" w:rsidRPr="000A03FD" w14:paraId="35CEEDCE"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9891E7" w14:textId="51337B2E"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2C222AC1" w14:textId="77777777" w:rsidR="00232D1F" w:rsidRPr="000A03FD" w:rsidRDefault="00232D1F" w:rsidP="00146960">
            <w:pPr>
              <w:rPr>
                <w:rFonts w:ascii="Arial Narrow" w:hAnsi="Arial Narrow"/>
                <w:i/>
                <w:color w:val="333333"/>
                <w:sz w:val="20"/>
                <w:szCs w:val="20"/>
              </w:rPr>
            </w:pPr>
            <w:r w:rsidRPr="000A03FD">
              <w:rPr>
                <w:rFonts w:ascii="Arial Narrow" w:hAnsi="Arial Narrow"/>
                <w:b/>
                <w:bCs/>
                <w:color w:val="333333"/>
                <w:sz w:val="20"/>
                <w:szCs w:val="20"/>
              </w:rPr>
              <w:t>Indication:</w:t>
            </w:r>
            <w:r w:rsidRPr="000A03FD">
              <w:rPr>
                <w:rFonts w:ascii="Arial Narrow" w:hAnsi="Arial Narrow"/>
                <w:color w:val="333333"/>
                <w:sz w:val="20"/>
                <w:szCs w:val="20"/>
              </w:rPr>
              <w:t xml:space="preserve"> </w:t>
            </w:r>
            <w:r w:rsidRPr="000A03FD">
              <w:rPr>
                <w:rFonts w:ascii="Arial Narrow" w:hAnsi="Arial Narrow"/>
                <w:sz w:val="20"/>
                <w:szCs w:val="20"/>
              </w:rPr>
              <w:t>Chronic rhinosinusitis with nasal polyps (CRSwNP)</w:t>
            </w:r>
          </w:p>
        </w:tc>
      </w:tr>
      <w:tr w:rsidR="00232D1F" w:rsidRPr="000A03FD" w14:paraId="2081AC9A"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85BA72"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4B4E939C" w14:textId="77777777" w:rsidR="00232D1F" w:rsidRPr="000A03FD" w:rsidRDefault="00232D1F" w:rsidP="00146960">
            <w:pPr>
              <w:rPr>
                <w:rFonts w:ascii="Arial Narrow" w:hAnsi="Arial Narrow"/>
                <w:color w:val="FF00FF"/>
                <w:sz w:val="20"/>
                <w:szCs w:val="20"/>
              </w:rPr>
            </w:pPr>
            <w:r w:rsidRPr="000A03FD">
              <w:rPr>
                <w:rFonts w:ascii="Arial Narrow" w:hAnsi="Arial Narrow"/>
                <w:b/>
                <w:bCs/>
                <w:color w:val="333333"/>
                <w:sz w:val="20"/>
                <w:szCs w:val="20"/>
              </w:rPr>
              <w:t>Treatment Phase:</w:t>
            </w:r>
            <w:r w:rsidRPr="000A03FD">
              <w:rPr>
                <w:rFonts w:ascii="Arial Narrow" w:hAnsi="Arial Narrow"/>
                <w:color w:val="FF0000"/>
                <w:sz w:val="20"/>
                <w:szCs w:val="20"/>
              </w:rPr>
              <w:t xml:space="preserve"> </w:t>
            </w:r>
            <w:r w:rsidRPr="000A03FD">
              <w:rPr>
                <w:rFonts w:ascii="Arial Narrow" w:hAnsi="Arial Narrow"/>
                <w:sz w:val="20"/>
                <w:szCs w:val="20"/>
              </w:rPr>
              <w:t>Initial treatment</w:t>
            </w:r>
          </w:p>
        </w:tc>
      </w:tr>
      <w:tr w:rsidR="00232D1F" w:rsidRPr="000A03FD" w14:paraId="69FB192A"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C75D20"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604C4B8C" w14:textId="77777777" w:rsidR="00232D1F" w:rsidRPr="000A03FD" w:rsidRDefault="00232D1F" w:rsidP="00146960">
            <w:pPr>
              <w:rPr>
                <w:rFonts w:ascii="Arial Narrow" w:hAnsi="Arial Narrow"/>
                <w:b/>
                <w:bCs/>
                <w:color w:val="333333"/>
                <w:sz w:val="20"/>
                <w:szCs w:val="20"/>
              </w:rPr>
            </w:pPr>
          </w:p>
        </w:tc>
      </w:tr>
      <w:tr w:rsidR="00232D1F" w:rsidRPr="000A03FD" w14:paraId="20C454E7"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016242"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0D235D70"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Treatment criteria:</w:t>
            </w:r>
          </w:p>
        </w:tc>
      </w:tr>
      <w:tr w:rsidR="00232D1F" w:rsidRPr="000A03FD" w14:paraId="7E432FFF"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F9D2C6" w14:textId="3F098288"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5917B9E3"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color w:val="000000"/>
                <w:sz w:val="20"/>
                <w:szCs w:val="20"/>
                <w:lang w:eastAsia="en-GB"/>
              </w:rPr>
              <w:t>Patient must be treated by a medical practitioner who is either a: (i) respiratory physician, (ii) clinical immunologist, (iii) allergist, (iv) ear nose and throat specialist (ENT), (iv) general physician experienced in the management of patients with CRSwNP.</w:t>
            </w:r>
          </w:p>
        </w:tc>
      </w:tr>
      <w:tr w:rsidR="00232D1F" w:rsidRPr="000A03FD" w14:paraId="350A69BB"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955779"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6649B750" w14:textId="77777777" w:rsidR="00232D1F" w:rsidRPr="000A03FD" w:rsidRDefault="00232D1F" w:rsidP="00146960">
            <w:pPr>
              <w:rPr>
                <w:rFonts w:ascii="Arial Narrow" w:hAnsi="Arial Narrow" w:cstheme="minorHAnsi"/>
                <w:color w:val="000000"/>
                <w:sz w:val="20"/>
                <w:szCs w:val="20"/>
                <w:lang w:eastAsia="en-GB"/>
              </w:rPr>
            </w:pPr>
          </w:p>
        </w:tc>
      </w:tr>
      <w:tr w:rsidR="00232D1F" w:rsidRPr="000A03FD" w14:paraId="5D8DEDAA"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6B86F376" w14:textId="77777777" w:rsidR="00232D1F" w:rsidRPr="000A03FD" w:rsidRDefault="00232D1F" w:rsidP="00146960">
            <w:pPr>
              <w:jc w:val="left"/>
              <w:rPr>
                <w:rFonts w:ascii="Arial Narrow" w:hAnsi="Arial Narrow"/>
                <w:color w:val="333333"/>
                <w:sz w:val="20"/>
                <w:szCs w:val="20"/>
              </w:rPr>
            </w:pPr>
          </w:p>
        </w:tc>
        <w:tc>
          <w:tcPr>
            <w:tcW w:w="8086" w:type="dxa"/>
            <w:gridSpan w:val="6"/>
            <w:vAlign w:val="center"/>
            <w:hideMark/>
          </w:tcPr>
          <w:p w14:paraId="3336EF7A" w14:textId="77777777" w:rsidR="00232D1F" w:rsidRPr="000A03FD" w:rsidRDefault="00232D1F" w:rsidP="00146960">
            <w:pPr>
              <w:rPr>
                <w:rFonts w:ascii="Arial Narrow" w:hAnsi="Arial Narrow"/>
                <w:color w:val="FF00FF"/>
                <w:sz w:val="20"/>
                <w:szCs w:val="20"/>
              </w:rPr>
            </w:pPr>
            <w:r w:rsidRPr="000A03FD">
              <w:rPr>
                <w:rFonts w:ascii="Arial Narrow" w:hAnsi="Arial Narrow"/>
                <w:b/>
                <w:bCs/>
                <w:color w:val="333333"/>
                <w:sz w:val="20"/>
                <w:szCs w:val="20"/>
              </w:rPr>
              <w:t xml:space="preserve">Clinical criteria: </w:t>
            </w:r>
          </w:p>
        </w:tc>
      </w:tr>
      <w:tr w:rsidR="00232D1F" w:rsidRPr="000A03FD" w14:paraId="4476B920" w14:textId="77777777" w:rsidTr="003B671B">
        <w:tblPrEx>
          <w:tblCellMar>
            <w:top w:w="15" w:type="dxa"/>
            <w:left w:w="15" w:type="dxa"/>
            <w:bottom w:w="15" w:type="dxa"/>
            <w:right w:w="15" w:type="dxa"/>
          </w:tblCellMar>
          <w:tblLook w:val="04A0" w:firstRow="1" w:lastRow="0" w:firstColumn="1" w:lastColumn="0" w:noHBand="0" w:noVBand="1"/>
        </w:tblPrEx>
        <w:trPr>
          <w:trHeight w:val="345"/>
        </w:trPr>
        <w:tc>
          <w:tcPr>
            <w:tcW w:w="981" w:type="dxa"/>
            <w:vAlign w:val="center"/>
          </w:tcPr>
          <w:p w14:paraId="28E38480" w14:textId="6AE167AE"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3B5EF200" w14:textId="20D28C57" w:rsidR="00232D1F" w:rsidRPr="000A03FD" w:rsidRDefault="00232D1F" w:rsidP="009C6F4F">
            <w:pPr>
              <w:rPr>
                <w:rFonts w:ascii="Arial Narrow" w:hAnsi="Arial Narrow"/>
                <w:color w:val="333333"/>
                <w:sz w:val="20"/>
                <w:szCs w:val="20"/>
              </w:rPr>
            </w:pPr>
            <w:r w:rsidRPr="000A03FD">
              <w:rPr>
                <w:rFonts w:ascii="Arial Narrow" w:hAnsi="Arial Narrow" w:cstheme="minorHAnsi"/>
                <w:color w:val="000000"/>
                <w:sz w:val="20"/>
                <w:szCs w:val="20"/>
                <w:lang w:eastAsia="en-GB"/>
              </w:rPr>
              <w:t xml:space="preserve">Patient must have a diagnosis of CRSwNP confirmed </w:t>
            </w:r>
            <w:r w:rsidR="009C6F4F" w:rsidRPr="000A03FD">
              <w:rPr>
                <w:rFonts w:ascii="Arial Narrow" w:hAnsi="Arial Narrow" w:cstheme="minorHAnsi"/>
                <w:color w:val="000000"/>
                <w:sz w:val="20"/>
                <w:szCs w:val="20"/>
                <w:lang w:eastAsia="en-GB"/>
              </w:rPr>
              <w:t>by at least one of: (i) nasal endoscopy, (ii) computed tomography (CT) scan, with the results documented in the patient’s medical records.</w:t>
            </w:r>
          </w:p>
        </w:tc>
      </w:tr>
      <w:tr w:rsidR="00232D1F" w:rsidRPr="000A03FD" w14:paraId="1C1339CE" w14:textId="77777777" w:rsidTr="00146960">
        <w:tblPrEx>
          <w:tblCellMar>
            <w:top w:w="15" w:type="dxa"/>
            <w:left w:w="15" w:type="dxa"/>
            <w:bottom w:w="15" w:type="dxa"/>
            <w:right w:w="15" w:type="dxa"/>
          </w:tblCellMar>
          <w:tblLook w:val="04A0" w:firstRow="1" w:lastRow="0" w:firstColumn="1" w:lastColumn="0" w:noHBand="0" w:noVBand="1"/>
        </w:tblPrEx>
        <w:trPr>
          <w:trHeight w:val="344"/>
        </w:trPr>
        <w:tc>
          <w:tcPr>
            <w:tcW w:w="981" w:type="dxa"/>
            <w:vAlign w:val="center"/>
          </w:tcPr>
          <w:p w14:paraId="19A8D346" w14:textId="64537AF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7CBDE550" w14:textId="7EB855C5"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Patient must have a diagnosis of CRSwNP from at least two physicians</w:t>
            </w:r>
            <w:r w:rsidRPr="000A03FD">
              <w:rPr>
                <w:rFonts w:ascii="Arial Narrow" w:hAnsi="Arial Narrow" w:cstheme="minorHAnsi"/>
                <w:i/>
                <w:iCs/>
                <w:color w:val="000000"/>
                <w:sz w:val="20"/>
                <w:szCs w:val="20"/>
                <w:lang w:eastAsia="en-GB"/>
              </w:rPr>
              <w:t xml:space="preserve"> </w:t>
            </w:r>
            <w:r w:rsidRPr="000A03FD">
              <w:rPr>
                <w:rFonts w:ascii="Arial Narrow" w:hAnsi="Arial Narrow" w:cstheme="minorHAnsi"/>
                <w:color w:val="000000"/>
                <w:sz w:val="20"/>
                <w:szCs w:val="20"/>
                <w:lang w:eastAsia="en-GB"/>
              </w:rPr>
              <w:t xml:space="preserve">of the above </w:t>
            </w:r>
            <w:r w:rsidR="009C6F4F" w:rsidRPr="000A03FD">
              <w:rPr>
                <w:rFonts w:ascii="Arial Narrow" w:hAnsi="Arial Narrow" w:cstheme="minorHAnsi"/>
                <w:color w:val="000000"/>
                <w:sz w:val="20"/>
                <w:szCs w:val="20"/>
                <w:lang w:eastAsia="en-GB"/>
              </w:rPr>
              <w:t xml:space="preserve">mentioned </w:t>
            </w:r>
            <w:r w:rsidRPr="000A03FD">
              <w:rPr>
                <w:rFonts w:ascii="Arial Narrow" w:hAnsi="Arial Narrow" w:cstheme="minorHAnsi"/>
                <w:color w:val="000000"/>
                <w:sz w:val="20"/>
                <w:szCs w:val="20"/>
                <w:lang w:eastAsia="en-GB"/>
              </w:rPr>
              <w:t>prescriber types.</w:t>
            </w:r>
          </w:p>
        </w:tc>
      </w:tr>
      <w:tr w:rsidR="00232D1F" w:rsidRPr="000A03FD" w14:paraId="1AECEC0C"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89D6489"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3926A74C"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AND</w:t>
            </w:r>
          </w:p>
        </w:tc>
      </w:tr>
      <w:tr w:rsidR="00232D1F" w:rsidRPr="000A03FD" w14:paraId="0B7FA795"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0E284F3F"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3B74D0EB"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Clinical criteria:</w:t>
            </w:r>
          </w:p>
        </w:tc>
      </w:tr>
      <w:tr w:rsidR="00232D1F" w:rsidRPr="000A03FD" w14:paraId="457632E4"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B4CBB4C" w14:textId="71A14033"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9BA26FB" w14:textId="3BBA28A3" w:rsidR="00232D1F" w:rsidRPr="000A03FD" w:rsidRDefault="00232D1F" w:rsidP="00146960">
            <w:pPr>
              <w:rPr>
                <w:rFonts w:ascii="Arial Narrow" w:hAnsi="Arial Narrow"/>
                <w:bCs/>
                <w:color w:val="333333"/>
                <w:sz w:val="20"/>
                <w:szCs w:val="20"/>
              </w:rPr>
            </w:pPr>
            <w:r w:rsidRPr="000A03FD">
              <w:rPr>
                <w:rFonts w:ascii="Arial Narrow" w:hAnsi="Arial Narrow"/>
                <w:bCs/>
                <w:color w:val="333333"/>
                <w:sz w:val="20"/>
                <w:szCs w:val="20"/>
              </w:rPr>
              <w:t xml:space="preserve">Patient must have </w:t>
            </w:r>
            <w:r w:rsidR="009C6F4F" w:rsidRPr="000A03FD">
              <w:rPr>
                <w:rFonts w:ascii="Arial Narrow" w:hAnsi="Arial Narrow"/>
                <w:bCs/>
                <w:color w:val="333333"/>
                <w:sz w:val="20"/>
                <w:szCs w:val="20"/>
              </w:rPr>
              <w:t xml:space="preserve">undergone </w:t>
            </w:r>
            <w:r w:rsidRPr="000A03FD">
              <w:rPr>
                <w:rFonts w:ascii="Arial Narrow" w:hAnsi="Arial Narrow"/>
                <w:bCs/>
                <w:color w:val="333333"/>
                <w:sz w:val="20"/>
                <w:szCs w:val="20"/>
              </w:rPr>
              <w:t>surgery for the removal of nasal polyps; or</w:t>
            </w:r>
          </w:p>
        </w:tc>
      </w:tr>
      <w:tr w:rsidR="00232D1F" w:rsidRPr="000A03FD" w14:paraId="253773A6"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28B2826" w14:textId="5228E900"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F90130C" w14:textId="70518A3B" w:rsidR="00232D1F" w:rsidRPr="000A03FD" w:rsidRDefault="00232D1F" w:rsidP="00DD5862">
            <w:pPr>
              <w:rPr>
                <w:rFonts w:ascii="Arial Narrow" w:hAnsi="Arial Narrow"/>
                <w:bCs/>
                <w:strike/>
                <w:color w:val="333333"/>
                <w:sz w:val="20"/>
                <w:szCs w:val="20"/>
              </w:rPr>
            </w:pPr>
            <w:r w:rsidRPr="000A03FD">
              <w:rPr>
                <w:rFonts w:ascii="Arial Narrow" w:hAnsi="Arial Narrow"/>
                <w:bCs/>
                <w:color w:val="333333"/>
                <w:sz w:val="20"/>
                <w:szCs w:val="20"/>
              </w:rPr>
              <w:t xml:space="preserve">Patient must </w:t>
            </w:r>
            <w:r w:rsidR="00DD5862" w:rsidRPr="000A03FD">
              <w:rPr>
                <w:rFonts w:ascii="Arial Narrow" w:hAnsi="Arial Narrow"/>
                <w:bCs/>
                <w:color w:val="333333"/>
                <w:sz w:val="20"/>
                <w:szCs w:val="20"/>
              </w:rPr>
              <w:t>have the written advice from at least two physicians of the above mentioned prescriber types demonstrating inappropriateness for surgery.</w:t>
            </w:r>
          </w:p>
        </w:tc>
      </w:tr>
      <w:tr w:rsidR="00232D1F" w:rsidRPr="000A03FD" w14:paraId="56F50074"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B5C7B4C" w14:textId="77777777" w:rsidR="00232D1F" w:rsidRPr="000A03FD" w:rsidRDefault="00232D1F" w:rsidP="00146960">
            <w:pPr>
              <w:jc w:val="center"/>
              <w:rPr>
                <w:rFonts w:ascii="Arial Narrow" w:hAnsi="Arial Narrow"/>
                <w:b/>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5F30434"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AND</w:t>
            </w:r>
          </w:p>
        </w:tc>
      </w:tr>
      <w:tr w:rsidR="00232D1F" w:rsidRPr="000A03FD" w14:paraId="7DD44D8D"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01F3983" w14:textId="77777777" w:rsidR="00232D1F" w:rsidRPr="000A03FD" w:rsidRDefault="00232D1F" w:rsidP="00146960">
            <w:pPr>
              <w:jc w:val="center"/>
              <w:rPr>
                <w:rFonts w:ascii="Arial Narrow" w:hAnsi="Arial Narrow"/>
                <w:color w:val="333333"/>
                <w:sz w:val="20"/>
                <w:szCs w:val="20"/>
              </w:rPr>
            </w:pPr>
            <w:bookmarkStart w:id="102" w:name="_Hlk119575914"/>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18EE0220"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Clinical criteria:</w:t>
            </w:r>
          </w:p>
        </w:tc>
      </w:tr>
      <w:bookmarkEnd w:id="102"/>
      <w:tr w:rsidR="00232D1F" w:rsidRPr="000A03FD" w14:paraId="56C993BC"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4B028CF" w14:textId="067F843D"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51A8085" w14:textId="303F4C51" w:rsidR="00232D1F" w:rsidRPr="000A03FD" w:rsidRDefault="00232D1F" w:rsidP="00232D1F">
            <w:pPr>
              <w:jc w:val="left"/>
              <w:rPr>
                <w:rFonts w:ascii="Arial Narrow" w:hAnsi="Arial Narrow" w:cstheme="minorBidi"/>
                <w:iCs/>
                <w:sz w:val="20"/>
                <w:szCs w:val="20"/>
                <w:lang w:eastAsia="en-GB"/>
              </w:rPr>
            </w:pPr>
            <w:r w:rsidRPr="000A03FD">
              <w:rPr>
                <w:rFonts w:ascii="Arial Narrow" w:hAnsi="Arial Narrow" w:cstheme="minorBidi"/>
                <w:iCs/>
                <w:sz w:val="20"/>
                <w:szCs w:val="20"/>
                <w:lang w:eastAsia="en-GB"/>
              </w:rPr>
              <w:t>Patient must have</w:t>
            </w:r>
            <w:r w:rsidR="00011D5F" w:rsidRPr="000A03FD">
              <w:rPr>
                <w:rFonts w:ascii="Arial Narrow" w:hAnsi="Arial Narrow" w:cstheme="minorBidi"/>
                <w:iCs/>
                <w:sz w:val="20"/>
                <w:szCs w:val="20"/>
                <w:lang w:eastAsia="en-GB"/>
              </w:rPr>
              <w:t>, despite optimised nasal polyp therapy,</w:t>
            </w:r>
            <w:r w:rsidRPr="000A03FD">
              <w:rPr>
                <w:rFonts w:ascii="Arial Narrow" w:hAnsi="Arial Narrow" w:cstheme="minorBidi"/>
                <w:iCs/>
                <w:sz w:val="20"/>
                <w:szCs w:val="20"/>
                <w:lang w:eastAsia="en-GB"/>
              </w:rPr>
              <w:t xml:space="preserve"> at least two of:</w:t>
            </w:r>
            <w:r w:rsidRPr="000A03FD">
              <w:rPr>
                <w:rFonts w:ascii="Arial Narrow" w:hAnsi="Arial Narrow" w:cstheme="minorBidi"/>
                <w:iCs/>
                <w:sz w:val="20"/>
                <w:szCs w:val="20"/>
                <w:lang w:eastAsia="en-GB"/>
              </w:rPr>
              <w:br/>
              <w:t>(a) bilateral endoscopic nasal polyp score of at least 5 (out of a maximum score of 8, with a minimum score of 2 in each nasal cavity),</w:t>
            </w:r>
          </w:p>
          <w:p w14:paraId="64C11055" w14:textId="6D8DC6F7" w:rsidR="00232D1F" w:rsidRPr="000A03FD" w:rsidRDefault="00232D1F" w:rsidP="00146960">
            <w:pPr>
              <w:rPr>
                <w:rFonts w:ascii="Arial Narrow" w:hAnsi="Arial Narrow" w:cstheme="minorHAnsi"/>
                <w:iCs/>
                <w:sz w:val="20"/>
                <w:szCs w:val="20"/>
                <w:lang w:eastAsia="en-GB"/>
              </w:rPr>
            </w:pPr>
            <w:r w:rsidRPr="000A03FD">
              <w:rPr>
                <w:rFonts w:ascii="Arial Narrow" w:hAnsi="Arial Narrow" w:cstheme="minorHAnsi"/>
                <w:iCs/>
                <w:sz w:val="20"/>
                <w:szCs w:val="20"/>
                <w:lang w:eastAsia="en-GB"/>
              </w:rPr>
              <w:t>(b) nasal obstruction visual analogue scale (VAS) score greater than 5 (out of a maximum score of 10)</w:t>
            </w:r>
            <w:r w:rsidR="00011D5F" w:rsidRPr="000A03FD">
              <w:rPr>
                <w:rFonts w:ascii="Arial Narrow" w:hAnsi="Arial Narrow" w:cstheme="minorHAnsi"/>
                <w:iCs/>
                <w:sz w:val="20"/>
                <w:szCs w:val="20"/>
                <w:lang w:eastAsia="en-GB"/>
              </w:rPr>
              <w:t>,</w:t>
            </w:r>
          </w:p>
          <w:p w14:paraId="5D9C788D" w14:textId="7316EE55" w:rsidR="00232D1F" w:rsidRPr="000A03FD" w:rsidRDefault="00232D1F" w:rsidP="00146960">
            <w:pPr>
              <w:rPr>
                <w:rFonts w:ascii="Arial Narrow" w:hAnsi="Arial Narrow" w:cstheme="minorHAnsi"/>
                <w:i/>
                <w:sz w:val="20"/>
                <w:szCs w:val="20"/>
                <w:lang w:eastAsia="en-GB"/>
              </w:rPr>
            </w:pPr>
            <w:r w:rsidRPr="000A03FD">
              <w:rPr>
                <w:rFonts w:ascii="Arial Narrow" w:hAnsi="Arial Narrow" w:cstheme="minorHAnsi"/>
                <w:iCs/>
                <w:sz w:val="20"/>
                <w:szCs w:val="20"/>
                <w:lang w:eastAsia="en-GB"/>
              </w:rPr>
              <w:t>(c) overall symptom VAS score greater than 7 (out of a maximum score of 10).</w:t>
            </w:r>
          </w:p>
        </w:tc>
      </w:tr>
      <w:tr w:rsidR="00232D1F" w:rsidRPr="000A03FD" w14:paraId="16E06CBE"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E357D53" w14:textId="77777777" w:rsidR="00232D1F" w:rsidRPr="000A03FD" w:rsidRDefault="00232D1F" w:rsidP="00146960">
            <w:pPr>
              <w:jc w:val="center"/>
              <w:rPr>
                <w:rFonts w:ascii="Arial Narrow" w:hAnsi="Arial Narrow"/>
                <w:color w:val="333333"/>
                <w:sz w:val="20"/>
                <w:szCs w:val="20"/>
              </w:rPr>
            </w:pPr>
            <w:bookmarkStart w:id="103" w:name="_Hlk119575925"/>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5158D74" w14:textId="77777777" w:rsidR="00232D1F" w:rsidRPr="000A03FD" w:rsidRDefault="00232D1F" w:rsidP="00146960">
            <w:pPr>
              <w:rPr>
                <w:rFonts w:ascii="Arial Narrow" w:hAnsi="Arial Narrow" w:cstheme="minorBidi"/>
                <w:b/>
                <w:sz w:val="20"/>
                <w:szCs w:val="20"/>
                <w:lang w:eastAsia="en-GB"/>
              </w:rPr>
            </w:pPr>
            <w:r w:rsidRPr="000A03FD">
              <w:rPr>
                <w:rFonts w:ascii="Arial Narrow" w:hAnsi="Arial Narrow" w:cstheme="minorBidi"/>
                <w:b/>
                <w:sz w:val="20"/>
                <w:szCs w:val="20"/>
                <w:lang w:eastAsia="en-GB"/>
              </w:rPr>
              <w:t>AND</w:t>
            </w:r>
          </w:p>
        </w:tc>
      </w:tr>
      <w:bookmarkEnd w:id="103"/>
      <w:tr w:rsidR="00232D1F" w:rsidRPr="000A03FD" w14:paraId="680A2632"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B86115"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4E7134F9"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Clinical criteria:</w:t>
            </w:r>
          </w:p>
        </w:tc>
      </w:tr>
      <w:tr w:rsidR="00232D1F" w:rsidRPr="000A03FD" w14:paraId="2E46D3C5" w14:textId="77777777" w:rsidTr="00146960">
        <w:tblPrEx>
          <w:tblCellMar>
            <w:top w:w="15" w:type="dxa"/>
            <w:left w:w="15" w:type="dxa"/>
            <w:bottom w:w="15" w:type="dxa"/>
            <w:right w:w="15" w:type="dxa"/>
          </w:tblCellMar>
          <w:tblLook w:val="04A0" w:firstRow="1" w:lastRow="0" w:firstColumn="1" w:lastColumn="0" w:noHBand="0" w:noVBand="1"/>
        </w:tblPrEx>
        <w:trPr>
          <w:trHeight w:val="370"/>
        </w:trPr>
        <w:tc>
          <w:tcPr>
            <w:tcW w:w="981" w:type="dxa"/>
            <w:vAlign w:val="center"/>
          </w:tcPr>
          <w:p w14:paraId="68684206" w14:textId="6500C6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02B9D5AC"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Patient must not have received PBS-subsidised treatment with a biological medicine for this condition; or</w:t>
            </w:r>
          </w:p>
        </w:tc>
      </w:tr>
      <w:tr w:rsidR="00232D1F" w:rsidRPr="000A03FD" w14:paraId="6036173C" w14:textId="77777777" w:rsidTr="00146960">
        <w:tblPrEx>
          <w:tblCellMar>
            <w:top w:w="15" w:type="dxa"/>
            <w:left w:w="15" w:type="dxa"/>
            <w:bottom w:w="15" w:type="dxa"/>
            <w:right w:w="15" w:type="dxa"/>
          </w:tblCellMar>
          <w:tblLook w:val="04A0" w:firstRow="1" w:lastRow="0" w:firstColumn="1" w:lastColumn="0" w:noHBand="0" w:noVBand="1"/>
        </w:tblPrEx>
        <w:trPr>
          <w:trHeight w:val="368"/>
        </w:trPr>
        <w:tc>
          <w:tcPr>
            <w:tcW w:w="981" w:type="dxa"/>
            <w:vAlign w:val="center"/>
          </w:tcPr>
          <w:p w14:paraId="6E36ED74" w14:textId="69CAA6CF"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4C407785"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 xml:space="preserve">Patient must have had a 12 month break in PBS-subsidised treatment </w:t>
            </w:r>
            <w:r w:rsidRPr="008761E0">
              <w:rPr>
                <w:rFonts w:ascii="Arial Narrow" w:hAnsi="Arial Narrow" w:cstheme="minorHAnsi"/>
                <w:color w:val="000000"/>
                <w:sz w:val="20"/>
                <w:szCs w:val="20"/>
                <w:lang w:eastAsia="en-GB"/>
              </w:rPr>
              <w:t>with a biological medicine for this condition</w:t>
            </w:r>
            <w:r w:rsidRPr="008761E0">
              <w:rPr>
                <w:rFonts w:ascii="Arial Narrow" w:hAnsi="Arial Narrow" w:cstheme="minorHAnsi"/>
                <w:i/>
                <w:iCs/>
                <w:color w:val="000000"/>
                <w:sz w:val="20"/>
                <w:szCs w:val="20"/>
                <w:lang w:eastAsia="en-GB"/>
              </w:rPr>
              <w:t>.</w:t>
            </w:r>
          </w:p>
        </w:tc>
      </w:tr>
      <w:tr w:rsidR="00E310D5" w:rsidRPr="000A03FD" w14:paraId="1E5C85E9"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87CD5D8" w14:textId="77777777" w:rsidR="00E310D5" w:rsidRPr="000A03FD" w:rsidRDefault="00E310D5"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824945D" w14:textId="77777777" w:rsidR="00E310D5" w:rsidRPr="000A03FD" w:rsidRDefault="00E310D5" w:rsidP="00146960">
            <w:pPr>
              <w:rPr>
                <w:rFonts w:ascii="Arial Narrow" w:hAnsi="Arial Narrow" w:cstheme="minorBidi"/>
                <w:b/>
                <w:sz w:val="20"/>
                <w:szCs w:val="20"/>
                <w:lang w:eastAsia="en-GB"/>
              </w:rPr>
            </w:pPr>
            <w:r w:rsidRPr="000A03FD">
              <w:rPr>
                <w:rFonts w:ascii="Arial Narrow" w:hAnsi="Arial Narrow" w:cstheme="minorBidi"/>
                <w:b/>
                <w:sz w:val="20"/>
                <w:szCs w:val="20"/>
                <w:lang w:eastAsia="en-GB"/>
              </w:rPr>
              <w:t>AND</w:t>
            </w:r>
          </w:p>
        </w:tc>
      </w:tr>
      <w:tr w:rsidR="00E310D5" w:rsidRPr="000A03FD" w14:paraId="5D86C5E4"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21095645" w14:textId="77777777" w:rsidR="00E310D5" w:rsidRPr="000A03FD" w:rsidRDefault="00E310D5"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E3F4D56" w14:textId="77777777" w:rsidR="00E310D5" w:rsidRPr="000A03FD" w:rsidRDefault="00E310D5" w:rsidP="00146960">
            <w:pPr>
              <w:rPr>
                <w:rFonts w:ascii="Arial Narrow" w:hAnsi="Arial Narrow"/>
                <w:b/>
                <w:bCs/>
                <w:color w:val="333333"/>
                <w:sz w:val="20"/>
                <w:szCs w:val="20"/>
              </w:rPr>
            </w:pPr>
            <w:r w:rsidRPr="000A03FD">
              <w:rPr>
                <w:rFonts w:ascii="Arial Narrow" w:hAnsi="Arial Narrow"/>
                <w:b/>
                <w:bCs/>
                <w:color w:val="333333"/>
                <w:sz w:val="20"/>
                <w:szCs w:val="20"/>
              </w:rPr>
              <w:t>Clinical criteria:</w:t>
            </w:r>
          </w:p>
        </w:tc>
      </w:tr>
      <w:tr w:rsidR="00232D1F" w:rsidRPr="000A03FD" w14:paraId="2D2FAEB2" w14:textId="77777777" w:rsidTr="00146960">
        <w:tblPrEx>
          <w:tblCellMar>
            <w:top w:w="15" w:type="dxa"/>
            <w:left w:w="15" w:type="dxa"/>
            <w:bottom w:w="15" w:type="dxa"/>
            <w:right w:w="15" w:type="dxa"/>
          </w:tblCellMar>
          <w:tblLook w:val="04A0" w:firstRow="1" w:lastRow="0" w:firstColumn="1" w:lastColumn="0" w:noHBand="0" w:noVBand="1"/>
        </w:tblPrEx>
        <w:trPr>
          <w:trHeight w:val="368"/>
        </w:trPr>
        <w:tc>
          <w:tcPr>
            <w:tcW w:w="981" w:type="dxa"/>
            <w:vAlign w:val="center"/>
          </w:tcPr>
          <w:p w14:paraId="79C0CF13" w14:textId="1E6E3C6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74D51265" w14:textId="67DD3B68"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The treatment must not be used in combination with</w:t>
            </w:r>
            <w:r w:rsidR="003134C3" w:rsidRPr="000A03FD">
              <w:rPr>
                <w:rFonts w:ascii="Arial Narrow" w:hAnsi="Arial Narrow" w:cstheme="minorHAnsi"/>
                <w:color w:val="000000"/>
                <w:sz w:val="20"/>
                <w:szCs w:val="20"/>
                <w:lang w:eastAsia="en-GB"/>
              </w:rPr>
              <w:t xml:space="preserve"> and </w:t>
            </w:r>
            <w:r w:rsidRPr="000A03FD">
              <w:rPr>
                <w:rFonts w:ascii="Arial Narrow" w:hAnsi="Arial Narrow" w:cstheme="minorHAnsi"/>
                <w:color w:val="000000"/>
                <w:sz w:val="20"/>
                <w:szCs w:val="20"/>
                <w:lang w:eastAsia="en-GB"/>
              </w:rPr>
              <w:t xml:space="preserve">within 4 weeks of another PBS-subsidised biological medicine prescribed for </w:t>
            </w:r>
            <w:r w:rsidR="003134C3" w:rsidRPr="000A03FD">
              <w:rPr>
                <w:rFonts w:ascii="Arial Narrow" w:hAnsi="Arial Narrow" w:cstheme="minorHAnsi"/>
                <w:color w:val="000000"/>
                <w:sz w:val="20"/>
                <w:szCs w:val="20"/>
                <w:lang w:eastAsia="en-GB"/>
              </w:rPr>
              <w:t>any of: (i) nasal polyps, (ii) uncontrolled severe</w:t>
            </w:r>
            <w:r w:rsidR="00710FF9" w:rsidRPr="000A03FD">
              <w:rPr>
                <w:rFonts w:ascii="Arial Narrow" w:hAnsi="Arial Narrow" w:cstheme="minorHAnsi"/>
                <w:color w:val="000000"/>
                <w:sz w:val="20"/>
                <w:szCs w:val="20"/>
                <w:lang w:eastAsia="en-GB"/>
              </w:rPr>
              <w:t xml:space="preserve"> allergic</w:t>
            </w:r>
            <w:r w:rsidR="003134C3" w:rsidRPr="000A03FD">
              <w:rPr>
                <w:rFonts w:ascii="Arial Narrow" w:hAnsi="Arial Narrow" w:cstheme="minorHAnsi"/>
                <w:color w:val="000000"/>
                <w:sz w:val="20"/>
                <w:szCs w:val="20"/>
                <w:lang w:eastAsia="en-GB"/>
              </w:rPr>
              <w:t xml:space="preserve"> asthma</w:t>
            </w:r>
            <w:r w:rsidR="00710FF9" w:rsidRPr="000A03FD">
              <w:rPr>
                <w:rFonts w:ascii="Arial Narrow" w:hAnsi="Arial Narrow" w:cstheme="minorHAnsi"/>
                <w:color w:val="000000"/>
                <w:sz w:val="20"/>
                <w:szCs w:val="20"/>
                <w:lang w:eastAsia="en-GB"/>
              </w:rPr>
              <w:t>, (iii) uncontrolled severe asthma.</w:t>
            </w:r>
          </w:p>
        </w:tc>
      </w:tr>
      <w:tr w:rsidR="00232D1F" w:rsidRPr="000A03FD" w14:paraId="715B72D4"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194D9BD6" w14:textId="77777777" w:rsidR="00232D1F" w:rsidRPr="000A03FD" w:rsidRDefault="00232D1F" w:rsidP="00146960">
            <w:pPr>
              <w:jc w:val="center"/>
              <w:rPr>
                <w:rFonts w:ascii="Arial Narrow" w:hAnsi="Arial Narrow"/>
                <w:b/>
                <w:color w:val="333333"/>
                <w:sz w:val="20"/>
                <w:szCs w:val="20"/>
              </w:rPr>
            </w:pPr>
          </w:p>
        </w:tc>
        <w:tc>
          <w:tcPr>
            <w:tcW w:w="8086" w:type="dxa"/>
            <w:gridSpan w:val="6"/>
            <w:vAlign w:val="center"/>
          </w:tcPr>
          <w:p w14:paraId="51602AEC" w14:textId="77777777" w:rsidR="00232D1F" w:rsidRPr="000A03FD" w:rsidRDefault="00232D1F" w:rsidP="00146960">
            <w:pPr>
              <w:rPr>
                <w:rFonts w:ascii="Arial Narrow" w:hAnsi="Arial Narrow" w:cstheme="minorHAnsi"/>
                <w:b/>
                <w:color w:val="000000"/>
                <w:sz w:val="20"/>
                <w:szCs w:val="20"/>
                <w:lang w:eastAsia="en-GB"/>
              </w:rPr>
            </w:pPr>
            <w:r w:rsidRPr="000A03FD">
              <w:rPr>
                <w:rFonts w:ascii="Arial Narrow" w:hAnsi="Arial Narrow" w:cstheme="minorHAnsi"/>
                <w:b/>
                <w:color w:val="000000"/>
                <w:sz w:val="20"/>
                <w:szCs w:val="20"/>
                <w:lang w:eastAsia="en-GB"/>
              </w:rPr>
              <w:t>AND</w:t>
            </w:r>
          </w:p>
        </w:tc>
      </w:tr>
      <w:tr w:rsidR="00232D1F" w:rsidRPr="000A03FD" w14:paraId="73464138"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5119B6" w14:textId="77777777" w:rsidR="00232D1F" w:rsidRPr="000A03FD" w:rsidRDefault="00232D1F" w:rsidP="00146960">
            <w:pPr>
              <w:jc w:val="center"/>
              <w:rPr>
                <w:rFonts w:ascii="Arial Narrow" w:hAnsi="Arial Narrow"/>
                <w:b/>
                <w:color w:val="333333"/>
                <w:sz w:val="20"/>
                <w:szCs w:val="20"/>
              </w:rPr>
            </w:pPr>
          </w:p>
        </w:tc>
        <w:tc>
          <w:tcPr>
            <w:tcW w:w="8086" w:type="dxa"/>
            <w:gridSpan w:val="6"/>
            <w:vAlign w:val="center"/>
          </w:tcPr>
          <w:p w14:paraId="2E544E22" w14:textId="77777777" w:rsidR="00232D1F" w:rsidRPr="000A03FD" w:rsidRDefault="00232D1F" w:rsidP="00146960">
            <w:pPr>
              <w:rPr>
                <w:rFonts w:ascii="Arial Narrow" w:hAnsi="Arial Narrow" w:cstheme="minorHAnsi"/>
                <w:b/>
                <w:color w:val="000000"/>
                <w:sz w:val="20"/>
                <w:szCs w:val="20"/>
                <w:lang w:eastAsia="en-GB"/>
              </w:rPr>
            </w:pPr>
            <w:r w:rsidRPr="000A03FD">
              <w:rPr>
                <w:rFonts w:ascii="Arial Narrow" w:hAnsi="Arial Narrow" w:cstheme="minorHAnsi"/>
                <w:b/>
                <w:color w:val="000000"/>
                <w:sz w:val="20"/>
                <w:szCs w:val="20"/>
                <w:lang w:eastAsia="en-GB"/>
              </w:rPr>
              <w:t>Clinical criteria:</w:t>
            </w:r>
          </w:p>
        </w:tc>
      </w:tr>
      <w:tr w:rsidR="00232D1F" w:rsidRPr="000A03FD" w14:paraId="189FA993"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6940FD7F" w14:textId="060FEFCC"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7D49F096"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Patient must have failed to achieve adequate control with optimised nasal polyp therapy which has been documented.</w:t>
            </w:r>
          </w:p>
        </w:tc>
      </w:tr>
      <w:tr w:rsidR="00232D1F" w:rsidRPr="000A03FD" w14:paraId="65E3EE09"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40392247"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6AE4C845" w14:textId="77777777" w:rsidR="00232D1F" w:rsidRPr="000A03FD" w:rsidRDefault="00232D1F" w:rsidP="00146960">
            <w:pPr>
              <w:rPr>
                <w:rFonts w:ascii="Arial Narrow" w:hAnsi="Arial Narrow" w:cstheme="minorHAnsi"/>
                <w:b/>
                <w:color w:val="000000"/>
                <w:sz w:val="20"/>
                <w:szCs w:val="20"/>
                <w:lang w:eastAsia="en-GB"/>
              </w:rPr>
            </w:pPr>
            <w:r w:rsidRPr="000A03FD">
              <w:rPr>
                <w:rFonts w:ascii="Arial Narrow" w:hAnsi="Arial Narrow" w:cstheme="minorHAnsi"/>
                <w:b/>
                <w:color w:val="000000"/>
                <w:sz w:val="20"/>
                <w:szCs w:val="20"/>
                <w:lang w:eastAsia="en-GB"/>
              </w:rPr>
              <w:t>AND</w:t>
            </w:r>
          </w:p>
        </w:tc>
      </w:tr>
      <w:tr w:rsidR="00232D1F" w:rsidRPr="000A03FD" w14:paraId="0CA47B35"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2FA98E" w14:textId="2C6F1750"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6388A811" w14:textId="77777777" w:rsidR="00232D1F" w:rsidRPr="000A03FD" w:rsidRDefault="00232D1F" w:rsidP="00146960">
            <w:pPr>
              <w:rPr>
                <w:rFonts w:ascii="Arial Narrow" w:hAnsi="Arial Narrow" w:cstheme="minorHAnsi"/>
                <w:b/>
                <w:color w:val="000000"/>
                <w:sz w:val="20"/>
                <w:szCs w:val="20"/>
                <w:lang w:eastAsia="en-GB"/>
              </w:rPr>
            </w:pPr>
            <w:r w:rsidRPr="000A03FD">
              <w:rPr>
                <w:rFonts w:ascii="Arial Narrow" w:hAnsi="Arial Narrow" w:cstheme="minorHAnsi"/>
                <w:b/>
                <w:color w:val="000000"/>
                <w:sz w:val="20"/>
                <w:szCs w:val="20"/>
                <w:lang w:eastAsia="en-GB"/>
              </w:rPr>
              <w:t>Clinical criteria:</w:t>
            </w:r>
          </w:p>
        </w:tc>
      </w:tr>
      <w:tr w:rsidR="00232D1F" w:rsidRPr="000A03FD" w14:paraId="2D19A55E" w14:textId="77777777" w:rsidTr="00146960">
        <w:tblPrEx>
          <w:tblCellMar>
            <w:top w:w="15" w:type="dxa"/>
            <w:left w:w="15" w:type="dxa"/>
            <w:bottom w:w="15" w:type="dxa"/>
            <w:right w:w="15" w:type="dxa"/>
          </w:tblCellMar>
          <w:tblLook w:val="04A0" w:firstRow="1" w:lastRow="0" w:firstColumn="1" w:lastColumn="0" w:noHBand="0" w:noVBand="1"/>
        </w:tblPrEx>
        <w:trPr>
          <w:trHeight w:val="317"/>
        </w:trPr>
        <w:tc>
          <w:tcPr>
            <w:tcW w:w="981" w:type="dxa"/>
            <w:vAlign w:val="center"/>
          </w:tcPr>
          <w:p w14:paraId="1D174A5E" w14:textId="3CDE265D"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218CAEC6" w14:textId="46F984C3" w:rsidR="00232D1F" w:rsidRPr="000A03FD" w:rsidRDefault="00232D1F" w:rsidP="00146960">
            <w:pPr>
              <w:rPr>
                <w:rFonts w:ascii="Arial Narrow" w:hAnsi="Arial Narrow"/>
                <w:color w:val="333333"/>
                <w:sz w:val="20"/>
                <w:szCs w:val="20"/>
              </w:rPr>
            </w:pPr>
            <w:r w:rsidRPr="000A03FD">
              <w:rPr>
                <w:rFonts w:ascii="Arial Narrow" w:hAnsi="Arial Narrow"/>
                <w:color w:val="333333"/>
                <w:sz w:val="20"/>
                <w:szCs w:val="20"/>
              </w:rPr>
              <w:t>Patient must have blood eosinophil count greater than or equal to 300 cells per microlitre in the last 12 months</w:t>
            </w:r>
            <w:r w:rsidR="00A71A19" w:rsidRPr="000A03FD">
              <w:rPr>
                <w:rFonts w:ascii="Arial Narrow" w:hAnsi="Arial Narrow"/>
                <w:color w:val="333333"/>
                <w:sz w:val="20"/>
                <w:szCs w:val="20"/>
              </w:rPr>
              <w:t>.</w:t>
            </w:r>
          </w:p>
        </w:tc>
      </w:tr>
      <w:tr w:rsidR="00232D1F" w:rsidRPr="000A03FD" w14:paraId="779D21D1" w14:textId="77777777" w:rsidTr="00146960">
        <w:tblPrEx>
          <w:tblCellMar>
            <w:top w:w="15" w:type="dxa"/>
            <w:left w:w="15" w:type="dxa"/>
            <w:bottom w:w="15" w:type="dxa"/>
            <w:right w:w="15" w:type="dxa"/>
          </w:tblCellMar>
        </w:tblPrEx>
        <w:trPr>
          <w:trHeight w:val="136"/>
        </w:trPr>
        <w:tc>
          <w:tcPr>
            <w:tcW w:w="981" w:type="dxa"/>
            <w:vAlign w:val="center"/>
          </w:tcPr>
          <w:p w14:paraId="4BE9CCE8"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6366BE3D" w14:textId="77777777" w:rsidR="00232D1F" w:rsidRPr="000A03FD" w:rsidRDefault="00232D1F" w:rsidP="00146960">
            <w:pPr>
              <w:rPr>
                <w:rFonts w:ascii="Arial Narrow" w:hAnsi="Arial Narrow"/>
                <w:color w:val="333333"/>
                <w:sz w:val="20"/>
                <w:szCs w:val="20"/>
              </w:rPr>
            </w:pPr>
          </w:p>
        </w:tc>
      </w:tr>
      <w:tr w:rsidR="00232D1F" w:rsidRPr="000A03FD" w14:paraId="4403004D"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62275233"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1989515C"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Population criteria:</w:t>
            </w:r>
          </w:p>
        </w:tc>
      </w:tr>
      <w:tr w:rsidR="00232D1F" w:rsidRPr="000A03FD" w14:paraId="5BAB29B8"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2F678F" w14:textId="31729082"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2FA4ADC5" w14:textId="77777777" w:rsidR="00232D1F" w:rsidRPr="000A03FD" w:rsidRDefault="00232D1F" w:rsidP="00146960">
            <w:pPr>
              <w:rPr>
                <w:rFonts w:ascii="Arial Narrow" w:hAnsi="Arial Narrow"/>
                <w:color w:val="333333"/>
                <w:sz w:val="20"/>
                <w:szCs w:val="20"/>
              </w:rPr>
            </w:pPr>
            <w:r w:rsidRPr="000A03FD">
              <w:rPr>
                <w:rFonts w:ascii="Arial Narrow" w:hAnsi="Arial Narrow" w:cstheme="minorHAnsi"/>
                <w:color w:val="000000"/>
                <w:sz w:val="20"/>
                <w:szCs w:val="20"/>
                <w:lang w:eastAsia="en-GB"/>
              </w:rPr>
              <w:t>Patient must be at least 18 years of age.</w:t>
            </w:r>
          </w:p>
        </w:tc>
      </w:tr>
      <w:tr w:rsidR="00232D1F" w:rsidRPr="000A03FD" w14:paraId="3BE12DE4"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506C58CD"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67978BF5" w14:textId="77777777" w:rsidR="00232D1F" w:rsidRPr="000A03FD" w:rsidRDefault="00232D1F" w:rsidP="00146960">
            <w:pPr>
              <w:rPr>
                <w:rFonts w:ascii="Arial Narrow" w:hAnsi="Arial Narrow" w:cstheme="minorHAnsi"/>
                <w:color w:val="000000"/>
                <w:sz w:val="20"/>
                <w:szCs w:val="20"/>
                <w:lang w:eastAsia="en-GB"/>
              </w:rPr>
            </w:pPr>
          </w:p>
        </w:tc>
      </w:tr>
      <w:tr w:rsidR="00232D1F" w:rsidRPr="000A03FD" w14:paraId="4ED8004A" w14:textId="77777777" w:rsidTr="003B671B">
        <w:tblPrEx>
          <w:tblCellMar>
            <w:top w:w="15" w:type="dxa"/>
            <w:left w:w="15" w:type="dxa"/>
            <w:bottom w:w="15" w:type="dxa"/>
            <w:right w:w="15" w:type="dxa"/>
          </w:tblCellMar>
          <w:tblLook w:val="04A0" w:firstRow="1" w:lastRow="0" w:firstColumn="1" w:lastColumn="0" w:noHBand="0" w:noVBand="1"/>
        </w:tblPrEx>
        <w:trPr>
          <w:trHeight w:val="626"/>
        </w:trPr>
        <w:tc>
          <w:tcPr>
            <w:tcW w:w="981" w:type="dxa"/>
            <w:vAlign w:val="center"/>
          </w:tcPr>
          <w:p w14:paraId="48AA4F48" w14:textId="131E9316"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48B053A0"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 xml:space="preserve">Prescribing Instructions: </w:t>
            </w:r>
          </w:p>
          <w:p w14:paraId="2F84EC21" w14:textId="77777777" w:rsidR="00232D1F" w:rsidRPr="000A03FD" w:rsidRDefault="00232D1F" w:rsidP="00146960">
            <w:pPr>
              <w:autoSpaceDE w:val="0"/>
              <w:autoSpaceDN w:val="0"/>
              <w:adjustRightInd w:val="0"/>
              <w:rPr>
                <w:rFonts w:ascii="Arial Narrow" w:hAnsi="Arial Narrow" w:cstheme="minorHAnsi"/>
                <w:bCs/>
                <w:color w:val="000000"/>
                <w:sz w:val="20"/>
                <w:szCs w:val="20"/>
                <w:lang w:eastAsia="en-GB"/>
              </w:rPr>
            </w:pPr>
            <w:r w:rsidRPr="000A03FD">
              <w:rPr>
                <w:rFonts w:ascii="Arial Narrow" w:hAnsi="Arial Narrow" w:cstheme="minorHAnsi"/>
                <w:bCs/>
                <w:color w:val="000000"/>
                <w:sz w:val="20"/>
                <w:szCs w:val="20"/>
                <w:lang w:eastAsia="en-GB"/>
              </w:rPr>
              <w:t>Optimised nasal polyp therapy includes:</w:t>
            </w:r>
          </w:p>
          <w:p w14:paraId="19638103" w14:textId="15647A42" w:rsidR="00232D1F" w:rsidRPr="000A03FD" w:rsidRDefault="00232D1F" w:rsidP="00146960">
            <w:pPr>
              <w:autoSpaceDE w:val="0"/>
              <w:autoSpaceDN w:val="0"/>
              <w:adjustRightInd w:val="0"/>
              <w:rPr>
                <w:rFonts w:ascii="Arial Narrow" w:hAnsi="Arial Narrow"/>
                <w:color w:val="000000" w:themeColor="text1"/>
                <w:sz w:val="20"/>
                <w:szCs w:val="20"/>
                <w:lang w:eastAsia="en-GB"/>
              </w:rPr>
            </w:pPr>
            <w:r w:rsidRPr="000A03FD">
              <w:rPr>
                <w:rFonts w:ascii="Arial Narrow" w:hAnsi="Arial Narrow"/>
                <w:color w:val="000000" w:themeColor="text1"/>
                <w:sz w:val="20"/>
                <w:szCs w:val="20"/>
                <w:lang w:eastAsia="en-GB"/>
              </w:rPr>
              <w:t xml:space="preserve">(a) </w:t>
            </w:r>
            <w:r w:rsidRPr="008761E0">
              <w:rPr>
                <w:rFonts w:ascii="Arial Narrow" w:hAnsi="Arial Narrow"/>
                <w:color w:val="000000" w:themeColor="text1"/>
                <w:sz w:val="20"/>
                <w:szCs w:val="20"/>
                <w:lang w:eastAsia="en-GB"/>
              </w:rPr>
              <w:t>adherence to intranasal corticosteroid therapy for at least 2 months, unless contraindicated or not tolerated</w:t>
            </w:r>
            <w:r w:rsidR="006A1930" w:rsidRPr="000A03FD">
              <w:rPr>
                <w:rFonts w:ascii="Arial Narrow" w:hAnsi="Arial Narrow"/>
                <w:color w:val="000000" w:themeColor="text1"/>
                <w:sz w:val="20"/>
                <w:szCs w:val="20"/>
                <w:lang w:eastAsia="en-GB"/>
              </w:rPr>
              <w:t>; and</w:t>
            </w:r>
          </w:p>
          <w:p w14:paraId="68F6B5CB" w14:textId="6B15CCAC" w:rsidR="001F448E" w:rsidRPr="000A03FD" w:rsidRDefault="001F448E" w:rsidP="00146960">
            <w:pPr>
              <w:autoSpaceDE w:val="0"/>
              <w:autoSpaceDN w:val="0"/>
              <w:adjustRightInd w:val="0"/>
              <w:rPr>
                <w:rFonts w:ascii="Arial Narrow" w:hAnsi="Arial Narrow"/>
                <w:color w:val="000000" w:themeColor="text1"/>
                <w:sz w:val="20"/>
                <w:szCs w:val="20"/>
                <w:lang w:eastAsia="en-GB"/>
              </w:rPr>
            </w:pPr>
            <w:r w:rsidRPr="000A03FD">
              <w:rPr>
                <w:rFonts w:ascii="Arial Narrow" w:hAnsi="Arial Narrow"/>
                <w:color w:val="000000" w:themeColor="text1"/>
                <w:sz w:val="20"/>
                <w:szCs w:val="20"/>
                <w:lang w:eastAsia="en-GB"/>
              </w:rPr>
              <w:t xml:space="preserve">(b) if required, </w:t>
            </w:r>
            <w:r w:rsidR="00864A6E" w:rsidRPr="000A03FD">
              <w:rPr>
                <w:rFonts w:ascii="Arial Narrow" w:hAnsi="Arial Narrow"/>
                <w:color w:val="000000" w:themeColor="text1"/>
                <w:sz w:val="20"/>
                <w:szCs w:val="20"/>
                <w:lang w:eastAsia="en-GB"/>
              </w:rPr>
              <w:t>nasal irrigation with saline</w:t>
            </w:r>
            <w:r w:rsidR="000B14C3" w:rsidRPr="000A03FD">
              <w:rPr>
                <w:rFonts w:ascii="Arial Narrow" w:hAnsi="Arial Narrow"/>
                <w:color w:val="000000" w:themeColor="text1"/>
                <w:sz w:val="20"/>
                <w:szCs w:val="20"/>
                <w:lang w:eastAsia="en-GB"/>
              </w:rPr>
              <w:t>.</w:t>
            </w:r>
          </w:p>
          <w:p w14:paraId="19590D75" w14:textId="77777777" w:rsidR="00232D1F" w:rsidRPr="000A03FD" w:rsidRDefault="00232D1F" w:rsidP="00146960">
            <w:pPr>
              <w:autoSpaceDE w:val="0"/>
              <w:autoSpaceDN w:val="0"/>
              <w:adjustRightInd w:val="0"/>
              <w:rPr>
                <w:rFonts w:ascii="Arial Narrow" w:hAnsi="Arial Narrow"/>
                <w:color w:val="000000" w:themeColor="text1"/>
                <w:sz w:val="20"/>
                <w:szCs w:val="20"/>
                <w:lang w:eastAsia="en-GB"/>
              </w:rPr>
            </w:pPr>
          </w:p>
          <w:p w14:paraId="08661248" w14:textId="77777777" w:rsidR="00232D1F" w:rsidRPr="000A03FD" w:rsidRDefault="00232D1F" w:rsidP="00146960">
            <w:pPr>
              <w:autoSpaceDE w:val="0"/>
              <w:autoSpaceDN w:val="0"/>
              <w:adjustRightInd w:val="0"/>
              <w:rPr>
                <w:rFonts w:ascii="Arial Narrow" w:hAnsi="Arial Narrow" w:cstheme="minorBidi"/>
                <w:sz w:val="20"/>
                <w:szCs w:val="20"/>
                <w:lang w:eastAsia="en-GB"/>
              </w:rPr>
            </w:pPr>
            <w:r w:rsidRPr="000A03FD">
              <w:rPr>
                <w:rFonts w:ascii="Arial Narrow" w:hAnsi="Arial Narrow"/>
                <w:color w:val="000000"/>
                <w:sz w:val="20"/>
                <w:szCs w:val="20"/>
                <w:lang w:eastAsia="en-GB"/>
              </w:rPr>
              <w:t>Where the patient has a contraindication or intolerance to intranasal corticosteroid therapy, document the reasons for the contraindication or intolerance in the patient’s medical file</w:t>
            </w:r>
            <w:r w:rsidRPr="000A03FD">
              <w:rPr>
                <w:rFonts w:ascii="Arial Narrow" w:hAnsi="Arial Narrow"/>
                <w:i/>
                <w:iCs/>
                <w:color w:val="000000"/>
                <w:sz w:val="20"/>
                <w:szCs w:val="20"/>
                <w:lang w:eastAsia="en-GB"/>
              </w:rPr>
              <w:t>.</w:t>
            </w:r>
          </w:p>
        </w:tc>
      </w:tr>
      <w:tr w:rsidR="00232D1F" w:rsidRPr="000A03FD" w14:paraId="3C1A491F" w14:textId="77777777" w:rsidTr="00146960">
        <w:tblPrEx>
          <w:tblCellMar>
            <w:top w:w="15" w:type="dxa"/>
            <w:left w:w="15" w:type="dxa"/>
            <w:bottom w:w="15" w:type="dxa"/>
            <w:right w:w="15" w:type="dxa"/>
          </w:tblCellMar>
          <w:tblLook w:val="04A0" w:firstRow="1" w:lastRow="0" w:firstColumn="1" w:lastColumn="0" w:noHBand="0" w:noVBand="1"/>
        </w:tblPrEx>
        <w:trPr>
          <w:trHeight w:val="626"/>
        </w:trPr>
        <w:tc>
          <w:tcPr>
            <w:tcW w:w="981" w:type="dxa"/>
            <w:vAlign w:val="center"/>
          </w:tcPr>
          <w:p w14:paraId="1BEC6127" w14:textId="136D6E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5657D7EE" w14:textId="77777777" w:rsidR="00232D1F" w:rsidRPr="000A03FD" w:rsidRDefault="00232D1F" w:rsidP="00146960">
            <w:pPr>
              <w:autoSpaceDE w:val="0"/>
              <w:autoSpaceDN w:val="0"/>
              <w:adjustRightInd w:val="0"/>
              <w:rPr>
                <w:rFonts w:ascii="Arial Narrow" w:hAnsi="Arial Narrow" w:cstheme="minorHAnsi"/>
                <w:strike/>
                <w:color w:val="000000"/>
                <w:sz w:val="20"/>
                <w:szCs w:val="20"/>
                <w:lang w:eastAsia="en-GB"/>
              </w:rPr>
            </w:pPr>
            <w:r w:rsidRPr="000A03FD">
              <w:rPr>
                <w:rFonts w:ascii="Arial Narrow" w:hAnsi="Arial Narrow" w:cstheme="minorHAnsi"/>
                <w:color w:val="000000"/>
                <w:sz w:val="20"/>
                <w:szCs w:val="20"/>
                <w:lang w:eastAsia="en-GB"/>
              </w:rPr>
              <w:t>The authority application must be made in writing and must include:</w:t>
            </w:r>
          </w:p>
          <w:p w14:paraId="0303993C" w14:textId="58B20609" w:rsidR="00232D1F" w:rsidRPr="000A03FD" w:rsidRDefault="00232D1F" w:rsidP="00232D1F">
            <w:pPr>
              <w:autoSpaceDE w:val="0"/>
              <w:autoSpaceDN w:val="0"/>
              <w:adjustRightInd w:val="0"/>
              <w:jc w:val="left"/>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(a) a completed authority prescription form</w:t>
            </w:r>
            <w:r w:rsidR="00E310D5" w:rsidRPr="000A03FD">
              <w:rPr>
                <w:rFonts w:ascii="Arial Narrow" w:hAnsi="Arial Narrow" w:cstheme="minorHAnsi"/>
                <w:color w:val="000000"/>
                <w:sz w:val="20"/>
                <w:szCs w:val="20"/>
                <w:lang w:eastAsia="en-GB"/>
              </w:rPr>
              <w:t>,</w:t>
            </w:r>
            <w:r w:rsidRPr="000A03FD">
              <w:rPr>
                <w:rFonts w:ascii="Arial Narrow" w:hAnsi="Arial Narrow" w:cstheme="minorHAnsi"/>
                <w:color w:val="000000"/>
                <w:sz w:val="20"/>
                <w:szCs w:val="20"/>
                <w:lang w:eastAsia="en-GB"/>
              </w:rPr>
              <w:br/>
              <w:t>(b) a completed authority application form relevant to the indication and treatment phase (the latest version is located on the website specified in the Administrative Advice)</w:t>
            </w:r>
            <w:r w:rsidR="00E310D5" w:rsidRPr="000A03FD">
              <w:rPr>
                <w:rFonts w:ascii="Arial Narrow" w:hAnsi="Arial Narrow" w:cstheme="minorHAnsi"/>
                <w:color w:val="000000"/>
                <w:sz w:val="20"/>
                <w:szCs w:val="20"/>
                <w:lang w:eastAsia="en-GB"/>
              </w:rPr>
              <w:t>,</w:t>
            </w:r>
            <w:r w:rsidRPr="000A03FD">
              <w:rPr>
                <w:rFonts w:ascii="Arial Narrow" w:hAnsi="Arial Narrow" w:cstheme="minorHAnsi"/>
                <w:color w:val="000000"/>
                <w:sz w:val="20"/>
                <w:szCs w:val="20"/>
                <w:lang w:eastAsia="en-GB"/>
              </w:rPr>
              <w:br/>
              <w:t>(c) details (date of commencement and duration of therapy) of prior optimised nasal polyp medicine treatment</w:t>
            </w:r>
            <w:r w:rsidR="00E310D5" w:rsidRPr="000A03FD">
              <w:rPr>
                <w:rFonts w:ascii="Arial Narrow" w:hAnsi="Arial Narrow" w:cstheme="minorHAnsi"/>
                <w:color w:val="000000"/>
                <w:sz w:val="20"/>
                <w:szCs w:val="20"/>
                <w:lang w:eastAsia="en-GB"/>
              </w:rPr>
              <w:t>,</w:t>
            </w:r>
            <w:r w:rsidRPr="000A03FD">
              <w:rPr>
                <w:rFonts w:ascii="Arial Narrow" w:hAnsi="Arial Narrow" w:cstheme="minorHAnsi"/>
                <w:color w:val="000000"/>
                <w:sz w:val="20"/>
                <w:szCs w:val="20"/>
                <w:lang w:eastAsia="en-GB"/>
              </w:rPr>
              <w:br/>
              <w:t xml:space="preserve">(d) details (date and treatment) of nasal polyp surgery; </w:t>
            </w:r>
            <w:r w:rsidR="00E310D5" w:rsidRPr="000A03FD">
              <w:rPr>
                <w:rFonts w:ascii="Arial Narrow" w:hAnsi="Arial Narrow" w:cstheme="minorHAnsi"/>
                <w:color w:val="000000"/>
                <w:sz w:val="20"/>
                <w:szCs w:val="20"/>
                <w:lang w:eastAsia="en-GB"/>
              </w:rPr>
              <w:t>OR</w:t>
            </w:r>
            <w:r w:rsidRPr="000A03FD">
              <w:rPr>
                <w:rFonts w:ascii="Arial Narrow" w:hAnsi="Arial Narrow" w:cstheme="minorHAnsi"/>
                <w:color w:val="000000"/>
                <w:sz w:val="20"/>
                <w:szCs w:val="20"/>
                <w:lang w:eastAsia="en-GB"/>
              </w:rPr>
              <w:br/>
              <w:t>(e) if applicable,</w:t>
            </w:r>
            <w:r w:rsidR="006A1930" w:rsidRPr="000A03FD">
              <w:rPr>
                <w:rFonts w:ascii="Arial Narrow" w:hAnsi="Arial Narrow" w:cstheme="minorHAnsi"/>
                <w:color w:val="000000"/>
                <w:sz w:val="20"/>
                <w:szCs w:val="20"/>
                <w:lang w:eastAsia="en-GB"/>
              </w:rPr>
              <w:t xml:space="preserve"> details of surgical exception including serious comorbid disease (e.g. cardiovascular, stroke) making the risk of surgery unacceptable</w:t>
            </w:r>
            <w:r w:rsidR="00E310D5" w:rsidRPr="000A03FD">
              <w:rPr>
                <w:rFonts w:ascii="Arial Narrow" w:hAnsi="Arial Narrow" w:cstheme="minorHAnsi"/>
                <w:color w:val="000000"/>
                <w:sz w:val="20"/>
                <w:szCs w:val="20"/>
                <w:lang w:eastAsia="en-GB"/>
              </w:rPr>
              <w:t>,</w:t>
            </w:r>
            <w:r w:rsidRPr="000A03FD">
              <w:rPr>
                <w:rFonts w:ascii="Arial Narrow" w:hAnsi="Arial Narrow" w:cstheme="minorHAnsi"/>
                <w:color w:val="000000"/>
                <w:sz w:val="20"/>
                <w:szCs w:val="20"/>
                <w:lang w:eastAsia="en-GB"/>
              </w:rPr>
              <w:br/>
            </w:r>
            <w:r w:rsidRPr="000A03FD">
              <w:rPr>
                <w:rFonts w:ascii="Arial Narrow" w:hAnsi="Arial Narrow" w:cstheme="minorBidi"/>
                <w:sz w:val="20"/>
                <w:szCs w:val="20"/>
                <w:lang w:eastAsia="en-GB"/>
              </w:rPr>
              <w:t>(f) the eosinophil count and date</w:t>
            </w:r>
            <w:r w:rsidR="00E310D5" w:rsidRPr="000A03FD">
              <w:rPr>
                <w:rFonts w:ascii="Arial Narrow" w:hAnsi="Arial Narrow" w:cstheme="minorBidi"/>
                <w:sz w:val="20"/>
                <w:szCs w:val="20"/>
                <w:lang w:eastAsia="en-GB"/>
              </w:rPr>
              <w:t>,</w:t>
            </w:r>
            <w:r w:rsidRPr="000A03FD">
              <w:rPr>
                <w:rFonts w:ascii="Arial Narrow" w:hAnsi="Arial Narrow" w:cstheme="minorHAnsi"/>
                <w:color w:val="000000"/>
                <w:sz w:val="20"/>
                <w:szCs w:val="20"/>
                <w:lang w:eastAsia="en-GB"/>
              </w:rPr>
              <w:br/>
              <w:t>(g)</w:t>
            </w:r>
            <w:r w:rsidR="005F30B3" w:rsidRPr="000A03FD">
              <w:rPr>
                <w:rFonts w:ascii="Arial Narrow" w:hAnsi="Arial Narrow" w:cstheme="minorHAnsi"/>
                <w:color w:val="000000"/>
                <w:sz w:val="20"/>
                <w:szCs w:val="20"/>
                <w:lang w:eastAsia="en-GB"/>
              </w:rPr>
              <w:t xml:space="preserve"> two of the following, measured within the past 12 months</w:t>
            </w:r>
            <w:r w:rsidRPr="000A03FD">
              <w:rPr>
                <w:rFonts w:ascii="Arial Narrow" w:hAnsi="Arial Narrow" w:cstheme="minorHAnsi"/>
                <w:color w:val="000000"/>
                <w:sz w:val="20"/>
                <w:szCs w:val="20"/>
                <w:lang w:eastAsia="en-GB"/>
              </w:rPr>
              <w:t>: (i) baseline bilateral endoscopic nasal polyp score, (ii) baseline nasal obstruction VAS score, (iii) baseline overall VAS score.</w:t>
            </w:r>
          </w:p>
        </w:tc>
      </w:tr>
      <w:tr w:rsidR="00232D1F" w:rsidRPr="000A03FD" w14:paraId="056AF4B5" w14:textId="77777777" w:rsidTr="00146960">
        <w:tblPrEx>
          <w:tblCellMar>
            <w:top w:w="15" w:type="dxa"/>
            <w:left w:w="15" w:type="dxa"/>
            <w:bottom w:w="15" w:type="dxa"/>
            <w:right w:w="15" w:type="dxa"/>
          </w:tblCellMar>
        </w:tblPrEx>
        <w:trPr>
          <w:trHeight w:val="626"/>
        </w:trPr>
        <w:tc>
          <w:tcPr>
            <w:tcW w:w="981" w:type="dxa"/>
          </w:tcPr>
          <w:p w14:paraId="170536B0" w14:textId="1C990005" w:rsidR="00232D1F" w:rsidRPr="000A03FD" w:rsidRDefault="00232D1F" w:rsidP="00146960">
            <w:pPr>
              <w:jc w:val="center"/>
              <w:rPr>
                <w:rFonts w:ascii="Arial Narrow" w:hAnsi="Arial Narrow"/>
                <w:color w:val="333333"/>
                <w:sz w:val="20"/>
                <w:szCs w:val="20"/>
              </w:rPr>
            </w:pPr>
          </w:p>
        </w:tc>
        <w:tc>
          <w:tcPr>
            <w:tcW w:w="8086" w:type="dxa"/>
            <w:gridSpan w:val="6"/>
          </w:tcPr>
          <w:p w14:paraId="3E0FAAF8" w14:textId="77777777" w:rsidR="00232D1F" w:rsidRPr="000A03FD" w:rsidRDefault="00232D1F" w:rsidP="00146960">
            <w:pPr>
              <w:rPr>
                <w:rFonts w:ascii="Arial Narrow" w:hAnsi="Arial Narrow"/>
                <w:b/>
                <w:bCs/>
                <w:iCs/>
                <w:sz w:val="20"/>
                <w:szCs w:val="20"/>
              </w:rPr>
            </w:pPr>
            <w:r w:rsidRPr="000A03FD">
              <w:rPr>
                <w:rFonts w:ascii="Arial Narrow" w:hAnsi="Arial Narrow"/>
                <w:b/>
                <w:bCs/>
                <w:iCs/>
                <w:sz w:val="20"/>
                <w:szCs w:val="20"/>
              </w:rPr>
              <w:t xml:space="preserve">Administrative advice: </w:t>
            </w:r>
          </w:p>
          <w:p w14:paraId="7A1ECC4C"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Any queries concerning the arrangements to prescribe may be directed to</w:t>
            </w:r>
            <w:r w:rsidRPr="000A03FD">
              <w:rPr>
                <w:rFonts w:ascii="Arial" w:hAnsi="Arial"/>
                <w:iCs/>
                <w:sz w:val="20"/>
                <w:szCs w:val="20"/>
              </w:rPr>
              <w:t> </w:t>
            </w:r>
            <w:r w:rsidRPr="000A03FD">
              <w:rPr>
                <w:rFonts w:ascii="Arial Narrow" w:hAnsi="Arial Narrow"/>
                <w:iCs/>
                <w:sz w:val="20"/>
                <w:szCs w:val="20"/>
              </w:rPr>
              <w:t xml:space="preserve">Services Australia on 1800 700 270 (hours of operation 8 a.m. to 5 p.m. Monday to Friday). </w:t>
            </w:r>
          </w:p>
          <w:p w14:paraId="0A908882"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Prescribing information (including Authority Application forms and other relevant documentation as applicable) is available on Services Australia</w:t>
            </w:r>
            <w:r w:rsidRPr="000A03FD">
              <w:rPr>
                <w:rFonts w:ascii="Arial" w:hAnsi="Arial"/>
                <w:iCs/>
                <w:sz w:val="20"/>
                <w:szCs w:val="20"/>
              </w:rPr>
              <w:t> </w:t>
            </w:r>
            <w:r w:rsidRPr="000A03FD">
              <w:rPr>
                <w:rFonts w:ascii="Arial Narrow" w:hAnsi="Arial Narrow"/>
                <w:iCs/>
                <w:sz w:val="20"/>
                <w:szCs w:val="20"/>
              </w:rPr>
              <w:t xml:space="preserve">website at www.servicesaustralia.gov.au </w:t>
            </w:r>
          </w:p>
          <w:p w14:paraId="65D1914E"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Applications for authority to prescribe should be submitted online using the form upload facility in Health Professional Online Services (HPOS) at www.servicesaustralia.gov.au/hpos </w:t>
            </w:r>
          </w:p>
          <w:p w14:paraId="33C05260"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Or mailed to: </w:t>
            </w:r>
          </w:p>
          <w:p w14:paraId="7424FC12"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Services Australia </w:t>
            </w:r>
          </w:p>
          <w:p w14:paraId="49E73E84"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Complex Drugs </w:t>
            </w:r>
          </w:p>
          <w:p w14:paraId="47563115"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Reply Paid 9826 </w:t>
            </w:r>
          </w:p>
          <w:p w14:paraId="50A5D861" w14:textId="77777777" w:rsidR="00232D1F" w:rsidRPr="000A03FD" w:rsidRDefault="00232D1F" w:rsidP="00146960">
            <w:pPr>
              <w:autoSpaceDE w:val="0"/>
              <w:autoSpaceDN w:val="0"/>
              <w:adjustRightInd w:val="0"/>
              <w:rPr>
                <w:rFonts w:ascii="Arial Narrow" w:hAnsi="Arial Narrow" w:cstheme="minorHAnsi"/>
                <w:strike/>
                <w:color w:val="000000"/>
                <w:sz w:val="20"/>
                <w:szCs w:val="20"/>
                <w:lang w:eastAsia="en-GB"/>
              </w:rPr>
            </w:pPr>
            <w:r w:rsidRPr="000A03FD">
              <w:rPr>
                <w:rFonts w:ascii="Arial Narrow" w:hAnsi="Arial Narrow"/>
                <w:iCs/>
                <w:sz w:val="20"/>
                <w:szCs w:val="20"/>
              </w:rPr>
              <w:t>HOBART TAS 7001</w:t>
            </w:r>
          </w:p>
        </w:tc>
      </w:tr>
      <w:bookmarkEnd w:id="101"/>
      <w:tr w:rsidR="00232D1F" w:rsidRPr="000A03FD" w14:paraId="55DA4869" w14:textId="77777777" w:rsidTr="00146960">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475CA30" w14:textId="77777777" w:rsidR="00232D1F" w:rsidRPr="000A03FD" w:rsidRDefault="00232D1F" w:rsidP="00146960">
            <w:pPr>
              <w:rPr>
                <w:rFonts w:ascii="Arial Narrow" w:hAnsi="Arial Narrow"/>
                <w:bCs/>
                <w:color w:val="FF0000"/>
                <w:sz w:val="20"/>
                <w:szCs w:val="20"/>
              </w:rPr>
            </w:pPr>
          </w:p>
        </w:tc>
      </w:tr>
      <w:tr w:rsidR="00232D1F" w:rsidRPr="000A03FD" w14:paraId="7CA74269" w14:textId="77777777" w:rsidTr="00146960">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3218CE18"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 xml:space="preserve">Restriction Summary [new] / Treatment of Concept: [new]  </w:t>
            </w:r>
          </w:p>
        </w:tc>
      </w:tr>
      <w:tr w:rsidR="00232D1F" w:rsidRPr="000A03FD" w14:paraId="54F3182F" w14:textId="77777777" w:rsidTr="00146960">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50E12D1E" w14:textId="5A4FD1D6" w:rsidR="00232D1F" w:rsidRPr="000A03FD" w:rsidRDefault="00232D1F" w:rsidP="00146960">
            <w:pPr>
              <w:jc w:val="center"/>
              <w:rPr>
                <w:rFonts w:ascii="Arial Narrow" w:hAnsi="Arial Narrow"/>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98CADC4" w14:textId="77777777" w:rsidR="00232D1F" w:rsidRPr="000A03FD" w:rsidRDefault="00232D1F" w:rsidP="00146960">
            <w:pPr>
              <w:rPr>
                <w:rFonts w:ascii="Arial Narrow" w:hAnsi="Arial Narrow"/>
                <w:sz w:val="20"/>
                <w:szCs w:val="20"/>
              </w:rPr>
            </w:pPr>
            <w:r w:rsidRPr="000A03FD">
              <w:rPr>
                <w:rFonts w:ascii="Arial Narrow" w:hAnsi="Arial Narrow"/>
                <w:b/>
                <w:sz w:val="20"/>
                <w:szCs w:val="20"/>
              </w:rPr>
              <w:t xml:space="preserve">Category / Program: </w:t>
            </w:r>
            <w:r w:rsidRPr="000A03FD">
              <w:rPr>
                <w:rFonts w:ascii="Arial Narrow" w:hAnsi="Arial Narrow"/>
                <w:sz w:val="20"/>
                <w:szCs w:val="20"/>
              </w:rPr>
              <w:t>Section 100 – Highly Specialised Drugs Program</w:t>
            </w:r>
          </w:p>
        </w:tc>
      </w:tr>
      <w:tr w:rsidR="00232D1F" w:rsidRPr="000A03FD" w14:paraId="5687DE71" w14:textId="77777777" w:rsidTr="00146960">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0CF3B711"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CC2C18B" w14:textId="77777777" w:rsidR="00232D1F" w:rsidRPr="000A03FD" w:rsidRDefault="00232D1F" w:rsidP="00146960">
            <w:pPr>
              <w:rPr>
                <w:rFonts w:ascii="Arial Narrow" w:hAnsi="Arial Narrow"/>
                <w:b/>
                <w:sz w:val="20"/>
                <w:szCs w:val="20"/>
              </w:rPr>
            </w:pPr>
            <w:r w:rsidRPr="000A03FD">
              <w:rPr>
                <w:rFonts w:ascii="Arial Narrow" w:hAnsi="Arial Narrow"/>
                <w:b/>
                <w:sz w:val="20"/>
                <w:szCs w:val="20"/>
              </w:rPr>
              <w:t xml:space="preserve">Prescriber type:  </w:t>
            </w:r>
            <w:r w:rsidRPr="000A03FD">
              <w:rPr>
                <w:rFonts w:ascii="Arial Narrow" w:hAnsi="Arial Narrow"/>
                <w:sz w:val="20"/>
                <w:szCs w:val="20"/>
              </w:rPr>
              <w:fldChar w:fldCharType="begin" w:fldLock="1">
                <w:ffData>
                  <w:name w:val=""/>
                  <w:enabled/>
                  <w:calcOnExit w:val="0"/>
                  <w:checkBox>
                    <w:sizeAuto/>
                    <w:default w:val="1"/>
                  </w:checkBox>
                </w:ffData>
              </w:fldChar>
            </w:r>
            <w:r w:rsidRPr="000A03FD">
              <w:rPr>
                <w:rFonts w:ascii="Arial Narrow" w:hAnsi="Arial Narrow"/>
                <w:sz w:val="20"/>
                <w:szCs w:val="20"/>
              </w:rPr>
              <w:instrText xml:space="preserve"> FORMCHECKBOX </w:instrText>
            </w:r>
            <w:r w:rsidR="00685AB3">
              <w:rPr>
                <w:rFonts w:ascii="Arial Narrow" w:hAnsi="Arial Narrow"/>
                <w:sz w:val="20"/>
                <w:szCs w:val="20"/>
              </w:rPr>
            </w:r>
            <w:r w:rsidR="00685AB3">
              <w:rPr>
                <w:rFonts w:ascii="Arial Narrow" w:hAnsi="Arial Narrow"/>
                <w:sz w:val="20"/>
                <w:szCs w:val="20"/>
              </w:rPr>
              <w:fldChar w:fldCharType="separate"/>
            </w:r>
            <w:r w:rsidRPr="000A03FD">
              <w:rPr>
                <w:rFonts w:ascii="Arial Narrow" w:hAnsi="Arial Narrow"/>
                <w:sz w:val="20"/>
                <w:szCs w:val="20"/>
              </w:rPr>
              <w:fldChar w:fldCharType="end"/>
            </w:r>
            <w:r w:rsidRPr="000A03FD">
              <w:rPr>
                <w:rFonts w:ascii="Arial Narrow" w:hAnsi="Arial Narrow"/>
                <w:sz w:val="20"/>
                <w:szCs w:val="20"/>
              </w:rPr>
              <w:t>Medical Practitioners</w:t>
            </w:r>
          </w:p>
        </w:tc>
      </w:tr>
      <w:tr w:rsidR="00232D1F" w:rsidRPr="000A03FD" w14:paraId="63221BC4" w14:textId="77777777" w:rsidTr="00146960">
        <w:tblPrEx>
          <w:tblCellMar>
            <w:top w:w="15" w:type="dxa"/>
            <w:left w:w="15" w:type="dxa"/>
            <w:bottom w:w="15" w:type="dxa"/>
            <w:right w:w="15" w:type="dxa"/>
          </w:tblCellMar>
        </w:tblPrEx>
        <w:trPr>
          <w:trHeight w:val="198"/>
        </w:trPr>
        <w:tc>
          <w:tcPr>
            <w:tcW w:w="981" w:type="dxa"/>
            <w:vMerge/>
            <w:tcBorders>
              <w:left w:val="single" w:sz="4" w:space="0" w:color="auto"/>
              <w:bottom w:val="single" w:sz="4" w:space="0" w:color="auto"/>
              <w:right w:val="single" w:sz="4" w:space="0" w:color="auto"/>
            </w:tcBorders>
          </w:tcPr>
          <w:p w14:paraId="356D7316"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2E4EB42" w14:textId="77777777" w:rsidR="00232D1F" w:rsidRPr="000A03FD" w:rsidRDefault="00232D1F" w:rsidP="00146960">
            <w:pPr>
              <w:rPr>
                <w:rFonts w:ascii="Arial Narrow" w:hAnsi="Arial Narrow" w:cs="Arial Narrow"/>
                <w:sz w:val="20"/>
                <w:szCs w:val="20"/>
              </w:rPr>
            </w:pPr>
            <w:r w:rsidRPr="000A03FD">
              <w:rPr>
                <w:rFonts w:ascii="Arial Narrow" w:hAnsi="Arial Narrow"/>
                <w:b/>
                <w:sz w:val="20"/>
                <w:szCs w:val="20"/>
              </w:rPr>
              <w:t xml:space="preserve">Restriction type: </w:t>
            </w:r>
            <w:r w:rsidRPr="000A03FD">
              <w:rPr>
                <w:rFonts w:ascii="Arial Narrow" w:eastAsia="Calibri" w:hAnsi="Arial Narrow"/>
                <w:sz w:val="20"/>
                <w:szCs w:val="20"/>
              </w:rPr>
              <w:fldChar w:fldCharType="begin" w:fldLock="1">
                <w:ffData>
                  <w:name w:val=""/>
                  <w:enabled/>
                  <w:calcOnExit w:val="0"/>
                  <w:checkBox>
                    <w:sizeAuto/>
                    <w:default w:val="1"/>
                  </w:checkBox>
                </w:ffData>
              </w:fldChar>
            </w:r>
            <w:r w:rsidRPr="000A03FD">
              <w:rPr>
                <w:rFonts w:ascii="Arial Narrow" w:eastAsia="Calibri" w:hAnsi="Arial Narrow"/>
                <w:sz w:val="20"/>
                <w:szCs w:val="20"/>
              </w:rPr>
              <w:instrText xml:space="preserve"> FORMCHECKBOX </w:instrText>
            </w:r>
            <w:r w:rsidR="00685AB3">
              <w:rPr>
                <w:rFonts w:ascii="Arial Narrow" w:eastAsia="Calibri" w:hAnsi="Arial Narrow"/>
                <w:sz w:val="20"/>
                <w:szCs w:val="20"/>
              </w:rPr>
            </w:r>
            <w:r w:rsidR="00685AB3">
              <w:rPr>
                <w:rFonts w:ascii="Arial Narrow" w:eastAsia="Calibri" w:hAnsi="Arial Narrow"/>
                <w:sz w:val="20"/>
                <w:szCs w:val="20"/>
              </w:rPr>
              <w:fldChar w:fldCharType="separate"/>
            </w:r>
            <w:r w:rsidRPr="000A03FD">
              <w:rPr>
                <w:rFonts w:ascii="Arial Narrow" w:eastAsia="Calibri" w:hAnsi="Arial Narrow"/>
                <w:sz w:val="20"/>
                <w:szCs w:val="20"/>
              </w:rPr>
              <w:fldChar w:fldCharType="end"/>
            </w:r>
            <w:r w:rsidRPr="000A03FD">
              <w:rPr>
                <w:rFonts w:ascii="Arial Narrow" w:eastAsia="Calibri" w:hAnsi="Arial Narrow"/>
                <w:sz w:val="20"/>
                <w:szCs w:val="20"/>
              </w:rPr>
              <w:t xml:space="preserve"> </w:t>
            </w:r>
            <w:r w:rsidRPr="000A03FD">
              <w:rPr>
                <w:rFonts w:ascii="Arial Narrow" w:hAnsi="Arial Narrow"/>
                <w:sz w:val="20"/>
                <w:szCs w:val="20"/>
              </w:rPr>
              <w:t>Authority Required (telephone/electronic via PBS Authorities system)</w:t>
            </w:r>
            <w:r w:rsidRPr="000A03FD">
              <w:rPr>
                <w:rFonts w:ascii="Arial Narrow" w:hAnsi="Arial Narrow" w:cs="Arial Narrow"/>
                <w:sz w:val="20"/>
                <w:szCs w:val="20"/>
              </w:rPr>
              <w:t xml:space="preserve"> </w:t>
            </w:r>
          </w:p>
        </w:tc>
      </w:tr>
      <w:tr w:rsidR="00232D1F" w:rsidRPr="000A03FD" w14:paraId="4A71B0D8"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2E901169" w14:textId="77777777" w:rsidR="00232D1F" w:rsidRPr="000A03FD" w:rsidRDefault="00232D1F" w:rsidP="00146960">
            <w:pPr>
              <w:jc w:val="center"/>
              <w:rPr>
                <w:rFonts w:ascii="Arial Narrow" w:hAnsi="Arial Narrow"/>
                <w:bCs/>
                <w:color w:val="333333"/>
                <w:sz w:val="20"/>
                <w:szCs w:val="20"/>
              </w:rPr>
            </w:pPr>
          </w:p>
        </w:tc>
        <w:tc>
          <w:tcPr>
            <w:tcW w:w="8086" w:type="dxa"/>
            <w:gridSpan w:val="6"/>
          </w:tcPr>
          <w:p w14:paraId="67F8AF80" w14:textId="77777777" w:rsidR="00232D1F" w:rsidRPr="000A03FD" w:rsidRDefault="00232D1F" w:rsidP="00146960">
            <w:pPr>
              <w:rPr>
                <w:rFonts w:ascii="Arial Narrow" w:hAnsi="Arial Narrow"/>
                <w:b/>
                <w:bCs/>
                <w:i/>
                <w:color w:val="333333"/>
                <w:sz w:val="20"/>
                <w:szCs w:val="20"/>
              </w:rPr>
            </w:pPr>
          </w:p>
        </w:tc>
      </w:tr>
      <w:tr w:rsidR="00232D1F" w:rsidRPr="000A03FD" w14:paraId="5B04267E"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69A252A" w14:textId="4331D941"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629075CD"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Indication:</w:t>
            </w:r>
            <w:r w:rsidRPr="000A03FD">
              <w:rPr>
                <w:rFonts w:ascii="Arial Narrow" w:hAnsi="Arial Narrow"/>
                <w:color w:val="333333"/>
                <w:sz w:val="20"/>
                <w:szCs w:val="20"/>
              </w:rPr>
              <w:t xml:space="preserve"> </w:t>
            </w:r>
            <w:r w:rsidRPr="000A03FD">
              <w:rPr>
                <w:rFonts w:ascii="Arial Narrow" w:hAnsi="Arial Narrow"/>
                <w:sz w:val="20"/>
                <w:szCs w:val="20"/>
              </w:rPr>
              <w:t>Chronic rhinosinusitis with nasal polyps (</w:t>
            </w:r>
            <w:r w:rsidRPr="000A03FD">
              <w:rPr>
                <w:rFonts w:ascii="Arial Narrow" w:hAnsi="Arial Narrow" w:cstheme="minorHAnsi"/>
                <w:color w:val="000000"/>
                <w:sz w:val="20"/>
                <w:szCs w:val="20"/>
                <w:lang w:eastAsia="en-GB"/>
              </w:rPr>
              <w:t>CRSwNP)</w:t>
            </w:r>
          </w:p>
        </w:tc>
      </w:tr>
      <w:tr w:rsidR="00232D1F" w:rsidRPr="000A03FD" w14:paraId="43985012"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4594A0"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0D63AAB3" w14:textId="77777777" w:rsidR="00232D1F" w:rsidRPr="000A03FD" w:rsidRDefault="00232D1F" w:rsidP="00146960">
            <w:pPr>
              <w:rPr>
                <w:rFonts w:ascii="Arial Narrow" w:hAnsi="Arial Narrow"/>
                <w:color w:val="FF00FF"/>
                <w:sz w:val="20"/>
                <w:szCs w:val="20"/>
              </w:rPr>
            </w:pPr>
            <w:r w:rsidRPr="000A03FD">
              <w:rPr>
                <w:rFonts w:ascii="Arial Narrow" w:hAnsi="Arial Narrow"/>
                <w:b/>
                <w:bCs/>
                <w:color w:val="333333"/>
                <w:sz w:val="20"/>
                <w:szCs w:val="20"/>
              </w:rPr>
              <w:t>Treatment Phase</w:t>
            </w:r>
            <w:r w:rsidRPr="000A03FD">
              <w:rPr>
                <w:rFonts w:ascii="Arial Narrow" w:hAnsi="Arial Narrow"/>
                <w:b/>
                <w:bCs/>
                <w:sz w:val="20"/>
                <w:szCs w:val="20"/>
              </w:rPr>
              <w:t>:</w:t>
            </w:r>
            <w:r w:rsidRPr="000A03FD">
              <w:rPr>
                <w:rFonts w:ascii="Arial Narrow" w:hAnsi="Arial Narrow"/>
                <w:sz w:val="20"/>
                <w:szCs w:val="20"/>
              </w:rPr>
              <w:t xml:space="preserve"> Continuing treatment</w:t>
            </w:r>
          </w:p>
        </w:tc>
      </w:tr>
      <w:tr w:rsidR="00232D1F" w:rsidRPr="000A03FD" w14:paraId="3C3A129A"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44A179"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74F37E1D" w14:textId="77777777" w:rsidR="00232D1F" w:rsidRPr="000A03FD" w:rsidRDefault="00232D1F" w:rsidP="00146960">
            <w:pPr>
              <w:rPr>
                <w:rFonts w:ascii="Arial Narrow" w:hAnsi="Arial Narrow"/>
                <w:b/>
                <w:bCs/>
                <w:color w:val="333333"/>
                <w:sz w:val="20"/>
                <w:szCs w:val="20"/>
              </w:rPr>
            </w:pPr>
          </w:p>
        </w:tc>
      </w:tr>
      <w:tr w:rsidR="00232D1F" w:rsidRPr="000A03FD" w14:paraId="75162655"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1AE85F5C" w14:textId="77777777" w:rsidR="00232D1F" w:rsidRPr="000A03FD" w:rsidRDefault="00232D1F" w:rsidP="00146960">
            <w:pPr>
              <w:jc w:val="center"/>
              <w:rPr>
                <w:rFonts w:ascii="Arial Narrow" w:hAnsi="Arial Narrow"/>
                <w:sz w:val="20"/>
                <w:szCs w:val="20"/>
              </w:rPr>
            </w:pPr>
          </w:p>
        </w:tc>
        <w:tc>
          <w:tcPr>
            <w:tcW w:w="8086" w:type="dxa"/>
            <w:gridSpan w:val="6"/>
          </w:tcPr>
          <w:p w14:paraId="5F9F15DA" w14:textId="77777777" w:rsidR="00232D1F" w:rsidRPr="000A03FD" w:rsidRDefault="00232D1F" w:rsidP="00146960">
            <w:pPr>
              <w:rPr>
                <w:rFonts w:ascii="Arial Narrow" w:hAnsi="Arial Narrow"/>
                <w:b/>
                <w:bCs/>
                <w:sz w:val="20"/>
                <w:szCs w:val="20"/>
              </w:rPr>
            </w:pPr>
            <w:r w:rsidRPr="000A03FD">
              <w:rPr>
                <w:rFonts w:ascii="Arial Narrow" w:hAnsi="Arial Narrow" w:cstheme="minorHAnsi"/>
                <w:b/>
                <w:color w:val="000000"/>
                <w:sz w:val="20"/>
                <w:szCs w:val="20"/>
                <w:lang w:eastAsia="en-GB"/>
              </w:rPr>
              <w:t>Treatment criteria:</w:t>
            </w:r>
          </w:p>
        </w:tc>
      </w:tr>
      <w:tr w:rsidR="00232D1F" w:rsidRPr="000A03FD" w14:paraId="3FF50267" w14:textId="77777777" w:rsidTr="00146960">
        <w:tblPrEx>
          <w:tblCellMar>
            <w:top w:w="15" w:type="dxa"/>
            <w:left w:w="15" w:type="dxa"/>
            <w:bottom w:w="15" w:type="dxa"/>
            <w:right w:w="15" w:type="dxa"/>
          </w:tblCellMar>
        </w:tblPrEx>
        <w:tc>
          <w:tcPr>
            <w:tcW w:w="981" w:type="dxa"/>
            <w:vAlign w:val="center"/>
          </w:tcPr>
          <w:p w14:paraId="6DC9786C" w14:textId="6A687CA2" w:rsidR="00232D1F" w:rsidRPr="000A03FD" w:rsidRDefault="00232D1F" w:rsidP="00146960">
            <w:pPr>
              <w:jc w:val="center"/>
              <w:rPr>
                <w:rFonts w:ascii="Arial Narrow" w:hAnsi="Arial Narrow"/>
                <w:sz w:val="20"/>
                <w:szCs w:val="20"/>
              </w:rPr>
            </w:pPr>
          </w:p>
        </w:tc>
        <w:tc>
          <w:tcPr>
            <w:tcW w:w="8086" w:type="dxa"/>
            <w:gridSpan w:val="6"/>
            <w:vAlign w:val="center"/>
          </w:tcPr>
          <w:p w14:paraId="651DB6A7" w14:textId="77777777" w:rsidR="00232D1F" w:rsidRPr="000A03FD" w:rsidRDefault="00232D1F" w:rsidP="00146960">
            <w:pPr>
              <w:rPr>
                <w:rFonts w:ascii="Arial Narrow" w:hAnsi="Arial Narrow"/>
                <w:sz w:val="20"/>
                <w:szCs w:val="20"/>
              </w:rPr>
            </w:pPr>
            <w:r w:rsidRPr="000A03FD">
              <w:rPr>
                <w:rFonts w:ascii="Arial Narrow" w:hAnsi="Arial Narrow" w:cstheme="minorHAnsi"/>
                <w:color w:val="000000"/>
                <w:sz w:val="20"/>
                <w:szCs w:val="20"/>
                <w:lang w:eastAsia="en-GB"/>
              </w:rPr>
              <w:t>Patient must be treated by a medical practitioner who is either a: (i) respiratory physician, (ii) clinical immunologist, (iii) allergist, (iv) ear nose and throat specialist (ENT), (v) general physician experienced in the management of patients with CRSwNP.</w:t>
            </w:r>
          </w:p>
        </w:tc>
      </w:tr>
      <w:tr w:rsidR="00232D1F" w:rsidRPr="000A03FD" w14:paraId="05720EB0" w14:textId="77777777" w:rsidTr="00146960">
        <w:tblPrEx>
          <w:tblCellMar>
            <w:top w:w="15" w:type="dxa"/>
            <w:left w:w="15" w:type="dxa"/>
            <w:bottom w:w="15" w:type="dxa"/>
            <w:right w:w="15" w:type="dxa"/>
          </w:tblCellMar>
        </w:tblPrEx>
        <w:tc>
          <w:tcPr>
            <w:tcW w:w="981" w:type="dxa"/>
            <w:vAlign w:val="center"/>
          </w:tcPr>
          <w:p w14:paraId="356A0C2D"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4061DD42" w14:textId="77777777" w:rsidR="00232D1F" w:rsidRPr="000A03FD" w:rsidRDefault="00232D1F" w:rsidP="00146960">
            <w:pPr>
              <w:rPr>
                <w:rFonts w:ascii="Arial Narrow" w:hAnsi="Arial Narrow" w:cstheme="minorHAnsi"/>
                <w:color w:val="000000"/>
                <w:sz w:val="20"/>
                <w:szCs w:val="20"/>
                <w:lang w:eastAsia="en-GB"/>
              </w:rPr>
            </w:pPr>
          </w:p>
        </w:tc>
      </w:tr>
      <w:tr w:rsidR="00232D1F" w:rsidRPr="000A03FD" w14:paraId="4B4A8AF9"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03AA2406" w14:textId="458253E1"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3134A27E" w14:textId="77777777" w:rsidR="00232D1F" w:rsidRPr="000A03FD" w:rsidRDefault="00232D1F" w:rsidP="00146960">
            <w:pPr>
              <w:rPr>
                <w:rFonts w:ascii="Arial Narrow" w:hAnsi="Arial Narrow" w:cstheme="minorHAnsi"/>
                <w:b/>
                <w:color w:val="000000"/>
                <w:sz w:val="20"/>
                <w:szCs w:val="20"/>
                <w:lang w:eastAsia="en-GB"/>
              </w:rPr>
            </w:pPr>
            <w:r w:rsidRPr="000A03FD">
              <w:rPr>
                <w:rFonts w:ascii="Arial Narrow" w:hAnsi="Arial Narrow" w:cstheme="minorHAnsi"/>
                <w:b/>
                <w:color w:val="000000"/>
                <w:sz w:val="20"/>
                <w:szCs w:val="20"/>
                <w:lang w:eastAsia="en-GB"/>
              </w:rPr>
              <w:t>Clinical criteria:</w:t>
            </w:r>
          </w:p>
        </w:tc>
      </w:tr>
      <w:tr w:rsidR="00232D1F" w:rsidRPr="000A03FD" w14:paraId="6B9752DF" w14:textId="77777777" w:rsidTr="00146960">
        <w:tblPrEx>
          <w:tblCellMar>
            <w:top w:w="15" w:type="dxa"/>
            <w:left w:w="15" w:type="dxa"/>
            <w:bottom w:w="15" w:type="dxa"/>
            <w:right w:w="15" w:type="dxa"/>
          </w:tblCellMar>
          <w:tblLook w:val="04A0" w:firstRow="1" w:lastRow="0" w:firstColumn="1" w:lastColumn="0" w:noHBand="0" w:noVBand="1"/>
        </w:tblPrEx>
        <w:tc>
          <w:tcPr>
            <w:tcW w:w="981" w:type="dxa"/>
          </w:tcPr>
          <w:p w14:paraId="05C24C13" w14:textId="33D8B056" w:rsidR="00232D1F" w:rsidRPr="000A03FD" w:rsidRDefault="00232D1F" w:rsidP="00146960">
            <w:pPr>
              <w:jc w:val="center"/>
              <w:rPr>
                <w:rFonts w:ascii="Arial Narrow" w:hAnsi="Arial Narrow"/>
                <w:bCs/>
                <w:color w:val="333333"/>
                <w:sz w:val="20"/>
                <w:szCs w:val="20"/>
              </w:rPr>
            </w:pPr>
          </w:p>
        </w:tc>
        <w:tc>
          <w:tcPr>
            <w:tcW w:w="8086" w:type="dxa"/>
            <w:gridSpan w:val="6"/>
          </w:tcPr>
          <w:p w14:paraId="09ED31AC" w14:textId="77777777" w:rsidR="00232D1F" w:rsidRPr="000A03FD" w:rsidRDefault="00232D1F" w:rsidP="00146960">
            <w:pPr>
              <w:autoSpaceDE w:val="0"/>
              <w:autoSpaceDN w:val="0"/>
              <w:adjustRightInd w:val="0"/>
              <w:rPr>
                <w:rFonts w:ascii="Arial Narrow" w:hAnsi="Arial Narrow"/>
                <w:bCs/>
                <w:iCs/>
                <w:color w:val="333333"/>
                <w:sz w:val="20"/>
                <w:szCs w:val="20"/>
              </w:rPr>
            </w:pPr>
            <w:r w:rsidRPr="000A03FD">
              <w:rPr>
                <w:rFonts w:ascii="Arial Narrow" w:hAnsi="Arial Narrow"/>
                <w:bCs/>
                <w:iCs/>
                <w:color w:val="333333"/>
                <w:sz w:val="20"/>
                <w:szCs w:val="20"/>
              </w:rPr>
              <w:t>Patient must have previously received PBS-subsidised treatment with this drug for this condition</w:t>
            </w:r>
          </w:p>
        </w:tc>
      </w:tr>
      <w:tr w:rsidR="00232D1F" w:rsidRPr="000A03FD" w14:paraId="30BC7E84"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53287A"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3C44A6B7" w14:textId="77777777" w:rsidR="00232D1F" w:rsidRPr="000A03FD" w:rsidRDefault="00232D1F" w:rsidP="00146960">
            <w:pPr>
              <w:autoSpaceDE w:val="0"/>
              <w:autoSpaceDN w:val="0"/>
              <w:adjustRightInd w:val="0"/>
              <w:rPr>
                <w:rFonts w:ascii="Arial Narrow" w:hAnsi="Arial Narrow"/>
                <w:b/>
                <w:color w:val="333333"/>
                <w:sz w:val="20"/>
                <w:szCs w:val="20"/>
              </w:rPr>
            </w:pPr>
            <w:r w:rsidRPr="000A03FD">
              <w:rPr>
                <w:rFonts w:ascii="Arial Narrow" w:hAnsi="Arial Narrow"/>
                <w:b/>
                <w:color w:val="333333"/>
                <w:sz w:val="20"/>
                <w:szCs w:val="20"/>
              </w:rPr>
              <w:t>AND</w:t>
            </w:r>
          </w:p>
        </w:tc>
      </w:tr>
      <w:tr w:rsidR="00232D1F" w:rsidRPr="000A03FD" w14:paraId="75930632"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4E6518"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3C892D13" w14:textId="77777777" w:rsidR="00232D1F" w:rsidRPr="000A03FD" w:rsidRDefault="00232D1F" w:rsidP="00146960">
            <w:pPr>
              <w:autoSpaceDE w:val="0"/>
              <w:autoSpaceDN w:val="0"/>
              <w:adjustRightInd w:val="0"/>
              <w:rPr>
                <w:rFonts w:ascii="Arial Narrow" w:hAnsi="Arial Narrow"/>
                <w:b/>
                <w:color w:val="333333"/>
                <w:sz w:val="20"/>
                <w:szCs w:val="20"/>
              </w:rPr>
            </w:pPr>
            <w:r w:rsidRPr="000A03FD">
              <w:rPr>
                <w:rFonts w:ascii="Arial Narrow" w:hAnsi="Arial Narrow"/>
                <w:b/>
                <w:color w:val="333333"/>
                <w:sz w:val="20"/>
                <w:szCs w:val="20"/>
              </w:rPr>
              <w:t>Clinical criteria:</w:t>
            </w:r>
          </w:p>
        </w:tc>
      </w:tr>
      <w:tr w:rsidR="00232D1F" w:rsidRPr="000A03FD" w14:paraId="24C3B74F"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24619344" w14:textId="1AF1A5AA"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4E5B6F25" w14:textId="51B46B4B" w:rsidR="00232D1F" w:rsidRPr="000A03FD" w:rsidRDefault="00232D1F" w:rsidP="00146960">
            <w:pPr>
              <w:autoSpaceDE w:val="0"/>
              <w:autoSpaceDN w:val="0"/>
              <w:adjustRightInd w:val="0"/>
              <w:rPr>
                <w:rFonts w:ascii="Arial Narrow" w:hAnsi="Arial Narrow" w:cstheme="minorHAnsi"/>
                <w:bCs/>
                <w:iCs/>
                <w:color w:val="000000"/>
                <w:sz w:val="20"/>
                <w:szCs w:val="20"/>
                <w:lang w:eastAsia="en-GB"/>
              </w:rPr>
            </w:pPr>
            <w:r w:rsidRPr="000A03FD">
              <w:rPr>
                <w:rFonts w:ascii="Arial Narrow" w:hAnsi="Arial Narrow" w:cstheme="minorHAnsi"/>
                <w:bCs/>
                <w:iCs/>
                <w:color w:val="000000"/>
                <w:sz w:val="20"/>
                <w:szCs w:val="20"/>
                <w:lang w:eastAsia="en-GB"/>
              </w:rPr>
              <w:t>Patient must have both demonstrated</w:t>
            </w:r>
            <w:r w:rsidR="00151B80" w:rsidRPr="000A03FD">
              <w:rPr>
                <w:rFonts w:ascii="Arial Narrow" w:hAnsi="Arial Narrow" w:cstheme="minorHAnsi"/>
                <w:bCs/>
                <w:iCs/>
                <w:color w:val="000000"/>
                <w:sz w:val="20"/>
                <w:szCs w:val="20"/>
                <w:lang w:eastAsia="en-GB"/>
              </w:rPr>
              <w:t xml:space="preserve"> and </w:t>
            </w:r>
            <w:r w:rsidRPr="000A03FD">
              <w:rPr>
                <w:rFonts w:ascii="Arial Narrow" w:hAnsi="Arial Narrow" w:cstheme="minorHAnsi"/>
                <w:bCs/>
                <w:iCs/>
                <w:color w:val="000000"/>
                <w:sz w:val="20"/>
                <w:szCs w:val="20"/>
                <w:lang w:eastAsia="en-GB"/>
              </w:rPr>
              <w:t>sustained an adequate response to this drug, defined as having at least one of: (i) an improvement in bilateral endoscopic nasal polyp score of at least</w:t>
            </w:r>
            <w:r w:rsidRPr="000A03FD">
              <w:rPr>
                <w:rFonts w:ascii="Arial Narrow" w:hAnsi="Arial Narrow" w:cstheme="minorHAnsi"/>
                <w:iCs/>
                <w:color w:val="000000"/>
                <w:sz w:val="20"/>
                <w:szCs w:val="20"/>
                <w:lang w:eastAsia="en-GB"/>
              </w:rPr>
              <w:t xml:space="preserve"> 1.0 compared to the baseline level provided with the initial authority application, (ii) an improvement in nasal obstruction visual analogue scale (VAS) score of at least</w:t>
            </w:r>
            <w:r w:rsidRPr="000A03FD">
              <w:rPr>
                <w:rFonts w:ascii="Arial Narrow" w:hAnsi="Arial Narrow" w:cstheme="minorBidi"/>
                <w:iCs/>
                <w:color w:val="000000" w:themeColor="text1"/>
                <w:sz w:val="20"/>
                <w:szCs w:val="20"/>
                <w:lang w:eastAsia="en-GB"/>
              </w:rPr>
              <w:t xml:space="preserve"> 3.0 compared </w:t>
            </w:r>
            <w:r w:rsidRPr="000A03FD">
              <w:rPr>
                <w:rFonts w:ascii="Arial Narrow" w:hAnsi="Arial Narrow" w:cstheme="minorHAnsi"/>
                <w:iCs/>
                <w:color w:val="000000"/>
                <w:sz w:val="20"/>
                <w:szCs w:val="20"/>
                <w:lang w:eastAsia="en-GB"/>
              </w:rPr>
              <w:t xml:space="preserve">to the baseline level provided with the initial authority application, (iii) an improvement in </w:t>
            </w:r>
            <w:r w:rsidRPr="000A03FD">
              <w:rPr>
                <w:rFonts w:ascii="Arial Narrow" w:hAnsi="Arial Narrow" w:cstheme="minorHAnsi"/>
                <w:iCs/>
                <w:sz w:val="20"/>
                <w:szCs w:val="20"/>
                <w:lang w:eastAsia="en-GB"/>
              </w:rPr>
              <w:t>overall symptom VAS score of at least 2.5 compared to the baseline level provided with the initial authority application</w:t>
            </w:r>
            <w:r w:rsidRPr="000A03FD">
              <w:rPr>
                <w:rFonts w:ascii="Arial Narrow" w:hAnsi="Arial Narrow" w:cstheme="minorHAnsi"/>
                <w:iCs/>
                <w:color w:val="000000"/>
                <w:sz w:val="20"/>
                <w:szCs w:val="20"/>
                <w:lang w:eastAsia="en-GB"/>
              </w:rPr>
              <w:t>.</w:t>
            </w:r>
          </w:p>
        </w:tc>
      </w:tr>
      <w:tr w:rsidR="00232D1F" w:rsidRPr="000A03FD" w14:paraId="0E700260"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035C1583"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7EB204D3" w14:textId="77777777" w:rsidR="00232D1F" w:rsidRPr="000A03FD" w:rsidRDefault="00232D1F" w:rsidP="00146960">
            <w:pPr>
              <w:autoSpaceDE w:val="0"/>
              <w:autoSpaceDN w:val="0"/>
              <w:adjustRightInd w:val="0"/>
              <w:rPr>
                <w:rFonts w:ascii="Arial Narrow" w:hAnsi="Arial Narrow" w:cstheme="minorHAnsi"/>
                <w:bCs/>
                <w:iCs/>
                <w:color w:val="000000"/>
                <w:sz w:val="20"/>
                <w:szCs w:val="20"/>
                <w:lang w:eastAsia="en-GB"/>
              </w:rPr>
            </w:pPr>
          </w:p>
        </w:tc>
      </w:tr>
      <w:tr w:rsidR="00232D1F" w:rsidRPr="000A03FD" w14:paraId="144B2F50"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17C9C1"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7DA3E9BF"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Population criteria:</w:t>
            </w:r>
          </w:p>
        </w:tc>
      </w:tr>
      <w:tr w:rsidR="00232D1F" w:rsidRPr="000A03FD" w14:paraId="6B4DFADA"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62CB55" w14:textId="436D3D1B"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201F495B" w14:textId="77777777" w:rsidR="00232D1F" w:rsidRPr="000A03FD" w:rsidRDefault="00232D1F" w:rsidP="00146960">
            <w:pPr>
              <w:rPr>
                <w:rFonts w:ascii="Arial Narrow" w:hAnsi="Arial Narrow"/>
                <w:color w:val="333333"/>
                <w:sz w:val="20"/>
                <w:szCs w:val="20"/>
              </w:rPr>
            </w:pPr>
            <w:r w:rsidRPr="000A03FD">
              <w:rPr>
                <w:rFonts w:ascii="Arial Narrow" w:hAnsi="Arial Narrow" w:cstheme="minorHAnsi"/>
                <w:color w:val="000000"/>
                <w:sz w:val="20"/>
                <w:szCs w:val="20"/>
                <w:lang w:eastAsia="en-GB"/>
              </w:rPr>
              <w:t>Patient must be at least 18 years of age.</w:t>
            </w:r>
          </w:p>
        </w:tc>
      </w:tr>
      <w:tr w:rsidR="00232D1F" w:rsidRPr="000A03FD" w14:paraId="02BB8209"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9D7263"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1839F6BD" w14:textId="77777777" w:rsidR="00232D1F" w:rsidRPr="000A03FD" w:rsidRDefault="00232D1F" w:rsidP="00146960">
            <w:pPr>
              <w:rPr>
                <w:rFonts w:ascii="Arial Narrow" w:hAnsi="Arial Narrow" w:cstheme="minorHAnsi"/>
                <w:color w:val="000000"/>
                <w:sz w:val="20"/>
                <w:szCs w:val="20"/>
                <w:lang w:eastAsia="en-GB"/>
              </w:rPr>
            </w:pPr>
          </w:p>
        </w:tc>
      </w:tr>
      <w:tr w:rsidR="00232D1F" w:rsidRPr="000A03FD" w14:paraId="63F19D1E" w14:textId="77777777" w:rsidTr="00146960">
        <w:tblPrEx>
          <w:tblCellMar>
            <w:top w:w="15" w:type="dxa"/>
            <w:left w:w="15" w:type="dxa"/>
            <w:bottom w:w="15" w:type="dxa"/>
            <w:right w:w="15" w:type="dxa"/>
          </w:tblCellMar>
        </w:tblPrEx>
        <w:tc>
          <w:tcPr>
            <w:tcW w:w="981" w:type="dxa"/>
          </w:tcPr>
          <w:p w14:paraId="18C00DBC" w14:textId="09EA00F1" w:rsidR="00232D1F" w:rsidRPr="000A03FD" w:rsidRDefault="00232D1F" w:rsidP="00146960">
            <w:pPr>
              <w:jc w:val="center"/>
              <w:rPr>
                <w:rFonts w:ascii="Arial Narrow" w:hAnsi="Arial Narrow"/>
                <w:color w:val="333333"/>
                <w:sz w:val="20"/>
                <w:szCs w:val="20"/>
              </w:rPr>
            </w:pPr>
          </w:p>
        </w:tc>
        <w:tc>
          <w:tcPr>
            <w:tcW w:w="8086" w:type="dxa"/>
            <w:gridSpan w:val="6"/>
          </w:tcPr>
          <w:p w14:paraId="1ADBA045" w14:textId="77777777" w:rsidR="00232D1F" w:rsidRPr="000A03FD" w:rsidRDefault="00232D1F" w:rsidP="00146960">
            <w:pPr>
              <w:rPr>
                <w:rFonts w:ascii="Arial Narrow" w:hAnsi="Arial Narrow"/>
                <w:b/>
                <w:bCs/>
                <w:iCs/>
                <w:sz w:val="20"/>
                <w:szCs w:val="20"/>
              </w:rPr>
            </w:pPr>
            <w:r w:rsidRPr="000A03FD">
              <w:rPr>
                <w:rFonts w:ascii="Arial Narrow" w:hAnsi="Arial Narrow"/>
                <w:b/>
                <w:bCs/>
                <w:iCs/>
                <w:sz w:val="20"/>
                <w:szCs w:val="20"/>
              </w:rPr>
              <w:t xml:space="preserve">Administrative advice: </w:t>
            </w:r>
          </w:p>
          <w:p w14:paraId="76A028AA"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p w14:paraId="79450B66"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Services Australia </w:t>
            </w:r>
          </w:p>
          <w:p w14:paraId="68D33BD1"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Complex Drugs </w:t>
            </w:r>
          </w:p>
          <w:p w14:paraId="0AAAB332" w14:textId="77777777" w:rsidR="00232D1F" w:rsidRPr="000A03FD" w:rsidRDefault="00232D1F" w:rsidP="00146960">
            <w:pPr>
              <w:rPr>
                <w:rFonts w:ascii="Arial Narrow" w:hAnsi="Arial Narrow"/>
                <w:iCs/>
                <w:sz w:val="20"/>
                <w:szCs w:val="20"/>
              </w:rPr>
            </w:pPr>
            <w:r w:rsidRPr="000A03FD">
              <w:rPr>
                <w:rFonts w:ascii="Arial Narrow" w:hAnsi="Arial Narrow"/>
                <w:iCs/>
                <w:sz w:val="20"/>
                <w:szCs w:val="20"/>
              </w:rPr>
              <w:t xml:space="preserve">Reply Paid 9826 </w:t>
            </w:r>
          </w:p>
          <w:p w14:paraId="51A938B7"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iCs/>
                <w:sz w:val="20"/>
                <w:szCs w:val="20"/>
              </w:rPr>
              <w:t>HOBART TAS 7001</w:t>
            </w:r>
          </w:p>
        </w:tc>
      </w:tr>
      <w:tr w:rsidR="00232D1F" w:rsidRPr="000A03FD" w14:paraId="2E665FF5" w14:textId="77777777" w:rsidTr="0014696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533C703" w14:textId="77777777" w:rsidR="00232D1F" w:rsidRPr="000A03FD" w:rsidRDefault="00232D1F" w:rsidP="00146960">
            <w:pPr>
              <w:rPr>
                <w:rFonts w:ascii="Arial Narrow" w:hAnsi="Arial Narrow"/>
                <w:sz w:val="20"/>
                <w:szCs w:val="20"/>
              </w:rPr>
            </w:pPr>
          </w:p>
        </w:tc>
      </w:tr>
      <w:tr w:rsidR="00232D1F" w:rsidRPr="000A03FD" w14:paraId="3BA7906B" w14:textId="77777777" w:rsidTr="0014696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87C17BE" w14:textId="77777777" w:rsidR="00232D1F" w:rsidRPr="000A03FD" w:rsidRDefault="00232D1F" w:rsidP="00146960">
            <w:pPr>
              <w:rPr>
                <w:rFonts w:ascii="Arial Narrow" w:hAnsi="Arial Narrow"/>
                <w:b/>
                <w:sz w:val="20"/>
                <w:szCs w:val="20"/>
              </w:rPr>
            </w:pPr>
            <w:r w:rsidRPr="000A03FD">
              <w:rPr>
                <w:rFonts w:ascii="Arial Narrow" w:hAnsi="Arial Narrow"/>
                <w:b/>
                <w:sz w:val="20"/>
                <w:szCs w:val="20"/>
              </w:rPr>
              <w:t>Restriction Summary [new] / Treatment of Concept: [new]</w:t>
            </w:r>
          </w:p>
        </w:tc>
      </w:tr>
      <w:tr w:rsidR="00232D1F" w:rsidRPr="000A03FD" w14:paraId="00628B1D" w14:textId="77777777" w:rsidTr="00146960">
        <w:tblPrEx>
          <w:tblCellMar>
            <w:top w:w="15" w:type="dxa"/>
            <w:left w:w="15" w:type="dxa"/>
            <w:bottom w:w="15" w:type="dxa"/>
            <w:right w:w="15" w:type="dxa"/>
          </w:tblCellMar>
          <w:tblLook w:val="04A0" w:firstRow="1" w:lastRow="0" w:firstColumn="1" w:lastColumn="0" w:noHBand="0" w:noVBand="1"/>
        </w:tblPrEx>
        <w:trPr>
          <w:trHeight w:val="259"/>
        </w:trPr>
        <w:tc>
          <w:tcPr>
            <w:tcW w:w="981" w:type="dxa"/>
            <w:vMerge w:val="restart"/>
            <w:tcBorders>
              <w:top w:val="single" w:sz="4" w:space="0" w:color="auto"/>
              <w:left w:val="single" w:sz="4" w:space="0" w:color="auto"/>
              <w:right w:val="single" w:sz="4" w:space="0" w:color="auto"/>
            </w:tcBorders>
          </w:tcPr>
          <w:p w14:paraId="36A2A95D" w14:textId="43EEBDB5"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948293B" w14:textId="77777777" w:rsidR="00232D1F" w:rsidRPr="000A03FD" w:rsidRDefault="00232D1F" w:rsidP="00146960">
            <w:pPr>
              <w:rPr>
                <w:rFonts w:ascii="Arial Narrow" w:hAnsi="Arial Narrow"/>
                <w:sz w:val="20"/>
                <w:szCs w:val="20"/>
              </w:rPr>
            </w:pPr>
            <w:r w:rsidRPr="000A03FD">
              <w:rPr>
                <w:rFonts w:ascii="Arial Narrow" w:hAnsi="Arial Narrow"/>
                <w:b/>
                <w:sz w:val="20"/>
                <w:szCs w:val="20"/>
              </w:rPr>
              <w:t xml:space="preserve">Category / Program: </w:t>
            </w:r>
            <w:r w:rsidRPr="000A03FD">
              <w:rPr>
                <w:rFonts w:ascii="Arial Narrow" w:hAnsi="Arial Narrow"/>
                <w:sz w:val="20"/>
                <w:szCs w:val="20"/>
              </w:rPr>
              <w:t>Section 100 – Highly Specialised Drugs Program</w:t>
            </w:r>
          </w:p>
        </w:tc>
      </w:tr>
      <w:tr w:rsidR="00232D1F" w:rsidRPr="000A03FD" w14:paraId="15C83B25" w14:textId="77777777" w:rsidTr="00146960">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F7F805F"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396C9621" w14:textId="77777777" w:rsidR="00232D1F" w:rsidRPr="000A03FD" w:rsidRDefault="00232D1F" w:rsidP="00146960">
            <w:pPr>
              <w:rPr>
                <w:rFonts w:ascii="Arial Narrow" w:hAnsi="Arial Narrow"/>
                <w:b/>
                <w:sz w:val="20"/>
                <w:szCs w:val="20"/>
              </w:rPr>
            </w:pPr>
            <w:r w:rsidRPr="000A03FD">
              <w:rPr>
                <w:rFonts w:ascii="Arial Narrow" w:hAnsi="Arial Narrow"/>
                <w:b/>
                <w:sz w:val="20"/>
                <w:szCs w:val="20"/>
              </w:rPr>
              <w:t xml:space="preserve">Prescriber type:   </w:t>
            </w:r>
            <w:r w:rsidRPr="000A03FD">
              <w:rPr>
                <w:rFonts w:ascii="Arial Narrow" w:hAnsi="Arial Narrow"/>
                <w:sz w:val="20"/>
                <w:szCs w:val="20"/>
              </w:rPr>
              <w:fldChar w:fldCharType="begin" w:fldLock="1">
                <w:ffData>
                  <w:name w:val=""/>
                  <w:enabled/>
                  <w:calcOnExit w:val="0"/>
                  <w:checkBox>
                    <w:sizeAuto/>
                    <w:default w:val="1"/>
                  </w:checkBox>
                </w:ffData>
              </w:fldChar>
            </w:r>
            <w:r w:rsidRPr="000A03FD">
              <w:rPr>
                <w:rFonts w:ascii="Arial Narrow" w:hAnsi="Arial Narrow"/>
                <w:sz w:val="20"/>
                <w:szCs w:val="20"/>
              </w:rPr>
              <w:instrText xml:space="preserve"> FORMCHECKBOX </w:instrText>
            </w:r>
            <w:r w:rsidR="00685AB3">
              <w:rPr>
                <w:rFonts w:ascii="Arial Narrow" w:hAnsi="Arial Narrow"/>
                <w:sz w:val="20"/>
                <w:szCs w:val="20"/>
              </w:rPr>
            </w:r>
            <w:r w:rsidR="00685AB3">
              <w:rPr>
                <w:rFonts w:ascii="Arial Narrow" w:hAnsi="Arial Narrow"/>
                <w:sz w:val="20"/>
                <w:szCs w:val="20"/>
              </w:rPr>
              <w:fldChar w:fldCharType="separate"/>
            </w:r>
            <w:r w:rsidRPr="000A03FD">
              <w:rPr>
                <w:rFonts w:ascii="Arial Narrow" w:hAnsi="Arial Narrow"/>
                <w:sz w:val="20"/>
                <w:szCs w:val="20"/>
              </w:rPr>
              <w:fldChar w:fldCharType="end"/>
            </w:r>
            <w:r w:rsidRPr="000A03FD">
              <w:rPr>
                <w:rFonts w:ascii="Arial Narrow" w:hAnsi="Arial Narrow"/>
                <w:sz w:val="20"/>
                <w:szCs w:val="20"/>
              </w:rPr>
              <w:t>Medical Practitioners</w:t>
            </w:r>
          </w:p>
        </w:tc>
      </w:tr>
      <w:tr w:rsidR="00232D1F" w:rsidRPr="000A03FD" w14:paraId="0012E501" w14:textId="77777777" w:rsidTr="00146960">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3D91B509"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9DAF5C2" w14:textId="77777777" w:rsidR="00232D1F" w:rsidRPr="000A03FD" w:rsidRDefault="00232D1F" w:rsidP="00146960">
            <w:pPr>
              <w:rPr>
                <w:rFonts w:ascii="Arial Narrow" w:hAnsi="Arial Narrow" w:cs="Arial Narrow"/>
                <w:sz w:val="20"/>
                <w:szCs w:val="20"/>
              </w:rPr>
            </w:pPr>
            <w:r w:rsidRPr="000A03FD">
              <w:rPr>
                <w:rFonts w:ascii="Arial Narrow" w:hAnsi="Arial Narrow"/>
                <w:b/>
                <w:sz w:val="20"/>
                <w:szCs w:val="20"/>
              </w:rPr>
              <w:t xml:space="preserve">Restriction type: </w:t>
            </w:r>
            <w:r w:rsidRPr="000A03FD">
              <w:rPr>
                <w:rFonts w:ascii="Arial Narrow" w:eastAsia="Calibri" w:hAnsi="Arial Narrow"/>
                <w:sz w:val="20"/>
                <w:szCs w:val="20"/>
              </w:rPr>
              <w:fldChar w:fldCharType="begin" w:fldLock="1">
                <w:ffData>
                  <w:name w:val=""/>
                  <w:enabled/>
                  <w:calcOnExit w:val="0"/>
                  <w:checkBox>
                    <w:sizeAuto/>
                    <w:default w:val="1"/>
                  </w:checkBox>
                </w:ffData>
              </w:fldChar>
            </w:r>
            <w:r w:rsidRPr="000A03FD">
              <w:rPr>
                <w:rFonts w:ascii="Arial Narrow" w:eastAsia="Calibri" w:hAnsi="Arial Narrow"/>
                <w:sz w:val="20"/>
                <w:szCs w:val="20"/>
              </w:rPr>
              <w:instrText xml:space="preserve"> FORMCHECKBOX </w:instrText>
            </w:r>
            <w:r w:rsidR="00685AB3">
              <w:rPr>
                <w:rFonts w:ascii="Arial Narrow" w:eastAsia="Calibri" w:hAnsi="Arial Narrow"/>
                <w:sz w:val="20"/>
                <w:szCs w:val="20"/>
              </w:rPr>
            </w:r>
            <w:r w:rsidR="00685AB3">
              <w:rPr>
                <w:rFonts w:ascii="Arial Narrow" w:eastAsia="Calibri" w:hAnsi="Arial Narrow"/>
                <w:sz w:val="20"/>
                <w:szCs w:val="20"/>
              </w:rPr>
              <w:fldChar w:fldCharType="separate"/>
            </w:r>
            <w:r w:rsidRPr="000A03FD">
              <w:rPr>
                <w:rFonts w:ascii="Arial Narrow" w:eastAsia="Calibri" w:hAnsi="Arial Narrow"/>
                <w:sz w:val="20"/>
                <w:szCs w:val="20"/>
              </w:rPr>
              <w:fldChar w:fldCharType="end"/>
            </w:r>
            <w:r w:rsidRPr="000A03FD">
              <w:rPr>
                <w:rFonts w:ascii="Arial Narrow" w:eastAsia="Calibri" w:hAnsi="Arial Narrow"/>
                <w:sz w:val="20"/>
                <w:szCs w:val="20"/>
              </w:rPr>
              <w:t xml:space="preserve"> Authority Required (in writing only via post/HPOS upload): </w:t>
            </w:r>
          </w:p>
        </w:tc>
      </w:tr>
      <w:tr w:rsidR="00232D1F" w:rsidRPr="000A03FD" w14:paraId="179F6D77"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6FE7FC73" w14:textId="77777777" w:rsidR="00232D1F" w:rsidRPr="000A03FD" w:rsidRDefault="00232D1F" w:rsidP="00146960">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31CCC49C" w14:textId="77777777" w:rsidR="00232D1F" w:rsidRPr="000A03FD" w:rsidRDefault="00232D1F" w:rsidP="00146960">
            <w:pPr>
              <w:rPr>
                <w:rFonts w:ascii="Arial Narrow" w:hAnsi="Arial Narrow"/>
                <w:b/>
                <w:sz w:val="20"/>
                <w:szCs w:val="20"/>
              </w:rPr>
            </w:pPr>
          </w:p>
        </w:tc>
      </w:tr>
      <w:tr w:rsidR="00232D1F" w:rsidRPr="000A03FD" w14:paraId="666D5951"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A372B12" w14:textId="38F0B015"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117C3E43" w14:textId="77777777" w:rsidR="00232D1F" w:rsidRPr="000A03FD" w:rsidRDefault="00232D1F" w:rsidP="00146960">
            <w:pPr>
              <w:rPr>
                <w:rFonts w:ascii="Arial Narrow" w:hAnsi="Arial Narrow"/>
                <w:color w:val="333333"/>
                <w:sz w:val="20"/>
                <w:szCs w:val="20"/>
              </w:rPr>
            </w:pPr>
            <w:r w:rsidRPr="000A03FD">
              <w:rPr>
                <w:rFonts w:ascii="Arial Narrow" w:hAnsi="Arial Narrow"/>
                <w:b/>
                <w:bCs/>
                <w:color w:val="333333"/>
                <w:sz w:val="20"/>
                <w:szCs w:val="20"/>
              </w:rPr>
              <w:t>Indication:</w:t>
            </w:r>
            <w:r w:rsidRPr="000A03FD">
              <w:rPr>
                <w:rFonts w:ascii="Arial Narrow" w:hAnsi="Arial Narrow"/>
                <w:color w:val="333333"/>
                <w:sz w:val="20"/>
                <w:szCs w:val="20"/>
              </w:rPr>
              <w:t xml:space="preserve"> </w:t>
            </w:r>
            <w:r w:rsidRPr="000A03FD">
              <w:rPr>
                <w:rFonts w:ascii="Arial Narrow" w:hAnsi="Arial Narrow"/>
                <w:sz w:val="20"/>
                <w:szCs w:val="20"/>
              </w:rPr>
              <w:t>Chronic rhinosinusitis with nasal polyps (CRSwNP)</w:t>
            </w:r>
          </w:p>
        </w:tc>
      </w:tr>
      <w:tr w:rsidR="00232D1F" w:rsidRPr="000A03FD" w14:paraId="171BC0E1" w14:textId="77777777" w:rsidTr="003B671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08757C"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hideMark/>
          </w:tcPr>
          <w:p w14:paraId="3B8FCF98" w14:textId="77777777" w:rsidR="00232D1F" w:rsidRPr="000A03FD" w:rsidRDefault="00232D1F" w:rsidP="00146960">
            <w:pPr>
              <w:rPr>
                <w:rFonts w:ascii="Arial Narrow" w:hAnsi="Arial Narrow"/>
                <w:color w:val="FF00FF"/>
                <w:sz w:val="20"/>
                <w:szCs w:val="20"/>
              </w:rPr>
            </w:pPr>
            <w:r w:rsidRPr="000A03FD">
              <w:rPr>
                <w:rFonts w:ascii="Arial Narrow" w:hAnsi="Arial Narrow"/>
                <w:b/>
                <w:bCs/>
                <w:color w:val="333333"/>
                <w:sz w:val="20"/>
                <w:szCs w:val="20"/>
              </w:rPr>
              <w:t>Treatment Phase:</w:t>
            </w:r>
            <w:r w:rsidRPr="000A03FD">
              <w:rPr>
                <w:rFonts w:ascii="Arial Narrow" w:hAnsi="Arial Narrow"/>
                <w:color w:val="FF0000"/>
                <w:sz w:val="20"/>
                <w:szCs w:val="20"/>
              </w:rPr>
              <w:t xml:space="preserve"> </w:t>
            </w:r>
            <w:r w:rsidRPr="000A03FD">
              <w:rPr>
                <w:rFonts w:ascii="Arial Narrow" w:hAnsi="Arial Narrow"/>
                <w:sz w:val="20"/>
                <w:szCs w:val="20"/>
              </w:rPr>
              <w:t>Transitioning from non-PBS to PBS-subsidised supply - Grandfather arrangements</w:t>
            </w:r>
          </w:p>
        </w:tc>
      </w:tr>
      <w:tr w:rsidR="00232D1F" w:rsidRPr="000A03FD" w14:paraId="3770E3FC" w14:textId="77777777" w:rsidTr="00146960">
        <w:tblPrEx>
          <w:tblCellMar>
            <w:top w:w="15" w:type="dxa"/>
            <w:left w:w="15" w:type="dxa"/>
            <w:bottom w:w="15" w:type="dxa"/>
            <w:right w:w="15" w:type="dxa"/>
          </w:tblCellMar>
          <w:tblLook w:val="04A0" w:firstRow="1" w:lastRow="0" w:firstColumn="1" w:lastColumn="0" w:noHBand="0" w:noVBand="1"/>
        </w:tblPrEx>
        <w:tc>
          <w:tcPr>
            <w:tcW w:w="981" w:type="dxa"/>
            <w:vAlign w:val="center"/>
          </w:tcPr>
          <w:p w14:paraId="1EC3363B" w14:textId="77777777" w:rsidR="00232D1F" w:rsidRPr="000A03FD" w:rsidRDefault="00232D1F" w:rsidP="00146960">
            <w:pPr>
              <w:jc w:val="center"/>
              <w:rPr>
                <w:rFonts w:ascii="Arial Narrow" w:hAnsi="Arial Narrow"/>
                <w:color w:val="333333"/>
                <w:sz w:val="20"/>
                <w:szCs w:val="20"/>
              </w:rPr>
            </w:pPr>
          </w:p>
        </w:tc>
        <w:tc>
          <w:tcPr>
            <w:tcW w:w="8086" w:type="dxa"/>
            <w:gridSpan w:val="6"/>
            <w:vAlign w:val="center"/>
          </w:tcPr>
          <w:p w14:paraId="42043BA4" w14:textId="77777777" w:rsidR="00232D1F" w:rsidRPr="000A03FD" w:rsidRDefault="00232D1F" w:rsidP="00146960">
            <w:pPr>
              <w:rPr>
                <w:rFonts w:ascii="Arial Narrow" w:hAnsi="Arial Narrow"/>
                <w:b/>
                <w:bCs/>
                <w:color w:val="333333"/>
                <w:sz w:val="20"/>
                <w:szCs w:val="20"/>
              </w:rPr>
            </w:pPr>
          </w:p>
        </w:tc>
      </w:tr>
      <w:tr w:rsidR="00232D1F" w:rsidRPr="000A03FD" w14:paraId="14E1C62C"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0E7197C"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CC962D8"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Treatment criteria:</w:t>
            </w:r>
          </w:p>
        </w:tc>
      </w:tr>
      <w:tr w:rsidR="00232D1F" w:rsidRPr="000A03FD" w14:paraId="07CB9792"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47C52C9" w14:textId="049FDB9E"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080C9D4"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color w:val="000000"/>
                <w:sz w:val="20"/>
                <w:szCs w:val="20"/>
                <w:lang w:eastAsia="en-GB"/>
              </w:rPr>
              <w:t xml:space="preserve">Patient </w:t>
            </w:r>
            <w:bookmarkStart w:id="104" w:name="_Hlk119575381"/>
            <w:r w:rsidRPr="000A03FD">
              <w:rPr>
                <w:rFonts w:ascii="Arial Narrow" w:hAnsi="Arial Narrow" w:cstheme="minorHAnsi"/>
                <w:color w:val="000000"/>
                <w:sz w:val="20"/>
                <w:szCs w:val="20"/>
                <w:lang w:eastAsia="en-GB"/>
              </w:rPr>
              <w:t>must be treated by a medical practitioner who is either a: (i) respiratory physician, (ii) clinical immunologist, (iii) allergist, (iv) ear nose and throat specialist (ENT), (v) general physician experienced in the management of patients with CRSwNP.</w:t>
            </w:r>
            <w:bookmarkEnd w:id="104"/>
          </w:p>
        </w:tc>
      </w:tr>
      <w:tr w:rsidR="00232D1F" w:rsidRPr="000A03FD" w14:paraId="49C825A0"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28826F71"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EFA0CC1" w14:textId="77777777" w:rsidR="00232D1F" w:rsidRPr="000A03FD" w:rsidRDefault="00232D1F" w:rsidP="00146960">
            <w:pPr>
              <w:rPr>
                <w:rFonts w:ascii="Arial Narrow" w:hAnsi="Arial Narrow" w:cstheme="minorHAnsi"/>
                <w:color w:val="000000"/>
                <w:sz w:val="20"/>
                <w:szCs w:val="20"/>
                <w:lang w:eastAsia="en-GB"/>
              </w:rPr>
            </w:pPr>
          </w:p>
        </w:tc>
      </w:tr>
      <w:tr w:rsidR="00232D1F" w:rsidRPr="000A03FD" w14:paraId="2F53DF4D"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E5838FA" w14:textId="77777777" w:rsidR="00232D1F" w:rsidRPr="000A03FD" w:rsidRDefault="00232D1F" w:rsidP="00146960">
            <w:pP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98E9E18"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b/>
                <w:bCs/>
                <w:color w:val="333333"/>
                <w:sz w:val="20"/>
                <w:szCs w:val="20"/>
              </w:rPr>
              <w:t xml:space="preserve">Clinical criteria: </w:t>
            </w:r>
          </w:p>
        </w:tc>
      </w:tr>
      <w:tr w:rsidR="00232D1F" w:rsidRPr="000A03FD" w14:paraId="1EB160A5"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FAA6BFB" w14:textId="03B8E28A"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7FD6251"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cstheme="minorHAnsi"/>
                <w:color w:val="000000"/>
                <w:sz w:val="20"/>
                <w:szCs w:val="20"/>
                <w:lang w:eastAsia="en-GB"/>
              </w:rPr>
              <w:t>Patient must have received non-PBS-subsidised treatment with this drug for this PBS indication prior to [Listing date]</w:t>
            </w:r>
          </w:p>
        </w:tc>
      </w:tr>
      <w:tr w:rsidR="00232D1F" w:rsidRPr="000A03FD" w14:paraId="268DEC1D"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5D55BA8"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529FAF9" w14:textId="77777777" w:rsidR="00232D1F" w:rsidRPr="000A03FD" w:rsidRDefault="00232D1F" w:rsidP="00146960">
            <w:pPr>
              <w:rPr>
                <w:rFonts w:ascii="Arial Narrow" w:hAnsi="Arial Narrow" w:cstheme="minorHAnsi"/>
                <w:color w:val="000000"/>
                <w:sz w:val="20"/>
                <w:szCs w:val="20"/>
                <w:lang w:eastAsia="en-GB"/>
              </w:rPr>
            </w:pPr>
            <w:r w:rsidRPr="000A03FD">
              <w:rPr>
                <w:rFonts w:ascii="Arial Narrow" w:hAnsi="Arial Narrow"/>
                <w:b/>
                <w:bCs/>
                <w:color w:val="333333"/>
                <w:sz w:val="20"/>
                <w:szCs w:val="20"/>
              </w:rPr>
              <w:t>AND</w:t>
            </w:r>
          </w:p>
        </w:tc>
      </w:tr>
      <w:tr w:rsidR="00232D1F" w:rsidRPr="000A03FD" w14:paraId="3E4EDD4A"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2DA7DD38" w14:textId="77777777" w:rsidR="00232D1F" w:rsidRPr="000A03FD" w:rsidRDefault="00232D1F" w:rsidP="00146960">
            <w:pP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1BDE682A"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 xml:space="preserve">Clinical criteria: </w:t>
            </w:r>
          </w:p>
        </w:tc>
      </w:tr>
      <w:tr w:rsidR="00232D1F" w:rsidRPr="000A03FD" w14:paraId="16A84A75"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28C250A" w14:textId="66D78D11"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575E394" w14:textId="1754FC1A" w:rsidR="00232D1F" w:rsidRPr="000A03FD" w:rsidRDefault="00232D1F" w:rsidP="00146960">
            <w:pPr>
              <w:rPr>
                <w:rFonts w:ascii="Arial Narrow" w:hAnsi="Arial Narrow"/>
                <w:b/>
                <w:bCs/>
                <w:color w:val="333333"/>
                <w:sz w:val="20"/>
                <w:szCs w:val="20"/>
              </w:rPr>
            </w:pPr>
            <w:r w:rsidRPr="000A03FD">
              <w:rPr>
                <w:rFonts w:ascii="Arial Narrow" w:hAnsi="Arial Narrow" w:cstheme="minorHAnsi"/>
                <w:color w:val="000000"/>
                <w:sz w:val="20"/>
                <w:szCs w:val="20"/>
                <w:lang w:eastAsia="en-GB"/>
              </w:rPr>
              <w:t xml:space="preserve">Patient </w:t>
            </w:r>
            <w:bookmarkStart w:id="105" w:name="_Hlk119575409"/>
            <w:r w:rsidRPr="000A03FD">
              <w:rPr>
                <w:rFonts w:ascii="Arial Narrow" w:hAnsi="Arial Narrow" w:cstheme="minorHAnsi"/>
                <w:color w:val="000000"/>
                <w:sz w:val="20"/>
                <w:szCs w:val="20"/>
                <w:lang w:eastAsia="en-GB"/>
              </w:rPr>
              <w:t xml:space="preserve">must have had a diagnosis of CRSwNP </w:t>
            </w:r>
            <w:r w:rsidR="004700BD" w:rsidRPr="000A03FD">
              <w:rPr>
                <w:rFonts w:ascii="Arial Narrow" w:hAnsi="Arial Narrow" w:cstheme="minorHAnsi"/>
                <w:color w:val="000000"/>
                <w:sz w:val="20"/>
                <w:szCs w:val="20"/>
                <w:lang w:eastAsia="en-GB"/>
              </w:rPr>
              <w:t xml:space="preserve">confirmed by at least one of: (i) nasal endoscopy, (ii) computed tomography (CT) scan, </w:t>
            </w:r>
            <w:r w:rsidRPr="000A03FD">
              <w:rPr>
                <w:rFonts w:ascii="Arial Narrow" w:hAnsi="Arial Narrow" w:cstheme="minorHAnsi"/>
                <w:color w:val="000000"/>
                <w:sz w:val="20"/>
                <w:szCs w:val="20"/>
                <w:lang w:eastAsia="en-GB"/>
              </w:rPr>
              <w:t>prior to initiating non-PBS-subsidised treatment with this drug for this condition.</w:t>
            </w:r>
            <w:bookmarkEnd w:id="105"/>
          </w:p>
        </w:tc>
      </w:tr>
      <w:tr w:rsidR="00232D1F" w:rsidRPr="000A03FD" w14:paraId="10A7BF81"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13D2BFE"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2CD7FAC"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AND</w:t>
            </w:r>
          </w:p>
        </w:tc>
      </w:tr>
      <w:tr w:rsidR="00232D1F" w:rsidRPr="000A03FD" w14:paraId="7341E9E1"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E6A7F6C"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6A7179F"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Clinical criteria:</w:t>
            </w:r>
          </w:p>
        </w:tc>
      </w:tr>
      <w:tr w:rsidR="00232D1F" w:rsidRPr="000A03FD" w14:paraId="33E5437A"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2B642A4" w14:textId="4EC126E2"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6527689D" w14:textId="46A40858" w:rsidR="00232D1F" w:rsidRPr="000A03FD" w:rsidRDefault="00232D1F" w:rsidP="00146960">
            <w:pPr>
              <w:rPr>
                <w:rFonts w:ascii="Arial Narrow" w:hAnsi="Arial Narrow"/>
                <w:b/>
                <w:bCs/>
                <w:color w:val="333333"/>
                <w:sz w:val="20"/>
                <w:szCs w:val="20"/>
              </w:rPr>
            </w:pPr>
            <w:bookmarkStart w:id="106" w:name="_Hlk119575420"/>
            <w:r w:rsidRPr="000A03FD">
              <w:rPr>
                <w:rFonts w:ascii="Arial Narrow" w:hAnsi="Arial Narrow"/>
                <w:bCs/>
                <w:color w:val="333333"/>
                <w:sz w:val="20"/>
                <w:szCs w:val="20"/>
              </w:rPr>
              <w:t xml:space="preserve">Patient must have </w:t>
            </w:r>
            <w:r w:rsidR="004700BD" w:rsidRPr="000A03FD">
              <w:rPr>
                <w:rFonts w:ascii="Arial Narrow" w:hAnsi="Arial Narrow"/>
                <w:bCs/>
                <w:color w:val="333333"/>
                <w:sz w:val="20"/>
                <w:szCs w:val="20"/>
              </w:rPr>
              <w:t>undergone</w:t>
            </w:r>
            <w:r w:rsidRPr="000A03FD">
              <w:rPr>
                <w:rFonts w:ascii="Arial Narrow" w:hAnsi="Arial Narrow"/>
                <w:bCs/>
                <w:color w:val="333333"/>
                <w:sz w:val="20"/>
                <w:szCs w:val="20"/>
              </w:rPr>
              <w:t xml:space="preserve"> at least one previous surgery for the removal of nasal polyps</w:t>
            </w:r>
            <w:r w:rsidRPr="000A03FD">
              <w:rPr>
                <w:rFonts w:ascii="Arial Narrow" w:hAnsi="Arial Narrow" w:cstheme="minorHAnsi"/>
                <w:color w:val="000000"/>
                <w:sz w:val="20"/>
                <w:szCs w:val="20"/>
                <w:lang w:eastAsia="en-GB"/>
              </w:rPr>
              <w:t xml:space="preserve"> prior to initiating non-PBS-subsidised treatment with this drug for this condition</w:t>
            </w:r>
            <w:r w:rsidRPr="000A03FD">
              <w:rPr>
                <w:rFonts w:ascii="Arial Narrow" w:hAnsi="Arial Narrow"/>
                <w:bCs/>
                <w:color w:val="333333"/>
                <w:sz w:val="20"/>
                <w:szCs w:val="20"/>
              </w:rPr>
              <w:t>.</w:t>
            </w:r>
            <w:bookmarkEnd w:id="106"/>
          </w:p>
        </w:tc>
      </w:tr>
      <w:tr w:rsidR="00232D1F" w:rsidRPr="000A03FD" w14:paraId="25093FF6"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D5A5D22"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EB3DBF0"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AND</w:t>
            </w:r>
          </w:p>
        </w:tc>
      </w:tr>
      <w:tr w:rsidR="00232D1F" w:rsidRPr="000A03FD" w14:paraId="58907D07"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EE77590"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4096142B" w14:textId="77777777" w:rsidR="00232D1F" w:rsidRPr="000A03FD" w:rsidRDefault="00232D1F" w:rsidP="00146960">
            <w:pPr>
              <w:rPr>
                <w:rFonts w:ascii="Arial Narrow" w:hAnsi="Arial Narrow"/>
                <w:b/>
                <w:bCs/>
                <w:color w:val="333333"/>
                <w:sz w:val="20"/>
                <w:szCs w:val="20"/>
              </w:rPr>
            </w:pPr>
            <w:r w:rsidRPr="000A03FD">
              <w:rPr>
                <w:rFonts w:ascii="Arial Narrow" w:hAnsi="Arial Narrow"/>
                <w:b/>
                <w:bCs/>
                <w:color w:val="333333"/>
                <w:sz w:val="20"/>
                <w:szCs w:val="20"/>
              </w:rPr>
              <w:t>Clinical criteria:</w:t>
            </w:r>
          </w:p>
        </w:tc>
      </w:tr>
      <w:tr w:rsidR="00232D1F" w:rsidRPr="000A03FD" w14:paraId="6A80E200"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A19535B" w14:textId="32E5C1C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4A18F8B1" w14:textId="77777777" w:rsidR="004700BD" w:rsidRPr="000A03FD" w:rsidRDefault="00232D1F" w:rsidP="004700BD">
            <w:pPr>
              <w:jc w:val="left"/>
              <w:rPr>
                <w:rFonts w:ascii="Arial Narrow" w:hAnsi="Arial Narrow" w:cstheme="minorBidi"/>
                <w:iCs/>
                <w:sz w:val="20"/>
                <w:szCs w:val="20"/>
                <w:lang w:eastAsia="en-GB"/>
              </w:rPr>
            </w:pPr>
            <w:bookmarkStart w:id="107" w:name="_Hlk119575438"/>
            <w:r w:rsidRPr="000A03FD">
              <w:rPr>
                <w:rFonts w:ascii="Arial Narrow" w:hAnsi="Arial Narrow" w:cstheme="minorBidi"/>
                <w:sz w:val="20"/>
                <w:szCs w:val="20"/>
                <w:lang w:eastAsia="en-GB"/>
              </w:rPr>
              <w:t>Patient must have had,</w:t>
            </w:r>
            <w:r w:rsidRPr="000A03FD">
              <w:rPr>
                <w:rFonts w:ascii="Arial Narrow" w:hAnsi="Arial Narrow" w:cstheme="minorHAnsi"/>
                <w:color w:val="000000"/>
                <w:sz w:val="20"/>
                <w:szCs w:val="20"/>
                <w:lang w:eastAsia="en-GB"/>
              </w:rPr>
              <w:t xml:space="preserve"> prior to initiating non-PBS-subsidised treatment with this drug for this condition,</w:t>
            </w:r>
            <w:r w:rsidRPr="000A03FD">
              <w:rPr>
                <w:rFonts w:ascii="Arial Narrow" w:hAnsi="Arial Narrow" w:cstheme="minorBidi"/>
                <w:sz w:val="20"/>
                <w:szCs w:val="20"/>
                <w:lang w:eastAsia="en-GB"/>
              </w:rPr>
              <w:t xml:space="preserve"> at least two of:</w:t>
            </w:r>
            <w:r w:rsidRPr="000A03FD">
              <w:rPr>
                <w:rFonts w:ascii="Arial Narrow" w:hAnsi="Arial Narrow" w:cstheme="minorBidi"/>
                <w:sz w:val="20"/>
                <w:szCs w:val="20"/>
                <w:lang w:eastAsia="en-GB"/>
              </w:rPr>
              <w:br/>
            </w:r>
            <w:r w:rsidR="004700BD" w:rsidRPr="000A03FD">
              <w:rPr>
                <w:rFonts w:ascii="Arial Narrow" w:hAnsi="Arial Narrow" w:cstheme="minorBidi"/>
                <w:iCs/>
                <w:sz w:val="20"/>
                <w:szCs w:val="20"/>
                <w:lang w:eastAsia="en-GB"/>
              </w:rPr>
              <w:t>(a) bilateral endoscopic nasal polyp score of at least 5 (out of a maximum score of 8, with a minimum score of 2 in each nasal cavity),</w:t>
            </w:r>
          </w:p>
          <w:p w14:paraId="3B09706C" w14:textId="77777777" w:rsidR="004700BD" w:rsidRPr="000A03FD" w:rsidRDefault="004700BD" w:rsidP="004700BD">
            <w:pPr>
              <w:rPr>
                <w:rFonts w:ascii="Arial Narrow" w:hAnsi="Arial Narrow" w:cstheme="minorHAnsi"/>
                <w:iCs/>
                <w:sz w:val="20"/>
                <w:szCs w:val="20"/>
                <w:lang w:eastAsia="en-GB"/>
              </w:rPr>
            </w:pPr>
            <w:r w:rsidRPr="000A03FD">
              <w:rPr>
                <w:rFonts w:ascii="Arial Narrow" w:hAnsi="Arial Narrow" w:cstheme="minorHAnsi"/>
                <w:iCs/>
                <w:sz w:val="20"/>
                <w:szCs w:val="20"/>
                <w:lang w:eastAsia="en-GB"/>
              </w:rPr>
              <w:t>(b) nasal obstruction visual analogue scale (VAS) score greater than 5 (out of a maximum score of 10),</w:t>
            </w:r>
          </w:p>
          <w:p w14:paraId="7342F368" w14:textId="6E34F8D2" w:rsidR="00232D1F" w:rsidRPr="000A03FD" w:rsidRDefault="004700BD" w:rsidP="004700BD">
            <w:pPr>
              <w:rPr>
                <w:rFonts w:ascii="Arial Narrow" w:hAnsi="Arial Narrow" w:cstheme="minorHAnsi"/>
                <w:sz w:val="20"/>
                <w:szCs w:val="20"/>
                <w:lang w:eastAsia="en-GB"/>
              </w:rPr>
            </w:pPr>
            <w:r w:rsidRPr="000A03FD">
              <w:rPr>
                <w:rFonts w:ascii="Arial Narrow" w:hAnsi="Arial Narrow" w:cstheme="minorHAnsi"/>
                <w:iCs/>
                <w:sz w:val="20"/>
                <w:szCs w:val="20"/>
                <w:lang w:eastAsia="en-GB"/>
              </w:rPr>
              <w:t>(c) overall symptom VAS score greater than 7 (out of a maximum score of 10).</w:t>
            </w:r>
            <w:bookmarkEnd w:id="107"/>
          </w:p>
        </w:tc>
      </w:tr>
      <w:tr w:rsidR="00232D1F" w:rsidRPr="000A03FD" w14:paraId="44903E0A"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D6B18B4"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409F9126"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b/>
                <w:color w:val="000000"/>
                <w:sz w:val="20"/>
                <w:szCs w:val="20"/>
                <w:lang w:eastAsia="en-GB"/>
              </w:rPr>
              <w:t>AND</w:t>
            </w:r>
          </w:p>
        </w:tc>
      </w:tr>
      <w:tr w:rsidR="00232D1F" w:rsidRPr="000A03FD" w14:paraId="32B4CD7F"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CA8DA4D"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4CB9F8E"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b/>
                <w:color w:val="000000"/>
                <w:sz w:val="20"/>
                <w:szCs w:val="20"/>
                <w:lang w:eastAsia="en-GB"/>
              </w:rPr>
              <w:t>Clinical criteria:</w:t>
            </w:r>
          </w:p>
        </w:tc>
      </w:tr>
      <w:tr w:rsidR="00232D1F" w:rsidRPr="000A03FD" w14:paraId="16C9FBAF"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D3C62D7" w14:textId="3347AD69"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0A8CCE9" w14:textId="611C6874" w:rsidR="00232D1F" w:rsidRPr="000A03FD" w:rsidRDefault="004700BD" w:rsidP="00146960">
            <w:pPr>
              <w:rPr>
                <w:rFonts w:ascii="Arial Narrow" w:hAnsi="Arial Narrow"/>
                <w:b/>
                <w:bCs/>
                <w:color w:val="333333"/>
                <w:sz w:val="20"/>
                <w:szCs w:val="20"/>
              </w:rPr>
            </w:pPr>
            <w:bookmarkStart w:id="108" w:name="_Hlk119575462"/>
            <w:r w:rsidRPr="000A03FD">
              <w:rPr>
                <w:rFonts w:ascii="Arial Narrow" w:hAnsi="Arial Narrow" w:cstheme="minorHAnsi"/>
                <w:color w:val="000000"/>
                <w:sz w:val="20"/>
                <w:szCs w:val="20"/>
                <w:lang w:eastAsia="en-GB"/>
              </w:rPr>
              <w:t>The treatment must not be used in combination with and within 4 weeks of another PBS-subsidised biological medicine prescribed for any of: (i) nasal polyps, (ii) uncontrolled severe allergic asthma, (iii) uncontrolled severe asthma.</w:t>
            </w:r>
            <w:bookmarkEnd w:id="108"/>
          </w:p>
        </w:tc>
      </w:tr>
      <w:tr w:rsidR="00232D1F" w:rsidRPr="000A03FD" w14:paraId="5F760B68"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DC937EC"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B73404A"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b/>
                <w:color w:val="000000"/>
                <w:sz w:val="20"/>
                <w:szCs w:val="20"/>
                <w:lang w:eastAsia="en-GB"/>
              </w:rPr>
              <w:t>AND</w:t>
            </w:r>
          </w:p>
        </w:tc>
      </w:tr>
      <w:tr w:rsidR="00232D1F" w:rsidRPr="000A03FD" w14:paraId="7393B23C"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EA07B48"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DA66593"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b/>
                <w:color w:val="000000"/>
                <w:sz w:val="20"/>
                <w:szCs w:val="20"/>
                <w:lang w:eastAsia="en-GB"/>
              </w:rPr>
              <w:t>Clinical criteria:</w:t>
            </w:r>
          </w:p>
        </w:tc>
      </w:tr>
      <w:tr w:rsidR="00232D1F" w:rsidRPr="000A03FD" w14:paraId="3043010C"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4298F21" w14:textId="5FD45EDF"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496484AF" w14:textId="77777777" w:rsidR="00232D1F" w:rsidRPr="000A03FD" w:rsidRDefault="00232D1F" w:rsidP="00146960">
            <w:pPr>
              <w:rPr>
                <w:rFonts w:ascii="Arial Narrow" w:hAnsi="Arial Narrow"/>
                <w:b/>
                <w:bCs/>
                <w:color w:val="333333"/>
                <w:sz w:val="20"/>
                <w:szCs w:val="20"/>
              </w:rPr>
            </w:pPr>
            <w:bookmarkStart w:id="109" w:name="_Hlk119575472"/>
            <w:r w:rsidRPr="000A03FD">
              <w:rPr>
                <w:rFonts w:ascii="Arial Narrow" w:hAnsi="Arial Narrow" w:cstheme="minorHAnsi"/>
                <w:color w:val="000000"/>
                <w:sz w:val="20"/>
                <w:szCs w:val="20"/>
                <w:lang w:eastAsia="en-GB"/>
              </w:rPr>
              <w:t>Patient must have failed to achieve adequate control with optimised nasal polyp therapy which has been documented.</w:t>
            </w:r>
            <w:bookmarkEnd w:id="109"/>
          </w:p>
        </w:tc>
      </w:tr>
      <w:tr w:rsidR="00232D1F" w:rsidRPr="000A03FD" w14:paraId="214E8F70"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58BEA2D"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3A37865"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b/>
                <w:color w:val="000000"/>
                <w:sz w:val="20"/>
                <w:szCs w:val="20"/>
                <w:lang w:eastAsia="en-GB"/>
              </w:rPr>
              <w:t>AND</w:t>
            </w:r>
          </w:p>
        </w:tc>
      </w:tr>
      <w:tr w:rsidR="00232D1F" w:rsidRPr="000A03FD" w14:paraId="4C931478"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DE17FDF" w14:textId="77777777"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EF37317" w14:textId="77777777" w:rsidR="00232D1F" w:rsidRPr="000A03FD" w:rsidRDefault="00232D1F" w:rsidP="00146960">
            <w:pPr>
              <w:rPr>
                <w:rFonts w:ascii="Arial Narrow" w:hAnsi="Arial Narrow"/>
                <w:b/>
                <w:bCs/>
                <w:color w:val="333333"/>
                <w:sz w:val="20"/>
                <w:szCs w:val="20"/>
              </w:rPr>
            </w:pPr>
            <w:r w:rsidRPr="000A03FD">
              <w:rPr>
                <w:rFonts w:ascii="Arial Narrow" w:hAnsi="Arial Narrow" w:cstheme="minorHAnsi"/>
                <w:b/>
                <w:color w:val="000000"/>
                <w:sz w:val="20"/>
                <w:szCs w:val="20"/>
                <w:lang w:eastAsia="en-GB"/>
              </w:rPr>
              <w:t>Clinical criteria:</w:t>
            </w:r>
          </w:p>
        </w:tc>
      </w:tr>
      <w:tr w:rsidR="00232D1F" w:rsidRPr="000A03FD" w14:paraId="1E52FF07"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18514A3" w14:textId="71488705" w:rsidR="00232D1F" w:rsidRPr="000A03FD" w:rsidRDefault="00232D1F" w:rsidP="00146960">
            <w:pPr>
              <w:jc w:val="center"/>
              <w:rPr>
                <w:rFonts w:ascii="Arial Narrow" w:hAnsi="Arial Narrow"/>
                <w:color w:val="333333"/>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29759146" w14:textId="4A654B6F" w:rsidR="00232D1F" w:rsidRPr="000A03FD" w:rsidRDefault="00232D1F" w:rsidP="00146960">
            <w:pPr>
              <w:rPr>
                <w:rFonts w:ascii="Arial Narrow" w:hAnsi="Arial Narrow"/>
                <w:color w:val="333333"/>
                <w:sz w:val="20"/>
                <w:szCs w:val="20"/>
              </w:rPr>
            </w:pPr>
            <w:bookmarkStart w:id="110" w:name="_Hlk119575486"/>
            <w:r w:rsidRPr="000A03FD">
              <w:rPr>
                <w:rFonts w:ascii="Arial Narrow" w:hAnsi="Arial Narrow"/>
                <w:color w:val="333333"/>
                <w:sz w:val="20"/>
                <w:szCs w:val="20"/>
              </w:rPr>
              <w:t xml:space="preserve">Patient must have had a blood eosinophil count </w:t>
            </w:r>
            <w:r w:rsidR="00A71A19" w:rsidRPr="000A03FD">
              <w:rPr>
                <w:rFonts w:ascii="Arial Narrow" w:hAnsi="Arial Narrow"/>
                <w:color w:val="333333"/>
                <w:sz w:val="20"/>
                <w:szCs w:val="20"/>
              </w:rPr>
              <w:t>of at least</w:t>
            </w:r>
            <w:r w:rsidRPr="000A03FD">
              <w:rPr>
                <w:rFonts w:ascii="Arial Narrow" w:hAnsi="Arial Narrow"/>
                <w:color w:val="333333"/>
                <w:sz w:val="20"/>
                <w:szCs w:val="20"/>
              </w:rPr>
              <w:t xml:space="preserve"> 300 cells per microlitre in the 12 months</w:t>
            </w:r>
            <w:r w:rsidRPr="000A03FD">
              <w:rPr>
                <w:rFonts w:ascii="Arial Narrow" w:hAnsi="Arial Narrow" w:cstheme="minorHAnsi"/>
                <w:color w:val="000000"/>
                <w:sz w:val="20"/>
                <w:szCs w:val="20"/>
                <w:lang w:eastAsia="en-GB"/>
              </w:rPr>
              <w:t xml:space="preserve"> prior to initiating non-PBS-subsidised treatment with this drug for this condition</w:t>
            </w:r>
            <w:bookmarkEnd w:id="110"/>
          </w:p>
        </w:tc>
      </w:tr>
      <w:tr w:rsidR="00232D1F" w:rsidRPr="000A03FD" w14:paraId="23234AD5"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10E65CA" w14:textId="77777777"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5063E3B4" w14:textId="77777777" w:rsidR="00232D1F" w:rsidRPr="000A03FD" w:rsidRDefault="00232D1F" w:rsidP="00146960">
            <w:pPr>
              <w:rPr>
                <w:rFonts w:ascii="Arial Narrow" w:hAnsi="Arial Narrow"/>
                <w:sz w:val="20"/>
                <w:szCs w:val="20"/>
              </w:rPr>
            </w:pPr>
          </w:p>
        </w:tc>
      </w:tr>
      <w:tr w:rsidR="00232D1F" w:rsidRPr="000A03FD" w14:paraId="24DF4860"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1BFA8A13" w14:textId="77777777"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58FB352" w14:textId="77777777" w:rsidR="00232D1F" w:rsidRPr="000A03FD" w:rsidRDefault="00232D1F" w:rsidP="00146960">
            <w:pPr>
              <w:rPr>
                <w:rFonts w:ascii="Arial Narrow" w:hAnsi="Arial Narrow"/>
                <w:b/>
                <w:bCs/>
                <w:sz w:val="20"/>
                <w:szCs w:val="20"/>
              </w:rPr>
            </w:pPr>
            <w:r w:rsidRPr="000A03FD">
              <w:rPr>
                <w:rFonts w:ascii="Arial Narrow" w:hAnsi="Arial Narrow"/>
                <w:b/>
                <w:bCs/>
                <w:sz w:val="20"/>
                <w:szCs w:val="20"/>
              </w:rPr>
              <w:t>Population criteria:</w:t>
            </w:r>
          </w:p>
        </w:tc>
      </w:tr>
      <w:tr w:rsidR="00232D1F" w:rsidRPr="000A03FD" w14:paraId="33E2393E"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24E860D2" w14:textId="0670CE3F"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1D718E2" w14:textId="77777777" w:rsidR="00232D1F" w:rsidRPr="000A03FD" w:rsidRDefault="00232D1F" w:rsidP="00146960">
            <w:pPr>
              <w:rPr>
                <w:rFonts w:ascii="Arial Narrow" w:hAnsi="Arial Narrow"/>
                <w:b/>
                <w:bCs/>
                <w:sz w:val="20"/>
                <w:szCs w:val="20"/>
              </w:rPr>
            </w:pPr>
            <w:bookmarkStart w:id="111" w:name="_Hlk119575507"/>
            <w:r w:rsidRPr="000A03FD">
              <w:rPr>
                <w:rFonts w:ascii="Arial Narrow" w:hAnsi="Arial Narrow" w:cstheme="minorHAnsi"/>
                <w:sz w:val="20"/>
                <w:szCs w:val="20"/>
                <w:lang w:eastAsia="en-GB"/>
              </w:rPr>
              <w:t>Patient must be at least 18 years of age.</w:t>
            </w:r>
            <w:bookmarkEnd w:id="111"/>
          </w:p>
        </w:tc>
      </w:tr>
      <w:tr w:rsidR="00232D1F" w:rsidRPr="000A03FD" w14:paraId="6C867795"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8BAE0A3" w14:textId="77777777"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044880EB" w14:textId="77777777" w:rsidR="00232D1F" w:rsidRPr="000A03FD" w:rsidRDefault="00232D1F" w:rsidP="00146960">
            <w:pPr>
              <w:rPr>
                <w:rFonts w:ascii="Arial Narrow" w:hAnsi="Arial Narrow" w:cstheme="minorHAnsi"/>
                <w:sz w:val="20"/>
                <w:szCs w:val="20"/>
                <w:lang w:eastAsia="en-GB"/>
              </w:rPr>
            </w:pPr>
          </w:p>
        </w:tc>
      </w:tr>
      <w:tr w:rsidR="00232D1F" w:rsidRPr="000A03FD" w14:paraId="4BC5E4B5"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DA68284" w14:textId="30A4EB14"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7E9F7AA" w14:textId="77777777" w:rsidR="00232D1F" w:rsidRPr="000A03FD" w:rsidRDefault="00232D1F" w:rsidP="00146960">
            <w:pPr>
              <w:rPr>
                <w:rFonts w:ascii="Arial Narrow" w:hAnsi="Arial Narrow"/>
                <w:b/>
                <w:bCs/>
                <w:sz w:val="20"/>
                <w:szCs w:val="20"/>
              </w:rPr>
            </w:pPr>
            <w:r w:rsidRPr="000A03FD">
              <w:rPr>
                <w:rFonts w:ascii="Arial Narrow" w:hAnsi="Arial Narrow"/>
                <w:b/>
                <w:bCs/>
                <w:sz w:val="20"/>
                <w:szCs w:val="20"/>
              </w:rPr>
              <w:t xml:space="preserve">Prescribing Instructions: </w:t>
            </w:r>
          </w:p>
          <w:p w14:paraId="65CF1C62" w14:textId="77777777" w:rsidR="00232D1F" w:rsidRPr="000A03FD" w:rsidRDefault="00232D1F" w:rsidP="00146960">
            <w:pPr>
              <w:autoSpaceDE w:val="0"/>
              <w:autoSpaceDN w:val="0"/>
              <w:adjustRightInd w:val="0"/>
              <w:rPr>
                <w:rFonts w:ascii="Arial Narrow" w:hAnsi="Arial Narrow" w:cstheme="minorHAnsi"/>
                <w:bCs/>
                <w:sz w:val="20"/>
                <w:szCs w:val="20"/>
                <w:lang w:eastAsia="en-GB"/>
              </w:rPr>
            </w:pPr>
            <w:r w:rsidRPr="000A03FD">
              <w:rPr>
                <w:rFonts w:ascii="Arial Narrow" w:hAnsi="Arial Narrow" w:cstheme="minorHAnsi"/>
                <w:bCs/>
                <w:sz w:val="20"/>
                <w:szCs w:val="20"/>
                <w:lang w:eastAsia="en-GB"/>
              </w:rPr>
              <w:t>Optimised nasal polyp therapy includes:</w:t>
            </w:r>
          </w:p>
          <w:p w14:paraId="5580BD88" w14:textId="3E42FDF0" w:rsidR="00232D1F" w:rsidRPr="000A03FD" w:rsidRDefault="00232D1F" w:rsidP="00146960">
            <w:pPr>
              <w:autoSpaceDE w:val="0"/>
              <w:autoSpaceDN w:val="0"/>
              <w:adjustRightInd w:val="0"/>
              <w:rPr>
                <w:rFonts w:ascii="Arial Narrow" w:hAnsi="Arial Narrow"/>
                <w:sz w:val="20"/>
                <w:szCs w:val="20"/>
                <w:lang w:eastAsia="en-GB"/>
              </w:rPr>
            </w:pPr>
            <w:r w:rsidRPr="000A03FD">
              <w:rPr>
                <w:rFonts w:ascii="Arial Narrow" w:hAnsi="Arial Narrow"/>
                <w:sz w:val="20"/>
                <w:szCs w:val="20"/>
                <w:lang w:eastAsia="en-GB"/>
              </w:rPr>
              <w:t xml:space="preserve">(a) </w:t>
            </w:r>
            <w:r w:rsidRPr="00A523CE">
              <w:rPr>
                <w:rFonts w:ascii="Arial Narrow" w:hAnsi="Arial Narrow"/>
                <w:sz w:val="20"/>
                <w:szCs w:val="20"/>
                <w:lang w:eastAsia="en-GB"/>
              </w:rPr>
              <w:t>adherence to intranasal corticosteroid therapy for at least 2 months, unless contraindicated or not tolerated.</w:t>
            </w:r>
          </w:p>
          <w:p w14:paraId="2B14BA7A" w14:textId="3C039BF2" w:rsidR="006A1930" w:rsidRPr="000A03FD" w:rsidRDefault="006A1930" w:rsidP="00146960">
            <w:pPr>
              <w:autoSpaceDE w:val="0"/>
              <w:autoSpaceDN w:val="0"/>
              <w:adjustRightInd w:val="0"/>
              <w:rPr>
                <w:rFonts w:ascii="Arial Narrow" w:hAnsi="Arial Narrow"/>
                <w:color w:val="000000" w:themeColor="text1"/>
                <w:sz w:val="20"/>
                <w:szCs w:val="20"/>
                <w:lang w:eastAsia="en-GB"/>
              </w:rPr>
            </w:pPr>
            <w:r w:rsidRPr="000A03FD">
              <w:rPr>
                <w:rFonts w:ascii="Arial Narrow" w:hAnsi="Arial Narrow"/>
                <w:color w:val="000000" w:themeColor="text1"/>
                <w:sz w:val="20"/>
                <w:szCs w:val="20"/>
                <w:lang w:eastAsia="en-GB"/>
              </w:rPr>
              <w:t>(b) if required, nasal irrigation with saline.</w:t>
            </w:r>
          </w:p>
          <w:p w14:paraId="46F3F3C1" w14:textId="77777777" w:rsidR="00232D1F" w:rsidRPr="000A03FD" w:rsidRDefault="00232D1F" w:rsidP="00146960">
            <w:pPr>
              <w:autoSpaceDE w:val="0"/>
              <w:autoSpaceDN w:val="0"/>
              <w:adjustRightInd w:val="0"/>
              <w:rPr>
                <w:rFonts w:ascii="Arial Narrow" w:hAnsi="Arial Narrow"/>
                <w:sz w:val="20"/>
                <w:szCs w:val="20"/>
                <w:lang w:eastAsia="en-GB"/>
              </w:rPr>
            </w:pPr>
          </w:p>
          <w:p w14:paraId="17DB1BCA" w14:textId="77777777" w:rsidR="00232D1F" w:rsidRPr="000A03FD" w:rsidRDefault="00232D1F" w:rsidP="00146960">
            <w:pPr>
              <w:rPr>
                <w:rFonts w:ascii="Arial Narrow" w:hAnsi="Arial Narrow"/>
                <w:b/>
                <w:bCs/>
                <w:sz w:val="20"/>
                <w:szCs w:val="20"/>
              </w:rPr>
            </w:pPr>
            <w:r w:rsidRPr="000A03FD">
              <w:rPr>
                <w:rFonts w:ascii="Arial Narrow" w:hAnsi="Arial Narrow"/>
                <w:sz w:val="20"/>
                <w:szCs w:val="20"/>
                <w:lang w:eastAsia="en-GB"/>
              </w:rPr>
              <w:t>Where the patient has a contraindication or intolerance to intranasal corticosteroid therapy, document the reasons for the contraindication or intolerance in the patient’s medical file.</w:t>
            </w:r>
          </w:p>
        </w:tc>
      </w:tr>
      <w:tr w:rsidR="00232D1F" w:rsidRPr="000A03FD" w14:paraId="106434B1"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27844A1" w14:textId="107A6734"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1AEDB419" w14:textId="77777777" w:rsidR="00232D1F" w:rsidRPr="000A03FD" w:rsidRDefault="00232D1F" w:rsidP="00146960">
            <w:pPr>
              <w:rPr>
                <w:rFonts w:ascii="Arial Narrow" w:hAnsi="Arial Narrow"/>
                <w:b/>
                <w:bCs/>
                <w:sz w:val="20"/>
                <w:szCs w:val="20"/>
              </w:rPr>
            </w:pPr>
            <w:r w:rsidRPr="000A03FD">
              <w:rPr>
                <w:rFonts w:ascii="Arial Narrow" w:hAnsi="Arial Narrow"/>
                <w:b/>
                <w:bCs/>
                <w:sz w:val="20"/>
                <w:szCs w:val="20"/>
              </w:rPr>
              <w:t xml:space="preserve">Prescribing Instructions: </w:t>
            </w:r>
          </w:p>
          <w:p w14:paraId="2C22F43B" w14:textId="77777777" w:rsidR="00232D1F" w:rsidRPr="000A03FD" w:rsidRDefault="00232D1F" w:rsidP="00146960">
            <w:pPr>
              <w:rPr>
                <w:rFonts w:ascii="Arial Narrow" w:hAnsi="Arial Narrow" w:cstheme="minorHAnsi"/>
                <w:sz w:val="20"/>
                <w:szCs w:val="20"/>
                <w:lang w:eastAsia="en-GB"/>
              </w:rPr>
            </w:pPr>
            <w:r w:rsidRPr="000A03FD">
              <w:rPr>
                <w:rFonts w:ascii="Arial Narrow" w:hAnsi="Arial Narrow" w:cstheme="minorHAnsi"/>
                <w:sz w:val="20"/>
                <w:szCs w:val="20"/>
                <w:lang w:eastAsia="en-GB"/>
              </w:rPr>
              <w:t>The authority application must be made in writing and must include:</w:t>
            </w:r>
          </w:p>
          <w:p w14:paraId="54004A68" w14:textId="77777777" w:rsidR="00232D1F" w:rsidRPr="000A03FD" w:rsidRDefault="00232D1F" w:rsidP="00146960">
            <w:pPr>
              <w:rPr>
                <w:rFonts w:ascii="Arial Narrow" w:hAnsi="Arial Narrow" w:cstheme="minorHAnsi"/>
                <w:sz w:val="20"/>
                <w:szCs w:val="20"/>
                <w:lang w:eastAsia="en-GB"/>
              </w:rPr>
            </w:pPr>
            <w:r w:rsidRPr="000A03FD">
              <w:rPr>
                <w:rFonts w:ascii="Arial Narrow" w:hAnsi="Arial Narrow" w:cstheme="minorHAnsi"/>
                <w:sz w:val="20"/>
                <w:szCs w:val="20"/>
                <w:lang w:eastAsia="en-GB"/>
              </w:rPr>
              <w:t>(1) a completed authority prescription form; and</w:t>
            </w:r>
          </w:p>
          <w:p w14:paraId="2A3362DB" w14:textId="77777777" w:rsidR="00232D1F" w:rsidRPr="000A03FD" w:rsidRDefault="00232D1F" w:rsidP="00146960">
            <w:pPr>
              <w:rPr>
                <w:rFonts w:ascii="Arial Narrow" w:hAnsi="Arial Narrow"/>
                <w:b/>
                <w:bCs/>
                <w:sz w:val="20"/>
                <w:szCs w:val="20"/>
              </w:rPr>
            </w:pPr>
            <w:r w:rsidRPr="000A03FD">
              <w:rPr>
                <w:rFonts w:ascii="Arial Narrow" w:hAnsi="Arial Narrow" w:cstheme="minorHAnsi"/>
                <w:sz w:val="20"/>
                <w:szCs w:val="20"/>
                <w:lang w:eastAsia="en-GB"/>
              </w:rPr>
              <w:t>(2) a completed authority application form relevant to the indication and treatment phase (the latest version is located on the website specified in the Administrative Advice).</w:t>
            </w:r>
          </w:p>
        </w:tc>
      </w:tr>
      <w:tr w:rsidR="00232D1F" w:rsidRPr="000A03FD" w14:paraId="03C72581" w14:textId="77777777" w:rsidTr="00146960">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F462890" w14:textId="42D5DE0D"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18F1A57" w14:textId="77777777" w:rsidR="00232D1F" w:rsidRPr="000A03FD" w:rsidRDefault="00232D1F" w:rsidP="00146960">
            <w:pPr>
              <w:rPr>
                <w:rFonts w:ascii="Arial Narrow" w:hAnsi="Arial Narrow"/>
                <w:b/>
                <w:bCs/>
                <w:sz w:val="20"/>
                <w:szCs w:val="20"/>
              </w:rPr>
            </w:pPr>
            <w:r w:rsidRPr="000A03FD">
              <w:rPr>
                <w:rFonts w:ascii="Arial Narrow" w:hAnsi="Arial Narrow"/>
                <w:b/>
                <w:bCs/>
                <w:sz w:val="20"/>
                <w:szCs w:val="20"/>
              </w:rPr>
              <w:t>Administrative Advice:</w:t>
            </w:r>
          </w:p>
          <w:p w14:paraId="19F26987"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This grandfather restriction will cease to operate from 12 months after the date specified in the clinical criteria.</w:t>
            </w:r>
          </w:p>
        </w:tc>
      </w:tr>
      <w:tr w:rsidR="00232D1F" w:rsidRPr="000A03FD" w14:paraId="64A2CDFE" w14:textId="77777777" w:rsidTr="00146960">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tcPr>
          <w:p w14:paraId="51CA570F" w14:textId="24ACB831" w:rsidR="00232D1F" w:rsidRPr="000A03FD" w:rsidRDefault="00232D1F" w:rsidP="00146960">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A7AB5DC" w14:textId="77777777" w:rsidR="00232D1F" w:rsidRPr="000A03FD" w:rsidRDefault="00232D1F" w:rsidP="00146960">
            <w:pPr>
              <w:rPr>
                <w:rFonts w:ascii="Arial Narrow" w:hAnsi="Arial Narrow"/>
                <w:b/>
                <w:bCs/>
                <w:sz w:val="20"/>
                <w:szCs w:val="20"/>
              </w:rPr>
            </w:pPr>
            <w:r w:rsidRPr="000A03FD">
              <w:rPr>
                <w:rFonts w:ascii="Arial Narrow" w:hAnsi="Arial Narrow"/>
                <w:b/>
                <w:bCs/>
                <w:sz w:val="20"/>
                <w:szCs w:val="20"/>
              </w:rPr>
              <w:t xml:space="preserve">Administrative advice: </w:t>
            </w:r>
          </w:p>
          <w:p w14:paraId="309FA9D7"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Any queries concerning the arrangements to prescribe may be directed to</w:t>
            </w:r>
            <w:r w:rsidRPr="000A03FD">
              <w:rPr>
                <w:rFonts w:ascii="Arial" w:hAnsi="Arial"/>
                <w:sz w:val="20"/>
                <w:szCs w:val="20"/>
              </w:rPr>
              <w:t> </w:t>
            </w:r>
            <w:r w:rsidRPr="000A03FD">
              <w:rPr>
                <w:rFonts w:ascii="Arial Narrow" w:hAnsi="Arial Narrow"/>
                <w:sz w:val="20"/>
                <w:szCs w:val="20"/>
              </w:rPr>
              <w:t xml:space="preserve">Services Australia on 1800 700 270 (hours of operation 8 a.m. to 5 p.m. Monday to Friday). </w:t>
            </w:r>
          </w:p>
          <w:p w14:paraId="78436CAD"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Prescribing information (including Authority Application forms and other relevant documentation as applicable) is available on Services Australia</w:t>
            </w:r>
            <w:r w:rsidRPr="000A03FD">
              <w:rPr>
                <w:rFonts w:ascii="Arial" w:hAnsi="Arial"/>
                <w:sz w:val="20"/>
                <w:szCs w:val="20"/>
              </w:rPr>
              <w:t> </w:t>
            </w:r>
            <w:r w:rsidRPr="000A03FD">
              <w:rPr>
                <w:rFonts w:ascii="Arial Narrow" w:hAnsi="Arial Narrow"/>
                <w:sz w:val="20"/>
                <w:szCs w:val="20"/>
              </w:rPr>
              <w:t xml:space="preserve">website at www.servicesaustralia.gov.au </w:t>
            </w:r>
          </w:p>
          <w:p w14:paraId="4DAD254E"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 xml:space="preserve">Applications for authority to prescribe should be submitted online using the form upload facility in Health Professional Online Services (HPOS) at www.servicesaustralia.gov.au/hpos </w:t>
            </w:r>
          </w:p>
          <w:p w14:paraId="067CEFF1"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 xml:space="preserve">Or mailed to: </w:t>
            </w:r>
          </w:p>
          <w:p w14:paraId="020D926C"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 xml:space="preserve">Services Australia </w:t>
            </w:r>
          </w:p>
          <w:p w14:paraId="5DB6F09B"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 xml:space="preserve">Complex Drugs </w:t>
            </w:r>
          </w:p>
          <w:p w14:paraId="4E394D11" w14:textId="77777777" w:rsidR="00232D1F" w:rsidRPr="000A03FD" w:rsidRDefault="00232D1F" w:rsidP="00146960">
            <w:pPr>
              <w:rPr>
                <w:rFonts w:ascii="Arial Narrow" w:hAnsi="Arial Narrow"/>
                <w:sz w:val="20"/>
                <w:szCs w:val="20"/>
              </w:rPr>
            </w:pPr>
            <w:r w:rsidRPr="000A03FD">
              <w:rPr>
                <w:rFonts w:ascii="Arial Narrow" w:hAnsi="Arial Narrow"/>
                <w:sz w:val="20"/>
                <w:szCs w:val="20"/>
              </w:rPr>
              <w:t xml:space="preserve">Reply Paid 9826 </w:t>
            </w:r>
          </w:p>
          <w:p w14:paraId="074E5F18" w14:textId="77777777" w:rsidR="00232D1F" w:rsidRPr="000A03FD" w:rsidRDefault="00232D1F" w:rsidP="00146960">
            <w:pPr>
              <w:rPr>
                <w:rFonts w:ascii="Arial Narrow" w:hAnsi="Arial Narrow"/>
                <w:b/>
                <w:bCs/>
                <w:sz w:val="20"/>
                <w:szCs w:val="20"/>
              </w:rPr>
            </w:pPr>
            <w:r w:rsidRPr="000A03FD">
              <w:rPr>
                <w:rFonts w:ascii="Arial Narrow" w:hAnsi="Arial Narrow"/>
                <w:sz w:val="20"/>
                <w:szCs w:val="20"/>
              </w:rPr>
              <w:t>HOBART TAS 7001</w:t>
            </w:r>
          </w:p>
        </w:tc>
      </w:tr>
      <w:bookmarkEnd w:id="99"/>
    </w:tbl>
    <w:p w14:paraId="1DC0365F" w14:textId="72ADD642" w:rsidR="000D1BD2" w:rsidRDefault="000D1BD2" w:rsidP="006929B1">
      <w:pPr>
        <w:jc w:val="left"/>
        <w:rPr>
          <w:rFonts w:asciiTheme="minorHAnsi" w:hAnsiTheme="minorHAnsi"/>
          <w:b/>
          <w:snapToGrid w:val="0"/>
          <w:sz w:val="32"/>
          <w:szCs w:val="32"/>
        </w:rPr>
      </w:pPr>
    </w:p>
    <w:p w14:paraId="1201A721" w14:textId="08171D75" w:rsidR="000B1FB6" w:rsidRDefault="000B1FB6" w:rsidP="006929B1">
      <w:pPr>
        <w:jc w:val="left"/>
        <w:rPr>
          <w:rFonts w:asciiTheme="minorHAnsi" w:hAnsiTheme="minorHAnsi"/>
          <w:b/>
          <w:bCs/>
          <w:i/>
          <w:szCs w:val="22"/>
        </w:rPr>
      </w:pPr>
      <w:r w:rsidRPr="00BB6D30">
        <w:rPr>
          <w:rFonts w:asciiTheme="minorHAnsi" w:hAnsiTheme="minorHAnsi"/>
          <w:b/>
          <w:bCs/>
          <w:i/>
          <w:szCs w:val="22"/>
        </w:rPr>
        <w:t>This restriction may be subject to further review. Should there be any changes made to the restriction the sponsor will be informed</w:t>
      </w:r>
    </w:p>
    <w:p w14:paraId="776033F0" w14:textId="4967CFB1" w:rsidR="004E3458" w:rsidRPr="004E3458" w:rsidRDefault="004E3458" w:rsidP="004E3458">
      <w:pPr>
        <w:pStyle w:val="2-SectionHeading"/>
      </w:pPr>
      <w:r w:rsidRPr="00C07617">
        <w:t>Context for Decision</w:t>
      </w:r>
    </w:p>
    <w:p w14:paraId="40B58668" w14:textId="77777777" w:rsidR="004E3458" w:rsidRPr="007129F2" w:rsidRDefault="004E3458" w:rsidP="004E345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EF22651" w14:textId="7D312CBD" w:rsidR="004E3458" w:rsidRPr="004E3458" w:rsidRDefault="004E3458" w:rsidP="004E3458">
      <w:pPr>
        <w:pStyle w:val="2-SectionHeading"/>
      </w:pPr>
      <w:r>
        <w:t>Sponsor’s Comment</w:t>
      </w:r>
    </w:p>
    <w:p w14:paraId="7E552D07" w14:textId="77777777" w:rsidR="004E3458" w:rsidRPr="001179AC" w:rsidRDefault="004E3458" w:rsidP="004E3458">
      <w:pPr>
        <w:spacing w:after="120"/>
        <w:ind w:left="426" w:firstLine="294"/>
        <w:rPr>
          <w:rFonts w:asciiTheme="minorHAnsi" w:hAnsiTheme="minorHAnsi"/>
          <w:bCs/>
        </w:rPr>
      </w:pPr>
      <w:r w:rsidRPr="00C07617">
        <w:rPr>
          <w:rFonts w:asciiTheme="minorHAnsi" w:hAnsiTheme="minorHAnsi"/>
          <w:bCs/>
        </w:rPr>
        <w:t>The sponsor had no comment.</w:t>
      </w:r>
    </w:p>
    <w:p w14:paraId="1ACAF686" w14:textId="77777777" w:rsidR="004E3458" w:rsidRPr="004E3458" w:rsidRDefault="004E3458" w:rsidP="004E3458">
      <w:pPr>
        <w:rPr>
          <w:rFonts w:asciiTheme="minorHAnsi" w:hAnsiTheme="minorHAnsi"/>
          <w:sz w:val="32"/>
          <w:szCs w:val="32"/>
        </w:rPr>
      </w:pPr>
    </w:p>
    <w:sectPr w:rsidR="004E3458" w:rsidRPr="004E3458" w:rsidSect="00E729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DDC8" w14:textId="77777777" w:rsidR="002834C5" w:rsidRDefault="002834C5" w:rsidP="00124A51">
      <w:r>
        <w:separator/>
      </w:r>
    </w:p>
    <w:p w14:paraId="524401DE" w14:textId="77777777" w:rsidR="002834C5" w:rsidRDefault="002834C5"/>
  </w:endnote>
  <w:endnote w:type="continuationSeparator" w:id="0">
    <w:p w14:paraId="624A6FFB" w14:textId="77777777" w:rsidR="002834C5" w:rsidRDefault="002834C5" w:rsidP="00124A51">
      <w:r>
        <w:continuationSeparator/>
      </w:r>
    </w:p>
    <w:p w14:paraId="5CB6D7BC" w14:textId="77777777" w:rsidR="002834C5" w:rsidRDefault="002834C5"/>
  </w:endnote>
  <w:endnote w:type="continuationNotice" w:id="1">
    <w:p w14:paraId="414F4B94" w14:textId="77777777" w:rsidR="002834C5" w:rsidRDefault="00283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Narrow">
    <w:altName w:val="Arial"/>
    <w:panose1 w:val="00000000000000000000"/>
    <w:charset w:val="00"/>
    <w:family w:val="auto"/>
    <w:notTrueType/>
    <w:pitch w:val="default"/>
    <w:sig w:usb0="00000001"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3AEB" w14:textId="77777777" w:rsidR="0020233B" w:rsidRDefault="0020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730210" w:rsidRDefault="00730210" w:rsidP="00753B29">
    <w:pPr>
      <w:pStyle w:val="Footer"/>
      <w:jc w:val="center"/>
    </w:pPr>
  </w:p>
  <w:p w14:paraId="37484CD3" w14:textId="2551B946" w:rsidR="00730210" w:rsidRPr="007C1CD9" w:rsidRDefault="00685AB3" w:rsidP="00753B29">
    <w:pPr>
      <w:pStyle w:val="Footer"/>
      <w:jc w:val="center"/>
    </w:pPr>
    <w:sdt>
      <w:sdtPr>
        <w:id w:val="1036156457"/>
        <w:docPartObj>
          <w:docPartGallery w:val="Page Numbers (Bottom of Page)"/>
          <w:docPartUnique/>
        </w:docPartObj>
      </w:sdtPr>
      <w:sdtEndPr>
        <w:rPr>
          <w:noProof/>
        </w:rPr>
      </w:sdtEndPr>
      <w:sdtContent>
        <w:r w:rsidR="00730210">
          <w:fldChar w:fldCharType="begin"/>
        </w:r>
        <w:r w:rsidR="00730210">
          <w:instrText xml:space="preserve"> PAGE   \* MERGEFORMAT </w:instrText>
        </w:r>
        <w:r w:rsidR="00730210">
          <w:fldChar w:fldCharType="separate"/>
        </w:r>
        <w:r w:rsidR="00730210">
          <w:rPr>
            <w:noProof/>
          </w:rPr>
          <w:t>2</w:t>
        </w:r>
        <w:r w:rsidR="007302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CD1D" w14:textId="77777777" w:rsidR="0020233B" w:rsidRDefault="0020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56FB" w14:textId="77777777" w:rsidR="002834C5" w:rsidRDefault="002834C5" w:rsidP="00124A51">
      <w:r>
        <w:separator/>
      </w:r>
    </w:p>
    <w:p w14:paraId="0E3AAEF5" w14:textId="77777777" w:rsidR="002834C5" w:rsidRDefault="002834C5"/>
  </w:footnote>
  <w:footnote w:type="continuationSeparator" w:id="0">
    <w:p w14:paraId="22C49B71" w14:textId="77777777" w:rsidR="002834C5" w:rsidRDefault="002834C5" w:rsidP="00124A51">
      <w:r>
        <w:continuationSeparator/>
      </w:r>
    </w:p>
    <w:p w14:paraId="6B8C144A" w14:textId="77777777" w:rsidR="002834C5" w:rsidRDefault="002834C5"/>
  </w:footnote>
  <w:footnote w:type="continuationNotice" w:id="1">
    <w:p w14:paraId="4E5EC849" w14:textId="77777777" w:rsidR="002834C5" w:rsidRDefault="002834C5"/>
  </w:footnote>
  <w:footnote w:id="2">
    <w:p w14:paraId="5DBDBCC9" w14:textId="5344DB25" w:rsidR="00BC517D" w:rsidRDefault="00BC517D">
      <w:pPr>
        <w:pStyle w:val="FootnoteText"/>
      </w:pPr>
      <w:r>
        <w:rPr>
          <w:rStyle w:val="FootnoteReference"/>
        </w:rPr>
        <w:footnoteRef/>
      </w:r>
      <w:r>
        <w:t xml:space="preserve"> </w:t>
      </w:r>
      <w:r w:rsidRPr="00BC517D">
        <w:rPr>
          <w:i/>
          <w:iCs/>
        </w:rPr>
        <w:t>Note that the results presented in paragraph 6.14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footnote>
  <w:footnote w:id="3">
    <w:p w14:paraId="670B153E" w14:textId="13FB8BCF" w:rsidR="00BC517D" w:rsidRDefault="00BC517D">
      <w:pPr>
        <w:pStyle w:val="FootnoteText"/>
      </w:pPr>
      <w:r>
        <w:rPr>
          <w:rStyle w:val="FootnoteReference"/>
        </w:rPr>
        <w:footnoteRef/>
      </w:r>
      <w:r>
        <w:t xml:space="preserve"> </w:t>
      </w:r>
      <w:r w:rsidRPr="00BC517D">
        <w:rPr>
          <w:i/>
          <w:iCs/>
        </w:rPr>
        <w:t>Note that the results presented in paragraph 6.15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footnote>
  <w:footnote w:id="4">
    <w:p w14:paraId="2BC86A23" w14:textId="59F56CA2" w:rsidR="00F128E1" w:rsidRDefault="00F128E1">
      <w:pPr>
        <w:pStyle w:val="FootnoteText"/>
      </w:pPr>
      <w:r>
        <w:rPr>
          <w:rStyle w:val="FootnoteReference"/>
        </w:rPr>
        <w:footnoteRef/>
      </w:r>
      <w:r>
        <w:t xml:space="preserve"> </w:t>
      </w:r>
      <w:r w:rsidRPr="00F128E1">
        <w:rPr>
          <w:i/>
          <w:iCs/>
        </w:rPr>
        <w:t>Note that the results presented in paragraph 6.40 are derived from post-hoc analyses conducted by the applicant specifically for the purposes of informing the PBAC consideration. These analyses were not part of the pre-specified statistical plan for SYNAPSE. Interpretation of the results and their application should therefore be limited to seeking to understand the basis for the PBAC outcome and should not be used for any other purpose.</w:t>
      </w:r>
    </w:p>
  </w:footnote>
  <w:footnote w:id="5">
    <w:p w14:paraId="78E50CC3" w14:textId="77777777" w:rsidR="00A0401C" w:rsidRDefault="00A0401C" w:rsidP="00A0401C">
      <w:pPr>
        <w:pStyle w:val="FootnoteText"/>
      </w:pPr>
      <w:r>
        <w:rPr>
          <w:rStyle w:val="FootnoteReference"/>
        </w:rPr>
        <w:footnoteRef/>
      </w:r>
      <w:r w:rsidRPr="000A03FD">
        <w:rPr>
          <w:lang w:val="fr-FR"/>
        </w:rPr>
        <w:t xml:space="preserve"> Gevaert P, Omachi T.A., Corren J, Mullol J, et al. </w:t>
      </w:r>
      <w:r>
        <w:t>Efficacy and safety of omalizumab in nasal polyposis: 2 randomised phase 3 trials. J Allergy Clin Immunol 2020: 146; 595-605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3AFF" w14:textId="77777777" w:rsidR="0020233B" w:rsidRDefault="00202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D3AD" w14:textId="4F4154BA" w:rsidR="00E72977" w:rsidRDefault="00EC2AF5" w:rsidP="00EC2AF5">
    <w:pPr>
      <w:pStyle w:val="Header"/>
      <w:rPr>
        <w:rFonts w:asciiTheme="minorHAnsi" w:hAnsiTheme="minorHAnsi"/>
        <w:i/>
        <w:color w:val="808080"/>
      </w:rPr>
    </w:pPr>
    <w:r>
      <w:rPr>
        <w:rFonts w:asciiTheme="minorHAnsi" w:hAnsiTheme="minorHAnsi"/>
        <w:i/>
        <w:color w:val="808080"/>
      </w:rPr>
      <w:t>Public Summary Document</w:t>
    </w:r>
    <w:r w:rsidR="00556242">
      <w:rPr>
        <w:rFonts w:asciiTheme="minorHAnsi" w:hAnsiTheme="minorHAnsi"/>
        <w:i/>
        <w:color w:val="808080"/>
      </w:rPr>
      <w:t xml:space="preserve"> - </w:t>
    </w:r>
    <w:r w:rsidR="00730210">
      <w:rPr>
        <w:rFonts w:asciiTheme="minorHAnsi" w:hAnsiTheme="minorHAnsi"/>
        <w:i/>
        <w:color w:val="808080"/>
      </w:rPr>
      <w:t xml:space="preserve">November 2022 </w:t>
    </w:r>
    <w:r w:rsidR="00730210" w:rsidRPr="00195452">
      <w:rPr>
        <w:rFonts w:asciiTheme="minorHAnsi" w:hAnsiTheme="minorHAnsi"/>
        <w:i/>
        <w:color w:val="808080"/>
      </w:rPr>
      <w:t>PBAC Meeting</w:t>
    </w:r>
  </w:p>
  <w:p w14:paraId="185C4D12" w14:textId="77777777" w:rsidR="00C730B3" w:rsidRPr="00EC2AF5" w:rsidRDefault="00C730B3" w:rsidP="00EC2AF5">
    <w:pPr>
      <w:pStyle w:val="Head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EAF4" w14:textId="77777777" w:rsidR="0020233B" w:rsidRDefault="00202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FA7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55D4F"/>
    <w:multiLevelType w:val="hybridMultilevel"/>
    <w:tmpl w:val="3BA0E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219F8"/>
    <w:multiLevelType w:val="hybridMultilevel"/>
    <w:tmpl w:val="E7B8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7333F9"/>
    <w:multiLevelType w:val="hybridMultilevel"/>
    <w:tmpl w:val="2DA44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7953E6D"/>
    <w:multiLevelType w:val="hybridMultilevel"/>
    <w:tmpl w:val="54C6A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11" w15:restartNumberingAfterBreak="0">
    <w:nsid w:val="44442297"/>
    <w:multiLevelType w:val="hybridMultilevel"/>
    <w:tmpl w:val="9A507CB6"/>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751FD"/>
    <w:multiLevelType w:val="hybridMultilevel"/>
    <w:tmpl w:val="43A230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8317B72"/>
    <w:multiLevelType w:val="hybridMultilevel"/>
    <w:tmpl w:val="84B237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3F277F"/>
    <w:multiLevelType w:val="hybridMultilevel"/>
    <w:tmpl w:val="E3140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EC272B"/>
    <w:multiLevelType w:val="hybridMultilevel"/>
    <w:tmpl w:val="956865DA"/>
    <w:lvl w:ilvl="0" w:tplc="FC3C36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8F4C2C"/>
    <w:multiLevelType w:val="hybridMultilevel"/>
    <w:tmpl w:val="9606F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3"/>
  </w:num>
  <w:num w:numId="2">
    <w:abstractNumId w:val="11"/>
  </w:num>
  <w:num w:numId="3">
    <w:abstractNumId w:val="12"/>
  </w:num>
  <w:num w:numId="4">
    <w:abstractNumId w:val="0"/>
  </w:num>
  <w:num w:numId="5">
    <w:abstractNumId w:val="23"/>
  </w:num>
  <w:num w:numId="6">
    <w:abstractNumId w:val="4"/>
  </w:num>
  <w:num w:numId="7">
    <w:abstractNumId w:val="24"/>
  </w:num>
  <w:num w:numId="8">
    <w:abstractNumId w:val="18"/>
  </w:num>
  <w:num w:numId="9">
    <w:abstractNumId w:val="25"/>
  </w:num>
  <w:num w:numId="10">
    <w:abstractNumId w:val="16"/>
  </w:num>
  <w:num w:numId="11">
    <w:abstractNumId w:val="22"/>
  </w:num>
  <w:num w:numId="12">
    <w:abstractNumId w:val="7"/>
  </w:num>
  <w:num w:numId="13">
    <w:abstractNumId w:val="13"/>
  </w:num>
  <w:num w:numId="14">
    <w:abstractNumId w:val="10"/>
  </w:num>
  <w:num w:numId="15">
    <w:abstractNumId w:val="8"/>
  </w:num>
  <w:num w:numId="16">
    <w:abstractNumId w:val="19"/>
  </w:num>
  <w:num w:numId="17">
    <w:abstractNumId w:val="26"/>
  </w:num>
  <w:num w:numId="18">
    <w:abstractNumId w:val="20"/>
  </w:num>
  <w:num w:numId="19">
    <w:abstractNumId w:val="14"/>
  </w:num>
  <w:num w:numId="20">
    <w:abstractNumId w:val="15"/>
  </w:num>
  <w:num w:numId="21">
    <w:abstractNumId w:val="3"/>
  </w:num>
  <w:num w:numId="22">
    <w:abstractNumId w:val="1"/>
  </w:num>
  <w:num w:numId="23">
    <w:abstractNumId w:val="6"/>
  </w:num>
  <w:num w:numId="24">
    <w:abstractNumId w:val="9"/>
  </w:num>
  <w:num w:numId="25">
    <w:abstractNumId w:val="5"/>
  </w:num>
  <w:num w:numId="2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23"/>
  </w:num>
  <w:num w:numId="30">
    <w:abstractNumId w:val="2"/>
  </w:num>
  <w:num w:numId="31">
    <w:abstractNumId w:val="23"/>
  </w:num>
  <w:num w:numId="32">
    <w:abstractNumId w:val="23"/>
  </w:num>
  <w:num w:numId="33">
    <w:abstractNumId w:val="23"/>
  </w:num>
  <w:num w:numId="34">
    <w:abstractNumId w:val="12"/>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4C"/>
    <w:rsid w:val="0000025A"/>
    <w:rsid w:val="00000284"/>
    <w:rsid w:val="00000290"/>
    <w:rsid w:val="00000790"/>
    <w:rsid w:val="000009AA"/>
    <w:rsid w:val="00000F7B"/>
    <w:rsid w:val="0000100A"/>
    <w:rsid w:val="0000110B"/>
    <w:rsid w:val="0000116C"/>
    <w:rsid w:val="00001299"/>
    <w:rsid w:val="00001631"/>
    <w:rsid w:val="0000177C"/>
    <w:rsid w:val="000017F8"/>
    <w:rsid w:val="00001DCC"/>
    <w:rsid w:val="0000200D"/>
    <w:rsid w:val="0000209E"/>
    <w:rsid w:val="00002155"/>
    <w:rsid w:val="00002334"/>
    <w:rsid w:val="000023F1"/>
    <w:rsid w:val="000024F0"/>
    <w:rsid w:val="00003253"/>
    <w:rsid w:val="00003283"/>
    <w:rsid w:val="00003388"/>
    <w:rsid w:val="00003499"/>
    <w:rsid w:val="00003811"/>
    <w:rsid w:val="000039B7"/>
    <w:rsid w:val="00003BD1"/>
    <w:rsid w:val="00003E33"/>
    <w:rsid w:val="000046CA"/>
    <w:rsid w:val="000047AA"/>
    <w:rsid w:val="00004DE4"/>
    <w:rsid w:val="000056B9"/>
    <w:rsid w:val="00005735"/>
    <w:rsid w:val="0000581B"/>
    <w:rsid w:val="0000589B"/>
    <w:rsid w:val="00005E81"/>
    <w:rsid w:val="0000639A"/>
    <w:rsid w:val="00006500"/>
    <w:rsid w:val="00006A59"/>
    <w:rsid w:val="00006E46"/>
    <w:rsid w:val="00006F32"/>
    <w:rsid w:val="000071B1"/>
    <w:rsid w:val="000077A3"/>
    <w:rsid w:val="00007F3D"/>
    <w:rsid w:val="00010066"/>
    <w:rsid w:val="00010523"/>
    <w:rsid w:val="00010723"/>
    <w:rsid w:val="00011D5F"/>
    <w:rsid w:val="000124DD"/>
    <w:rsid w:val="00012772"/>
    <w:rsid w:val="00012984"/>
    <w:rsid w:val="0001298A"/>
    <w:rsid w:val="00012EE8"/>
    <w:rsid w:val="00012FA1"/>
    <w:rsid w:val="00013247"/>
    <w:rsid w:val="000132D9"/>
    <w:rsid w:val="00013692"/>
    <w:rsid w:val="0001392D"/>
    <w:rsid w:val="00013A28"/>
    <w:rsid w:val="00014136"/>
    <w:rsid w:val="00014383"/>
    <w:rsid w:val="000143AD"/>
    <w:rsid w:val="000144D4"/>
    <w:rsid w:val="000149D6"/>
    <w:rsid w:val="00014C72"/>
    <w:rsid w:val="00014E1A"/>
    <w:rsid w:val="000150D8"/>
    <w:rsid w:val="000155B2"/>
    <w:rsid w:val="0001562C"/>
    <w:rsid w:val="000157B4"/>
    <w:rsid w:val="00015886"/>
    <w:rsid w:val="00015910"/>
    <w:rsid w:val="00015E77"/>
    <w:rsid w:val="0001614B"/>
    <w:rsid w:val="000162EF"/>
    <w:rsid w:val="000164F7"/>
    <w:rsid w:val="000165D0"/>
    <w:rsid w:val="000166B4"/>
    <w:rsid w:val="00016B20"/>
    <w:rsid w:val="00016C5C"/>
    <w:rsid w:val="00017370"/>
    <w:rsid w:val="000178C5"/>
    <w:rsid w:val="00017914"/>
    <w:rsid w:val="00017A91"/>
    <w:rsid w:val="00017A9A"/>
    <w:rsid w:val="00017BD3"/>
    <w:rsid w:val="000202B3"/>
    <w:rsid w:val="000203DC"/>
    <w:rsid w:val="000207C9"/>
    <w:rsid w:val="00020D75"/>
    <w:rsid w:val="00021154"/>
    <w:rsid w:val="0002136D"/>
    <w:rsid w:val="0002169C"/>
    <w:rsid w:val="0002178A"/>
    <w:rsid w:val="00021B1B"/>
    <w:rsid w:val="00021FB9"/>
    <w:rsid w:val="00022134"/>
    <w:rsid w:val="0002225F"/>
    <w:rsid w:val="00022278"/>
    <w:rsid w:val="00022321"/>
    <w:rsid w:val="00022393"/>
    <w:rsid w:val="000224F1"/>
    <w:rsid w:val="00022834"/>
    <w:rsid w:val="0002288B"/>
    <w:rsid w:val="00022B54"/>
    <w:rsid w:val="00022B56"/>
    <w:rsid w:val="00022D69"/>
    <w:rsid w:val="00022FF9"/>
    <w:rsid w:val="00023023"/>
    <w:rsid w:val="00023184"/>
    <w:rsid w:val="00023680"/>
    <w:rsid w:val="00023763"/>
    <w:rsid w:val="00023B83"/>
    <w:rsid w:val="00023EDF"/>
    <w:rsid w:val="0002410E"/>
    <w:rsid w:val="000244DA"/>
    <w:rsid w:val="00024802"/>
    <w:rsid w:val="00024EB5"/>
    <w:rsid w:val="000250A2"/>
    <w:rsid w:val="000253AF"/>
    <w:rsid w:val="000258E4"/>
    <w:rsid w:val="000262BB"/>
    <w:rsid w:val="0002664A"/>
    <w:rsid w:val="0002666C"/>
    <w:rsid w:val="00026729"/>
    <w:rsid w:val="00026CF8"/>
    <w:rsid w:val="00026F9E"/>
    <w:rsid w:val="000274B8"/>
    <w:rsid w:val="00027737"/>
    <w:rsid w:val="00027753"/>
    <w:rsid w:val="000277FE"/>
    <w:rsid w:val="00027804"/>
    <w:rsid w:val="00027829"/>
    <w:rsid w:val="00027F62"/>
    <w:rsid w:val="000305DF"/>
    <w:rsid w:val="00030BEF"/>
    <w:rsid w:val="00030C35"/>
    <w:rsid w:val="00030C53"/>
    <w:rsid w:val="00030DBC"/>
    <w:rsid w:val="00031154"/>
    <w:rsid w:val="000313C1"/>
    <w:rsid w:val="00031C68"/>
    <w:rsid w:val="00031F0A"/>
    <w:rsid w:val="0003222F"/>
    <w:rsid w:val="000327E0"/>
    <w:rsid w:val="00032B61"/>
    <w:rsid w:val="00032F3C"/>
    <w:rsid w:val="00033041"/>
    <w:rsid w:val="00033863"/>
    <w:rsid w:val="00033D12"/>
    <w:rsid w:val="000340B0"/>
    <w:rsid w:val="00034163"/>
    <w:rsid w:val="000342C3"/>
    <w:rsid w:val="000343AB"/>
    <w:rsid w:val="00034A50"/>
    <w:rsid w:val="00034F62"/>
    <w:rsid w:val="00035358"/>
    <w:rsid w:val="00035DC0"/>
    <w:rsid w:val="00036232"/>
    <w:rsid w:val="000365E3"/>
    <w:rsid w:val="00036829"/>
    <w:rsid w:val="00036CC3"/>
    <w:rsid w:val="00037587"/>
    <w:rsid w:val="0003798E"/>
    <w:rsid w:val="00037AAF"/>
    <w:rsid w:val="00040117"/>
    <w:rsid w:val="00040892"/>
    <w:rsid w:val="00040895"/>
    <w:rsid w:val="000408B0"/>
    <w:rsid w:val="00040A91"/>
    <w:rsid w:val="00040BEA"/>
    <w:rsid w:val="00040C44"/>
    <w:rsid w:val="000410A0"/>
    <w:rsid w:val="00041169"/>
    <w:rsid w:val="00041217"/>
    <w:rsid w:val="000415BE"/>
    <w:rsid w:val="00041722"/>
    <w:rsid w:val="000417E8"/>
    <w:rsid w:val="00041809"/>
    <w:rsid w:val="000419A2"/>
    <w:rsid w:val="000419F1"/>
    <w:rsid w:val="00042104"/>
    <w:rsid w:val="0004228C"/>
    <w:rsid w:val="0004269E"/>
    <w:rsid w:val="00042E4C"/>
    <w:rsid w:val="00043383"/>
    <w:rsid w:val="000435EE"/>
    <w:rsid w:val="00043906"/>
    <w:rsid w:val="000439C0"/>
    <w:rsid w:val="00043C37"/>
    <w:rsid w:val="00043C3B"/>
    <w:rsid w:val="00043E4A"/>
    <w:rsid w:val="00043EBC"/>
    <w:rsid w:val="00044893"/>
    <w:rsid w:val="000448B8"/>
    <w:rsid w:val="00044C2B"/>
    <w:rsid w:val="00044D85"/>
    <w:rsid w:val="00045017"/>
    <w:rsid w:val="00045032"/>
    <w:rsid w:val="00045497"/>
    <w:rsid w:val="000457D1"/>
    <w:rsid w:val="000459ED"/>
    <w:rsid w:val="00045A2B"/>
    <w:rsid w:val="00045A63"/>
    <w:rsid w:val="00045CBE"/>
    <w:rsid w:val="00045DE9"/>
    <w:rsid w:val="0004607B"/>
    <w:rsid w:val="0004698F"/>
    <w:rsid w:val="00046B0D"/>
    <w:rsid w:val="00046BB0"/>
    <w:rsid w:val="00046D2F"/>
    <w:rsid w:val="00046D64"/>
    <w:rsid w:val="0004730C"/>
    <w:rsid w:val="0004775E"/>
    <w:rsid w:val="00047B77"/>
    <w:rsid w:val="00047CA5"/>
    <w:rsid w:val="000502EC"/>
    <w:rsid w:val="00050508"/>
    <w:rsid w:val="00050732"/>
    <w:rsid w:val="0005088D"/>
    <w:rsid w:val="000508C2"/>
    <w:rsid w:val="00050AE5"/>
    <w:rsid w:val="00050C9E"/>
    <w:rsid w:val="00050D31"/>
    <w:rsid w:val="00050F49"/>
    <w:rsid w:val="0005115E"/>
    <w:rsid w:val="0005121B"/>
    <w:rsid w:val="00051346"/>
    <w:rsid w:val="00051594"/>
    <w:rsid w:val="000515C2"/>
    <w:rsid w:val="00051A41"/>
    <w:rsid w:val="00051C44"/>
    <w:rsid w:val="00052858"/>
    <w:rsid w:val="000528F6"/>
    <w:rsid w:val="0005290C"/>
    <w:rsid w:val="00052AAE"/>
    <w:rsid w:val="00052AB9"/>
    <w:rsid w:val="00052AD3"/>
    <w:rsid w:val="00053031"/>
    <w:rsid w:val="00053136"/>
    <w:rsid w:val="00053156"/>
    <w:rsid w:val="00053495"/>
    <w:rsid w:val="000539D0"/>
    <w:rsid w:val="00053F23"/>
    <w:rsid w:val="0005403A"/>
    <w:rsid w:val="000542B2"/>
    <w:rsid w:val="00054621"/>
    <w:rsid w:val="000546D7"/>
    <w:rsid w:val="00054A8D"/>
    <w:rsid w:val="00055054"/>
    <w:rsid w:val="0005514A"/>
    <w:rsid w:val="00055488"/>
    <w:rsid w:val="00055E79"/>
    <w:rsid w:val="0005614A"/>
    <w:rsid w:val="00056263"/>
    <w:rsid w:val="0005668B"/>
    <w:rsid w:val="000569D0"/>
    <w:rsid w:val="00056ECF"/>
    <w:rsid w:val="000575A5"/>
    <w:rsid w:val="0005760D"/>
    <w:rsid w:val="0005773A"/>
    <w:rsid w:val="00057BFC"/>
    <w:rsid w:val="00057C23"/>
    <w:rsid w:val="00057DEA"/>
    <w:rsid w:val="00057F73"/>
    <w:rsid w:val="000604DF"/>
    <w:rsid w:val="0006054C"/>
    <w:rsid w:val="000605B1"/>
    <w:rsid w:val="000605DC"/>
    <w:rsid w:val="000606DC"/>
    <w:rsid w:val="000609BC"/>
    <w:rsid w:val="00060E2A"/>
    <w:rsid w:val="00061185"/>
    <w:rsid w:val="000616BB"/>
    <w:rsid w:val="000616D8"/>
    <w:rsid w:val="00061862"/>
    <w:rsid w:val="00061B1C"/>
    <w:rsid w:val="00062115"/>
    <w:rsid w:val="00062137"/>
    <w:rsid w:val="00062324"/>
    <w:rsid w:val="00062383"/>
    <w:rsid w:val="000627E0"/>
    <w:rsid w:val="00062A8F"/>
    <w:rsid w:val="00062DB4"/>
    <w:rsid w:val="00062E92"/>
    <w:rsid w:val="00062FAA"/>
    <w:rsid w:val="0006336A"/>
    <w:rsid w:val="0006348F"/>
    <w:rsid w:val="000634C3"/>
    <w:rsid w:val="00063734"/>
    <w:rsid w:val="00063899"/>
    <w:rsid w:val="00063C82"/>
    <w:rsid w:val="000640DD"/>
    <w:rsid w:val="000644FA"/>
    <w:rsid w:val="0006478F"/>
    <w:rsid w:val="00064975"/>
    <w:rsid w:val="00064C69"/>
    <w:rsid w:val="00064E18"/>
    <w:rsid w:val="00064E63"/>
    <w:rsid w:val="00064FB7"/>
    <w:rsid w:val="00065120"/>
    <w:rsid w:val="00065151"/>
    <w:rsid w:val="000653B5"/>
    <w:rsid w:val="0006562A"/>
    <w:rsid w:val="00065CC1"/>
    <w:rsid w:val="00065F2F"/>
    <w:rsid w:val="00066360"/>
    <w:rsid w:val="0006644B"/>
    <w:rsid w:val="000666CB"/>
    <w:rsid w:val="00066AF8"/>
    <w:rsid w:val="00066F87"/>
    <w:rsid w:val="00067301"/>
    <w:rsid w:val="0006735E"/>
    <w:rsid w:val="0006778C"/>
    <w:rsid w:val="00067839"/>
    <w:rsid w:val="00067B9C"/>
    <w:rsid w:val="0007011D"/>
    <w:rsid w:val="000706ED"/>
    <w:rsid w:val="000709F5"/>
    <w:rsid w:val="00070EC4"/>
    <w:rsid w:val="00071248"/>
    <w:rsid w:val="00071343"/>
    <w:rsid w:val="000714B8"/>
    <w:rsid w:val="00071830"/>
    <w:rsid w:val="0007183E"/>
    <w:rsid w:val="00071965"/>
    <w:rsid w:val="00071D9A"/>
    <w:rsid w:val="000720B9"/>
    <w:rsid w:val="00072668"/>
    <w:rsid w:val="00072833"/>
    <w:rsid w:val="00072B99"/>
    <w:rsid w:val="00072D21"/>
    <w:rsid w:val="0007332D"/>
    <w:rsid w:val="000734B1"/>
    <w:rsid w:val="000734DD"/>
    <w:rsid w:val="00073618"/>
    <w:rsid w:val="0007369A"/>
    <w:rsid w:val="000736F7"/>
    <w:rsid w:val="000737F7"/>
    <w:rsid w:val="0007391B"/>
    <w:rsid w:val="00073A18"/>
    <w:rsid w:val="00073A90"/>
    <w:rsid w:val="00073C50"/>
    <w:rsid w:val="00073DC6"/>
    <w:rsid w:val="00074E2D"/>
    <w:rsid w:val="000756D0"/>
    <w:rsid w:val="000759D0"/>
    <w:rsid w:val="00075E72"/>
    <w:rsid w:val="000764C9"/>
    <w:rsid w:val="0007672F"/>
    <w:rsid w:val="00076B54"/>
    <w:rsid w:val="00076B76"/>
    <w:rsid w:val="00076D4E"/>
    <w:rsid w:val="0007745D"/>
    <w:rsid w:val="000774F0"/>
    <w:rsid w:val="00077733"/>
    <w:rsid w:val="00080755"/>
    <w:rsid w:val="00080909"/>
    <w:rsid w:val="00080DA8"/>
    <w:rsid w:val="00080EE2"/>
    <w:rsid w:val="000812CA"/>
    <w:rsid w:val="00081414"/>
    <w:rsid w:val="00081640"/>
    <w:rsid w:val="000816DA"/>
    <w:rsid w:val="00081BEF"/>
    <w:rsid w:val="00081E63"/>
    <w:rsid w:val="000823A3"/>
    <w:rsid w:val="0008247B"/>
    <w:rsid w:val="00082499"/>
    <w:rsid w:val="00082555"/>
    <w:rsid w:val="0008258D"/>
    <w:rsid w:val="00082843"/>
    <w:rsid w:val="00082C14"/>
    <w:rsid w:val="00082D56"/>
    <w:rsid w:val="000832A0"/>
    <w:rsid w:val="00083699"/>
    <w:rsid w:val="000836E2"/>
    <w:rsid w:val="00083904"/>
    <w:rsid w:val="00083CE5"/>
    <w:rsid w:val="00083E99"/>
    <w:rsid w:val="00083FB7"/>
    <w:rsid w:val="00083FDE"/>
    <w:rsid w:val="000840D9"/>
    <w:rsid w:val="0008432E"/>
    <w:rsid w:val="00084556"/>
    <w:rsid w:val="000846A1"/>
    <w:rsid w:val="00084B4C"/>
    <w:rsid w:val="00084F8A"/>
    <w:rsid w:val="00084FA8"/>
    <w:rsid w:val="000851DF"/>
    <w:rsid w:val="000856C5"/>
    <w:rsid w:val="0008582C"/>
    <w:rsid w:val="00085890"/>
    <w:rsid w:val="00085B96"/>
    <w:rsid w:val="00085C31"/>
    <w:rsid w:val="00085D5B"/>
    <w:rsid w:val="00085D63"/>
    <w:rsid w:val="0008644B"/>
    <w:rsid w:val="00086660"/>
    <w:rsid w:val="000869CB"/>
    <w:rsid w:val="00086A4E"/>
    <w:rsid w:val="00086C8E"/>
    <w:rsid w:val="00087330"/>
    <w:rsid w:val="00090152"/>
    <w:rsid w:val="000902D9"/>
    <w:rsid w:val="000903BC"/>
    <w:rsid w:val="000908F6"/>
    <w:rsid w:val="00090C7E"/>
    <w:rsid w:val="00090D1E"/>
    <w:rsid w:val="000911AC"/>
    <w:rsid w:val="000911E1"/>
    <w:rsid w:val="000913B1"/>
    <w:rsid w:val="000913E5"/>
    <w:rsid w:val="00091AB1"/>
    <w:rsid w:val="00091E25"/>
    <w:rsid w:val="00092600"/>
    <w:rsid w:val="0009262B"/>
    <w:rsid w:val="000926BC"/>
    <w:rsid w:val="00093310"/>
    <w:rsid w:val="000933F5"/>
    <w:rsid w:val="000938F1"/>
    <w:rsid w:val="0009394A"/>
    <w:rsid w:val="00093ADF"/>
    <w:rsid w:val="00093CA1"/>
    <w:rsid w:val="00093D95"/>
    <w:rsid w:val="0009432C"/>
    <w:rsid w:val="0009445C"/>
    <w:rsid w:val="00094671"/>
    <w:rsid w:val="00094C2D"/>
    <w:rsid w:val="00095200"/>
    <w:rsid w:val="000958CE"/>
    <w:rsid w:val="00095A6D"/>
    <w:rsid w:val="00095FE5"/>
    <w:rsid w:val="00095FED"/>
    <w:rsid w:val="00096206"/>
    <w:rsid w:val="00096284"/>
    <w:rsid w:val="0009765C"/>
    <w:rsid w:val="00097935"/>
    <w:rsid w:val="00097A2C"/>
    <w:rsid w:val="00097A42"/>
    <w:rsid w:val="00097C00"/>
    <w:rsid w:val="000A00B3"/>
    <w:rsid w:val="000A0265"/>
    <w:rsid w:val="000A03FD"/>
    <w:rsid w:val="000A0460"/>
    <w:rsid w:val="000A05F6"/>
    <w:rsid w:val="000A06E0"/>
    <w:rsid w:val="000A0C1C"/>
    <w:rsid w:val="000A15E6"/>
    <w:rsid w:val="000A1B71"/>
    <w:rsid w:val="000A1BC0"/>
    <w:rsid w:val="000A1BDA"/>
    <w:rsid w:val="000A1C3B"/>
    <w:rsid w:val="000A1D48"/>
    <w:rsid w:val="000A2275"/>
    <w:rsid w:val="000A22D5"/>
    <w:rsid w:val="000A238F"/>
    <w:rsid w:val="000A251C"/>
    <w:rsid w:val="000A2689"/>
    <w:rsid w:val="000A2C25"/>
    <w:rsid w:val="000A2DF2"/>
    <w:rsid w:val="000A2E38"/>
    <w:rsid w:val="000A2F9E"/>
    <w:rsid w:val="000A345A"/>
    <w:rsid w:val="000A378F"/>
    <w:rsid w:val="000A3E47"/>
    <w:rsid w:val="000A4209"/>
    <w:rsid w:val="000A44D0"/>
    <w:rsid w:val="000A458B"/>
    <w:rsid w:val="000A46AB"/>
    <w:rsid w:val="000A494B"/>
    <w:rsid w:val="000A4DB9"/>
    <w:rsid w:val="000A51AD"/>
    <w:rsid w:val="000A522B"/>
    <w:rsid w:val="000A544C"/>
    <w:rsid w:val="000A5F6F"/>
    <w:rsid w:val="000A6039"/>
    <w:rsid w:val="000A6073"/>
    <w:rsid w:val="000A611A"/>
    <w:rsid w:val="000A6739"/>
    <w:rsid w:val="000A6BD5"/>
    <w:rsid w:val="000A6EFC"/>
    <w:rsid w:val="000A72DC"/>
    <w:rsid w:val="000A7453"/>
    <w:rsid w:val="000A7601"/>
    <w:rsid w:val="000A765D"/>
    <w:rsid w:val="000A7D08"/>
    <w:rsid w:val="000A7DD6"/>
    <w:rsid w:val="000B0069"/>
    <w:rsid w:val="000B0121"/>
    <w:rsid w:val="000B0670"/>
    <w:rsid w:val="000B06C0"/>
    <w:rsid w:val="000B0748"/>
    <w:rsid w:val="000B0E75"/>
    <w:rsid w:val="000B0EED"/>
    <w:rsid w:val="000B1042"/>
    <w:rsid w:val="000B1153"/>
    <w:rsid w:val="000B14C3"/>
    <w:rsid w:val="000B1824"/>
    <w:rsid w:val="000B186C"/>
    <w:rsid w:val="000B1CCA"/>
    <w:rsid w:val="000B1FB6"/>
    <w:rsid w:val="000B20DC"/>
    <w:rsid w:val="000B24A1"/>
    <w:rsid w:val="000B2540"/>
    <w:rsid w:val="000B2842"/>
    <w:rsid w:val="000B2988"/>
    <w:rsid w:val="000B2DCB"/>
    <w:rsid w:val="000B3C20"/>
    <w:rsid w:val="000B3FA9"/>
    <w:rsid w:val="000B4107"/>
    <w:rsid w:val="000B42BF"/>
    <w:rsid w:val="000B445C"/>
    <w:rsid w:val="000B46C2"/>
    <w:rsid w:val="000B4B99"/>
    <w:rsid w:val="000B4D58"/>
    <w:rsid w:val="000B4D68"/>
    <w:rsid w:val="000B4EA2"/>
    <w:rsid w:val="000B4FF8"/>
    <w:rsid w:val="000B5049"/>
    <w:rsid w:val="000B50BC"/>
    <w:rsid w:val="000B5A1C"/>
    <w:rsid w:val="000B5CE0"/>
    <w:rsid w:val="000B5F03"/>
    <w:rsid w:val="000B5FB0"/>
    <w:rsid w:val="000B6475"/>
    <w:rsid w:val="000B6CAC"/>
    <w:rsid w:val="000B7417"/>
    <w:rsid w:val="000B7612"/>
    <w:rsid w:val="000B7748"/>
    <w:rsid w:val="000B78AE"/>
    <w:rsid w:val="000B79BF"/>
    <w:rsid w:val="000B7FC9"/>
    <w:rsid w:val="000C0048"/>
    <w:rsid w:val="000C0420"/>
    <w:rsid w:val="000C0C69"/>
    <w:rsid w:val="000C14D1"/>
    <w:rsid w:val="000C166F"/>
    <w:rsid w:val="000C17AD"/>
    <w:rsid w:val="000C1968"/>
    <w:rsid w:val="000C199F"/>
    <w:rsid w:val="000C2094"/>
    <w:rsid w:val="000C20C2"/>
    <w:rsid w:val="000C2406"/>
    <w:rsid w:val="000C241C"/>
    <w:rsid w:val="000C24A6"/>
    <w:rsid w:val="000C29C1"/>
    <w:rsid w:val="000C2A84"/>
    <w:rsid w:val="000C2AB5"/>
    <w:rsid w:val="000C2E46"/>
    <w:rsid w:val="000C3546"/>
    <w:rsid w:val="000C35EF"/>
    <w:rsid w:val="000C39BC"/>
    <w:rsid w:val="000C3B2F"/>
    <w:rsid w:val="000C3DF9"/>
    <w:rsid w:val="000C3FFA"/>
    <w:rsid w:val="000C3FFC"/>
    <w:rsid w:val="000C4193"/>
    <w:rsid w:val="000C4588"/>
    <w:rsid w:val="000C49CC"/>
    <w:rsid w:val="000C4CF2"/>
    <w:rsid w:val="000C4F1D"/>
    <w:rsid w:val="000C51CE"/>
    <w:rsid w:val="000C5201"/>
    <w:rsid w:val="000C5468"/>
    <w:rsid w:val="000C5889"/>
    <w:rsid w:val="000C59D4"/>
    <w:rsid w:val="000C5AC0"/>
    <w:rsid w:val="000C6027"/>
    <w:rsid w:val="000C61F4"/>
    <w:rsid w:val="000C6694"/>
    <w:rsid w:val="000C6713"/>
    <w:rsid w:val="000C69A0"/>
    <w:rsid w:val="000C75A5"/>
    <w:rsid w:val="000C7645"/>
    <w:rsid w:val="000C7800"/>
    <w:rsid w:val="000D03DC"/>
    <w:rsid w:val="000D0C0B"/>
    <w:rsid w:val="000D17C4"/>
    <w:rsid w:val="000D1B54"/>
    <w:rsid w:val="000D1BD2"/>
    <w:rsid w:val="000D1BFC"/>
    <w:rsid w:val="000D1D5D"/>
    <w:rsid w:val="000D1E21"/>
    <w:rsid w:val="000D23AB"/>
    <w:rsid w:val="000D281A"/>
    <w:rsid w:val="000D2848"/>
    <w:rsid w:val="000D2BCC"/>
    <w:rsid w:val="000D2BCF"/>
    <w:rsid w:val="000D2D4A"/>
    <w:rsid w:val="000D30D3"/>
    <w:rsid w:val="000D3166"/>
    <w:rsid w:val="000D3170"/>
    <w:rsid w:val="000D326A"/>
    <w:rsid w:val="000D330F"/>
    <w:rsid w:val="000D33BB"/>
    <w:rsid w:val="000D3451"/>
    <w:rsid w:val="000D3472"/>
    <w:rsid w:val="000D3844"/>
    <w:rsid w:val="000D3A37"/>
    <w:rsid w:val="000D3CEE"/>
    <w:rsid w:val="000D487D"/>
    <w:rsid w:val="000D4A19"/>
    <w:rsid w:val="000D4CBD"/>
    <w:rsid w:val="000D51FB"/>
    <w:rsid w:val="000D5EC6"/>
    <w:rsid w:val="000D5FAE"/>
    <w:rsid w:val="000D65C5"/>
    <w:rsid w:val="000D67DA"/>
    <w:rsid w:val="000D6A1F"/>
    <w:rsid w:val="000D6AB1"/>
    <w:rsid w:val="000D7214"/>
    <w:rsid w:val="000D7A69"/>
    <w:rsid w:val="000D7BB0"/>
    <w:rsid w:val="000D7EB7"/>
    <w:rsid w:val="000D7EC7"/>
    <w:rsid w:val="000D7EED"/>
    <w:rsid w:val="000E02A5"/>
    <w:rsid w:val="000E0640"/>
    <w:rsid w:val="000E0AFC"/>
    <w:rsid w:val="000E0D38"/>
    <w:rsid w:val="000E0E71"/>
    <w:rsid w:val="000E12B1"/>
    <w:rsid w:val="000E135D"/>
    <w:rsid w:val="000E1379"/>
    <w:rsid w:val="000E16E2"/>
    <w:rsid w:val="000E198B"/>
    <w:rsid w:val="000E1DB3"/>
    <w:rsid w:val="000E2414"/>
    <w:rsid w:val="000E2450"/>
    <w:rsid w:val="000E2851"/>
    <w:rsid w:val="000E2BE8"/>
    <w:rsid w:val="000E2D91"/>
    <w:rsid w:val="000E3282"/>
    <w:rsid w:val="000E33E1"/>
    <w:rsid w:val="000E34C6"/>
    <w:rsid w:val="000E35A9"/>
    <w:rsid w:val="000E360E"/>
    <w:rsid w:val="000E3963"/>
    <w:rsid w:val="000E3DFA"/>
    <w:rsid w:val="000E3FB9"/>
    <w:rsid w:val="000E4045"/>
    <w:rsid w:val="000E413C"/>
    <w:rsid w:val="000E4317"/>
    <w:rsid w:val="000E4330"/>
    <w:rsid w:val="000E4429"/>
    <w:rsid w:val="000E46DA"/>
    <w:rsid w:val="000E472F"/>
    <w:rsid w:val="000E47AC"/>
    <w:rsid w:val="000E483E"/>
    <w:rsid w:val="000E48BE"/>
    <w:rsid w:val="000E5033"/>
    <w:rsid w:val="000E51DA"/>
    <w:rsid w:val="000E5218"/>
    <w:rsid w:val="000E5477"/>
    <w:rsid w:val="000E55C0"/>
    <w:rsid w:val="000E55EE"/>
    <w:rsid w:val="000E7ACA"/>
    <w:rsid w:val="000E7C8E"/>
    <w:rsid w:val="000E7E14"/>
    <w:rsid w:val="000E7E1E"/>
    <w:rsid w:val="000F00BA"/>
    <w:rsid w:val="000F0132"/>
    <w:rsid w:val="000F04DC"/>
    <w:rsid w:val="000F059A"/>
    <w:rsid w:val="000F0845"/>
    <w:rsid w:val="000F08EC"/>
    <w:rsid w:val="000F09A3"/>
    <w:rsid w:val="000F0A87"/>
    <w:rsid w:val="000F0AD0"/>
    <w:rsid w:val="000F0C24"/>
    <w:rsid w:val="000F0CB9"/>
    <w:rsid w:val="000F127A"/>
    <w:rsid w:val="000F1C03"/>
    <w:rsid w:val="000F1C80"/>
    <w:rsid w:val="000F1E10"/>
    <w:rsid w:val="000F244F"/>
    <w:rsid w:val="000F275F"/>
    <w:rsid w:val="000F294E"/>
    <w:rsid w:val="000F29B3"/>
    <w:rsid w:val="000F2E93"/>
    <w:rsid w:val="000F316A"/>
    <w:rsid w:val="000F3177"/>
    <w:rsid w:val="000F327B"/>
    <w:rsid w:val="000F32EE"/>
    <w:rsid w:val="000F35EC"/>
    <w:rsid w:val="000F3A1C"/>
    <w:rsid w:val="000F3C74"/>
    <w:rsid w:val="000F3FAB"/>
    <w:rsid w:val="000F458F"/>
    <w:rsid w:val="000F4827"/>
    <w:rsid w:val="000F494A"/>
    <w:rsid w:val="000F4AB9"/>
    <w:rsid w:val="000F4BB8"/>
    <w:rsid w:val="000F4FA9"/>
    <w:rsid w:val="000F53FB"/>
    <w:rsid w:val="000F5E9A"/>
    <w:rsid w:val="000F5EC2"/>
    <w:rsid w:val="000F6CE9"/>
    <w:rsid w:val="000F7013"/>
    <w:rsid w:val="000F7127"/>
    <w:rsid w:val="000F76BC"/>
    <w:rsid w:val="000F7B54"/>
    <w:rsid w:val="001000B3"/>
    <w:rsid w:val="00100607"/>
    <w:rsid w:val="001007EC"/>
    <w:rsid w:val="00100829"/>
    <w:rsid w:val="00100C1F"/>
    <w:rsid w:val="00100C3C"/>
    <w:rsid w:val="00100F33"/>
    <w:rsid w:val="00100F8A"/>
    <w:rsid w:val="0010166E"/>
    <w:rsid w:val="00101851"/>
    <w:rsid w:val="00102271"/>
    <w:rsid w:val="00102D3F"/>
    <w:rsid w:val="00102E21"/>
    <w:rsid w:val="00103402"/>
    <w:rsid w:val="001034B4"/>
    <w:rsid w:val="001036C9"/>
    <w:rsid w:val="00103E23"/>
    <w:rsid w:val="00103ED8"/>
    <w:rsid w:val="00103F34"/>
    <w:rsid w:val="0010452E"/>
    <w:rsid w:val="001048CA"/>
    <w:rsid w:val="00104991"/>
    <w:rsid w:val="00104A72"/>
    <w:rsid w:val="00104F54"/>
    <w:rsid w:val="00105AE2"/>
    <w:rsid w:val="00105FB2"/>
    <w:rsid w:val="001060C6"/>
    <w:rsid w:val="001062A0"/>
    <w:rsid w:val="001063B0"/>
    <w:rsid w:val="00106ADF"/>
    <w:rsid w:val="00106B80"/>
    <w:rsid w:val="00107138"/>
    <w:rsid w:val="00107171"/>
    <w:rsid w:val="00107D3E"/>
    <w:rsid w:val="00107E93"/>
    <w:rsid w:val="0011032E"/>
    <w:rsid w:val="001104C2"/>
    <w:rsid w:val="00110626"/>
    <w:rsid w:val="00110681"/>
    <w:rsid w:val="00110694"/>
    <w:rsid w:val="00110A81"/>
    <w:rsid w:val="00110C5A"/>
    <w:rsid w:val="00110C65"/>
    <w:rsid w:val="00110DD6"/>
    <w:rsid w:val="00111405"/>
    <w:rsid w:val="0011289B"/>
    <w:rsid w:val="001128B6"/>
    <w:rsid w:val="00112BF0"/>
    <w:rsid w:val="00113365"/>
    <w:rsid w:val="0011336E"/>
    <w:rsid w:val="0011348B"/>
    <w:rsid w:val="00113497"/>
    <w:rsid w:val="00113546"/>
    <w:rsid w:val="00113672"/>
    <w:rsid w:val="001138A7"/>
    <w:rsid w:val="001139FD"/>
    <w:rsid w:val="00113CB5"/>
    <w:rsid w:val="001142D4"/>
    <w:rsid w:val="00114B4C"/>
    <w:rsid w:val="00114CCC"/>
    <w:rsid w:val="00114E41"/>
    <w:rsid w:val="00115648"/>
    <w:rsid w:val="00115952"/>
    <w:rsid w:val="00115982"/>
    <w:rsid w:val="00116582"/>
    <w:rsid w:val="001165D3"/>
    <w:rsid w:val="001167BE"/>
    <w:rsid w:val="00116C53"/>
    <w:rsid w:val="00117285"/>
    <w:rsid w:val="0011740A"/>
    <w:rsid w:val="00117718"/>
    <w:rsid w:val="00117751"/>
    <w:rsid w:val="00117894"/>
    <w:rsid w:val="0011792D"/>
    <w:rsid w:val="00117E01"/>
    <w:rsid w:val="001201C8"/>
    <w:rsid w:val="00120683"/>
    <w:rsid w:val="00120B95"/>
    <w:rsid w:val="00121019"/>
    <w:rsid w:val="00121799"/>
    <w:rsid w:val="001222FC"/>
    <w:rsid w:val="0012264A"/>
    <w:rsid w:val="0012282C"/>
    <w:rsid w:val="00122C67"/>
    <w:rsid w:val="00122D00"/>
    <w:rsid w:val="00122E32"/>
    <w:rsid w:val="00122E6C"/>
    <w:rsid w:val="001236D0"/>
    <w:rsid w:val="001238E4"/>
    <w:rsid w:val="00123902"/>
    <w:rsid w:val="00123B9B"/>
    <w:rsid w:val="00123BBB"/>
    <w:rsid w:val="00123BC4"/>
    <w:rsid w:val="00124170"/>
    <w:rsid w:val="001241DA"/>
    <w:rsid w:val="00124A51"/>
    <w:rsid w:val="00124BAB"/>
    <w:rsid w:val="00124D33"/>
    <w:rsid w:val="00124D83"/>
    <w:rsid w:val="00124ED6"/>
    <w:rsid w:val="00125104"/>
    <w:rsid w:val="00125A18"/>
    <w:rsid w:val="00125ACD"/>
    <w:rsid w:val="00125DA6"/>
    <w:rsid w:val="00125FFF"/>
    <w:rsid w:val="00126621"/>
    <w:rsid w:val="00126834"/>
    <w:rsid w:val="00126B1D"/>
    <w:rsid w:val="001273A5"/>
    <w:rsid w:val="001274AC"/>
    <w:rsid w:val="00127A84"/>
    <w:rsid w:val="00127B69"/>
    <w:rsid w:val="00127E38"/>
    <w:rsid w:val="00127E5A"/>
    <w:rsid w:val="00127F31"/>
    <w:rsid w:val="00127FA9"/>
    <w:rsid w:val="001301E9"/>
    <w:rsid w:val="001301EE"/>
    <w:rsid w:val="00130537"/>
    <w:rsid w:val="00130A59"/>
    <w:rsid w:val="00130BE8"/>
    <w:rsid w:val="00130C7E"/>
    <w:rsid w:val="00130F23"/>
    <w:rsid w:val="00131D82"/>
    <w:rsid w:val="00131E8E"/>
    <w:rsid w:val="001321EC"/>
    <w:rsid w:val="00132375"/>
    <w:rsid w:val="00132B22"/>
    <w:rsid w:val="00132C49"/>
    <w:rsid w:val="00132CE1"/>
    <w:rsid w:val="00132FAD"/>
    <w:rsid w:val="00132FBB"/>
    <w:rsid w:val="001333E8"/>
    <w:rsid w:val="00133661"/>
    <w:rsid w:val="00133779"/>
    <w:rsid w:val="00133851"/>
    <w:rsid w:val="00133912"/>
    <w:rsid w:val="00133D36"/>
    <w:rsid w:val="00133E82"/>
    <w:rsid w:val="00133F59"/>
    <w:rsid w:val="00134416"/>
    <w:rsid w:val="00134C7B"/>
    <w:rsid w:val="00134C93"/>
    <w:rsid w:val="00134CCD"/>
    <w:rsid w:val="00134DF3"/>
    <w:rsid w:val="00135508"/>
    <w:rsid w:val="00135565"/>
    <w:rsid w:val="0013585A"/>
    <w:rsid w:val="00135989"/>
    <w:rsid w:val="001359C0"/>
    <w:rsid w:val="00135A95"/>
    <w:rsid w:val="00135C40"/>
    <w:rsid w:val="00135E8E"/>
    <w:rsid w:val="00136F07"/>
    <w:rsid w:val="00136F83"/>
    <w:rsid w:val="00137645"/>
    <w:rsid w:val="00137868"/>
    <w:rsid w:val="00137B59"/>
    <w:rsid w:val="00137E47"/>
    <w:rsid w:val="0014015A"/>
    <w:rsid w:val="00140AFF"/>
    <w:rsid w:val="00140D02"/>
    <w:rsid w:val="00140E99"/>
    <w:rsid w:val="00141B83"/>
    <w:rsid w:val="00141D84"/>
    <w:rsid w:val="00142272"/>
    <w:rsid w:val="0014248A"/>
    <w:rsid w:val="001432D4"/>
    <w:rsid w:val="00143720"/>
    <w:rsid w:val="00143827"/>
    <w:rsid w:val="00143F67"/>
    <w:rsid w:val="00143FCD"/>
    <w:rsid w:val="00144084"/>
    <w:rsid w:val="0014422F"/>
    <w:rsid w:val="0014484E"/>
    <w:rsid w:val="001448D2"/>
    <w:rsid w:val="00144A29"/>
    <w:rsid w:val="00145234"/>
    <w:rsid w:val="00145324"/>
    <w:rsid w:val="00145540"/>
    <w:rsid w:val="00145541"/>
    <w:rsid w:val="001456B0"/>
    <w:rsid w:val="0014632B"/>
    <w:rsid w:val="0014642C"/>
    <w:rsid w:val="00146825"/>
    <w:rsid w:val="00146960"/>
    <w:rsid w:val="00146C35"/>
    <w:rsid w:val="00146D08"/>
    <w:rsid w:val="00146E89"/>
    <w:rsid w:val="00147359"/>
    <w:rsid w:val="001473D3"/>
    <w:rsid w:val="001474C8"/>
    <w:rsid w:val="0014752B"/>
    <w:rsid w:val="0014767C"/>
    <w:rsid w:val="00147872"/>
    <w:rsid w:val="00147C69"/>
    <w:rsid w:val="00147E1E"/>
    <w:rsid w:val="001504FE"/>
    <w:rsid w:val="00150D66"/>
    <w:rsid w:val="00150D67"/>
    <w:rsid w:val="0015198A"/>
    <w:rsid w:val="00151B80"/>
    <w:rsid w:val="00151D63"/>
    <w:rsid w:val="00151E52"/>
    <w:rsid w:val="00151F0E"/>
    <w:rsid w:val="001536A1"/>
    <w:rsid w:val="001536DD"/>
    <w:rsid w:val="0015387D"/>
    <w:rsid w:val="00153A6F"/>
    <w:rsid w:val="00153C4F"/>
    <w:rsid w:val="0015420A"/>
    <w:rsid w:val="0015427A"/>
    <w:rsid w:val="001544B4"/>
    <w:rsid w:val="001545A2"/>
    <w:rsid w:val="001546ED"/>
    <w:rsid w:val="001547AB"/>
    <w:rsid w:val="00154F61"/>
    <w:rsid w:val="001558A6"/>
    <w:rsid w:val="00156319"/>
    <w:rsid w:val="00156F8F"/>
    <w:rsid w:val="00157056"/>
    <w:rsid w:val="001570F1"/>
    <w:rsid w:val="00157130"/>
    <w:rsid w:val="0015755D"/>
    <w:rsid w:val="001575EB"/>
    <w:rsid w:val="001576B1"/>
    <w:rsid w:val="0015793A"/>
    <w:rsid w:val="00157EF8"/>
    <w:rsid w:val="0016047B"/>
    <w:rsid w:val="00160A4C"/>
    <w:rsid w:val="00160BCA"/>
    <w:rsid w:val="0016119F"/>
    <w:rsid w:val="00161695"/>
    <w:rsid w:val="00162913"/>
    <w:rsid w:val="00162928"/>
    <w:rsid w:val="0016296A"/>
    <w:rsid w:val="00162C6B"/>
    <w:rsid w:val="00163556"/>
    <w:rsid w:val="001637F7"/>
    <w:rsid w:val="001639B2"/>
    <w:rsid w:val="00163D54"/>
    <w:rsid w:val="00163EFF"/>
    <w:rsid w:val="00163F66"/>
    <w:rsid w:val="0016478E"/>
    <w:rsid w:val="001647B7"/>
    <w:rsid w:val="00164969"/>
    <w:rsid w:val="001651FA"/>
    <w:rsid w:val="00165DD8"/>
    <w:rsid w:val="00165EC4"/>
    <w:rsid w:val="00165FC4"/>
    <w:rsid w:val="00166160"/>
    <w:rsid w:val="001661FB"/>
    <w:rsid w:val="0016630B"/>
    <w:rsid w:val="00166F53"/>
    <w:rsid w:val="001671A0"/>
    <w:rsid w:val="0016767F"/>
    <w:rsid w:val="0016782D"/>
    <w:rsid w:val="0016786B"/>
    <w:rsid w:val="00167D27"/>
    <w:rsid w:val="001700D2"/>
    <w:rsid w:val="00170333"/>
    <w:rsid w:val="00170357"/>
    <w:rsid w:val="00170DAD"/>
    <w:rsid w:val="0017110E"/>
    <w:rsid w:val="00171A3A"/>
    <w:rsid w:val="00171D19"/>
    <w:rsid w:val="001720C9"/>
    <w:rsid w:val="00172139"/>
    <w:rsid w:val="001726C6"/>
    <w:rsid w:val="00172BC8"/>
    <w:rsid w:val="00172E21"/>
    <w:rsid w:val="00173565"/>
    <w:rsid w:val="001735FA"/>
    <w:rsid w:val="001738AD"/>
    <w:rsid w:val="00173B07"/>
    <w:rsid w:val="0017405A"/>
    <w:rsid w:val="001748B2"/>
    <w:rsid w:val="001748D2"/>
    <w:rsid w:val="00174DB7"/>
    <w:rsid w:val="00174F8F"/>
    <w:rsid w:val="001751FA"/>
    <w:rsid w:val="00175463"/>
    <w:rsid w:val="00175541"/>
    <w:rsid w:val="001758DD"/>
    <w:rsid w:val="00175A8C"/>
    <w:rsid w:val="00175C25"/>
    <w:rsid w:val="00175F6F"/>
    <w:rsid w:val="001769CA"/>
    <w:rsid w:val="00176BCC"/>
    <w:rsid w:val="00176DC0"/>
    <w:rsid w:val="00177659"/>
    <w:rsid w:val="00177BFA"/>
    <w:rsid w:val="00177D24"/>
    <w:rsid w:val="00180112"/>
    <w:rsid w:val="001802FB"/>
    <w:rsid w:val="0018054E"/>
    <w:rsid w:val="00180735"/>
    <w:rsid w:val="00180954"/>
    <w:rsid w:val="00180A8E"/>
    <w:rsid w:val="00180B60"/>
    <w:rsid w:val="00180E40"/>
    <w:rsid w:val="0018100C"/>
    <w:rsid w:val="001811B9"/>
    <w:rsid w:val="00181438"/>
    <w:rsid w:val="0018146D"/>
    <w:rsid w:val="00181C10"/>
    <w:rsid w:val="00181D9C"/>
    <w:rsid w:val="00181FBD"/>
    <w:rsid w:val="001824C3"/>
    <w:rsid w:val="001826FD"/>
    <w:rsid w:val="00182728"/>
    <w:rsid w:val="0018276D"/>
    <w:rsid w:val="00182771"/>
    <w:rsid w:val="00182B44"/>
    <w:rsid w:val="00182B9D"/>
    <w:rsid w:val="00182C3A"/>
    <w:rsid w:val="00183297"/>
    <w:rsid w:val="001837FF"/>
    <w:rsid w:val="00183A4F"/>
    <w:rsid w:val="00183CA6"/>
    <w:rsid w:val="00183ED2"/>
    <w:rsid w:val="001842F1"/>
    <w:rsid w:val="0018466F"/>
    <w:rsid w:val="00184B0E"/>
    <w:rsid w:val="00184D6D"/>
    <w:rsid w:val="00184EA3"/>
    <w:rsid w:val="00184F87"/>
    <w:rsid w:val="001853C2"/>
    <w:rsid w:val="001854F1"/>
    <w:rsid w:val="00185952"/>
    <w:rsid w:val="00185BA5"/>
    <w:rsid w:val="00185F30"/>
    <w:rsid w:val="00185F50"/>
    <w:rsid w:val="00186962"/>
    <w:rsid w:val="00186A1F"/>
    <w:rsid w:val="00186B81"/>
    <w:rsid w:val="00186BD9"/>
    <w:rsid w:val="00186F53"/>
    <w:rsid w:val="0018752F"/>
    <w:rsid w:val="001876B6"/>
    <w:rsid w:val="00187D63"/>
    <w:rsid w:val="001901AC"/>
    <w:rsid w:val="001904A6"/>
    <w:rsid w:val="001904F5"/>
    <w:rsid w:val="00190D30"/>
    <w:rsid w:val="00190F71"/>
    <w:rsid w:val="00191192"/>
    <w:rsid w:val="001913EE"/>
    <w:rsid w:val="00191EA7"/>
    <w:rsid w:val="0019242F"/>
    <w:rsid w:val="001925AB"/>
    <w:rsid w:val="00192D9C"/>
    <w:rsid w:val="001931A5"/>
    <w:rsid w:val="00193643"/>
    <w:rsid w:val="00193691"/>
    <w:rsid w:val="00193838"/>
    <w:rsid w:val="00193869"/>
    <w:rsid w:val="00193E20"/>
    <w:rsid w:val="00193ED6"/>
    <w:rsid w:val="00193F5A"/>
    <w:rsid w:val="00194A23"/>
    <w:rsid w:val="00194AD8"/>
    <w:rsid w:val="00194D19"/>
    <w:rsid w:val="00194DC0"/>
    <w:rsid w:val="00194F72"/>
    <w:rsid w:val="00195222"/>
    <w:rsid w:val="00195452"/>
    <w:rsid w:val="001956F7"/>
    <w:rsid w:val="00195767"/>
    <w:rsid w:val="00195A5A"/>
    <w:rsid w:val="00195D0D"/>
    <w:rsid w:val="00195D93"/>
    <w:rsid w:val="0019694C"/>
    <w:rsid w:val="0019698F"/>
    <w:rsid w:val="00196ADA"/>
    <w:rsid w:val="00196BA5"/>
    <w:rsid w:val="00196C14"/>
    <w:rsid w:val="00196E12"/>
    <w:rsid w:val="001975D8"/>
    <w:rsid w:val="00197B09"/>
    <w:rsid w:val="001A0CB3"/>
    <w:rsid w:val="001A0EEC"/>
    <w:rsid w:val="001A0FD5"/>
    <w:rsid w:val="001A1006"/>
    <w:rsid w:val="001A1072"/>
    <w:rsid w:val="001A12DD"/>
    <w:rsid w:val="001A148E"/>
    <w:rsid w:val="001A178E"/>
    <w:rsid w:val="001A18D6"/>
    <w:rsid w:val="001A1946"/>
    <w:rsid w:val="001A1BED"/>
    <w:rsid w:val="001A1BF0"/>
    <w:rsid w:val="001A1E0C"/>
    <w:rsid w:val="001A25B8"/>
    <w:rsid w:val="001A2CA0"/>
    <w:rsid w:val="001A2E95"/>
    <w:rsid w:val="001A3120"/>
    <w:rsid w:val="001A3190"/>
    <w:rsid w:val="001A33FE"/>
    <w:rsid w:val="001A3B6B"/>
    <w:rsid w:val="001A43FA"/>
    <w:rsid w:val="001A4499"/>
    <w:rsid w:val="001A47C5"/>
    <w:rsid w:val="001A47CD"/>
    <w:rsid w:val="001A4EDA"/>
    <w:rsid w:val="001A59FB"/>
    <w:rsid w:val="001A5B18"/>
    <w:rsid w:val="001A5E9E"/>
    <w:rsid w:val="001A6028"/>
    <w:rsid w:val="001A6354"/>
    <w:rsid w:val="001A6366"/>
    <w:rsid w:val="001A6561"/>
    <w:rsid w:val="001A6BBD"/>
    <w:rsid w:val="001A6EB0"/>
    <w:rsid w:val="001A6F42"/>
    <w:rsid w:val="001A700C"/>
    <w:rsid w:val="001A7388"/>
    <w:rsid w:val="001A7AE8"/>
    <w:rsid w:val="001A7CD7"/>
    <w:rsid w:val="001B02E5"/>
    <w:rsid w:val="001B05B2"/>
    <w:rsid w:val="001B0696"/>
    <w:rsid w:val="001B06DD"/>
    <w:rsid w:val="001B0D4B"/>
    <w:rsid w:val="001B0F33"/>
    <w:rsid w:val="001B11DD"/>
    <w:rsid w:val="001B15A6"/>
    <w:rsid w:val="001B18D4"/>
    <w:rsid w:val="001B200D"/>
    <w:rsid w:val="001B204E"/>
    <w:rsid w:val="001B2372"/>
    <w:rsid w:val="001B23A0"/>
    <w:rsid w:val="001B2628"/>
    <w:rsid w:val="001B28BC"/>
    <w:rsid w:val="001B28DC"/>
    <w:rsid w:val="001B2940"/>
    <w:rsid w:val="001B2CBF"/>
    <w:rsid w:val="001B3443"/>
    <w:rsid w:val="001B34CE"/>
    <w:rsid w:val="001B36B1"/>
    <w:rsid w:val="001B36EB"/>
    <w:rsid w:val="001B3701"/>
    <w:rsid w:val="001B3914"/>
    <w:rsid w:val="001B3941"/>
    <w:rsid w:val="001B3A5D"/>
    <w:rsid w:val="001B3BFF"/>
    <w:rsid w:val="001B3EE1"/>
    <w:rsid w:val="001B3F0B"/>
    <w:rsid w:val="001B40D8"/>
    <w:rsid w:val="001B4686"/>
    <w:rsid w:val="001B4903"/>
    <w:rsid w:val="001B4D20"/>
    <w:rsid w:val="001B5061"/>
    <w:rsid w:val="001B575F"/>
    <w:rsid w:val="001B62FF"/>
    <w:rsid w:val="001B66D2"/>
    <w:rsid w:val="001B6F66"/>
    <w:rsid w:val="001B7496"/>
    <w:rsid w:val="001B7522"/>
    <w:rsid w:val="001B790B"/>
    <w:rsid w:val="001B7AAE"/>
    <w:rsid w:val="001B7F84"/>
    <w:rsid w:val="001C04C4"/>
    <w:rsid w:val="001C0B1E"/>
    <w:rsid w:val="001C1947"/>
    <w:rsid w:val="001C19B5"/>
    <w:rsid w:val="001C1A95"/>
    <w:rsid w:val="001C1C42"/>
    <w:rsid w:val="001C2139"/>
    <w:rsid w:val="001C2228"/>
    <w:rsid w:val="001C25F3"/>
    <w:rsid w:val="001C2802"/>
    <w:rsid w:val="001C292A"/>
    <w:rsid w:val="001C2A9B"/>
    <w:rsid w:val="001C2D1E"/>
    <w:rsid w:val="001C3334"/>
    <w:rsid w:val="001C3505"/>
    <w:rsid w:val="001C353C"/>
    <w:rsid w:val="001C3639"/>
    <w:rsid w:val="001C3DD6"/>
    <w:rsid w:val="001C3E21"/>
    <w:rsid w:val="001C3F7B"/>
    <w:rsid w:val="001C4203"/>
    <w:rsid w:val="001C4299"/>
    <w:rsid w:val="001C42AA"/>
    <w:rsid w:val="001C4874"/>
    <w:rsid w:val="001C4895"/>
    <w:rsid w:val="001C4B6E"/>
    <w:rsid w:val="001C501C"/>
    <w:rsid w:val="001C5082"/>
    <w:rsid w:val="001C5837"/>
    <w:rsid w:val="001C5A8A"/>
    <w:rsid w:val="001C5C38"/>
    <w:rsid w:val="001C5F94"/>
    <w:rsid w:val="001C65A5"/>
    <w:rsid w:val="001C65F1"/>
    <w:rsid w:val="001C67C9"/>
    <w:rsid w:val="001C6DDB"/>
    <w:rsid w:val="001C6E66"/>
    <w:rsid w:val="001C7080"/>
    <w:rsid w:val="001C73BE"/>
    <w:rsid w:val="001C7868"/>
    <w:rsid w:val="001C796C"/>
    <w:rsid w:val="001D017B"/>
    <w:rsid w:val="001D0403"/>
    <w:rsid w:val="001D060A"/>
    <w:rsid w:val="001D1100"/>
    <w:rsid w:val="001D11A5"/>
    <w:rsid w:val="001D1391"/>
    <w:rsid w:val="001D205C"/>
    <w:rsid w:val="001D25D7"/>
    <w:rsid w:val="001D2710"/>
    <w:rsid w:val="001D27D6"/>
    <w:rsid w:val="001D28BD"/>
    <w:rsid w:val="001D2DDB"/>
    <w:rsid w:val="001D3119"/>
    <w:rsid w:val="001D324B"/>
    <w:rsid w:val="001D3375"/>
    <w:rsid w:val="001D3F53"/>
    <w:rsid w:val="001D4A54"/>
    <w:rsid w:val="001D4B12"/>
    <w:rsid w:val="001D4DE0"/>
    <w:rsid w:val="001D4F66"/>
    <w:rsid w:val="001D50B2"/>
    <w:rsid w:val="001D535D"/>
    <w:rsid w:val="001D53D2"/>
    <w:rsid w:val="001D572C"/>
    <w:rsid w:val="001D58E7"/>
    <w:rsid w:val="001D5B80"/>
    <w:rsid w:val="001D5D80"/>
    <w:rsid w:val="001D5F9C"/>
    <w:rsid w:val="001D5FBA"/>
    <w:rsid w:val="001D670B"/>
    <w:rsid w:val="001D6733"/>
    <w:rsid w:val="001D674F"/>
    <w:rsid w:val="001D6AFD"/>
    <w:rsid w:val="001D6C14"/>
    <w:rsid w:val="001D71F4"/>
    <w:rsid w:val="001D724D"/>
    <w:rsid w:val="001D7645"/>
    <w:rsid w:val="001D7829"/>
    <w:rsid w:val="001D7A25"/>
    <w:rsid w:val="001E01B3"/>
    <w:rsid w:val="001E02C5"/>
    <w:rsid w:val="001E065A"/>
    <w:rsid w:val="001E0E10"/>
    <w:rsid w:val="001E1876"/>
    <w:rsid w:val="001E18B1"/>
    <w:rsid w:val="001E197C"/>
    <w:rsid w:val="001E1B08"/>
    <w:rsid w:val="001E1B25"/>
    <w:rsid w:val="001E1D4F"/>
    <w:rsid w:val="001E1E86"/>
    <w:rsid w:val="001E22C6"/>
    <w:rsid w:val="001E238E"/>
    <w:rsid w:val="001E2483"/>
    <w:rsid w:val="001E24B2"/>
    <w:rsid w:val="001E28C0"/>
    <w:rsid w:val="001E2B1E"/>
    <w:rsid w:val="001E2B4A"/>
    <w:rsid w:val="001E2CCC"/>
    <w:rsid w:val="001E2CFF"/>
    <w:rsid w:val="001E2F24"/>
    <w:rsid w:val="001E30D4"/>
    <w:rsid w:val="001E34DF"/>
    <w:rsid w:val="001E3667"/>
    <w:rsid w:val="001E3DB8"/>
    <w:rsid w:val="001E4145"/>
    <w:rsid w:val="001E49DB"/>
    <w:rsid w:val="001E4F66"/>
    <w:rsid w:val="001E52EB"/>
    <w:rsid w:val="001E5EEA"/>
    <w:rsid w:val="001E5F3D"/>
    <w:rsid w:val="001E61D2"/>
    <w:rsid w:val="001E63C5"/>
    <w:rsid w:val="001E69FF"/>
    <w:rsid w:val="001E6C9C"/>
    <w:rsid w:val="001E740C"/>
    <w:rsid w:val="001E7610"/>
    <w:rsid w:val="001E7779"/>
    <w:rsid w:val="001E7F11"/>
    <w:rsid w:val="001E7F52"/>
    <w:rsid w:val="001F0026"/>
    <w:rsid w:val="001F0E42"/>
    <w:rsid w:val="001F0ED2"/>
    <w:rsid w:val="001F1235"/>
    <w:rsid w:val="001F1477"/>
    <w:rsid w:val="001F178A"/>
    <w:rsid w:val="001F1B51"/>
    <w:rsid w:val="001F1C50"/>
    <w:rsid w:val="001F1C92"/>
    <w:rsid w:val="001F1CB3"/>
    <w:rsid w:val="001F1D31"/>
    <w:rsid w:val="001F2172"/>
    <w:rsid w:val="001F21F4"/>
    <w:rsid w:val="001F2DA9"/>
    <w:rsid w:val="001F2E83"/>
    <w:rsid w:val="001F2F31"/>
    <w:rsid w:val="001F38B5"/>
    <w:rsid w:val="001F3C58"/>
    <w:rsid w:val="001F4081"/>
    <w:rsid w:val="001F429C"/>
    <w:rsid w:val="001F448E"/>
    <w:rsid w:val="001F4C0B"/>
    <w:rsid w:val="001F4C4A"/>
    <w:rsid w:val="001F518F"/>
    <w:rsid w:val="001F55EE"/>
    <w:rsid w:val="001F56D9"/>
    <w:rsid w:val="001F570D"/>
    <w:rsid w:val="001F58A2"/>
    <w:rsid w:val="001F5AE1"/>
    <w:rsid w:val="001F5EC0"/>
    <w:rsid w:val="001F604D"/>
    <w:rsid w:val="001F6108"/>
    <w:rsid w:val="001F644E"/>
    <w:rsid w:val="001F6F1C"/>
    <w:rsid w:val="001F727B"/>
    <w:rsid w:val="001F7361"/>
    <w:rsid w:val="001F7791"/>
    <w:rsid w:val="001F7B96"/>
    <w:rsid w:val="001F7D24"/>
    <w:rsid w:val="001F7EBE"/>
    <w:rsid w:val="0020045D"/>
    <w:rsid w:val="0020084E"/>
    <w:rsid w:val="00200DAC"/>
    <w:rsid w:val="002011B0"/>
    <w:rsid w:val="00201446"/>
    <w:rsid w:val="0020190F"/>
    <w:rsid w:val="00201990"/>
    <w:rsid w:val="0020233B"/>
    <w:rsid w:val="002023E9"/>
    <w:rsid w:val="00202A9B"/>
    <w:rsid w:val="00203043"/>
    <w:rsid w:val="00203064"/>
    <w:rsid w:val="00203181"/>
    <w:rsid w:val="00203783"/>
    <w:rsid w:val="00203822"/>
    <w:rsid w:val="0020385F"/>
    <w:rsid w:val="00203B03"/>
    <w:rsid w:val="00204376"/>
    <w:rsid w:val="0020458A"/>
    <w:rsid w:val="002045AE"/>
    <w:rsid w:val="00204811"/>
    <w:rsid w:val="00204C4C"/>
    <w:rsid w:val="00205316"/>
    <w:rsid w:val="0020533A"/>
    <w:rsid w:val="002054A3"/>
    <w:rsid w:val="00206396"/>
    <w:rsid w:val="002068A0"/>
    <w:rsid w:val="002068CA"/>
    <w:rsid w:val="00206ED2"/>
    <w:rsid w:val="00207021"/>
    <w:rsid w:val="00207182"/>
    <w:rsid w:val="0020732F"/>
    <w:rsid w:val="00207578"/>
    <w:rsid w:val="00207D00"/>
    <w:rsid w:val="002105C1"/>
    <w:rsid w:val="00210A09"/>
    <w:rsid w:val="00210A5A"/>
    <w:rsid w:val="00210C47"/>
    <w:rsid w:val="00210E36"/>
    <w:rsid w:val="00210F6E"/>
    <w:rsid w:val="00211210"/>
    <w:rsid w:val="00211289"/>
    <w:rsid w:val="0021153E"/>
    <w:rsid w:val="002116FD"/>
    <w:rsid w:val="00211D56"/>
    <w:rsid w:val="002120FE"/>
    <w:rsid w:val="002123B1"/>
    <w:rsid w:val="002126BB"/>
    <w:rsid w:val="00212773"/>
    <w:rsid w:val="00212860"/>
    <w:rsid w:val="00213191"/>
    <w:rsid w:val="0021331B"/>
    <w:rsid w:val="00213365"/>
    <w:rsid w:val="00213760"/>
    <w:rsid w:val="002139F2"/>
    <w:rsid w:val="00213B15"/>
    <w:rsid w:val="00213EF5"/>
    <w:rsid w:val="00214255"/>
    <w:rsid w:val="002147C3"/>
    <w:rsid w:val="00214A5B"/>
    <w:rsid w:val="00215410"/>
    <w:rsid w:val="00215968"/>
    <w:rsid w:val="00215F8B"/>
    <w:rsid w:val="00215FBB"/>
    <w:rsid w:val="002164BB"/>
    <w:rsid w:val="0021688C"/>
    <w:rsid w:val="002168A9"/>
    <w:rsid w:val="00216A2F"/>
    <w:rsid w:val="00216BF5"/>
    <w:rsid w:val="0021725D"/>
    <w:rsid w:val="0021764B"/>
    <w:rsid w:val="00217904"/>
    <w:rsid w:val="002207A1"/>
    <w:rsid w:val="0022155E"/>
    <w:rsid w:val="00221728"/>
    <w:rsid w:val="002217B0"/>
    <w:rsid w:val="0022193E"/>
    <w:rsid w:val="00221AB0"/>
    <w:rsid w:val="00221C9A"/>
    <w:rsid w:val="00221EA9"/>
    <w:rsid w:val="0022242A"/>
    <w:rsid w:val="00222E5D"/>
    <w:rsid w:val="0022358C"/>
    <w:rsid w:val="002237A4"/>
    <w:rsid w:val="00223A9C"/>
    <w:rsid w:val="00223B39"/>
    <w:rsid w:val="00223B49"/>
    <w:rsid w:val="00223D5A"/>
    <w:rsid w:val="00223E20"/>
    <w:rsid w:val="00224019"/>
    <w:rsid w:val="00224062"/>
    <w:rsid w:val="00224639"/>
    <w:rsid w:val="00224840"/>
    <w:rsid w:val="00224C26"/>
    <w:rsid w:val="00224CA1"/>
    <w:rsid w:val="00224D3C"/>
    <w:rsid w:val="00224DD4"/>
    <w:rsid w:val="0022547D"/>
    <w:rsid w:val="00225864"/>
    <w:rsid w:val="00225A04"/>
    <w:rsid w:val="00225D1F"/>
    <w:rsid w:val="00225F45"/>
    <w:rsid w:val="00225FAF"/>
    <w:rsid w:val="002263B8"/>
    <w:rsid w:val="00226600"/>
    <w:rsid w:val="00226CBF"/>
    <w:rsid w:val="00226FA1"/>
    <w:rsid w:val="002270C4"/>
    <w:rsid w:val="00227215"/>
    <w:rsid w:val="00227382"/>
    <w:rsid w:val="00227511"/>
    <w:rsid w:val="002278A0"/>
    <w:rsid w:val="00227BE9"/>
    <w:rsid w:val="00227FA7"/>
    <w:rsid w:val="002309CC"/>
    <w:rsid w:val="00230A41"/>
    <w:rsid w:val="00231138"/>
    <w:rsid w:val="00231200"/>
    <w:rsid w:val="00231A8C"/>
    <w:rsid w:val="00231BA9"/>
    <w:rsid w:val="00231E58"/>
    <w:rsid w:val="0023209F"/>
    <w:rsid w:val="0023253D"/>
    <w:rsid w:val="002327F2"/>
    <w:rsid w:val="00232D1F"/>
    <w:rsid w:val="002332C7"/>
    <w:rsid w:val="0023344F"/>
    <w:rsid w:val="002339E2"/>
    <w:rsid w:val="00233C01"/>
    <w:rsid w:val="00233C04"/>
    <w:rsid w:val="00233CB5"/>
    <w:rsid w:val="00233D1D"/>
    <w:rsid w:val="0023413C"/>
    <w:rsid w:val="00234148"/>
    <w:rsid w:val="00234506"/>
    <w:rsid w:val="00234526"/>
    <w:rsid w:val="0023465E"/>
    <w:rsid w:val="002346F0"/>
    <w:rsid w:val="00234DE7"/>
    <w:rsid w:val="00234FF4"/>
    <w:rsid w:val="00235079"/>
    <w:rsid w:val="002351C3"/>
    <w:rsid w:val="00235483"/>
    <w:rsid w:val="00235C47"/>
    <w:rsid w:val="00235C68"/>
    <w:rsid w:val="00235CDE"/>
    <w:rsid w:val="00236134"/>
    <w:rsid w:val="0023629D"/>
    <w:rsid w:val="00236976"/>
    <w:rsid w:val="00236B15"/>
    <w:rsid w:val="00236C12"/>
    <w:rsid w:val="00237255"/>
    <w:rsid w:val="00237268"/>
    <w:rsid w:val="002373B1"/>
    <w:rsid w:val="00237564"/>
    <w:rsid w:val="002375C4"/>
    <w:rsid w:val="00237904"/>
    <w:rsid w:val="00237BC8"/>
    <w:rsid w:val="0024008B"/>
    <w:rsid w:val="002401B6"/>
    <w:rsid w:val="00240566"/>
    <w:rsid w:val="002405D1"/>
    <w:rsid w:val="00240705"/>
    <w:rsid w:val="0024072B"/>
    <w:rsid w:val="00240D09"/>
    <w:rsid w:val="00240EAE"/>
    <w:rsid w:val="00241198"/>
    <w:rsid w:val="00241339"/>
    <w:rsid w:val="00241377"/>
    <w:rsid w:val="00241424"/>
    <w:rsid w:val="00241447"/>
    <w:rsid w:val="00241597"/>
    <w:rsid w:val="0024170A"/>
    <w:rsid w:val="00242314"/>
    <w:rsid w:val="002424AF"/>
    <w:rsid w:val="00242A88"/>
    <w:rsid w:val="00242BBA"/>
    <w:rsid w:val="00242F9C"/>
    <w:rsid w:val="00243085"/>
    <w:rsid w:val="0024359B"/>
    <w:rsid w:val="00243907"/>
    <w:rsid w:val="002439DC"/>
    <w:rsid w:val="00243DDB"/>
    <w:rsid w:val="00243EE7"/>
    <w:rsid w:val="002441D2"/>
    <w:rsid w:val="002446C2"/>
    <w:rsid w:val="002449E1"/>
    <w:rsid w:val="00244DC8"/>
    <w:rsid w:val="00244E58"/>
    <w:rsid w:val="002454EF"/>
    <w:rsid w:val="00245584"/>
    <w:rsid w:val="002458BA"/>
    <w:rsid w:val="00245CE9"/>
    <w:rsid w:val="0024636C"/>
    <w:rsid w:val="002468F7"/>
    <w:rsid w:val="00246B23"/>
    <w:rsid w:val="00246FD8"/>
    <w:rsid w:val="00247909"/>
    <w:rsid w:val="00247925"/>
    <w:rsid w:val="002479EB"/>
    <w:rsid w:val="00247A0C"/>
    <w:rsid w:val="00247AF2"/>
    <w:rsid w:val="002500AC"/>
    <w:rsid w:val="00250731"/>
    <w:rsid w:val="00250A16"/>
    <w:rsid w:val="00250E06"/>
    <w:rsid w:val="00251006"/>
    <w:rsid w:val="002513A1"/>
    <w:rsid w:val="00251430"/>
    <w:rsid w:val="0025144B"/>
    <w:rsid w:val="0025156B"/>
    <w:rsid w:val="00251B1E"/>
    <w:rsid w:val="00251D48"/>
    <w:rsid w:val="00251DAB"/>
    <w:rsid w:val="00251E15"/>
    <w:rsid w:val="002524D5"/>
    <w:rsid w:val="002527F3"/>
    <w:rsid w:val="0025285A"/>
    <w:rsid w:val="0025290F"/>
    <w:rsid w:val="0025292D"/>
    <w:rsid w:val="00252F26"/>
    <w:rsid w:val="002530A1"/>
    <w:rsid w:val="002536DA"/>
    <w:rsid w:val="0025396C"/>
    <w:rsid w:val="00253B1D"/>
    <w:rsid w:val="00253DB9"/>
    <w:rsid w:val="00253EFA"/>
    <w:rsid w:val="00253F0C"/>
    <w:rsid w:val="002543A2"/>
    <w:rsid w:val="002544B1"/>
    <w:rsid w:val="00254ADE"/>
    <w:rsid w:val="00254DCF"/>
    <w:rsid w:val="00254FD7"/>
    <w:rsid w:val="00254FFE"/>
    <w:rsid w:val="0025503C"/>
    <w:rsid w:val="002552A6"/>
    <w:rsid w:val="0025534B"/>
    <w:rsid w:val="00255504"/>
    <w:rsid w:val="00255572"/>
    <w:rsid w:val="00255762"/>
    <w:rsid w:val="00255864"/>
    <w:rsid w:val="00255BB7"/>
    <w:rsid w:val="002560A1"/>
    <w:rsid w:val="002562F7"/>
    <w:rsid w:val="00256E8F"/>
    <w:rsid w:val="00257541"/>
    <w:rsid w:val="002575EE"/>
    <w:rsid w:val="00257A39"/>
    <w:rsid w:val="00257AC4"/>
    <w:rsid w:val="00257B03"/>
    <w:rsid w:val="00257B21"/>
    <w:rsid w:val="00257BBE"/>
    <w:rsid w:val="00257CA6"/>
    <w:rsid w:val="00257ED7"/>
    <w:rsid w:val="00257F03"/>
    <w:rsid w:val="00257F52"/>
    <w:rsid w:val="00260895"/>
    <w:rsid w:val="00260ECF"/>
    <w:rsid w:val="0026138D"/>
    <w:rsid w:val="00261560"/>
    <w:rsid w:val="002617CD"/>
    <w:rsid w:val="00261AF8"/>
    <w:rsid w:val="00261EEF"/>
    <w:rsid w:val="0026201A"/>
    <w:rsid w:val="00262082"/>
    <w:rsid w:val="002620D0"/>
    <w:rsid w:val="002625AC"/>
    <w:rsid w:val="00262677"/>
    <w:rsid w:val="002628A4"/>
    <w:rsid w:val="00262A1A"/>
    <w:rsid w:val="00262A87"/>
    <w:rsid w:val="002637F9"/>
    <w:rsid w:val="00263A5F"/>
    <w:rsid w:val="0026412D"/>
    <w:rsid w:val="002645AF"/>
    <w:rsid w:val="00264D26"/>
    <w:rsid w:val="00264E7F"/>
    <w:rsid w:val="00264E83"/>
    <w:rsid w:val="00264F4A"/>
    <w:rsid w:val="00265376"/>
    <w:rsid w:val="00265D5A"/>
    <w:rsid w:val="002660FE"/>
    <w:rsid w:val="002674A2"/>
    <w:rsid w:val="00267642"/>
    <w:rsid w:val="00267A82"/>
    <w:rsid w:val="00267AEA"/>
    <w:rsid w:val="00267CBB"/>
    <w:rsid w:val="00267DA9"/>
    <w:rsid w:val="00267F9D"/>
    <w:rsid w:val="00267FAE"/>
    <w:rsid w:val="00270029"/>
    <w:rsid w:val="002700E6"/>
    <w:rsid w:val="002703B8"/>
    <w:rsid w:val="0027067B"/>
    <w:rsid w:val="002706E0"/>
    <w:rsid w:val="00270B2D"/>
    <w:rsid w:val="00270FD6"/>
    <w:rsid w:val="002712CA"/>
    <w:rsid w:val="002716EA"/>
    <w:rsid w:val="0027191F"/>
    <w:rsid w:val="00271FF0"/>
    <w:rsid w:val="00272347"/>
    <w:rsid w:val="00272428"/>
    <w:rsid w:val="0027294B"/>
    <w:rsid w:val="00272D83"/>
    <w:rsid w:val="00272F66"/>
    <w:rsid w:val="002730D7"/>
    <w:rsid w:val="002732F5"/>
    <w:rsid w:val="00273830"/>
    <w:rsid w:val="00273842"/>
    <w:rsid w:val="00273A5D"/>
    <w:rsid w:val="00273C15"/>
    <w:rsid w:val="00273EAF"/>
    <w:rsid w:val="00273EB4"/>
    <w:rsid w:val="002740D8"/>
    <w:rsid w:val="00274134"/>
    <w:rsid w:val="0027435D"/>
    <w:rsid w:val="00274682"/>
    <w:rsid w:val="002746BC"/>
    <w:rsid w:val="00274872"/>
    <w:rsid w:val="00275158"/>
    <w:rsid w:val="002753A3"/>
    <w:rsid w:val="002755A9"/>
    <w:rsid w:val="002756C4"/>
    <w:rsid w:val="00275C5A"/>
    <w:rsid w:val="00275DB9"/>
    <w:rsid w:val="00275EAB"/>
    <w:rsid w:val="00276424"/>
    <w:rsid w:val="00276B66"/>
    <w:rsid w:val="002771E3"/>
    <w:rsid w:val="002774D1"/>
    <w:rsid w:val="002775F5"/>
    <w:rsid w:val="00277C6A"/>
    <w:rsid w:val="00277D7B"/>
    <w:rsid w:val="00277DFD"/>
    <w:rsid w:val="002805AA"/>
    <w:rsid w:val="0028074C"/>
    <w:rsid w:val="00280BCC"/>
    <w:rsid w:val="00280FB5"/>
    <w:rsid w:val="00281014"/>
    <w:rsid w:val="00281795"/>
    <w:rsid w:val="00281B91"/>
    <w:rsid w:val="002822C2"/>
    <w:rsid w:val="00282370"/>
    <w:rsid w:val="00282577"/>
    <w:rsid w:val="0028272F"/>
    <w:rsid w:val="0028273F"/>
    <w:rsid w:val="00282DBC"/>
    <w:rsid w:val="00283092"/>
    <w:rsid w:val="002833AE"/>
    <w:rsid w:val="0028340C"/>
    <w:rsid w:val="002834C5"/>
    <w:rsid w:val="00283AE0"/>
    <w:rsid w:val="002840A0"/>
    <w:rsid w:val="00284188"/>
    <w:rsid w:val="002841DA"/>
    <w:rsid w:val="002843E8"/>
    <w:rsid w:val="002845A9"/>
    <w:rsid w:val="00284DB5"/>
    <w:rsid w:val="00284EC6"/>
    <w:rsid w:val="00285378"/>
    <w:rsid w:val="002856E3"/>
    <w:rsid w:val="00285BCE"/>
    <w:rsid w:val="00285C5B"/>
    <w:rsid w:val="0028616F"/>
    <w:rsid w:val="0028665D"/>
    <w:rsid w:val="00286742"/>
    <w:rsid w:val="002868F5"/>
    <w:rsid w:val="00287237"/>
    <w:rsid w:val="00287477"/>
    <w:rsid w:val="002875EC"/>
    <w:rsid w:val="00287BCD"/>
    <w:rsid w:val="00287E1C"/>
    <w:rsid w:val="00287FAB"/>
    <w:rsid w:val="00290018"/>
    <w:rsid w:val="00290520"/>
    <w:rsid w:val="00290733"/>
    <w:rsid w:val="00290F6B"/>
    <w:rsid w:val="00291B50"/>
    <w:rsid w:val="0029207A"/>
    <w:rsid w:val="0029224C"/>
    <w:rsid w:val="0029242A"/>
    <w:rsid w:val="00292506"/>
    <w:rsid w:val="00292957"/>
    <w:rsid w:val="00292A77"/>
    <w:rsid w:val="00292F85"/>
    <w:rsid w:val="0029317E"/>
    <w:rsid w:val="00293485"/>
    <w:rsid w:val="00293688"/>
    <w:rsid w:val="00293E0F"/>
    <w:rsid w:val="00293E68"/>
    <w:rsid w:val="00293F37"/>
    <w:rsid w:val="002940F7"/>
    <w:rsid w:val="0029434A"/>
    <w:rsid w:val="002943AB"/>
    <w:rsid w:val="0029455D"/>
    <w:rsid w:val="002945E9"/>
    <w:rsid w:val="0029465C"/>
    <w:rsid w:val="00295169"/>
    <w:rsid w:val="0029564D"/>
    <w:rsid w:val="00295A71"/>
    <w:rsid w:val="00295B18"/>
    <w:rsid w:val="00295B9B"/>
    <w:rsid w:val="00295F47"/>
    <w:rsid w:val="00295FAC"/>
    <w:rsid w:val="00296002"/>
    <w:rsid w:val="002967C8"/>
    <w:rsid w:val="00297484"/>
    <w:rsid w:val="002A00E9"/>
    <w:rsid w:val="002A03A3"/>
    <w:rsid w:val="002A0574"/>
    <w:rsid w:val="002A0F1F"/>
    <w:rsid w:val="002A0F52"/>
    <w:rsid w:val="002A14AB"/>
    <w:rsid w:val="002A14C7"/>
    <w:rsid w:val="002A1662"/>
    <w:rsid w:val="002A1973"/>
    <w:rsid w:val="002A1D90"/>
    <w:rsid w:val="002A21EB"/>
    <w:rsid w:val="002A225F"/>
    <w:rsid w:val="002A2554"/>
    <w:rsid w:val="002A27FB"/>
    <w:rsid w:val="002A2ADE"/>
    <w:rsid w:val="002A2F50"/>
    <w:rsid w:val="002A2F80"/>
    <w:rsid w:val="002A2F9B"/>
    <w:rsid w:val="002A2FED"/>
    <w:rsid w:val="002A3675"/>
    <w:rsid w:val="002A39BD"/>
    <w:rsid w:val="002A3B8D"/>
    <w:rsid w:val="002A3B93"/>
    <w:rsid w:val="002A3BBA"/>
    <w:rsid w:val="002A3ECF"/>
    <w:rsid w:val="002A40BE"/>
    <w:rsid w:val="002A4199"/>
    <w:rsid w:val="002A4384"/>
    <w:rsid w:val="002A4602"/>
    <w:rsid w:val="002A46DE"/>
    <w:rsid w:val="002A4939"/>
    <w:rsid w:val="002A4953"/>
    <w:rsid w:val="002A4A77"/>
    <w:rsid w:val="002A4C7C"/>
    <w:rsid w:val="002A4D29"/>
    <w:rsid w:val="002A4D60"/>
    <w:rsid w:val="002A4DB5"/>
    <w:rsid w:val="002A4E51"/>
    <w:rsid w:val="002A5084"/>
    <w:rsid w:val="002A52B4"/>
    <w:rsid w:val="002A543C"/>
    <w:rsid w:val="002A567D"/>
    <w:rsid w:val="002A59A9"/>
    <w:rsid w:val="002A5BD8"/>
    <w:rsid w:val="002A5E60"/>
    <w:rsid w:val="002A61D3"/>
    <w:rsid w:val="002A6408"/>
    <w:rsid w:val="002A6DFE"/>
    <w:rsid w:val="002A7119"/>
    <w:rsid w:val="002A7329"/>
    <w:rsid w:val="002A76EA"/>
    <w:rsid w:val="002A7943"/>
    <w:rsid w:val="002A7A9C"/>
    <w:rsid w:val="002A7C74"/>
    <w:rsid w:val="002B0465"/>
    <w:rsid w:val="002B05A1"/>
    <w:rsid w:val="002B07E5"/>
    <w:rsid w:val="002B09A4"/>
    <w:rsid w:val="002B1681"/>
    <w:rsid w:val="002B1C1F"/>
    <w:rsid w:val="002B1C72"/>
    <w:rsid w:val="002B213D"/>
    <w:rsid w:val="002B26FF"/>
    <w:rsid w:val="002B285A"/>
    <w:rsid w:val="002B2903"/>
    <w:rsid w:val="002B2B0A"/>
    <w:rsid w:val="002B2D3F"/>
    <w:rsid w:val="002B2E02"/>
    <w:rsid w:val="002B2E84"/>
    <w:rsid w:val="002B368C"/>
    <w:rsid w:val="002B40AB"/>
    <w:rsid w:val="002B432F"/>
    <w:rsid w:val="002B44F3"/>
    <w:rsid w:val="002B4512"/>
    <w:rsid w:val="002B4EBC"/>
    <w:rsid w:val="002B50B0"/>
    <w:rsid w:val="002B50C9"/>
    <w:rsid w:val="002B522A"/>
    <w:rsid w:val="002B5261"/>
    <w:rsid w:val="002B571C"/>
    <w:rsid w:val="002B5897"/>
    <w:rsid w:val="002B5C5B"/>
    <w:rsid w:val="002B5E6E"/>
    <w:rsid w:val="002B62B3"/>
    <w:rsid w:val="002B648F"/>
    <w:rsid w:val="002B6754"/>
    <w:rsid w:val="002B6CCE"/>
    <w:rsid w:val="002B6FB3"/>
    <w:rsid w:val="002B75C9"/>
    <w:rsid w:val="002B75E3"/>
    <w:rsid w:val="002B7C6E"/>
    <w:rsid w:val="002C0580"/>
    <w:rsid w:val="002C05DE"/>
    <w:rsid w:val="002C0C2F"/>
    <w:rsid w:val="002C10E0"/>
    <w:rsid w:val="002C16FF"/>
    <w:rsid w:val="002C18FB"/>
    <w:rsid w:val="002C1F4B"/>
    <w:rsid w:val="002C2510"/>
    <w:rsid w:val="002C2775"/>
    <w:rsid w:val="002C27C1"/>
    <w:rsid w:val="002C2B5D"/>
    <w:rsid w:val="002C2D92"/>
    <w:rsid w:val="002C3027"/>
    <w:rsid w:val="002C36E3"/>
    <w:rsid w:val="002C377D"/>
    <w:rsid w:val="002C3C47"/>
    <w:rsid w:val="002C4067"/>
    <w:rsid w:val="002C432F"/>
    <w:rsid w:val="002C441B"/>
    <w:rsid w:val="002C4428"/>
    <w:rsid w:val="002C442B"/>
    <w:rsid w:val="002C4BDE"/>
    <w:rsid w:val="002C4FD0"/>
    <w:rsid w:val="002C5099"/>
    <w:rsid w:val="002C5220"/>
    <w:rsid w:val="002C5889"/>
    <w:rsid w:val="002C6054"/>
    <w:rsid w:val="002C63C9"/>
    <w:rsid w:val="002C6433"/>
    <w:rsid w:val="002C6934"/>
    <w:rsid w:val="002C6C08"/>
    <w:rsid w:val="002C71CE"/>
    <w:rsid w:val="002C71DB"/>
    <w:rsid w:val="002C749B"/>
    <w:rsid w:val="002C7812"/>
    <w:rsid w:val="002C78BE"/>
    <w:rsid w:val="002D08F8"/>
    <w:rsid w:val="002D0C4A"/>
    <w:rsid w:val="002D0CF3"/>
    <w:rsid w:val="002D0D9E"/>
    <w:rsid w:val="002D1117"/>
    <w:rsid w:val="002D1145"/>
    <w:rsid w:val="002D14AF"/>
    <w:rsid w:val="002D18D9"/>
    <w:rsid w:val="002D1B49"/>
    <w:rsid w:val="002D1BCC"/>
    <w:rsid w:val="002D1BD1"/>
    <w:rsid w:val="002D1C4A"/>
    <w:rsid w:val="002D1E64"/>
    <w:rsid w:val="002D1EFF"/>
    <w:rsid w:val="002D24CA"/>
    <w:rsid w:val="002D2FCF"/>
    <w:rsid w:val="002D3109"/>
    <w:rsid w:val="002D3301"/>
    <w:rsid w:val="002D3928"/>
    <w:rsid w:val="002D3C4D"/>
    <w:rsid w:val="002D3C75"/>
    <w:rsid w:val="002D3D38"/>
    <w:rsid w:val="002D3D40"/>
    <w:rsid w:val="002D3D80"/>
    <w:rsid w:val="002D3DE1"/>
    <w:rsid w:val="002D3EA6"/>
    <w:rsid w:val="002D3EE6"/>
    <w:rsid w:val="002D3EFF"/>
    <w:rsid w:val="002D410F"/>
    <w:rsid w:val="002D45DE"/>
    <w:rsid w:val="002D4FBE"/>
    <w:rsid w:val="002D571E"/>
    <w:rsid w:val="002D577C"/>
    <w:rsid w:val="002D5AB8"/>
    <w:rsid w:val="002D5C50"/>
    <w:rsid w:val="002D5D86"/>
    <w:rsid w:val="002D6246"/>
    <w:rsid w:val="002D6328"/>
    <w:rsid w:val="002D65BD"/>
    <w:rsid w:val="002D6CEA"/>
    <w:rsid w:val="002D75A9"/>
    <w:rsid w:val="002D7832"/>
    <w:rsid w:val="002D7E39"/>
    <w:rsid w:val="002D7F00"/>
    <w:rsid w:val="002E061D"/>
    <w:rsid w:val="002E067E"/>
    <w:rsid w:val="002E07A3"/>
    <w:rsid w:val="002E0ACF"/>
    <w:rsid w:val="002E0B6C"/>
    <w:rsid w:val="002E0CDF"/>
    <w:rsid w:val="002E0CE9"/>
    <w:rsid w:val="002E0E89"/>
    <w:rsid w:val="002E0F74"/>
    <w:rsid w:val="002E1071"/>
    <w:rsid w:val="002E10A6"/>
    <w:rsid w:val="002E15B9"/>
    <w:rsid w:val="002E1E1A"/>
    <w:rsid w:val="002E212C"/>
    <w:rsid w:val="002E2158"/>
    <w:rsid w:val="002E26A5"/>
    <w:rsid w:val="002E2C2B"/>
    <w:rsid w:val="002E3491"/>
    <w:rsid w:val="002E372E"/>
    <w:rsid w:val="002E3A1E"/>
    <w:rsid w:val="002E3EF1"/>
    <w:rsid w:val="002E3F3D"/>
    <w:rsid w:val="002E4264"/>
    <w:rsid w:val="002E467E"/>
    <w:rsid w:val="002E4BB1"/>
    <w:rsid w:val="002E4D3C"/>
    <w:rsid w:val="002E4EC3"/>
    <w:rsid w:val="002E4F02"/>
    <w:rsid w:val="002E5040"/>
    <w:rsid w:val="002E5805"/>
    <w:rsid w:val="002E58B3"/>
    <w:rsid w:val="002E5FB9"/>
    <w:rsid w:val="002E60C7"/>
    <w:rsid w:val="002E60FB"/>
    <w:rsid w:val="002E62A3"/>
    <w:rsid w:val="002E6383"/>
    <w:rsid w:val="002E7086"/>
    <w:rsid w:val="002E7722"/>
    <w:rsid w:val="002E7805"/>
    <w:rsid w:val="002E7D4E"/>
    <w:rsid w:val="002F008D"/>
    <w:rsid w:val="002F03A2"/>
    <w:rsid w:val="002F0534"/>
    <w:rsid w:val="002F07BA"/>
    <w:rsid w:val="002F08D4"/>
    <w:rsid w:val="002F0C05"/>
    <w:rsid w:val="002F0D65"/>
    <w:rsid w:val="002F0DA9"/>
    <w:rsid w:val="002F0E61"/>
    <w:rsid w:val="002F1014"/>
    <w:rsid w:val="002F10C7"/>
    <w:rsid w:val="002F12CB"/>
    <w:rsid w:val="002F18D3"/>
    <w:rsid w:val="002F1BA0"/>
    <w:rsid w:val="002F1D59"/>
    <w:rsid w:val="002F1E21"/>
    <w:rsid w:val="002F1E3B"/>
    <w:rsid w:val="002F1FA0"/>
    <w:rsid w:val="002F209D"/>
    <w:rsid w:val="002F224B"/>
    <w:rsid w:val="002F23D8"/>
    <w:rsid w:val="002F2A97"/>
    <w:rsid w:val="002F2E25"/>
    <w:rsid w:val="002F2FBB"/>
    <w:rsid w:val="002F34CB"/>
    <w:rsid w:val="002F3850"/>
    <w:rsid w:val="002F3A1D"/>
    <w:rsid w:val="002F3FDD"/>
    <w:rsid w:val="002F4182"/>
    <w:rsid w:val="002F430E"/>
    <w:rsid w:val="002F4348"/>
    <w:rsid w:val="002F4667"/>
    <w:rsid w:val="002F4723"/>
    <w:rsid w:val="002F4AEE"/>
    <w:rsid w:val="002F4B30"/>
    <w:rsid w:val="002F4C5F"/>
    <w:rsid w:val="002F4C9C"/>
    <w:rsid w:val="002F52E2"/>
    <w:rsid w:val="002F52F5"/>
    <w:rsid w:val="002F55CE"/>
    <w:rsid w:val="002F589A"/>
    <w:rsid w:val="002F5E95"/>
    <w:rsid w:val="002F5F24"/>
    <w:rsid w:val="002F5F70"/>
    <w:rsid w:val="002F5F94"/>
    <w:rsid w:val="002F643C"/>
    <w:rsid w:val="002F68E9"/>
    <w:rsid w:val="002F71C0"/>
    <w:rsid w:val="002F7449"/>
    <w:rsid w:val="002F74F1"/>
    <w:rsid w:val="002F7A63"/>
    <w:rsid w:val="002F7B03"/>
    <w:rsid w:val="002F7C95"/>
    <w:rsid w:val="002F7CF8"/>
    <w:rsid w:val="002F7F93"/>
    <w:rsid w:val="003000CB"/>
    <w:rsid w:val="0030010A"/>
    <w:rsid w:val="003002A4"/>
    <w:rsid w:val="003003A4"/>
    <w:rsid w:val="00300441"/>
    <w:rsid w:val="00300BE0"/>
    <w:rsid w:val="00301017"/>
    <w:rsid w:val="0030111C"/>
    <w:rsid w:val="0030150F"/>
    <w:rsid w:val="0030155F"/>
    <w:rsid w:val="00301612"/>
    <w:rsid w:val="0030184B"/>
    <w:rsid w:val="003019C6"/>
    <w:rsid w:val="00301C15"/>
    <w:rsid w:val="00301EF8"/>
    <w:rsid w:val="0030224C"/>
    <w:rsid w:val="0030245C"/>
    <w:rsid w:val="0030256D"/>
    <w:rsid w:val="003025C8"/>
    <w:rsid w:val="00302A58"/>
    <w:rsid w:val="00302C45"/>
    <w:rsid w:val="00302DE0"/>
    <w:rsid w:val="00304597"/>
    <w:rsid w:val="003046DE"/>
    <w:rsid w:val="0030493A"/>
    <w:rsid w:val="00304C22"/>
    <w:rsid w:val="00304ECC"/>
    <w:rsid w:val="00304F43"/>
    <w:rsid w:val="00305107"/>
    <w:rsid w:val="0030587B"/>
    <w:rsid w:val="00305D1D"/>
    <w:rsid w:val="00305FFA"/>
    <w:rsid w:val="003061CE"/>
    <w:rsid w:val="003061DA"/>
    <w:rsid w:val="003065AF"/>
    <w:rsid w:val="00306B93"/>
    <w:rsid w:val="00306D98"/>
    <w:rsid w:val="00306FCE"/>
    <w:rsid w:val="0030715F"/>
    <w:rsid w:val="003071C0"/>
    <w:rsid w:val="00307224"/>
    <w:rsid w:val="003076B5"/>
    <w:rsid w:val="00307853"/>
    <w:rsid w:val="0030786C"/>
    <w:rsid w:val="0030793E"/>
    <w:rsid w:val="00307F20"/>
    <w:rsid w:val="00307F78"/>
    <w:rsid w:val="0031031A"/>
    <w:rsid w:val="0031054A"/>
    <w:rsid w:val="00310981"/>
    <w:rsid w:val="00310AFD"/>
    <w:rsid w:val="00310D3A"/>
    <w:rsid w:val="003111DA"/>
    <w:rsid w:val="00311807"/>
    <w:rsid w:val="00311860"/>
    <w:rsid w:val="00311D64"/>
    <w:rsid w:val="00311D9B"/>
    <w:rsid w:val="00311DC8"/>
    <w:rsid w:val="0031235B"/>
    <w:rsid w:val="003123F0"/>
    <w:rsid w:val="003124D9"/>
    <w:rsid w:val="00312594"/>
    <w:rsid w:val="003125A6"/>
    <w:rsid w:val="0031264A"/>
    <w:rsid w:val="00312CD9"/>
    <w:rsid w:val="00312DF9"/>
    <w:rsid w:val="003131A7"/>
    <w:rsid w:val="003134C3"/>
    <w:rsid w:val="00313555"/>
    <w:rsid w:val="0031387A"/>
    <w:rsid w:val="0031387C"/>
    <w:rsid w:val="00313A98"/>
    <w:rsid w:val="00313B2B"/>
    <w:rsid w:val="00313C30"/>
    <w:rsid w:val="00313D54"/>
    <w:rsid w:val="0031428A"/>
    <w:rsid w:val="0031434C"/>
    <w:rsid w:val="003143C7"/>
    <w:rsid w:val="003146EF"/>
    <w:rsid w:val="00314889"/>
    <w:rsid w:val="0031501D"/>
    <w:rsid w:val="003150C8"/>
    <w:rsid w:val="00315498"/>
    <w:rsid w:val="003157F4"/>
    <w:rsid w:val="00315836"/>
    <w:rsid w:val="00315D71"/>
    <w:rsid w:val="00315F0B"/>
    <w:rsid w:val="0031611F"/>
    <w:rsid w:val="0031624C"/>
    <w:rsid w:val="00316474"/>
    <w:rsid w:val="00316490"/>
    <w:rsid w:val="003165CC"/>
    <w:rsid w:val="003165E4"/>
    <w:rsid w:val="00316675"/>
    <w:rsid w:val="0031678E"/>
    <w:rsid w:val="00316A55"/>
    <w:rsid w:val="00316AB8"/>
    <w:rsid w:val="00316C23"/>
    <w:rsid w:val="00316C5A"/>
    <w:rsid w:val="00316E8E"/>
    <w:rsid w:val="00317143"/>
    <w:rsid w:val="00317A23"/>
    <w:rsid w:val="00317C3D"/>
    <w:rsid w:val="00320285"/>
    <w:rsid w:val="00320E3E"/>
    <w:rsid w:val="003216B7"/>
    <w:rsid w:val="003217FA"/>
    <w:rsid w:val="00321850"/>
    <w:rsid w:val="0032185E"/>
    <w:rsid w:val="00321888"/>
    <w:rsid w:val="003219EC"/>
    <w:rsid w:val="00321A3B"/>
    <w:rsid w:val="00321D50"/>
    <w:rsid w:val="00322107"/>
    <w:rsid w:val="00322355"/>
    <w:rsid w:val="00322532"/>
    <w:rsid w:val="00322564"/>
    <w:rsid w:val="00322846"/>
    <w:rsid w:val="00322855"/>
    <w:rsid w:val="0032302E"/>
    <w:rsid w:val="003235FD"/>
    <w:rsid w:val="0032395D"/>
    <w:rsid w:val="00323D98"/>
    <w:rsid w:val="003245A9"/>
    <w:rsid w:val="00324882"/>
    <w:rsid w:val="00324F69"/>
    <w:rsid w:val="00325077"/>
    <w:rsid w:val="00325828"/>
    <w:rsid w:val="00325BD7"/>
    <w:rsid w:val="00325DAF"/>
    <w:rsid w:val="00326066"/>
    <w:rsid w:val="003261CD"/>
    <w:rsid w:val="003264C5"/>
    <w:rsid w:val="003268AD"/>
    <w:rsid w:val="00326D09"/>
    <w:rsid w:val="00326DA7"/>
    <w:rsid w:val="00326DAD"/>
    <w:rsid w:val="00326EDE"/>
    <w:rsid w:val="003270E4"/>
    <w:rsid w:val="00327DB2"/>
    <w:rsid w:val="0033066D"/>
    <w:rsid w:val="00330A98"/>
    <w:rsid w:val="00330DAA"/>
    <w:rsid w:val="00330F5C"/>
    <w:rsid w:val="00330F98"/>
    <w:rsid w:val="00331315"/>
    <w:rsid w:val="003313CA"/>
    <w:rsid w:val="00331F86"/>
    <w:rsid w:val="00332E41"/>
    <w:rsid w:val="00332F0F"/>
    <w:rsid w:val="003340D1"/>
    <w:rsid w:val="0033427B"/>
    <w:rsid w:val="0033462C"/>
    <w:rsid w:val="00334692"/>
    <w:rsid w:val="00334C65"/>
    <w:rsid w:val="00334EDF"/>
    <w:rsid w:val="00334FCA"/>
    <w:rsid w:val="0033512A"/>
    <w:rsid w:val="003352D8"/>
    <w:rsid w:val="003352E7"/>
    <w:rsid w:val="00335364"/>
    <w:rsid w:val="003355F5"/>
    <w:rsid w:val="00335B9E"/>
    <w:rsid w:val="00335E10"/>
    <w:rsid w:val="00335F83"/>
    <w:rsid w:val="00335FF3"/>
    <w:rsid w:val="00336245"/>
    <w:rsid w:val="003366C6"/>
    <w:rsid w:val="003366C9"/>
    <w:rsid w:val="003368E0"/>
    <w:rsid w:val="00336915"/>
    <w:rsid w:val="003369AC"/>
    <w:rsid w:val="00336BAC"/>
    <w:rsid w:val="003371B0"/>
    <w:rsid w:val="003373BF"/>
    <w:rsid w:val="0033773D"/>
    <w:rsid w:val="00337D24"/>
    <w:rsid w:val="003400FC"/>
    <w:rsid w:val="00340732"/>
    <w:rsid w:val="003409D8"/>
    <w:rsid w:val="00340DF1"/>
    <w:rsid w:val="00340E2F"/>
    <w:rsid w:val="00341470"/>
    <w:rsid w:val="00341479"/>
    <w:rsid w:val="003417F8"/>
    <w:rsid w:val="00341871"/>
    <w:rsid w:val="00341AB8"/>
    <w:rsid w:val="00341D83"/>
    <w:rsid w:val="00341E8E"/>
    <w:rsid w:val="0034237E"/>
    <w:rsid w:val="00342B47"/>
    <w:rsid w:val="00342D16"/>
    <w:rsid w:val="00342DFD"/>
    <w:rsid w:val="00343070"/>
    <w:rsid w:val="003434D4"/>
    <w:rsid w:val="00343873"/>
    <w:rsid w:val="00343E92"/>
    <w:rsid w:val="003440ED"/>
    <w:rsid w:val="00344179"/>
    <w:rsid w:val="00344245"/>
    <w:rsid w:val="00344368"/>
    <w:rsid w:val="003443D4"/>
    <w:rsid w:val="003445F2"/>
    <w:rsid w:val="00344854"/>
    <w:rsid w:val="00344858"/>
    <w:rsid w:val="00344E73"/>
    <w:rsid w:val="003451D8"/>
    <w:rsid w:val="003456AB"/>
    <w:rsid w:val="0034577B"/>
    <w:rsid w:val="00345858"/>
    <w:rsid w:val="00345AD8"/>
    <w:rsid w:val="00345E02"/>
    <w:rsid w:val="00345F9D"/>
    <w:rsid w:val="003461AB"/>
    <w:rsid w:val="003465AA"/>
    <w:rsid w:val="00346C72"/>
    <w:rsid w:val="00346CE9"/>
    <w:rsid w:val="00346DCA"/>
    <w:rsid w:val="00346F19"/>
    <w:rsid w:val="00346F2C"/>
    <w:rsid w:val="0034714E"/>
    <w:rsid w:val="00347339"/>
    <w:rsid w:val="0034785D"/>
    <w:rsid w:val="00347FFB"/>
    <w:rsid w:val="003502C9"/>
    <w:rsid w:val="003502EF"/>
    <w:rsid w:val="0035030B"/>
    <w:rsid w:val="00350565"/>
    <w:rsid w:val="00350A3E"/>
    <w:rsid w:val="00350B05"/>
    <w:rsid w:val="0035142E"/>
    <w:rsid w:val="00351628"/>
    <w:rsid w:val="003517F9"/>
    <w:rsid w:val="00351B0A"/>
    <w:rsid w:val="00351BA9"/>
    <w:rsid w:val="00351E8F"/>
    <w:rsid w:val="00352032"/>
    <w:rsid w:val="003520DD"/>
    <w:rsid w:val="003520F0"/>
    <w:rsid w:val="00352253"/>
    <w:rsid w:val="00352271"/>
    <w:rsid w:val="003523C1"/>
    <w:rsid w:val="003526D0"/>
    <w:rsid w:val="003526D9"/>
    <w:rsid w:val="00352DA6"/>
    <w:rsid w:val="003532CE"/>
    <w:rsid w:val="003534D2"/>
    <w:rsid w:val="00353DDC"/>
    <w:rsid w:val="0035430E"/>
    <w:rsid w:val="0035448E"/>
    <w:rsid w:val="00354BB1"/>
    <w:rsid w:val="00354F64"/>
    <w:rsid w:val="00355319"/>
    <w:rsid w:val="00355383"/>
    <w:rsid w:val="0035550F"/>
    <w:rsid w:val="00355D50"/>
    <w:rsid w:val="0035609E"/>
    <w:rsid w:val="0035620E"/>
    <w:rsid w:val="003563A0"/>
    <w:rsid w:val="00356599"/>
    <w:rsid w:val="003566C3"/>
    <w:rsid w:val="0035698D"/>
    <w:rsid w:val="00356C61"/>
    <w:rsid w:val="003572D5"/>
    <w:rsid w:val="003575BE"/>
    <w:rsid w:val="00357A1F"/>
    <w:rsid w:val="00357A58"/>
    <w:rsid w:val="00357B4C"/>
    <w:rsid w:val="00357D23"/>
    <w:rsid w:val="00360063"/>
    <w:rsid w:val="00360345"/>
    <w:rsid w:val="003607B8"/>
    <w:rsid w:val="00360ABC"/>
    <w:rsid w:val="00360E4A"/>
    <w:rsid w:val="00360EAB"/>
    <w:rsid w:val="00361186"/>
    <w:rsid w:val="00361771"/>
    <w:rsid w:val="00361A05"/>
    <w:rsid w:val="003624C4"/>
    <w:rsid w:val="0036294E"/>
    <w:rsid w:val="00362A56"/>
    <w:rsid w:val="00362C80"/>
    <w:rsid w:val="00362E41"/>
    <w:rsid w:val="00363563"/>
    <w:rsid w:val="00363789"/>
    <w:rsid w:val="00363B00"/>
    <w:rsid w:val="00363C70"/>
    <w:rsid w:val="00363FA5"/>
    <w:rsid w:val="00364345"/>
    <w:rsid w:val="00364487"/>
    <w:rsid w:val="003644ED"/>
    <w:rsid w:val="00364543"/>
    <w:rsid w:val="0036489A"/>
    <w:rsid w:val="00364E29"/>
    <w:rsid w:val="00365299"/>
    <w:rsid w:val="003654AC"/>
    <w:rsid w:val="00365656"/>
    <w:rsid w:val="003659F8"/>
    <w:rsid w:val="00365E52"/>
    <w:rsid w:val="00365F27"/>
    <w:rsid w:val="0036601B"/>
    <w:rsid w:val="00366550"/>
    <w:rsid w:val="00366D38"/>
    <w:rsid w:val="00366DCD"/>
    <w:rsid w:val="00366FED"/>
    <w:rsid w:val="0036714A"/>
    <w:rsid w:val="0036730F"/>
    <w:rsid w:val="00367704"/>
    <w:rsid w:val="00367736"/>
    <w:rsid w:val="003679C7"/>
    <w:rsid w:val="00367A8F"/>
    <w:rsid w:val="00367F72"/>
    <w:rsid w:val="0037006A"/>
    <w:rsid w:val="00370E22"/>
    <w:rsid w:val="003710CF"/>
    <w:rsid w:val="003710D7"/>
    <w:rsid w:val="003715C9"/>
    <w:rsid w:val="0037199C"/>
    <w:rsid w:val="003719B8"/>
    <w:rsid w:val="00371F7E"/>
    <w:rsid w:val="00371F82"/>
    <w:rsid w:val="003732AE"/>
    <w:rsid w:val="0037358A"/>
    <w:rsid w:val="00373693"/>
    <w:rsid w:val="00373915"/>
    <w:rsid w:val="0037396C"/>
    <w:rsid w:val="00373CF5"/>
    <w:rsid w:val="00374389"/>
    <w:rsid w:val="0037466E"/>
    <w:rsid w:val="003747D2"/>
    <w:rsid w:val="003748D8"/>
    <w:rsid w:val="00374F30"/>
    <w:rsid w:val="003750F6"/>
    <w:rsid w:val="00375550"/>
    <w:rsid w:val="00375665"/>
    <w:rsid w:val="00375892"/>
    <w:rsid w:val="003758AF"/>
    <w:rsid w:val="00375E53"/>
    <w:rsid w:val="003760FC"/>
    <w:rsid w:val="0037618D"/>
    <w:rsid w:val="003762E1"/>
    <w:rsid w:val="00376560"/>
    <w:rsid w:val="00376643"/>
    <w:rsid w:val="00376A90"/>
    <w:rsid w:val="0037706A"/>
    <w:rsid w:val="003770CA"/>
    <w:rsid w:val="00377585"/>
    <w:rsid w:val="00377ADC"/>
    <w:rsid w:val="00377B63"/>
    <w:rsid w:val="00380154"/>
    <w:rsid w:val="0038047C"/>
    <w:rsid w:val="00380616"/>
    <w:rsid w:val="00380BED"/>
    <w:rsid w:val="00380C5C"/>
    <w:rsid w:val="00380F85"/>
    <w:rsid w:val="00380F9E"/>
    <w:rsid w:val="0038102D"/>
    <w:rsid w:val="003814CA"/>
    <w:rsid w:val="003817A7"/>
    <w:rsid w:val="00381ADE"/>
    <w:rsid w:val="003820D4"/>
    <w:rsid w:val="00382544"/>
    <w:rsid w:val="00382683"/>
    <w:rsid w:val="00382A45"/>
    <w:rsid w:val="00382D78"/>
    <w:rsid w:val="00382DAB"/>
    <w:rsid w:val="0038313A"/>
    <w:rsid w:val="00383159"/>
    <w:rsid w:val="0038365C"/>
    <w:rsid w:val="0038369B"/>
    <w:rsid w:val="00383B78"/>
    <w:rsid w:val="00383BA3"/>
    <w:rsid w:val="00383EBC"/>
    <w:rsid w:val="00383F4E"/>
    <w:rsid w:val="003842E4"/>
    <w:rsid w:val="0038469F"/>
    <w:rsid w:val="003848C4"/>
    <w:rsid w:val="003855C1"/>
    <w:rsid w:val="00385622"/>
    <w:rsid w:val="00385A9D"/>
    <w:rsid w:val="00385CE3"/>
    <w:rsid w:val="0038617F"/>
    <w:rsid w:val="00386440"/>
    <w:rsid w:val="00386771"/>
    <w:rsid w:val="0038685D"/>
    <w:rsid w:val="00386ADA"/>
    <w:rsid w:val="00386C18"/>
    <w:rsid w:val="00386C92"/>
    <w:rsid w:val="00386F88"/>
    <w:rsid w:val="00387121"/>
    <w:rsid w:val="003875BC"/>
    <w:rsid w:val="003876A1"/>
    <w:rsid w:val="003877A1"/>
    <w:rsid w:val="003902B1"/>
    <w:rsid w:val="00390523"/>
    <w:rsid w:val="00390974"/>
    <w:rsid w:val="00391423"/>
    <w:rsid w:val="00391669"/>
    <w:rsid w:val="0039179C"/>
    <w:rsid w:val="003919E1"/>
    <w:rsid w:val="00392241"/>
    <w:rsid w:val="003925B7"/>
    <w:rsid w:val="00392A7B"/>
    <w:rsid w:val="00392D32"/>
    <w:rsid w:val="00392F3E"/>
    <w:rsid w:val="00393548"/>
    <w:rsid w:val="00393854"/>
    <w:rsid w:val="00393A56"/>
    <w:rsid w:val="00393E25"/>
    <w:rsid w:val="0039465A"/>
    <w:rsid w:val="003948D3"/>
    <w:rsid w:val="003952B9"/>
    <w:rsid w:val="00395506"/>
    <w:rsid w:val="00395831"/>
    <w:rsid w:val="00396390"/>
    <w:rsid w:val="0039671D"/>
    <w:rsid w:val="00396896"/>
    <w:rsid w:val="00396A09"/>
    <w:rsid w:val="00396EAF"/>
    <w:rsid w:val="00396FD0"/>
    <w:rsid w:val="0039763A"/>
    <w:rsid w:val="0039778C"/>
    <w:rsid w:val="00397959"/>
    <w:rsid w:val="00397DDB"/>
    <w:rsid w:val="00397E5F"/>
    <w:rsid w:val="003A00CA"/>
    <w:rsid w:val="003A028E"/>
    <w:rsid w:val="003A08D3"/>
    <w:rsid w:val="003A0E3E"/>
    <w:rsid w:val="003A1233"/>
    <w:rsid w:val="003A1A7A"/>
    <w:rsid w:val="003A1B16"/>
    <w:rsid w:val="003A1CF8"/>
    <w:rsid w:val="003A2392"/>
    <w:rsid w:val="003A240C"/>
    <w:rsid w:val="003A2831"/>
    <w:rsid w:val="003A2A8C"/>
    <w:rsid w:val="003A30DF"/>
    <w:rsid w:val="003A37C4"/>
    <w:rsid w:val="003A394C"/>
    <w:rsid w:val="003A3B2D"/>
    <w:rsid w:val="003A3CB6"/>
    <w:rsid w:val="003A3ED1"/>
    <w:rsid w:val="003A44DB"/>
    <w:rsid w:val="003A45DB"/>
    <w:rsid w:val="003A46C4"/>
    <w:rsid w:val="003A4A19"/>
    <w:rsid w:val="003A4C14"/>
    <w:rsid w:val="003A4C4F"/>
    <w:rsid w:val="003A54F6"/>
    <w:rsid w:val="003A55CD"/>
    <w:rsid w:val="003A56CF"/>
    <w:rsid w:val="003A57DC"/>
    <w:rsid w:val="003A5A14"/>
    <w:rsid w:val="003A5D20"/>
    <w:rsid w:val="003A5DDD"/>
    <w:rsid w:val="003A662B"/>
    <w:rsid w:val="003A7533"/>
    <w:rsid w:val="003A768D"/>
    <w:rsid w:val="003A7D76"/>
    <w:rsid w:val="003B05C8"/>
    <w:rsid w:val="003B0CEC"/>
    <w:rsid w:val="003B1922"/>
    <w:rsid w:val="003B1F57"/>
    <w:rsid w:val="003B202C"/>
    <w:rsid w:val="003B21B5"/>
    <w:rsid w:val="003B2657"/>
    <w:rsid w:val="003B2730"/>
    <w:rsid w:val="003B2A44"/>
    <w:rsid w:val="003B2B39"/>
    <w:rsid w:val="003B3971"/>
    <w:rsid w:val="003B4456"/>
    <w:rsid w:val="003B4D72"/>
    <w:rsid w:val="003B4F80"/>
    <w:rsid w:val="003B5520"/>
    <w:rsid w:val="003B55D1"/>
    <w:rsid w:val="003B5B61"/>
    <w:rsid w:val="003B5EF6"/>
    <w:rsid w:val="003B5FB2"/>
    <w:rsid w:val="003B6479"/>
    <w:rsid w:val="003B671B"/>
    <w:rsid w:val="003B6747"/>
    <w:rsid w:val="003B6B40"/>
    <w:rsid w:val="003B6FF4"/>
    <w:rsid w:val="003B6FF5"/>
    <w:rsid w:val="003B71B7"/>
    <w:rsid w:val="003B71C0"/>
    <w:rsid w:val="003B74B0"/>
    <w:rsid w:val="003B74D3"/>
    <w:rsid w:val="003B755D"/>
    <w:rsid w:val="003B7C77"/>
    <w:rsid w:val="003B7E05"/>
    <w:rsid w:val="003B7FC0"/>
    <w:rsid w:val="003C09FA"/>
    <w:rsid w:val="003C0B74"/>
    <w:rsid w:val="003C0E47"/>
    <w:rsid w:val="003C12D5"/>
    <w:rsid w:val="003C1473"/>
    <w:rsid w:val="003C1654"/>
    <w:rsid w:val="003C20BB"/>
    <w:rsid w:val="003C28CD"/>
    <w:rsid w:val="003C299A"/>
    <w:rsid w:val="003C2C27"/>
    <w:rsid w:val="003C2D0B"/>
    <w:rsid w:val="003C2FAC"/>
    <w:rsid w:val="003C3322"/>
    <w:rsid w:val="003C343B"/>
    <w:rsid w:val="003C3BCD"/>
    <w:rsid w:val="003C3E95"/>
    <w:rsid w:val="003C4593"/>
    <w:rsid w:val="003C4906"/>
    <w:rsid w:val="003C4A27"/>
    <w:rsid w:val="003C5542"/>
    <w:rsid w:val="003C5A03"/>
    <w:rsid w:val="003C5B05"/>
    <w:rsid w:val="003C5EB0"/>
    <w:rsid w:val="003C5F22"/>
    <w:rsid w:val="003C612B"/>
    <w:rsid w:val="003C6132"/>
    <w:rsid w:val="003C62EF"/>
    <w:rsid w:val="003C62FB"/>
    <w:rsid w:val="003C64AA"/>
    <w:rsid w:val="003C65BE"/>
    <w:rsid w:val="003C680A"/>
    <w:rsid w:val="003C6A0A"/>
    <w:rsid w:val="003C6A4C"/>
    <w:rsid w:val="003C6BEF"/>
    <w:rsid w:val="003C6E5A"/>
    <w:rsid w:val="003C6F76"/>
    <w:rsid w:val="003C73D7"/>
    <w:rsid w:val="003C77A6"/>
    <w:rsid w:val="003C77C3"/>
    <w:rsid w:val="003C7A4A"/>
    <w:rsid w:val="003C7C15"/>
    <w:rsid w:val="003C7D19"/>
    <w:rsid w:val="003C7D2F"/>
    <w:rsid w:val="003D03C2"/>
    <w:rsid w:val="003D03EC"/>
    <w:rsid w:val="003D0506"/>
    <w:rsid w:val="003D0ACC"/>
    <w:rsid w:val="003D0C5A"/>
    <w:rsid w:val="003D0F73"/>
    <w:rsid w:val="003D1267"/>
    <w:rsid w:val="003D1779"/>
    <w:rsid w:val="003D1828"/>
    <w:rsid w:val="003D1890"/>
    <w:rsid w:val="003D189E"/>
    <w:rsid w:val="003D1DE4"/>
    <w:rsid w:val="003D1E9A"/>
    <w:rsid w:val="003D1F34"/>
    <w:rsid w:val="003D20A1"/>
    <w:rsid w:val="003D20B0"/>
    <w:rsid w:val="003D2422"/>
    <w:rsid w:val="003D2677"/>
    <w:rsid w:val="003D2764"/>
    <w:rsid w:val="003D2786"/>
    <w:rsid w:val="003D2FE9"/>
    <w:rsid w:val="003D35E2"/>
    <w:rsid w:val="003D3651"/>
    <w:rsid w:val="003D37E3"/>
    <w:rsid w:val="003D3920"/>
    <w:rsid w:val="003D39A1"/>
    <w:rsid w:val="003D3A4E"/>
    <w:rsid w:val="003D3A73"/>
    <w:rsid w:val="003D3A75"/>
    <w:rsid w:val="003D3BD9"/>
    <w:rsid w:val="003D3C7B"/>
    <w:rsid w:val="003D3FBF"/>
    <w:rsid w:val="003D4817"/>
    <w:rsid w:val="003D4825"/>
    <w:rsid w:val="003D4A06"/>
    <w:rsid w:val="003D4A30"/>
    <w:rsid w:val="003D4A94"/>
    <w:rsid w:val="003D4AFB"/>
    <w:rsid w:val="003D4C2E"/>
    <w:rsid w:val="003D4C46"/>
    <w:rsid w:val="003D52C2"/>
    <w:rsid w:val="003D5530"/>
    <w:rsid w:val="003D5C79"/>
    <w:rsid w:val="003D6020"/>
    <w:rsid w:val="003D60C2"/>
    <w:rsid w:val="003D613E"/>
    <w:rsid w:val="003D6274"/>
    <w:rsid w:val="003D6A77"/>
    <w:rsid w:val="003D70AB"/>
    <w:rsid w:val="003D7452"/>
    <w:rsid w:val="003D7467"/>
    <w:rsid w:val="003D799F"/>
    <w:rsid w:val="003D79BB"/>
    <w:rsid w:val="003D7B33"/>
    <w:rsid w:val="003D7BD7"/>
    <w:rsid w:val="003D7BED"/>
    <w:rsid w:val="003D7C98"/>
    <w:rsid w:val="003D7D01"/>
    <w:rsid w:val="003D7D9D"/>
    <w:rsid w:val="003D7E98"/>
    <w:rsid w:val="003E0543"/>
    <w:rsid w:val="003E05FC"/>
    <w:rsid w:val="003E075F"/>
    <w:rsid w:val="003E0803"/>
    <w:rsid w:val="003E0AB8"/>
    <w:rsid w:val="003E12A4"/>
    <w:rsid w:val="003E14D1"/>
    <w:rsid w:val="003E177E"/>
    <w:rsid w:val="003E236C"/>
    <w:rsid w:val="003E2913"/>
    <w:rsid w:val="003E2B1D"/>
    <w:rsid w:val="003E2F51"/>
    <w:rsid w:val="003E352C"/>
    <w:rsid w:val="003E3CFA"/>
    <w:rsid w:val="003E4172"/>
    <w:rsid w:val="003E4621"/>
    <w:rsid w:val="003E4CF6"/>
    <w:rsid w:val="003E4FE6"/>
    <w:rsid w:val="003E51E8"/>
    <w:rsid w:val="003E52FA"/>
    <w:rsid w:val="003E5603"/>
    <w:rsid w:val="003E5864"/>
    <w:rsid w:val="003E5BE0"/>
    <w:rsid w:val="003E5E1F"/>
    <w:rsid w:val="003E613B"/>
    <w:rsid w:val="003E68EE"/>
    <w:rsid w:val="003E733A"/>
    <w:rsid w:val="003E749E"/>
    <w:rsid w:val="003E75E5"/>
    <w:rsid w:val="003E7B4D"/>
    <w:rsid w:val="003F006E"/>
    <w:rsid w:val="003F00FE"/>
    <w:rsid w:val="003F0522"/>
    <w:rsid w:val="003F0900"/>
    <w:rsid w:val="003F0FB3"/>
    <w:rsid w:val="003F1151"/>
    <w:rsid w:val="003F12C3"/>
    <w:rsid w:val="003F13AE"/>
    <w:rsid w:val="003F1B47"/>
    <w:rsid w:val="003F21E6"/>
    <w:rsid w:val="003F2508"/>
    <w:rsid w:val="003F26E7"/>
    <w:rsid w:val="003F2738"/>
    <w:rsid w:val="003F27DC"/>
    <w:rsid w:val="003F2993"/>
    <w:rsid w:val="003F2A9B"/>
    <w:rsid w:val="003F3382"/>
    <w:rsid w:val="003F344C"/>
    <w:rsid w:val="003F3DB4"/>
    <w:rsid w:val="003F4064"/>
    <w:rsid w:val="003F4156"/>
    <w:rsid w:val="003F43D3"/>
    <w:rsid w:val="003F464F"/>
    <w:rsid w:val="003F5295"/>
    <w:rsid w:val="003F585F"/>
    <w:rsid w:val="003F5ADF"/>
    <w:rsid w:val="003F62E5"/>
    <w:rsid w:val="003F6998"/>
    <w:rsid w:val="003F6A9F"/>
    <w:rsid w:val="003F6D22"/>
    <w:rsid w:val="003F701B"/>
    <w:rsid w:val="003F753F"/>
    <w:rsid w:val="003F774C"/>
    <w:rsid w:val="003F7B0C"/>
    <w:rsid w:val="003F7BC3"/>
    <w:rsid w:val="00400414"/>
    <w:rsid w:val="00400652"/>
    <w:rsid w:val="00400966"/>
    <w:rsid w:val="00400B29"/>
    <w:rsid w:val="00401299"/>
    <w:rsid w:val="00401398"/>
    <w:rsid w:val="004013CC"/>
    <w:rsid w:val="004013EA"/>
    <w:rsid w:val="0040168E"/>
    <w:rsid w:val="004019E6"/>
    <w:rsid w:val="00401EFF"/>
    <w:rsid w:val="00401FB7"/>
    <w:rsid w:val="004025B0"/>
    <w:rsid w:val="004025CD"/>
    <w:rsid w:val="00402812"/>
    <w:rsid w:val="00402814"/>
    <w:rsid w:val="004029D5"/>
    <w:rsid w:val="00402C7B"/>
    <w:rsid w:val="00402E1C"/>
    <w:rsid w:val="00402F07"/>
    <w:rsid w:val="004031FA"/>
    <w:rsid w:val="004039EB"/>
    <w:rsid w:val="00403B7D"/>
    <w:rsid w:val="00403E95"/>
    <w:rsid w:val="00404240"/>
    <w:rsid w:val="00404737"/>
    <w:rsid w:val="00404759"/>
    <w:rsid w:val="00404A41"/>
    <w:rsid w:val="00404BB7"/>
    <w:rsid w:val="00404F10"/>
    <w:rsid w:val="00405026"/>
    <w:rsid w:val="0040504B"/>
    <w:rsid w:val="004054CC"/>
    <w:rsid w:val="004056EC"/>
    <w:rsid w:val="00405772"/>
    <w:rsid w:val="004059F4"/>
    <w:rsid w:val="00405CBA"/>
    <w:rsid w:val="00406116"/>
    <w:rsid w:val="00406495"/>
    <w:rsid w:val="004067AF"/>
    <w:rsid w:val="00406F00"/>
    <w:rsid w:val="00406F48"/>
    <w:rsid w:val="004078A7"/>
    <w:rsid w:val="00407909"/>
    <w:rsid w:val="00407B8E"/>
    <w:rsid w:val="00407E40"/>
    <w:rsid w:val="00407FE5"/>
    <w:rsid w:val="004101B0"/>
    <w:rsid w:val="00410326"/>
    <w:rsid w:val="004103D5"/>
    <w:rsid w:val="00410541"/>
    <w:rsid w:val="00410708"/>
    <w:rsid w:val="00410E11"/>
    <w:rsid w:val="00410EC7"/>
    <w:rsid w:val="00411444"/>
    <w:rsid w:val="00411476"/>
    <w:rsid w:val="00411B39"/>
    <w:rsid w:val="00411FA7"/>
    <w:rsid w:val="004127A7"/>
    <w:rsid w:val="00412803"/>
    <w:rsid w:val="00412877"/>
    <w:rsid w:val="00412A41"/>
    <w:rsid w:val="00412E81"/>
    <w:rsid w:val="00412F25"/>
    <w:rsid w:val="00413097"/>
    <w:rsid w:val="004132AD"/>
    <w:rsid w:val="00413416"/>
    <w:rsid w:val="00413769"/>
    <w:rsid w:val="00413A1E"/>
    <w:rsid w:val="00414476"/>
    <w:rsid w:val="00414666"/>
    <w:rsid w:val="00414C2E"/>
    <w:rsid w:val="00414DAC"/>
    <w:rsid w:val="00415003"/>
    <w:rsid w:val="0041501F"/>
    <w:rsid w:val="004151CF"/>
    <w:rsid w:val="004153B3"/>
    <w:rsid w:val="00415A4F"/>
    <w:rsid w:val="00415AD2"/>
    <w:rsid w:val="00415AE0"/>
    <w:rsid w:val="00415D4E"/>
    <w:rsid w:val="00416138"/>
    <w:rsid w:val="00416364"/>
    <w:rsid w:val="004163EA"/>
    <w:rsid w:val="00416D1E"/>
    <w:rsid w:val="00416F98"/>
    <w:rsid w:val="004170E5"/>
    <w:rsid w:val="00417F16"/>
    <w:rsid w:val="004200C2"/>
    <w:rsid w:val="00420111"/>
    <w:rsid w:val="00420224"/>
    <w:rsid w:val="0042047F"/>
    <w:rsid w:val="0042089D"/>
    <w:rsid w:val="00420AA6"/>
    <w:rsid w:val="00420B9F"/>
    <w:rsid w:val="00420E56"/>
    <w:rsid w:val="004211CC"/>
    <w:rsid w:val="0042192C"/>
    <w:rsid w:val="00421BE6"/>
    <w:rsid w:val="00421CBD"/>
    <w:rsid w:val="00422033"/>
    <w:rsid w:val="00422260"/>
    <w:rsid w:val="00422592"/>
    <w:rsid w:val="00422624"/>
    <w:rsid w:val="00422875"/>
    <w:rsid w:val="004229A2"/>
    <w:rsid w:val="00422BE1"/>
    <w:rsid w:val="00422F10"/>
    <w:rsid w:val="00422FC2"/>
    <w:rsid w:val="00423646"/>
    <w:rsid w:val="0042372C"/>
    <w:rsid w:val="00423A6F"/>
    <w:rsid w:val="00423A7E"/>
    <w:rsid w:val="00423E4B"/>
    <w:rsid w:val="0042413F"/>
    <w:rsid w:val="00424A62"/>
    <w:rsid w:val="004253AC"/>
    <w:rsid w:val="004254AC"/>
    <w:rsid w:val="0042573A"/>
    <w:rsid w:val="004259AD"/>
    <w:rsid w:val="00425B78"/>
    <w:rsid w:val="00425FC3"/>
    <w:rsid w:val="00426171"/>
    <w:rsid w:val="004261DE"/>
    <w:rsid w:val="004262CB"/>
    <w:rsid w:val="00426709"/>
    <w:rsid w:val="00426949"/>
    <w:rsid w:val="00426D46"/>
    <w:rsid w:val="00426F13"/>
    <w:rsid w:val="00427297"/>
    <w:rsid w:val="0042744A"/>
    <w:rsid w:val="0042755E"/>
    <w:rsid w:val="004277FB"/>
    <w:rsid w:val="00427A4D"/>
    <w:rsid w:val="00427C85"/>
    <w:rsid w:val="004303D3"/>
    <w:rsid w:val="00430AA9"/>
    <w:rsid w:val="004311B6"/>
    <w:rsid w:val="004319F8"/>
    <w:rsid w:val="00431CE8"/>
    <w:rsid w:val="00431E55"/>
    <w:rsid w:val="004320A8"/>
    <w:rsid w:val="004321F6"/>
    <w:rsid w:val="004323AD"/>
    <w:rsid w:val="00432A9E"/>
    <w:rsid w:val="00432B6E"/>
    <w:rsid w:val="00432BAF"/>
    <w:rsid w:val="00432F0B"/>
    <w:rsid w:val="00433044"/>
    <w:rsid w:val="004332D6"/>
    <w:rsid w:val="0043381E"/>
    <w:rsid w:val="00433B17"/>
    <w:rsid w:val="00433FA5"/>
    <w:rsid w:val="00434088"/>
    <w:rsid w:val="0043418C"/>
    <w:rsid w:val="004342E7"/>
    <w:rsid w:val="004346EB"/>
    <w:rsid w:val="0043479D"/>
    <w:rsid w:val="00434AD3"/>
    <w:rsid w:val="004350E6"/>
    <w:rsid w:val="00435BA9"/>
    <w:rsid w:val="0043638A"/>
    <w:rsid w:val="00436533"/>
    <w:rsid w:val="004366FA"/>
    <w:rsid w:val="00436803"/>
    <w:rsid w:val="00436A0F"/>
    <w:rsid w:val="00436E6C"/>
    <w:rsid w:val="004370FF"/>
    <w:rsid w:val="004375B9"/>
    <w:rsid w:val="00437C12"/>
    <w:rsid w:val="00437F2D"/>
    <w:rsid w:val="0044047C"/>
    <w:rsid w:val="004407D4"/>
    <w:rsid w:val="0044090B"/>
    <w:rsid w:val="0044101D"/>
    <w:rsid w:val="00441CCC"/>
    <w:rsid w:val="00441DBD"/>
    <w:rsid w:val="00441EEB"/>
    <w:rsid w:val="00441FDF"/>
    <w:rsid w:val="004428D0"/>
    <w:rsid w:val="00442CDE"/>
    <w:rsid w:val="00442CF7"/>
    <w:rsid w:val="00443473"/>
    <w:rsid w:val="004439BD"/>
    <w:rsid w:val="00443E78"/>
    <w:rsid w:val="00443FEA"/>
    <w:rsid w:val="0044407D"/>
    <w:rsid w:val="00444185"/>
    <w:rsid w:val="004441EA"/>
    <w:rsid w:val="0044424D"/>
    <w:rsid w:val="004443A7"/>
    <w:rsid w:val="0044442C"/>
    <w:rsid w:val="00444455"/>
    <w:rsid w:val="00444AEA"/>
    <w:rsid w:val="00444BCB"/>
    <w:rsid w:val="00444D26"/>
    <w:rsid w:val="00445016"/>
    <w:rsid w:val="0044513C"/>
    <w:rsid w:val="004452CD"/>
    <w:rsid w:val="00445371"/>
    <w:rsid w:val="004453CE"/>
    <w:rsid w:val="004456D8"/>
    <w:rsid w:val="00445895"/>
    <w:rsid w:val="00445941"/>
    <w:rsid w:val="00445AE3"/>
    <w:rsid w:val="00445C75"/>
    <w:rsid w:val="004463F2"/>
    <w:rsid w:val="004464EB"/>
    <w:rsid w:val="00446E56"/>
    <w:rsid w:val="00446E64"/>
    <w:rsid w:val="00446FF7"/>
    <w:rsid w:val="004471EA"/>
    <w:rsid w:val="00447731"/>
    <w:rsid w:val="00447873"/>
    <w:rsid w:val="00447C47"/>
    <w:rsid w:val="00447D26"/>
    <w:rsid w:val="00447DFC"/>
    <w:rsid w:val="00447EF6"/>
    <w:rsid w:val="0045007A"/>
    <w:rsid w:val="004500D0"/>
    <w:rsid w:val="004502AB"/>
    <w:rsid w:val="00450C39"/>
    <w:rsid w:val="00450D3A"/>
    <w:rsid w:val="0045103F"/>
    <w:rsid w:val="0045105D"/>
    <w:rsid w:val="0045119C"/>
    <w:rsid w:val="0045160A"/>
    <w:rsid w:val="004517C7"/>
    <w:rsid w:val="00451BCB"/>
    <w:rsid w:val="00451CFD"/>
    <w:rsid w:val="00452432"/>
    <w:rsid w:val="004526DD"/>
    <w:rsid w:val="0045270C"/>
    <w:rsid w:val="0045271D"/>
    <w:rsid w:val="00452760"/>
    <w:rsid w:val="004528E8"/>
    <w:rsid w:val="00452F0A"/>
    <w:rsid w:val="00452F57"/>
    <w:rsid w:val="00453528"/>
    <w:rsid w:val="0045355B"/>
    <w:rsid w:val="00453633"/>
    <w:rsid w:val="004536A0"/>
    <w:rsid w:val="0045414F"/>
    <w:rsid w:val="0045444F"/>
    <w:rsid w:val="00454681"/>
    <w:rsid w:val="00454E25"/>
    <w:rsid w:val="004553C1"/>
    <w:rsid w:val="00455A99"/>
    <w:rsid w:val="00455D45"/>
    <w:rsid w:val="00455EBB"/>
    <w:rsid w:val="004560BB"/>
    <w:rsid w:val="004563EB"/>
    <w:rsid w:val="00456485"/>
    <w:rsid w:val="00456C32"/>
    <w:rsid w:val="004572CC"/>
    <w:rsid w:val="0045763E"/>
    <w:rsid w:val="004578BC"/>
    <w:rsid w:val="004579A9"/>
    <w:rsid w:val="00457AD9"/>
    <w:rsid w:val="00457E5B"/>
    <w:rsid w:val="004602D4"/>
    <w:rsid w:val="00460502"/>
    <w:rsid w:val="00460D7E"/>
    <w:rsid w:val="0046119F"/>
    <w:rsid w:val="00461391"/>
    <w:rsid w:val="00461436"/>
    <w:rsid w:val="004617C1"/>
    <w:rsid w:val="004618A0"/>
    <w:rsid w:val="0046239D"/>
    <w:rsid w:val="00462E17"/>
    <w:rsid w:val="00462E26"/>
    <w:rsid w:val="004632C3"/>
    <w:rsid w:val="0046380C"/>
    <w:rsid w:val="00463B39"/>
    <w:rsid w:val="004640D3"/>
    <w:rsid w:val="00464595"/>
    <w:rsid w:val="0046509E"/>
    <w:rsid w:val="004658B5"/>
    <w:rsid w:val="00465959"/>
    <w:rsid w:val="00465BEF"/>
    <w:rsid w:val="00465D98"/>
    <w:rsid w:val="00465ECE"/>
    <w:rsid w:val="00465EF2"/>
    <w:rsid w:val="004662EE"/>
    <w:rsid w:val="0046635A"/>
    <w:rsid w:val="0046640F"/>
    <w:rsid w:val="00466750"/>
    <w:rsid w:val="00466E61"/>
    <w:rsid w:val="0046777B"/>
    <w:rsid w:val="00467CEC"/>
    <w:rsid w:val="00467DD3"/>
    <w:rsid w:val="00467F6F"/>
    <w:rsid w:val="004700BD"/>
    <w:rsid w:val="004702CE"/>
    <w:rsid w:val="00470446"/>
    <w:rsid w:val="0047045D"/>
    <w:rsid w:val="00470A26"/>
    <w:rsid w:val="004714CE"/>
    <w:rsid w:val="00471B84"/>
    <w:rsid w:val="00471EA5"/>
    <w:rsid w:val="00472A79"/>
    <w:rsid w:val="00472D11"/>
    <w:rsid w:val="00472FDD"/>
    <w:rsid w:val="004731EB"/>
    <w:rsid w:val="0047330C"/>
    <w:rsid w:val="0047339D"/>
    <w:rsid w:val="004733FD"/>
    <w:rsid w:val="004737FB"/>
    <w:rsid w:val="004738E7"/>
    <w:rsid w:val="00473F19"/>
    <w:rsid w:val="00474445"/>
    <w:rsid w:val="00474A63"/>
    <w:rsid w:val="00474DF7"/>
    <w:rsid w:val="00474EC9"/>
    <w:rsid w:val="0047521D"/>
    <w:rsid w:val="004755A6"/>
    <w:rsid w:val="00475AD7"/>
    <w:rsid w:val="00475BD7"/>
    <w:rsid w:val="00475E22"/>
    <w:rsid w:val="00476143"/>
    <w:rsid w:val="004761B4"/>
    <w:rsid w:val="00476374"/>
    <w:rsid w:val="00476D6F"/>
    <w:rsid w:val="004776D0"/>
    <w:rsid w:val="00477DA5"/>
    <w:rsid w:val="00477E60"/>
    <w:rsid w:val="00477EA5"/>
    <w:rsid w:val="00477F96"/>
    <w:rsid w:val="00480060"/>
    <w:rsid w:val="004800D3"/>
    <w:rsid w:val="00480130"/>
    <w:rsid w:val="0048039D"/>
    <w:rsid w:val="00480747"/>
    <w:rsid w:val="0048088E"/>
    <w:rsid w:val="00480F2B"/>
    <w:rsid w:val="004813D6"/>
    <w:rsid w:val="0048141D"/>
    <w:rsid w:val="004817F8"/>
    <w:rsid w:val="00481D10"/>
    <w:rsid w:val="00481D4F"/>
    <w:rsid w:val="00481E8A"/>
    <w:rsid w:val="004823D3"/>
    <w:rsid w:val="00482720"/>
    <w:rsid w:val="004829D3"/>
    <w:rsid w:val="00482F09"/>
    <w:rsid w:val="00482FA8"/>
    <w:rsid w:val="00483110"/>
    <w:rsid w:val="004835E7"/>
    <w:rsid w:val="0048376B"/>
    <w:rsid w:val="004838C8"/>
    <w:rsid w:val="004839C7"/>
    <w:rsid w:val="004839F4"/>
    <w:rsid w:val="00483ACD"/>
    <w:rsid w:val="00483CA2"/>
    <w:rsid w:val="00483E0A"/>
    <w:rsid w:val="004841D2"/>
    <w:rsid w:val="00484590"/>
    <w:rsid w:val="0048483A"/>
    <w:rsid w:val="004849AE"/>
    <w:rsid w:val="00484B23"/>
    <w:rsid w:val="00485315"/>
    <w:rsid w:val="004859E1"/>
    <w:rsid w:val="00485B3C"/>
    <w:rsid w:val="00486535"/>
    <w:rsid w:val="004867E2"/>
    <w:rsid w:val="004868DF"/>
    <w:rsid w:val="004869AF"/>
    <w:rsid w:val="004869B7"/>
    <w:rsid w:val="00487113"/>
    <w:rsid w:val="00487488"/>
    <w:rsid w:val="00487689"/>
    <w:rsid w:val="00487771"/>
    <w:rsid w:val="00487977"/>
    <w:rsid w:val="00487DE5"/>
    <w:rsid w:val="00490073"/>
    <w:rsid w:val="00490699"/>
    <w:rsid w:val="00490816"/>
    <w:rsid w:val="00490B17"/>
    <w:rsid w:val="00490EB7"/>
    <w:rsid w:val="0049108C"/>
    <w:rsid w:val="004910E1"/>
    <w:rsid w:val="0049116D"/>
    <w:rsid w:val="00491210"/>
    <w:rsid w:val="004915E3"/>
    <w:rsid w:val="00491628"/>
    <w:rsid w:val="00491B3A"/>
    <w:rsid w:val="00491C4F"/>
    <w:rsid w:val="00491F30"/>
    <w:rsid w:val="004920E3"/>
    <w:rsid w:val="0049210C"/>
    <w:rsid w:val="00492262"/>
    <w:rsid w:val="004923B8"/>
    <w:rsid w:val="004923F4"/>
    <w:rsid w:val="004925DF"/>
    <w:rsid w:val="00492839"/>
    <w:rsid w:val="0049290A"/>
    <w:rsid w:val="00492B0A"/>
    <w:rsid w:val="00492BC7"/>
    <w:rsid w:val="00492CFD"/>
    <w:rsid w:val="00493018"/>
    <w:rsid w:val="00493C09"/>
    <w:rsid w:val="00493CD9"/>
    <w:rsid w:val="00494207"/>
    <w:rsid w:val="0049435D"/>
    <w:rsid w:val="00494CF3"/>
    <w:rsid w:val="00494DD5"/>
    <w:rsid w:val="00494E10"/>
    <w:rsid w:val="00494F8E"/>
    <w:rsid w:val="0049518A"/>
    <w:rsid w:val="004954A2"/>
    <w:rsid w:val="004954F4"/>
    <w:rsid w:val="00495C97"/>
    <w:rsid w:val="00495D78"/>
    <w:rsid w:val="00496013"/>
    <w:rsid w:val="004962D2"/>
    <w:rsid w:val="0049646B"/>
    <w:rsid w:val="004965AD"/>
    <w:rsid w:val="0049660B"/>
    <w:rsid w:val="00496A54"/>
    <w:rsid w:val="00496B97"/>
    <w:rsid w:val="00496D94"/>
    <w:rsid w:val="0049734D"/>
    <w:rsid w:val="00497640"/>
    <w:rsid w:val="00497769"/>
    <w:rsid w:val="00497948"/>
    <w:rsid w:val="004979CF"/>
    <w:rsid w:val="00497B9B"/>
    <w:rsid w:val="00497EE9"/>
    <w:rsid w:val="004A040A"/>
    <w:rsid w:val="004A05B1"/>
    <w:rsid w:val="004A0869"/>
    <w:rsid w:val="004A0A54"/>
    <w:rsid w:val="004A0DA1"/>
    <w:rsid w:val="004A13D6"/>
    <w:rsid w:val="004A17FD"/>
    <w:rsid w:val="004A1EFD"/>
    <w:rsid w:val="004A21C0"/>
    <w:rsid w:val="004A24A0"/>
    <w:rsid w:val="004A2595"/>
    <w:rsid w:val="004A25A2"/>
    <w:rsid w:val="004A3073"/>
    <w:rsid w:val="004A3346"/>
    <w:rsid w:val="004A3475"/>
    <w:rsid w:val="004A34B6"/>
    <w:rsid w:val="004A34C7"/>
    <w:rsid w:val="004A442F"/>
    <w:rsid w:val="004A4497"/>
    <w:rsid w:val="004A4819"/>
    <w:rsid w:val="004A49CC"/>
    <w:rsid w:val="004A4DB9"/>
    <w:rsid w:val="004A5132"/>
    <w:rsid w:val="004A52E9"/>
    <w:rsid w:val="004A58CF"/>
    <w:rsid w:val="004A58F9"/>
    <w:rsid w:val="004A6040"/>
    <w:rsid w:val="004A6170"/>
    <w:rsid w:val="004A6597"/>
    <w:rsid w:val="004A65F4"/>
    <w:rsid w:val="004A65FD"/>
    <w:rsid w:val="004A713E"/>
    <w:rsid w:val="004A7172"/>
    <w:rsid w:val="004A7848"/>
    <w:rsid w:val="004A793A"/>
    <w:rsid w:val="004A793B"/>
    <w:rsid w:val="004A7BD7"/>
    <w:rsid w:val="004A7F3D"/>
    <w:rsid w:val="004B0971"/>
    <w:rsid w:val="004B1217"/>
    <w:rsid w:val="004B14B5"/>
    <w:rsid w:val="004B1C09"/>
    <w:rsid w:val="004B1CB4"/>
    <w:rsid w:val="004B1EB7"/>
    <w:rsid w:val="004B23DF"/>
    <w:rsid w:val="004B2D74"/>
    <w:rsid w:val="004B2E41"/>
    <w:rsid w:val="004B2F18"/>
    <w:rsid w:val="004B3471"/>
    <w:rsid w:val="004B3DDB"/>
    <w:rsid w:val="004B410E"/>
    <w:rsid w:val="004B425E"/>
    <w:rsid w:val="004B43CE"/>
    <w:rsid w:val="004B44FD"/>
    <w:rsid w:val="004B4735"/>
    <w:rsid w:val="004B48E6"/>
    <w:rsid w:val="004B499A"/>
    <w:rsid w:val="004B4BA1"/>
    <w:rsid w:val="004B4BC5"/>
    <w:rsid w:val="004B4DA6"/>
    <w:rsid w:val="004B533B"/>
    <w:rsid w:val="004B59B4"/>
    <w:rsid w:val="004B5AF5"/>
    <w:rsid w:val="004B5BD3"/>
    <w:rsid w:val="004B5CFC"/>
    <w:rsid w:val="004B5FF2"/>
    <w:rsid w:val="004B6766"/>
    <w:rsid w:val="004B6C5D"/>
    <w:rsid w:val="004B6F79"/>
    <w:rsid w:val="004B71D3"/>
    <w:rsid w:val="004B7385"/>
    <w:rsid w:val="004B774D"/>
    <w:rsid w:val="004B7B11"/>
    <w:rsid w:val="004B7E94"/>
    <w:rsid w:val="004B7EB1"/>
    <w:rsid w:val="004C0C4B"/>
    <w:rsid w:val="004C0E9C"/>
    <w:rsid w:val="004C1537"/>
    <w:rsid w:val="004C172B"/>
    <w:rsid w:val="004C18F6"/>
    <w:rsid w:val="004C1D16"/>
    <w:rsid w:val="004C1E1D"/>
    <w:rsid w:val="004C2324"/>
    <w:rsid w:val="004C2351"/>
    <w:rsid w:val="004C276E"/>
    <w:rsid w:val="004C2867"/>
    <w:rsid w:val="004C2A54"/>
    <w:rsid w:val="004C2AC2"/>
    <w:rsid w:val="004C2BBC"/>
    <w:rsid w:val="004C32C2"/>
    <w:rsid w:val="004C3AFC"/>
    <w:rsid w:val="004C3B90"/>
    <w:rsid w:val="004C3BE2"/>
    <w:rsid w:val="004C400D"/>
    <w:rsid w:val="004C41CA"/>
    <w:rsid w:val="004C467B"/>
    <w:rsid w:val="004C4907"/>
    <w:rsid w:val="004C4AED"/>
    <w:rsid w:val="004C4C58"/>
    <w:rsid w:val="004C5192"/>
    <w:rsid w:val="004C52E7"/>
    <w:rsid w:val="004C576E"/>
    <w:rsid w:val="004C595F"/>
    <w:rsid w:val="004C5B4A"/>
    <w:rsid w:val="004C6480"/>
    <w:rsid w:val="004C65F9"/>
    <w:rsid w:val="004C6A29"/>
    <w:rsid w:val="004C6B94"/>
    <w:rsid w:val="004C74B3"/>
    <w:rsid w:val="004C7779"/>
    <w:rsid w:val="004C79C8"/>
    <w:rsid w:val="004D03BD"/>
    <w:rsid w:val="004D091D"/>
    <w:rsid w:val="004D0BCD"/>
    <w:rsid w:val="004D0FB9"/>
    <w:rsid w:val="004D1616"/>
    <w:rsid w:val="004D1B01"/>
    <w:rsid w:val="004D1ED4"/>
    <w:rsid w:val="004D2200"/>
    <w:rsid w:val="004D268B"/>
    <w:rsid w:val="004D2C2D"/>
    <w:rsid w:val="004D2F56"/>
    <w:rsid w:val="004D35F6"/>
    <w:rsid w:val="004D3A66"/>
    <w:rsid w:val="004D3CEE"/>
    <w:rsid w:val="004D3D0C"/>
    <w:rsid w:val="004D3D22"/>
    <w:rsid w:val="004D42C3"/>
    <w:rsid w:val="004D4382"/>
    <w:rsid w:val="004D4835"/>
    <w:rsid w:val="004D50D7"/>
    <w:rsid w:val="004D5A9C"/>
    <w:rsid w:val="004D5D1D"/>
    <w:rsid w:val="004D5D4D"/>
    <w:rsid w:val="004D5F77"/>
    <w:rsid w:val="004D6919"/>
    <w:rsid w:val="004D69B5"/>
    <w:rsid w:val="004D6BB0"/>
    <w:rsid w:val="004D6BCB"/>
    <w:rsid w:val="004D6DDA"/>
    <w:rsid w:val="004D71DE"/>
    <w:rsid w:val="004D7227"/>
    <w:rsid w:val="004D7254"/>
    <w:rsid w:val="004D7B5E"/>
    <w:rsid w:val="004E0208"/>
    <w:rsid w:val="004E0244"/>
    <w:rsid w:val="004E0C6D"/>
    <w:rsid w:val="004E0E7F"/>
    <w:rsid w:val="004E0EB8"/>
    <w:rsid w:val="004E1138"/>
    <w:rsid w:val="004E151D"/>
    <w:rsid w:val="004E1624"/>
    <w:rsid w:val="004E1830"/>
    <w:rsid w:val="004E18E9"/>
    <w:rsid w:val="004E195F"/>
    <w:rsid w:val="004E1A0B"/>
    <w:rsid w:val="004E1CBF"/>
    <w:rsid w:val="004E1CD9"/>
    <w:rsid w:val="004E2057"/>
    <w:rsid w:val="004E26D1"/>
    <w:rsid w:val="004E26DF"/>
    <w:rsid w:val="004E28CA"/>
    <w:rsid w:val="004E2ADC"/>
    <w:rsid w:val="004E2B3B"/>
    <w:rsid w:val="004E3458"/>
    <w:rsid w:val="004E359A"/>
    <w:rsid w:val="004E380E"/>
    <w:rsid w:val="004E388F"/>
    <w:rsid w:val="004E3B19"/>
    <w:rsid w:val="004E3D85"/>
    <w:rsid w:val="004E3EFD"/>
    <w:rsid w:val="004E43B2"/>
    <w:rsid w:val="004E453C"/>
    <w:rsid w:val="004E45F5"/>
    <w:rsid w:val="004E46A9"/>
    <w:rsid w:val="004E4922"/>
    <w:rsid w:val="004E499D"/>
    <w:rsid w:val="004E4A7C"/>
    <w:rsid w:val="004E4EF3"/>
    <w:rsid w:val="004E5129"/>
    <w:rsid w:val="004E5286"/>
    <w:rsid w:val="004E5555"/>
    <w:rsid w:val="004E55AF"/>
    <w:rsid w:val="004E589C"/>
    <w:rsid w:val="004E5BF4"/>
    <w:rsid w:val="004E5C5A"/>
    <w:rsid w:val="004E5D24"/>
    <w:rsid w:val="004E621F"/>
    <w:rsid w:val="004E648B"/>
    <w:rsid w:val="004E65D6"/>
    <w:rsid w:val="004E6796"/>
    <w:rsid w:val="004E6B53"/>
    <w:rsid w:val="004E6D96"/>
    <w:rsid w:val="004E7482"/>
    <w:rsid w:val="004E7BE0"/>
    <w:rsid w:val="004E7CEA"/>
    <w:rsid w:val="004F0389"/>
    <w:rsid w:val="004F04B0"/>
    <w:rsid w:val="004F082D"/>
    <w:rsid w:val="004F0C22"/>
    <w:rsid w:val="004F10B7"/>
    <w:rsid w:val="004F148F"/>
    <w:rsid w:val="004F18C0"/>
    <w:rsid w:val="004F1D02"/>
    <w:rsid w:val="004F206E"/>
    <w:rsid w:val="004F20CB"/>
    <w:rsid w:val="004F2679"/>
    <w:rsid w:val="004F2757"/>
    <w:rsid w:val="004F28F7"/>
    <w:rsid w:val="004F2D63"/>
    <w:rsid w:val="004F2F21"/>
    <w:rsid w:val="004F2FD7"/>
    <w:rsid w:val="004F3959"/>
    <w:rsid w:val="004F3B82"/>
    <w:rsid w:val="004F3DE5"/>
    <w:rsid w:val="004F3E3A"/>
    <w:rsid w:val="004F3EEF"/>
    <w:rsid w:val="004F41BC"/>
    <w:rsid w:val="004F461F"/>
    <w:rsid w:val="004F517B"/>
    <w:rsid w:val="004F540E"/>
    <w:rsid w:val="004F54E0"/>
    <w:rsid w:val="004F5600"/>
    <w:rsid w:val="004F560E"/>
    <w:rsid w:val="004F5AC9"/>
    <w:rsid w:val="004F6142"/>
    <w:rsid w:val="004F6200"/>
    <w:rsid w:val="004F64D9"/>
    <w:rsid w:val="004F67B9"/>
    <w:rsid w:val="004F6913"/>
    <w:rsid w:val="004F6CA3"/>
    <w:rsid w:val="004F6D47"/>
    <w:rsid w:val="004F6F74"/>
    <w:rsid w:val="004F7198"/>
    <w:rsid w:val="004F728F"/>
    <w:rsid w:val="004F76F9"/>
    <w:rsid w:val="004F77A9"/>
    <w:rsid w:val="004F7865"/>
    <w:rsid w:val="004F7AD7"/>
    <w:rsid w:val="004F7D84"/>
    <w:rsid w:val="00500081"/>
    <w:rsid w:val="005000DE"/>
    <w:rsid w:val="00500112"/>
    <w:rsid w:val="00500115"/>
    <w:rsid w:val="0050018F"/>
    <w:rsid w:val="005003E0"/>
    <w:rsid w:val="00500992"/>
    <w:rsid w:val="00500B8D"/>
    <w:rsid w:val="00500D92"/>
    <w:rsid w:val="00500ED0"/>
    <w:rsid w:val="00500F23"/>
    <w:rsid w:val="00500F44"/>
    <w:rsid w:val="00501388"/>
    <w:rsid w:val="00501434"/>
    <w:rsid w:val="005014C3"/>
    <w:rsid w:val="0050153C"/>
    <w:rsid w:val="00501670"/>
    <w:rsid w:val="005016CC"/>
    <w:rsid w:val="0050174E"/>
    <w:rsid w:val="00501854"/>
    <w:rsid w:val="005019F6"/>
    <w:rsid w:val="00501B4F"/>
    <w:rsid w:val="00501B65"/>
    <w:rsid w:val="00501E1A"/>
    <w:rsid w:val="0050219B"/>
    <w:rsid w:val="005022E0"/>
    <w:rsid w:val="00502BC1"/>
    <w:rsid w:val="0050321E"/>
    <w:rsid w:val="005035A6"/>
    <w:rsid w:val="005036D2"/>
    <w:rsid w:val="00503F17"/>
    <w:rsid w:val="00503F3A"/>
    <w:rsid w:val="0050413A"/>
    <w:rsid w:val="005042D6"/>
    <w:rsid w:val="00504467"/>
    <w:rsid w:val="0050460A"/>
    <w:rsid w:val="00504EAB"/>
    <w:rsid w:val="0050535B"/>
    <w:rsid w:val="00505589"/>
    <w:rsid w:val="00505A30"/>
    <w:rsid w:val="00505C0E"/>
    <w:rsid w:val="00505EBB"/>
    <w:rsid w:val="00505FEA"/>
    <w:rsid w:val="005061A9"/>
    <w:rsid w:val="0050675D"/>
    <w:rsid w:val="00506820"/>
    <w:rsid w:val="00506928"/>
    <w:rsid w:val="00506CAB"/>
    <w:rsid w:val="00506D2C"/>
    <w:rsid w:val="005071BA"/>
    <w:rsid w:val="00507400"/>
    <w:rsid w:val="0050771F"/>
    <w:rsid w:val="005077EF"/>
    <w:rsid w:val="00507932"/>
    <w:rsid w:val="005102FD"/>
    <w:rsid w:val="00510785"/>
    <w:rsid w:val="005109D3"/>
    <w:rsid w:val="005109E6"/>
    <w:rsid w:val="00510D1E"/>
    <w:rsid w:val="0051100F"/>
    <w:rsid w:val="005115A9"/>
    <w:rsid w:val="0051195E"/>
    <w:rsid w:val="00511AD5"/>
    <w:rsid w:val="00511B0D"/>
    <w:rsid w:val="00511C8B"/>
    <w:rsid w:val="00511DC7"/>
    <w:rsid w:val="0051258C"/>
    <w:rsid w:val="0051261B"/>
    <w:rsid w:val="00512D31"/>
    <w:rsid w:val="00512EAD"/>
    <w:rsid w:val="0051372A"/>
    <w:rsid w:val="005138AC"/>
    <w:rsid w:val="00513A8E"/>
    <w:rsid w:val="00513AC7"/>
    <w:rsid w:val="005142C5"/>
    <w:rsid w:val="005143DA"/>
    <w:rsid w:val="00514442"/>
    <w:rsid w:val="00514736"/>
    <w:rsid w:val="005149AC"/>
    <w:rsid w:val="005149C1"/>
    <w:rsid w:val="00514C3E"/>
    <w:rsid w:val="00514C8D"/>
    <w:rsid w:val="00514D9F"/>
    <w:rsid w:val="00514F03"/>
    <w:rsid w:val="0051501B"/>
    <w:rsid w:val="005152B5"/>
    <w:rsid w:val="005155B8"/>
    <w:rsid w:val="00515886"/>
    <w:rsid w:val="005158BA"/>
    <w:rsid w:val="00515A08"/>
    <w:rsid w:val="00515A5B"/>
    <w:rsid w:val="00515DC6"/>
    <w:rsid w:val="00515F08"/>
    <w:rsid w:val="00516650"/>
    <w:rsid w:val="00516765"/>
    <w:rsid w:val="00516DFC"/>
    <w:rsid w:val="00516FD2"/>
    <w:rsid w:val="00516FD8"/>
    <w:rsid w:val="00517453"/>
    <w:rsid w:val="005176BD"/>
    <w:rsid w:val="00517BAF"/>
    <w:rsid w:val="005206C4"/>
    <w:rsid w:val="00520876"/>
    <w:rsid w:val="00520A22"/>
    <w:rsid w:val="00520C7C"/>
    <w:rsid w:val="00520CFB"/>
    <w:rsid w:val="00520EF6"/>
    <w:rsid w:val="005210D6"/>
    <w:rsid w:val="005211E4"/>
    <w:rsid w:val="0052123C"/>
    <w:rsid w:val="00521319"/>
    <w:rsid w:val="0052160F"/>
    <w:rsid w:val="005217A1"/>
    <w:rsid w:val="005218C6"/>
    <w:rsid w:val="00521C74"/>
    <w:rsid w:val="00521D59"/>
    <w:rsid w:val="00521EA4"/>
    <w:rsid w:val="005222CC"/>
    <w:rsid w:val="00522567"/>
    <w:rsid w:val="0052293B"/>
    <w:rsid w:val="00522BC8"/>
    <w:rsid w:val="00522FC4"/>
    <w:rsid w:val="00523134"/>
    <w:rsid w:val="00523170"/>
    <w:rsid w:val="005233E1"/>
    <w:rsid w:val="00523498"/>
    <w:rsid w:val="005234DE"/>
    <w:rsid w:val="005236B0"/>
    <w:rsid w:val="005237CC"/>
    <w:rsid w:val="00523C28"/>
    <w:rsid w:val="00523D6F"/>
    <w:rsid w:val="005240F5"/>
    <w:rsid w:val="005247A6"/>
    <w:rsid w:val="00524989"/>
    <w:rsid w:val="00524CAA"/>
    <w:rsid w:val="0052515F"/>
    <w:rsid w:val="0052539B"/>
    <w:rsid w:val="00525841"/>
    <w:rsid w:val="00525D2A"/>
    <w:rsid w:val="00525D8B"/>
    <w:rsid w:val="00525F1F"/>
    <w:rsid w:val="005261A0"/>
    <w:rsid w:val="005261C4"/>
    <w:rsid w:val="0052649A"/>
    <w:rsid w:val="0052663A"/>
    <w:rsid w:val="00526782"/>
    <w:rsid w:val="0052699D"/>
    <w:rsid w:val="00526A52"/>
    <w:rsid w:val="00526E22"/>
    <w:rsid w:val="00527205"/>
    <w:rsid w:val="0052737D"/>
    <w:rsid w:val="005273F0"/>
    <w:rsid w:val="00527B39"/>
    <w:rsid w:val="00527E58"/>
    <w:rsid w:val="00530160"/>
    <w:rsid w:val="00531023"/>
    <w:rsid w:val="00531742"/>
    <w:rsid w:val="0053176B"/>
    <w:rsid w:val="00531801"/>
    <w:rsid w:val="00531AE0"/>
    <w:rsid w:val="005325CB"/>
    <w:rsid w:val="0053267D"/>
    <w:rsid w:val="0053278B"/>
    <w:rsid w:val="00532B56"/>
    <w:rsid w:val="00532E65"/>
    <w:rsid w:val="005333E2"/>
    <w:rsid w:val="00533AA1"/>
    <w:rsid w:val="0053400F"/>
    <w:rsid w:val="005341B3"/>
    <w:rsid w:val="005342E6"/>
    <w:rsid w:val="00534675"/>
    <w:rsid w:val="005348E0"/>
    <w:rsid w:val="00534BAC"/>
    <w:rsid w:val="00534DB5"/>
    <w:rsid w:val="00534DC0"/>
    <w:rsid w:val="00535042"/>
    <w:rsid w:val="00535838"/>
    <w:rsid w:val="005358A3"/>
    <w:rsid w:val="00535AEB"/>
    <w:rsid w:val="00535CC8"/>
    <w:rsid w:val="005364AC"/>
    <w:rsid w:val="0053659B"/>
    <w:rsid w:val="00536986"/>
    <w:rsid w:val="00536C5B"/>
    <w:rsid w:val="00536D17"/>
    <w:rsid w:val="00536F42"/>
    <w:rsid w:val="00537182"/>
    <w:rsid w:val="00537542"/>
    <w:rsid w:val="005378D4"/>
    <w:rsid w:val="00537929"/>
    <w:rsid w:val="00537CEC"/>
    <w:rsid w:val="00537E48"/>
    <w:rsid w:val="005400A2"/>
    <w:rsid w:val="00540412"/>
    <w:rsid w:val="005408B7"/>
    <w:rsid w:val="0054092E"/>
    <w:rsid w:val="00540AB1"/>
    <w:rsid w:val="00540FFE"/>
    <w:rsid w:val="005412BA"/>
    <w:rsid w:val="005419C5"/>
    <w:rsid w:val="00541AE9"/>
    <w:rsid w:val="00541EDD"/>
    <w:rsid w:val="005421D8"/>
    <w:rsid w:val="005422E6"/>
    <w:rsid w:val="00542324"/>
    <w:rsid w:val="00542743"/>
    <w:rsid w:val="0054285F"/>
    <w:rsid w:val="005428D6"/>
    <w:rsid w:val="0054296A"/>
    <w:rsid w:val="00542A2C"/>
    <w:rsid w:val="00542B41"/>
    <w:rsid w:val="00542C2D"/>
    <w:rsid w:val="00542E6C"/>
    <w:rsid w:val="005432ED"/>
    <w:rsid w:val="00543E03"/>
    <w:rsid w:val="00543F33"/>
    <w:rsid w:val="0054418C"/>
    <w:rsid w:val="005442F2"/>
    <w:rsid w:val="00544D5D"/>
    <w:rsid w:val="00544DC6"/>
    <w:rsid w:val="00545109"/>
    <w:rsid w:val="005456A9"/>
    <w:rsid w:val="00546026"/>
    <w:rsid w:val="00546383"/>
    <w:rsid w:val="005465EB"/>
    <w:rsid w:val="00546780"/>
    <w:rsid w:val="0054689D"/>
    <w:rsid w:val="00546A83"/>
    <w:rsid w:val="00546CE6"/>
    <w:rsid w:val="00546E42"/>
    <w:rsid w:val="005470D9"/>
    <w:rsid w:val="0054760E"/>
    <w:rsid w:val="00547667"/>
    <w:rsid w:val="005478BD"/>
    <w:rsid w:val="005479E3"/>
    <w:rsid w:val="00547B7F"/>
    <w:rsid w:val="00547CE1"/>
    <w:rsid w:val="00547D32"/>
    <w:rsid w:val="00547E45"/>
    <w:rsid w:val="0055009D"/>
    <w:rsid w:val="005500D7"/>
    <w:rsid w:val="00550169"/>
    <w:rsid w:val="00550278"/>
    <w:rsid w:val="00550289"/>
    <w:rsid w:val="00550380"/>
    <w:rsid w:val="00550A87"/>
    <w:rsid w:val="00550D9F"/>
    <w:rsid w:val="005511FB"/>
    <w:rsid w:val="0055148B"/>
    <w:rsid w:val="005514E3"/>
    <w:rsid w:val="00551985"/>
    <w:rsid w:val="00551B07"/>
    <w:rsid w:val="00551B14"/>
    <w:rsid w:val="00552217"/>
    <w:rsid w:val="0055253B"/>
    <w:rsid w:val="0055271D"/>
    <w:rsid w:val="00552BD3"/>
    <w:rsid w:val="0055329F"/>
    <w:rsid w:val="005532A0"/>
    <w:rsid w:val="00553632"/>
    <w:rsid w:val="00553991"/>
    <w:rsid w:val="00553BB7"/>
    <w:rsid w:val="00554063"/>
    <w:rsid w:val="005543B5"/>
    <w:rsid w:val="00555109"/>
    <w:rsid w:val="00555821"/>
    <w:rsid w:val="00555877"/>
    <w:rsid w:val="00555BBE"/>
    <w:rsid w:val="00555F2A"/>
    <w:rsid w:val="00556001"/>
    <w:rsid w:val="0055600A"/>
    <w:rsid w:val="005560DB"/>
    <w:rsid w:val="00556242"/>
    <w:rsid w:val="00556941"/>
    <w:rsid w:val="00556B35"/>
    <w:rsid w:val="00556CCD"/>
    <w:rsid w:val="00557020"/>
    <w:rsid w:val="0055741A"/>
    <w:rsid w:val="005574C6"/>
    <w:rsid w:val="00557700"/>
    <w:rsid w:val="005601EC"/>
    <w:rsid w:val="005603EC"/>
    <w:rsid w:val="00560880"/>
    <w:rsid w:val="005609F2"/>
    <w:rsid w:val="00560C67"/>
    <w:rsid w:val="005611B7"/>
    <w:rsid w:val="005617F6"/>
    <w:rsid w:val="005618D4"/>
    <w:rsid w:val="00561CF7"/>
    <w:rsid w:val="00562210"/>
    <w:rsid w:val="00562A1C"/>
    <w:rsid w:val="005647E0"/>
    <w:rsid w:val="00564867"/>
    <w:rsid w:val="00564AD6"/>
    <w:rsid w:val="00565C79"/>
    <w:rsid w:val="00565D6E"/>
    <w:rsid w:val="00565D83"/>
    <w:rsid w:val="00565DF0"/>
    <w:rsid w:val="005660D3"/>
    <w:rsid w:val="005661B8"/>
    <w:rsid w:val="0056696F"/>
    <w:rsid w:val="00566E3B"/>
    <w:rsid w:val="00566F0D"/>
    <w:rsid w:val="00566F0F"/>
    <w:rsid w:val="005676F0"/>
    <w:rsid w:val="005677DB"/>
    <w:rsid w:val="00567CD1"/>
    <w:rsid w:val="00567DB1"/>
    <w:rsid w:val="00567F25"/>
    <w:rsid w:val="00567F68"/>
    <w:rsid w:val="00567FAB"/>
    <w:rsid w:val="00570328"/>
    <w:rsid w:val="005707E9"/>
    <w:rsid w:val="00570CE2"/>
    <w:rsid w:val="00571248"/>
    <w:rsid w:val="005717B7"/>
    <w:rsid w:val="00571A10"/>
    <w:rsid w:val="00571B0C"/>
    <w:rsid w:val="00571BD0"/>
    <w:rsid w:val="00571FD0"/>
    <w:rsid w:val="00572113"/>
    <w:rsid w:val="00572269"/>
    <w:rsid w:val="005723EB"/>
    <w:rsid w:val="0057244A"/>
    <w:rsid w:val="00572F26"/>
    <w:rsid w:val="00572F36"/>
    <w:rsid w:val="005731D4"/>
    <w:rsid w:val="00573640"/>
    <w:rsid w:val="0057371C"/>
    <w:rsid w:val="00573C9F"/>
    <w:rsid w:val="00573D02"/>
    <w:rsid w:val="0057481D"/>
    <w:rsid w:val="005748B4"/>
    <w:rsid w:val="005748D6"/>
    <w:rsid w:val="005750C5"/>
    <w:rsid w:val="00575262"/>
    <w:rsid w:val="005752DE"/>
    <w:rsid w:val="005754B0"/>
    <w:rsid w:val="0057566F"/>
    <w:rsid w:val="00575D60"/>
    <w:rsid w:val="00575D8D"/>
    <w:rsid w:val="00575DCB"/>
    <w:rsid w:val="00576549"/>
    <w:rsid w:val="0057661D"/>
    <w:rsid w:val="00576972"/>
    <w:rsid w:val="00576CCD"/>
    <w:rsid w:val="00576EF2"/>
    <w:rsid w:val="00576F7C"/>
    <w:rsid w:val="00576FB7"/>
    <w:rsid w:val="00577248"/>
    <w:rsid w:val="0057724B"/>
    <w:rsid w:val="005775CC"/>
    <w:rsid w:val="005779DA"/>
    <w:rsid w:val="00577C33"/>
    <w:rsid w:val="00577CDA"/>
    <w:rsid w:val="00580076"/>
    <w:rsid w:val="005806EC"/>
    <w:rsid w:val="00580766"/>
    <w:rsid w:val="0058079F"/>
    <w:rsid w:val="00580AD3"/>
    <w:rsid w:val="00580CDB"/>
    <w:rsid w:val="00580DBB"/>
    <w:rsid w:val="00580EEF"/>
    <w:rsid w:val="00581056"/>
    <w:rsid w:val="005812F0"/>
    <w:rsid w:val="00581377"/>
    <w:rsid w:val="00581380"/>
    <w:rsid w:val="00581B49"/>
    <w:rsid w:val="00581DAF"/>
    <w:rsid w:val="00581E25"/>
    <w:rsid w:val="005823E5"/>
    <w:rsid w:val="005825D4"/>
    <w:rsid w:val="00582992"/>
    <w:rsid w:val="00582E8A"/>
    <w:rsid w:val="0058331A"/>
    <w:rsid w:val="00583699"/>
    <w:rsid w:val="00583A5B"/>
    <w:rsid w:val="0058409F"/>
    <w:rsid w:val="005844A0"/>
    <w:rsid w:val="005847A3"/>
    <w:rsid w:val="00584A34"/>
    <w:rsid w:val="00584F4C"/>
    <w:rsid w:val="00585644"/>
    <w:rsid w:val="00585B50"/>
    <w:rsid w:val="00585CDD"/>
    <w:rsid w:val="00585DAF"/>
    <w:rsid w:val="0058644D"/>
    <w:rsid w:val="0058661F"/>
    <w:rsid w:val="00586825"/>
    <w:rsid w:val="00586A1D"/>
    <w:rsid w:val="00586E8E"/>
    <w:rsid w:val="00587058"/>
    <w:rsid w:val="005872BC"/>
    <w:rsid w:val="00587632"/>
    <w:rsid w:val="00587BD0"/>
    <w:rsid w:val="00587C22"/>
    <w:rsid w:val="00587E56"/>
    <w:rsid w:val="005901BF"/>
    <w:rsid w:val="00590578"/>
    <w:rsid w:val="005909A7"/>
    <w:rsid w:val="00590D1B"/>
    <w:rsid w:val="00591188"/>
    <w:rsid w:val="00591620"/>
    <w:rsid w:val="005916BA"/>
    <w:rsid w:val="005916E4"/>
    <w:rsid w:val="0059186D"/>
    <w:rsid w:val="00591957"/>
    <w:rsid w:val="00591A1C"/>
    <w:rsid w:val="00592020"/>
    <w:rsid w:val="00592190"/>
    <w:rsid w:val="005922F0"/>
    <w:rsid w:val="00592A3B"/>
    <w:rsid w:val="00592CC9"/>
    <w:rsid w:val="00592D35"/>
    <w:rsid w:val="00592D9B"/>
    <w:rsid w:val="00592FCB"/>
    <w:rsid w:val="00593172"/>
    <w:rsid w:val="00593219"/>
    <w:rsid w:val="005932E2"/>
    <w:rsid w:val="005932FA"/>
    <w:rsid w:val="005937D4"/>
    <w:rsid w:val="00594112"/>
    <w:rsid w:val="0059414C"/>
    <w:rsid w:val="00594459"/>
    <w:rsid w:val="005944E2"/>
    <w:rsid w:val="00594656"/>
    <w:rsid w:val="00594F98"/>
    <w:rsid w:val="0059525B"/>
    <w:rsid w:val="005954C5"/>
    <w:rsid w:val="005955BF"/>
    <w:rsid w:val="00595715"/>
    <w:rsid w:val="00595A77"/>
    <w:rsid w:val="00595CBC"/>
    <w:rsid w:val="005962F8"/>
    <w:rsid w:val="00596AEC"/>
    <w:rsid w:val="00597040"/>
    <w:rsid w:val="0059719F"/>
    <w:rsid w:val="005971B2"/>
    <w:rsid w:val="00597419"/>
    <w:rsid w:val="00597B83"/>
    <w:rsid w:val="00597BF9"/>
    <w:rsid w:val="00597ECE"/>
    <w:rsid w:val="00597FFE"/>
    <w:rsid w:val="005A0778"/>
    <w:rsid w:val="005A08A9"/>
    <w:rsid w:val="005A0955"/>
    <w:rsid w:val="005A097C"/>
    <w:rsid w:val="005A0984"/>
    <w:rsid w:val="005A0C11"/>
    <w:rsid w:val="005A11E9"/>
    <w:rsid w:val="005A12B2"/>
    <w:rsid w:val="005A1A0B"/>
    <w:rsid w:val="005A1F0C"/>
    <w:rsid w:val="005A2AB3"/>
    <w:rsid w:val="005A2D8D"/>
    <w:rsid w:val="005A309A"/>
    <w:rsid w:val="005A33A6"/>
    <w:rsid w:val="005A34F7"/>
    <w:rsid w:val="005A373D"/>
    <w:rsid w:val="005A3CA4"/>
    <w:rsid w:val="005A3CAF"/>
    <w:rsid w:val="005A4C18"/>
    <w:rsid w:val="005A4EA9"/>
    <w:rsid w:val="005A51A5"/>
    <w:rsid w:val="005A53AE"/>
    <w:rsid w:val="005A60E6"/>
    <w:rsid w:val="005A63F1"/>
    <w:rsid w:val="005A67C7"/>
    <w:rsid w:val="005A69FE"/>
    <w:rsid w:val="005A6B2C"/>
    <w:rsid w:val="005A6C8E"/>
    <w:rsid w:val="005A6CB9"/>
    <w:rsid w:val="005A6D3D"/>
    <w:rsid w:val="005A6D61"/>
    <w:rsid w:val="005A6FB9"/>
    <w:rsid w:val="005A6FF5"/>
    <w:rsid w:val="005A7034"/>
    <w:rsid w:val="005A74E2"/>
    <w:rsid w:val="005A77E9"/>
    <w:rsid w:val="005A7BCD"/>
    <w:rsid w:val="005A7DC3"/>
    <w:rsid w:val="005A7E0E"/>
    <w:rsid w:val="005B0034"/>
    <w:rsid w:val="005B0267"/>
    <w:rsid w:val="005B0B58"/>
    <w:rsid w:val="005B0D5F"/>
    <w:rsid w:val="005B1211"/>
    <w:rsid w:val="005B188B"/>
    <w:rsid w:val="005B18C2"/>
    <w:rsid w:val="005B1E9A"/>
    <w:rsid w:val="005B2062"/>
    <w:rsid w:val="005B20CB"/>
    <w:rsid w:val="005B21D4"/>
    <w:rsid w:val="005B2366"/>
    <w:rsid w:val="005B23D0"/>
    <w:rsid w:val="005B2500"/>
    <w:rsid w:val="005B2562"/>
    <w:rsid w:val="005B2615"/>
    <w:rsid w:val="005B28B6"/>
    <w:rsid w:val="005B2B29"/>
    <w:rsid w:val="005B2C34"/>
    <w:rsid w:val="005B34C4"/>
    <w:rsid w:val="005B36BF"/>
    <w:rsid w:val="005B3785"/>
    <w:rsid w:val="005B3DEA"/>
    <w:rsid w:val="005B412F"/>
    <w:rsid w:val="005B444F"/>
    <w:rsid w:val="005B4914"/>
    <w:rsid w:val="005B4C56"/>
    <w:rsid w:val="005B4E53"/>
    <w:rsid w:val="005B4F09"/>
    <w:rsid w:val="005B52F6"/>
    <w:rsid w:val="005B52FC"/>
    <w:rsid w:val="005B5333"/>
    <w:rsid w:val="005B537F"/>
    <w:rsid w:val="005B5857"/>
    <w:rsid w:val="005B58C7"/>
    <w:rsid w:val="005B6067"/>
    <w:rsid w:val="005B658A"/>
    <w:rsid w:val="005B7791"/>
    <w:rsid w:val="005B781E"/>
    <w:rsid w:val="005B78D2"/>
    <w:rsid w:val="005B7A57"/>
    <w:rsid w:val="005B7C12"/>
    <w:rsid w:val="005B7D45"/>
    <w:rsid w:val="005C0438"/>
    <w:rsid w:val="005C04E3"/>
    <w:rsid w:val="005C0918"/>
    <w:rsid w:val="005C0FA4"/>
    <w:rsid w:val="005C10F8"/>
    <w:rsid w:val="005C1172"/>
    <w:rsid w:val="005C17E0"/>
    <w:rsid w:val="005C19C4"/>
    <w:rsid w:val="005C1B83"/>
    <w:rsid w:val="005C2280"/>
    <w:rsid w:val="005C229D"/>
    <w:rsid w:val="005C238E"/>
    <w:rsid w:val="005C254D"/>
    <w:rsid w:val="005C25FF"/>
    <w:rsid w:val="005C27E0"/>
    <w:rsid w:val="005C2B64"/>
    <w:rsid w:val="005C2D55"/>
    <w:rsid w:val="005C31D8"/>
    <w:rsid w:val="005C32E8"/>
    <w:rsid w:val="005C33E0"/>
    <w:rsid w:val="005C346B"/>
    <w:rsid w:val="005C353E"/>
    <w:rsid w:val="005C3F38"/>
    <w:rsid w:val="005C4324"/>
    <w:rsid w:val="005C4500"/>
    <w:rsid w:val="005C454D"/>
    <w:rsid w:val="005C4C9D"/>
    <w:rsid w:val="005C528B"/>
    <w:rsid w:val="005C5534"/>
    <w:rsid w:val="005C5ABC"/>
    <w:rsid w:val="005C5C47"/>
    <w:rsid w:val="005C5D56"/>
    <w:rsid w:val="005C65D4"/>
    <w:rsid w:val="005C6BB0"/>
    <w:rsid w:val="005C6ECD"/>
    <w:rsid w:val="005C718D"/>
    <w:rsid w:val="005C7445"/>
    <w:rsid w:val="005C74FD"/>
    <w:rsid w:val="005C75BF"/>
    <w:rsid w:val="005C7E91"/>
    <w:rsid w:val="005D044D"/>
    <w:rsid w:val="005D0ABD"/>
    <w:rsid w:val="005D0CB9"/>
    <w:rsid w:val="005D10EC"/>
    <w:rsid w:val="005D12E2"/>
    <w:rsid w:val="005D1851"/>
    <w:rsid w:val="005D18AD"/>
    <w:rsid w:val="005D1956"/>
    <w:rsid w:val="005D1AE2"/>
    <w:rsid w:val="005D1E0B"/>
    <w:rsid w:val="005D1EA9"/>
    <w:rsid w:val="005D20EE"/>
    <w:rsid w:val="005D2535"/>
    <w:rsid w:val="005D2622"/>
    <w:rsid w:val="005D2678"/>
    <w:rsid w:val="005D26B4"/>
    <w:rsid w:val="005D26D2"/>
    <w:rsid w:val="005D29CF"/>
    <w:rsid w:val="005D2B69"/>
    <w:rsid w:val="005D2E75"/>
    <w:rsid w:val="005D2E80"/>
    <w:rsid w:val="005D2F1F"/>
    <w:rsid w:val="005D3493"/>
    <w:rsid w:val="005D370A"/>
    <w:rsid w:val="005D384E"/>
    <w:rsid w:val="005D39A5"/>
    <w:rsid w:val="005D4261"/>
    <w:rsid w:val="005D4410"/>
    <w:rsid w:val="005D44F5"/>
    <w:rsid w:val="005D4580"/>
    <w:rsid w:val="005D4945"/>
    <w:rsid w:val="005D4BB2"/>
    <w:rsid w:val="005D4DF8"/>
    <w:rsid w:val="005D6059"/>
    <w:rsid w:val="005D6136"/>
    <w:rsid w:val="005D619D"/>
    <w:rsid w:val="005D623C"/>
    <w:rsid w:val="005D6275"/>
    <w:rsid w:val="005D6567"/>
    <w:rsid w:val="005D6840"/>
    <w:rsid w:val="005D7CBE"/>
    <w:rsid w:val="005E02FC"/>
    <w:rsid w:val="005E0384"/>
    <w:rsid w:val="005E041C"/>
    <w:rsid w:val="005E0974"/>
    <w:rsid w:val="005E0A2B"/>
    <w:rsid w:val="005E0C70"/>
    <w:rsid w:val="005E13FE"/>
    <w:rsid w:val="005E1995"/>
    <w:rsid w:val="005E19F9"/>
    <w:rsid w:val="005E1BAE"/>
    <w:rsid w:val="005E1E6E"/>
    <w:rsid w:val="005E1EDF"/>
    <w:rsid w:val="005E2299"/>
    <w:rsid w:val="005E24E2"/>
    <w:rsid w:val="005E2D59"/>
    <w:rsid w:val="005E2E5C"/>
    <w:rsid w:val="005E33ED"/>
    <w:rsid w:val="005E34CE"/>
    <w:rsid w:val="005E3768"/>
    <w:rsid w:val="005E37E8"/>
    <w:rsid w:val="005E40BF"/>
    <w:rsid w:val="005E431E"/>
    <w:rsid w:val="005E4351"/>
    <w:rsid w:val="005E4B34"/>
    <w:rsid w:val="005E4C6A"/>
    <w:rsid w:val="005E5341"/>
    <w:rsid w:val="005E54BF"/>
    <w:rsid w:val="005E59C3"/>
    <w:rsid w:val="005E5A7B"/>
    <w:rsid w:val="005E5F55"/>
    <w:rsid w:val="005E654B"/>
    <w:rsid w:val="005E6649"/>
    <w:rsid w:val="005E6753"/>
    <w:rsid w:val="005E685F"/>
    <w:rsid w:val="005E6CBC"/>
    <w:rsid w:val="005E72FF"/>
    <w:rsid w:val="005E73C0"/>
    <w:rsid w:val="005E7783"/>
    <w:rsid w:val="005E7864"/>
    <w:rsid w:val="005E79B5"/>
    <w:rsid w:val="005E7A1E"/>
    <w:rsid w:val="005E7BA9"/>
    <w:rsid w:val="005E7E5A"/>
    <w:rsid w:val="005F01E1"/>
    <w:rsid w:val="005F0200"/>
    <w:rsid w:val="005F03A0"/>
    <w:rsid w:val="005F05B2"/>
    <w:rsid w:val="005F07ED"/>
    <w:rsid w:val="005F0A97"/>
    <w:rsid w:val="005F0AB7"/>
    <w:rsid w:val="005F1270"/>
    <w:rsid w:val="005F1420"/>
    <w:rsid w:val="005F14DF"/>
    <w:rsid w:val="005F1B2C"/>
    <w:rsid w:val="005F1BAB"/>
    <w:rsid w:val="005F1E94"/>
    <w:rsid w:val="005F21D6"/>
    <w:rsid w:val="005F253B"/>
    <w:rsid w:val="005F254F"/>
    <w:rsid w:val="005F2706"/>
    <w:rsid w:val="005F28AD"/>
    <w:rsid w:val="005F301F"/>
    <w:rsid w:val="005F30B3"/>
    <w:rsid w:val="005F33C7"/>
    <w:rsid w:val="005F3804"/>
    <w:rsid w:val="005F4987"/>
    <w:rsid w:val="005F4F80"/>
    <w:rsid w:val="005F51DE"/>
    <w:rsid w:val="005F6084"/>
    <w:rsid w:val="005F6614"/>
    <w:rsid w:val="005F674A"/>
    <w:rsid w:val="005F6A8F"/>
    <w:rsid w:val="005F6BAA"/>
    <w:rsid w:val="005F6BB7"/>
    <w:rsid w:val="005F7332"/>
    <w:rsid w:val="005F7588"/>
    <w:rsid w:val="005F75AF"/>
    <w:rsid w:val="005F765A"/>
    <w:rsid w:val="005F77E1"/>
    <w:rsid w:val="005F7ACF"/>
    <w:rsid w:val="005F7C17"/>
    <w:rsid w:val="005F7C8F"/>
    <w:rsid w:val="006001B8"/>
    <w:rsid w:val="0060046B"/>
    <w:rsid w:val="00600685"/>
    <w:rsid w:val="006006B9"/>
    <w:rsid w:val="00600FDA"/>
    <w:rsid w:val="00601072"/>
    <w:rsid w:val="0060117A"/>
    <w:rsid w:val="006019BA"/>
    <w:rsid w:val="00601AB0"/>
    <w:rsid w:val="00601C83"/>
    <w:rsid w:val="00601DFB"/>
    <w:rsid w:val="00601E6F"/>
    <w:rsid w:val="00601EE6"/>
    <w:rsid w:val="00602029"/>
    <w:rsid w:val="0060222C"/>
    <w:rsid w:val="006024FF"/>
    <w:rsid w:val="006025FE"/>
    <w:rsid w:val="0060281A"/>
    <w:rsid w:val="00602AF4"/>
    <w:rsid w:val="00602B1C"/>
    <w:rsid w:val="00602B2D"/>
    <w:rsid w:val="00602C07"/>
    <w:rsid w:val="00602FAE"/>
    <w:rsid w:val="00603B84"/>
    <w:rsid w:val="00603DB9"/>
    <w:rsid w:val="00603EC3"/>
    <w:rsid w:val="00603EE6"/>
    <w:rsid w:val="0060428A"/>
    <w:rsid w:val="00604C10"/>
    <w:rsid w:val="00604D3D"/>
    <w:rsid w:val="00605A1B"/>
    <w:rsid w:val="00605D7D"/>
    <w:rsid w:val="00605FD3"/>
    <w:rsid w:val="006060B6"/>
    <w:rsid w:val="006060D0"/>
    <w:rsid w:val="0060643E"/>
    <w:rsid w:val="00606724"/>
    <w:rsid w:val="00606784"/>
    <w:rsid w:val="00606B9C"/>
    <w:rsid w:val="00606FBA"/>
    <w:rsid w:val="006071E2"/>
    <w:rsid w:val="00607355"/>
    <w:rsid w:val="00607669"/>
    <w:rsid w:val="006076F4"/>
    <w:rsid w:val="0060774A"/>
    <w:rsid w:val="0060777C"/>
    <w:rsid w:val="00607AFD"/>
    <w:rsid w:val="00607EDA"/>
    <w:rsid w:val="00610674"/>
    <w:rsid w:val="00610C1F"/>
    <w:rsid w:val="006118C3"/>
    <w:rsid w:val="00611B12"/>
    <w:rsid w:val="00611B24"/>
    <w:rsid w:val="00611C4E"/>
    <w:rsid w:val="00612335"/>
    <w:rsid w:val="00612A0B"/>
    <w:rsid w:val="00612B18"/>
    <w:rsid w:val="00612D06"/>
    <w:rsid w:val="00612D98"/>
    <w:rsid w:val="00612F97"/>
    <w:rsid w:val="00613066"/>
    <w:rsid w:val="0061309E"/>
    <w:rsid w:val="0061345D"/>
    <w:rsid w:val="0061348A"/>
    <w:rsid w:val="00614601"/>
    <w:rsid w:val="0061549B"/>
    <w:rsid w:val="0061566D"/>
    <w:rsid w:val="00615CA6"/>
    <w:rsid w:val="00615DA9"/>
    <w:rsid w:val="006162D3"/>
    <w:rsid w:val="006162D8"/>
    <w:rsid w:val="00616367"/>
    <w:rsid w:val="0061642C"/>
    <w:rsid w:val="006166BF"/>
    <w:rsid w:val="00616802"/>
    <w:rsid w:val="006172F4"/>
    <w:rsid w:val="00617407"/>
    <w:rsid w:val="00617603"/>
    <w:rsid w:val="00617A55"/>
    <w:rsid w:val="00617BDE"/>
    <w:rsid w:val="00617E12"/>
    <w:rsid w:val="006200F5"/>
    <w:rsid w:val="00620455"/>
    <w:rsid w:val="0062086C"/>
    <w:rsid w:val="00620C25"/>
    <w:rsid w:val="00621477"/>
    <w:rsid w:val="0062151F"/>
    <w:rsid w:val="00621ADA"/>
    <w:rsid w:val="00621F68"/>
    <w:rsid w:val="0062223A"/>
    <w:rsid w:val="006224C0"/>
    <w:rsid w:val="006228D4"/>
    <w:rsid w:val="00622A3B"/>
    <w:rsid w:val="00622D0A"/>
    <w:rsid w:val="00622D93"/>
    <w:rsid w:val="00622E99"/>
    <w:rsid w:val="00622EC7"/>
    <w:rsid w:val="0062315F"/>
    <w:rsid w:val="006236DC"/>
    <w:rsid w:val="00623992"/>
    <w:rsid w:val="00623BD2"/>
    <w:rsid w:val="00623D95"/>
    <w:rsid w:val="00623F7B"/>
    <w:rsid w:val="00624085"/>
    <w:rsid w:val="006243A1"/>
    <w:rsid w:val="006243D5"/>
    <w:rsid w:val="00624629"/>
    <w:rsid w:val="006249C0"/>
    <w:rsid w:val="00624B5B"/>
    <w:rsid w:val="00624BD4"/>
    <w:rsid w:val="00624D64"/>
    <w:rsid w:val="00625429"/>
    <w:rsid w:val="0062564E"/>
    <w:rsid w:val="00625A18"/>
    <w:rsid w:val="00625BF2"/>
    <w:rsid w:val="00625F9A"/>
    <w:rsid w:val="006263C4"/>
    <w:rsid w:val="00626506"/>
    <w:rsid w:val="00626EF2"/>
    <w:rsid w:val="00627501"/>
    <w:rsid w:val="0062755B"/>
    <w:rsid w:val="00627C1D"/>
    <w:rsid w:val="00627D7B"/>
    <w:rsid w:val="00627F81"/>
    <w:rsid w:val="00630597"/>
    <w:rsid w:val="006305B6"/>
    <w:rsid w:val="0063076F"/>
    <w:rsid w:val="00630B7D"/>
    <w:rsid w:val="00630CD1"/>
    <w:rsid w:val="00630DFA"/>
    <w:rsid w:val="00630E28"/>
    <w:rsid w:val="00630E76"/>
    <w:rsid w:val="00630F98"/>
    <w:rsid w:val="0063158F"/>
    <w:rsid w:val="00631D6B"/>
    <w:rsid w:val="00631DAE"/>
    <w:rsid w:val="00631F8B"/>
    <w:rsid w:val="0063209D"/>
    <w:rsid w:val="00632183"/>
    <w:rsid w:val="006327BC"/>
    <w:rsid w:val="006330A1"/>
    <w:rsid w:val="006336D1"/>
    <w:rsid w:val="006337CC"/>
    <w:rsid w:val="00633AF5"/>
    <w:rsid w:val="00633BD6"/>
    <w:rsid w:val="0063429C"/>
    <w:rsid w:val="00634307"/>
    <w:rsid w:val="00634714"/>
    <w:rsid w:val="0063479F"/>
    <w:rsid w:val="00634D59"/>
    <w:rsid w:val="00634E08"/>
    <w:rsid w:val="00634EC9"/>
    <w:rsid w:val="00635108"/>
    <w:rsid w:val="006353F0"/>
    <w:rsid w:val="0063575A"/>
    <w:rsid w:val="0063578E"/>
    <w:rsid w:val="006357B5"/>
    <w:rsid w:val="006359B1"/>
    <w:rsid w:val="00635A92"/>
    <w:rsid w:val="00635B3A"/>
    <w:rsid w:val="00635DF1"/>
    <w:rsid w:val="0063640C"/>
    <w:rsid w:val="006364A1"/>
    <w:rsid w:val="00636743"/>
    <w:rsid w:val="00636751"/>
    <w:rsid w:val="0063678E"/>
    <w:rsid w:val="00636BC6"/>
    <w:rsid w:val="00636D32"/>
    <w:rsid w:val="00636E44"/>
    <w:rsid w:val="00637025"/>
    <w:rsid w:val="006374F9"/>
    <w:rsid w:val="006379DF"/>
    <w:rsid w:val="00637BFD"/>
    <w:rsid w:val="00637C5C"/>
    <w:rsid w:val="00637D51"/>
    <w:rsid w:val="0064048A"/>
    <w:rsid w:val="006404F3"/>
    <w:rsid w:val="00640666"/>
    <w:rsid w:val="0064069A"/>
    <w:rsid w:val="00640EF3"/>
    <w:rsid w:val="00640FC3"/>
    <w:rsid w:val="00641024"/>
    <w:rsid w:val="0064111F"/>
    <w:rsid w:val="00641377"/>
    <w:rsid w:val="006414A5"/>
    <w:rsid w:val="00641C4E"/>
    <w:rsid w:val="00641F58"/>
    <w:rsid w:val="00641FB3"/>
    <w:rsid w:val="006421FA"/>
    <w:rsid w:val="0064269A"/>
    <w:rsid w:val="0064275B"/>
    <w:rsid w:val="006428A2"/>
    <w:rsid w:val="00642C7F"/>
    <w:rsid w:val="0064318C"/>
    <w:rsid w:val="00643338"/>
    <w:rsid w:val="006438AB"/>
    <w:rsid w:val="00643D0F"/>
    <w:rsid w:val="00643FF5"/>
    <w:rsid w:val="0064434C"/>
    <w:rsid w:val="00644588"/>
    <w:rsid w:val="00644A92"/>
    <w:rsid w:val="00644B23"/>
    <w:rsid w:val="00644FBF"/>
    <w:rsid w:val="00644FC8"/>
    <w:rsid w:val="0064546E"/>
    <w:rsid w:val="006458F5"/>
    <w:rsid w:val="0064599F"/>
    <w:rsid w:val="00645A62"/>
    <w:rsid w:val="00645F4A"/>
    <w:rsid w:val="00646089"/>
    <w:rsid w:val="0064680C"/>
    <w:rsid w:val="006468CA"/>
    <w:rsid w:val="00646C9C"/>
    <w:rsid w:val="00646F50"/>
    <w:rsid w:val="00647025"/>
    <w:rsid w:val="006471CC"/>
    <w:rsid w:val="006472FE"/>
    <w:rsid w:val="00647504"/>
    <w:rsid w:val="00647A29"/>
    <w:rsid w:val="00647BA7"/>
    <w:rsid w:val="00647D49"/>
    <w:rsid w:val="00647F6E"/>
    <w:rsid w:val="006501AB"/>
    <w:rsid w:val="006503B8"/>
    <w:rsid w:val="0065079F"/>
    <w:rsid w:val="006509E1"/>
    <w:rsid w:val="00650FFF"/>
    <w:rsid w:val="00651018"/>
    <w:rsid w:val="0065144B"/>
    <w:rsid w:val="006514CC"/>
    <w:rsid w:val="00651DB3"/>
    <w:rsid w:val="00651F29"/>
    <w:rsid w:val="0065223A"/>
    <w:rsid w:val="00652A28"/>
    <w:rsid w:val="00652AF8"/>
    <w:rsid w:val="0065379F"/>
    <w:rsid w:val="00654162"/>
    <w:rsid w:val="00654492"/>
    <w:rsid w:val="0065460C"/>
    <w:rsid w:val="00654B2D"/>
    <w:rsid w:val="00654DD2"/>
    <w:rsid w:val="00655323"/>
    <w:rsid w:val="00655A7B"/>
    <w:rsid w:val="00655CB6"/>
    <w:rsid w:val="00656043"/>
    <w:rsid w:val="00656188"/>
    <w:rsid w:val="006565A5"/>
    <w:rsid w:val="006565DE"/>
    <w:rsid w:val="00656A55"/>
    <w:rsid w:val="0065715A"/>
    <w:rsid w:val="00657885"/>
    <w:rsid w:val="00657B4C"/>
    <w:rsid w:val="00657CA2"/>
    <w:rsid w:val="00660127"/>
    <w:rsid w:val="00660A6E"/>
    <w:rsid w:val="006610F1"/>
    <w:rsid w:val="0066178C"/>
    <w:rsid w:val="006617F4"/>
    <w:rsid w:val="006618FA"/>
    <w:rsid w:val="00661C6B"/>
    <w:rsid w:val="00662008"/>
    <w:rsid w:val="00662058"/>
    <w:rsid w:val="00662109"/>
    <w:rsid w:val="006623A4"/>
    <w:rsid w:val="006628AA"/>
    <w:rsid w:val="006629B8"/>
    <w:rsid w:val="00662CBF"/>
    <w:rsid w:val="00662D3E"/>
    <w:rsid w:val="00662D90"/>
    <w:rsid w:val="0066332A"/>
    <w:rsid w:val="00663382"/>
    <w:rsid w:val="00663430"/>
    <w:rsid w:val="00663948"/>
    <w:rsid w:val="00663A4A"/>
    <w:rsid w:val="0066449D"/>
    <w:rsid w:val="00664570"/>
    <w:rsid w:val="00664661"/>
    <w:rsid w:val="00664A0E"/>
    <w:rsid w:val="00664E69"/>
    <w:rsid w:val="006650AB"/>
    <w:rsid w:val="00665E03"/>
    <w:rsid w:val="00665EE5"/>
    <w:rsid w:val="00666397"/>
    <w:rsid w:val="0066640B"/>
    <w:rsid w:val="006664AF"/>
    <w:rsid w:val="00666763"/>
    <w:rsid w:val="00666ABA"/>
    <w:rsid w:val="00666AF1"/>
    <w:rsid w:val="0066710A"/>
    <w:rsid w:val="00667400"/>
    <w:rsid w:val="006676C4"/>
    <w:rsid w:val="00667BE3"/>
    <w:rsid w:val="00667F74"/>
    <w:rsid w:val="006701D0"/>
    <w:rsid w:val="00670222"/>
    <w:rsid w:val="0067074D"/>
    <w:rsid w:val="00670ED5"/>
    <w:rsid w:val="00671004"/>
    <w:rsid w:val="00671158"/>
    <w:rsid w:val="0067129F"/>
    <w:rsid w:val="00671519"/>
    <w:rsid w:val="0067195D"/>
    <w:rsid w:val="00671A1F"/>
    <w:rsid w:val="006721D7"/>
    <w:rsid w:val="00672431"/>
    <w:rsid w:val="00672646"/>
    <w:rsid w:val="006728C1"/>
    <w:rsid w:val="00672AF5"/>
    <w:rsid w:val="006735E4"/>
    <w:rsid w:val="00673C2D"/>
    <w:rsid w:val="00673EDA"/>
    <w:rsid w:val="0067449B"/>
    <w:rsid w:val="00674679"/>
    <w:rsid w:val="00674942"/>
    <w:rsid w:val="00674B5B"/>
    <w:rsid w:val="00674E42"/>
    <w:rsid w:val="00674EEA"/>
    <w:rsid w:val="00674FD5"/>
    <w:rsid w:val="0067506B"/>
    <w:rsid w:val="006756A4"/>
    <w:rsid w:val="00675E09"/>
    <w:rsid w:val="006760DA"/>
    <w:rsid w:val="00676200"/>
    <w:rsid w:val="00676402"/>
    <w:rsid w:val="00676563"/>
    <w:rsid w:val="00677315"/>
    <w:rsid w:val="00677743"/>
    <w:rsid w:val="00677BFB"/>
    <w:rsid w:val="00677C2D"/>
    <w:rsid w:val="00677EB7"/>
    <w:rsid w:val="006805F4"/>
    <w:rsid w:val="0068094A"/>
    <w:rsid w:val="00680C14"/>
    <w:rsid w:val="00680EDA"/>
    <w:rsid w:val="006813F8"/>
    <w:rsid w:val="0068143D"/>
    <w:rsid w:val="00681812"/>
    <w:rsid w:val="00681CD5"/>
    <w:rsid w:val="00681F3C"/>
    <w:rsid w:val="00681FA0"/>
    <w:rsid w:val="00682112"/>
    <w:rsid w:val="00682755"/>
    <w:rsid w:val="00682BA6"/>
    <w:rsid w:val="006831FD"/>
    <w:rsid w:val="00683539"/>
    <w:rsid w:val="0068363C"/>
    <w:rsid w:val="00683E92"/>
    <w:rsid w:val="00683ECA"/>
    <w:rsid w:val="0068492F"/>
    <w:rsid w:val="006849E6"/>
    <w:rsid w:val="00684A64"/>
    <w:rsid w:val="00684AE7"/>
    <w:rsid w:val="00685463"/>
    <w:rsid w:val="0068558A"/>
    <w:rsid w:val="00685616"/>
    <w:rsid w:val="00685AB3"/>
    <w:rsid w:val="00685C46"/>
    <w:rsid w:val="00685DBF"/>
    <w:rsid w:val="00685DD7"/>
    <w:rsid w:val="00685E1E"/>
    <w:rsid w:val="00685E49"/>
    <w:rsid w:val="00685EDF"/>
    <w:rsid w:val="00685FBC"/>
    <w:rsid w:val="00685FFF"/>
    <w:rsid w:val="006861B3"/>
    <w:rsid w:val="00686346"/>
    <w:rsid w:val="00686957"/>
    <w:rsid w:val="00686A9F"/>
    <w:rsid w:val="00686DF6"/>
    <w:rsid w:val="006872BA"/>
    <w:rsid w:val="00687627"/>
    <w:rsid w:val="00687953"/>
    <w:rsid w:val="00687AD1"/>
    <w:rsid w:val="00690277"/>
    <w:rsid w:val="00690375"/>
    <w:rsid w:val="00690792"/>
    <w:rsid w:val="00690795"/>
    <w:rsid w:val="00691099"/>
    <w:rsid w:val="00691648"/>
    <w:rsid w:val="00691679"/>
    <w:rsid w:val="006917D7"/>
    <w:rsid w:val="00691E4B"/>
    <w:rsid w:val="00691EC6"/>
    <w:rsid w:val="006920F2"/>
    <w:rsid w:val="006924E4"/>
    <w:rsid w:val="00692625"/>
    <w:rsid w:val="006926BC"/>
    <w:rsid w:val="006929B1"/>
    <w:rsid w:val="006929E5"/>
    <w:rsid w:val="006931D2"/>
    <w:rsid w:val="006932AF"/>
    <w:rsid w:val="00693A60"/>
    <w:rsid w:val="00693AA1"/>
    <w:rsid w:val="00694152"/>
    <w:rsid w:val="0069434C"/>
    <w:rsid w:val="00694B95"/>
    <w:rsid w:val="00694F44"/>
    <w:rsid w:val="00695087"/>
    <w:rsid w:val="006956AB"/>
    <w:rsid w:val="006958A4"/>
    <w:rsid w:val="006959AC"/>
    <w:rsid w:val="00695C8B"/>
    <w:rsid w:val="0069616C"/>
    <w:rsid w:val="00696EDF"/>
    <w:rsid w:val="00696EF9"/>
    <w:rsid w:val="00696F51"/>
    <w:rsid w:val="0069726C"/>
    <w:rsid w:val="0069742A"/>
    <w:rsid w:val="006978A2"/>
    <w:rsid w:val="006979A5"/>
    <w:rsid w:val="00697B89"/>
    <w:rsid w:val="00697EC1"/>
    <w:rsid w:val="006A016F"/>
    <w:rsid w:val="006A028B"/>
    <w:rsid w:val="006A05F7"/>
    <w:rsid w:val="006A0777"/>
    <w:rsid w:val="006A0A1E"/>
    <w:rsid w:val="006A0BE6"/>
    <w:rsid w:val="006A0DF7"/>
    <w:rsid w:val="006A0E7D"/>
    <w:rsid w:val="006A0F1B"/>
    <w:rsid w:val="006A1930"/>
    <w:rsid w:val="006A1B32"/>
    <w:rsid w:val="006A2163"/>
    <w:rsid w:val="006A23A9"/>
    <w:rsid w:val="006A2584"/>
    <w:rsid w:val="006A2FAB"/>
    <w:rsid w:val="006A300B"/>
    <w:rsid w:val="006A30F1"/>
    <w:rsid w:val="006A37F6"/>
    <w:rsid w:val="006A388F"/>
    <w:rsid w:val="006A3899"/>
    <w:rsid w:val="006A3A58"/>
    <w:rsid w:val="006A3E3A"/>
    <w:rsid w:val="006A3F78"/>
    <w:rsid w:val="006A4321"/>
    <w:rsid w:val="006A43D9"/>
    <w:rsid w:val="006A4E44"/>
    <w:rsid w:val="006A55C0"/>
    <w:rsid w:val="006A5BF3"/>
    <w:rsid w:val="006A5E11"/>
    <w:rsid w:val="006A6097"/>
    <w:rsid w:val="006A6141"/>
    <w:rsid w:val="006A6375"/>
    <w:rsid w:val="006A6553"/>
    <w:rsid w:val="006A66E3"/>
    <w:rsid w:val="006A6870"/>
    <w:rsid w:val="006A6B99"/>
    <w:rsid w:val="006A6C22"/>
    <w:rsid w:val="006A6E1F"/>
    <w:rsid w:val="006A6E3F"/>
    <w:rsid w:val="006A6EDE"/>
    <w:rsid w:val="006A6EF5"/>
    <w:rsid w:val="006A6FC4"/>
    <w:rsid w:val="006A7004"/>
    <w:rsid w:val="006A72D9"/>
    <w:rsid w:val="006A770E"/>
    <w:rsid w:val="006A7CA1"/>
    <w:rsid w:val="006A7DB8"/>
    <w:rsid w:val="006A7E14"/>
    <w:rsid w:val="006A7E5F"/>
    <w:rsid w:val="006A7F34"/>
    <w:rsid w:val="006B063D"/>
    <w:rsid w:val="006B0661"/>
    <w:rsid w:val="006B0934"/>
    <w:rsid w:val="006B0BDC"/>
    <w:rsid w:val="006B0F85"/>
    <w:rsid w:val="006B114F"/>
    <w:rsid w:val="006B12BB"/>
    <w:rsid w:val="006B1436"/>
    <w:rsid w:val="006B17B2"/>
    <w:rsid w:val="006B1CC5"/>
    <w:rsid w:val="006B1E7A"/>
    <w:rsid w:val="006B258A"/>
    <w:rsid w:val="006B261B"/>
    <w:rsid w:val="006B26F2"/>
    <w:rsid w:val="006B2C90"/>
    <w:rsid w:val="006B2CAF"/>
    <w:rsid w:val="006B3286"/>
    <w:rsid w:val="006B3362"/>
    <w:rsid w:val="006B34AE"/>
    <w:rsid w:val="006B35E6"/>
    <w:rsid w:val="006B37A4"/>
    <w:rsid w:val="006B4393"/>
    <w:rsid w:val="006B4507"/>
    <w:rsid w:val="006B465A"/>
    <w:rsid w:val="006B4851"/>
    <w:rsid w:val="006B488E"/>
    <w:rsid w:val="006B4B18"/>
    <w:rsid w:val="006B5824"/>
    <w:rsid w:val="006B5B6E"/>
    <w:rsid w:val="006B643E"/>
    <w:rsid w:val="006B66B4"/>
    <w:rsid w:val="006B6A3B"/>
    <w:rsid w:val="006B6BC1"/>
    <w:rsid w:val="006B6DD0"/>
    <w:rsid w:val="006B6FD2"/>
    <w:rsid w:val="006B70D7"/>
    <w:rsid w:val="006B773C"/>
    <w:rsid w:val="006C0399"/>
    <w:rsid w:val="006C049A"/>
    <w:rsid w:val="006C0D39"/>
    <w:rsid w:val="006C0EE0"/>
    <w:rsid w:val="006C1690"/>
    <w:rsid w:val="006C17EE"/>
    <w:rsid w:val="006C1912"/>
    <w:rsid w:val="006C1E47"/>
    <w:rsid w:val="006C24DD"/>
    <w:rsid w:val="006C2938"/>
    <w:rsid w:val="006C2A5A"/>
    <w:rsid w:val="006C2A8E"/>
    <w:rsid w:val="006C2D70"/>
    <w:rsid w:val="006C3204"/>
    <w:rsid w:val="006C3255"/>
    <w:rsid w:val="006C39DC"/>
    <w:rsid w:val="006C39F2"/>
    <w:rsid w:val="006C3F26"/>
    <w:rsid w:val="006C44E9"/>
    <w:rsid w:val="006C4507"/>
    <w:rsid w:val="006C45F3"/>
    <w:rsid w:val="006C48F7"/>
    <w:rsid w:val="006C4996"/>
    <w:rsid w:val="006C5315"/>
    <w:rsid w:val="006C5488"/>
    <w:rsid w:val="006C562C"/>
    <w:rsid w:val="006C5636"/>
    <w:rsid w:val="006C590B"/>
    <w:rsid w:val="006C5B47"/>
    <w:rsid w:val="006C5DE9"/>
    <w:rsid w:val="006C5E5E"/>
    <w:rsid w:val="006C6868"/>
    <w:rsid w:val="006C7357"/>
    <w:rsid w:val="006C7558"/>
    <w:rsid w:val="006C7633"/>
    <w:rsid w:val="006C76CA"/>
    <w:rsid w:val="006C7711"/>
    <w:rsid w:val="006C779A"/>
    <w:rsid w:val="006C7B34"/>
    <w:rsid w:val="006C7EAA"/>
    <w:rsid w:val="006C7F54"/>
    <w:rsid w:val="006D02E3"/>
    <w:rsid w:val="006D0D17"/>
    <w:rsid w:val="006D1680"/>
    <w:rsid w:val="006D2425"/>
    <w:rsid w:val="006D2469"/>
    <w:rsid w:val="006D30B5"/>
    <w:rsid w:val="006D3148"/>
    <w:rsid w:val="006D324F"/>
    <w:rsid w:val="006D36E7"/>
    <w:rsid w:val="006D38E5"/>
    <w:rsid w:val="006D3999"/>
    <w:rsid w:val="006D3C7D"/>
    <w:rsid w:val="006D3CEE"/>
    <w:rsid w:val="006D3D52"/>
    <w:rsid w:val="006D4659"/>
    <w:rsid w:val="006D4679"/>
    <w:rsid w:val="006D46D2"/>
    <w:rsid w:val="006D4927"/>
    <w:rsid w:val="006D4AB7"/>
    <w:rsid w:val="006D4E6D"/>
    <w:rsid w:val="006D4EB2"/>
    <w:rsid w:val="006D5356"/>
    <w:rsid w:val="006D5987"/>
    <w:rsid w:val="006D5C6D"/>
    <w:rsid w:val="006D5D5F"/>
    <w:rsid w:val="006D5DCD"/>
    <w:rsid w:val="006D5DDE"/>
    <w:rsid w:val="006D6593"/>
    <w:rsid w:val="006D6718"/>
    <w:rsid w:val="006D68FB"/>
    <w:rsid w:val="006D6964"/>
    <w:rsid w:val="006D6FDD"/>
    <w:rsid w:val="006D7535"/>
    <w:rsid w:val="006D755E"/>
    <w:rsid w:val="006D75F8"/>
    <w:rsid w:val="006D78B0"/>
    <w:rsid w:val="006D7C1F"/>
    <w:rsid w:val="006D7C50"/>
    <w:rsid w:val="006D7F8F"/>
    <w:rsid w:val="006E0014"/>
    <w:rsid w:val="006E02BB"/>
    <w:rsid w:val="006E02CE"/>
    <w:rsid w:val="006E0A6C"/>
    <w:rsid w:val="006E0DCB"/>
    <w:rsid w:val="006E0E8F"/>
    <w:rsid w:val="006E0F2E"/>
    <w:rsid w:val="006E0F8A"/>
    <w:rsid w:val="006E1061"/>
    <w:rsid w:val="006E1630"/>
    <w:rsid w:val="006E1886"/>
    <w:rsid w:val="006E1C3C"/>
    <w:rsid w:val="006E1EC4"/>
    <w:rsid w:val="006E2265"/>
    <w:rsid w:val="006E2868"/>
    <w:rsid w:val="006E2BA2"/>
    <w:rsid w:val="006E2D7A"/>
    <w:rsid w:val="006E3352"/>
    <w:rsid w:val="006E3CBD"/>
    <w:rsid w:val="006E4244"/>
    <w:rsid w:val="006E43C8"/>
    <w:rsid w:val="006E4405"/>
    <w:rsid w:val="006E4DA3"/>
    <w:rsid w:val="006E4EEF"/>
    <w:rsid w:val="006E4FAD"/>
    <w:rsid w:val="006E55D1"/>
    <w:rsid w:val="006E560A"/>
    <w:rsid w:val="006E5667"/>
    <w:rsid w:val="006E571D"/>
    <w:rsid w:val="006E5B26"/>
    <w:rsid w:val="006E5B33"/>
    <w:rsid w:val="006E5D52"/>
    <w:rsid w:val="006E5DFD"/>
    <w:rsid w:val="006E5EB1"/>
    <w:rsid w:val="006E5F88"/>
    <w:rsid w:val="006E6212"/>
    <w:rsid w:val="006E622B"/>
    <w:rsid w:val="006E65D0"/>
    <w:rsid w:val="006E6708"/>
    <w:rsid w:val="006E673E"/>
    <w:rsid w:val="006E7AC8"/>
    <w:rsid w:val="006E7AE9"/>
    <w:rsid w:val="006E7B13"/>
    <w:rsid w:val="006E7F81"/>
    <w:rsid w:val="006F0A42"/>
    <w:rsid w:val="006F11D5"/>
    <w:rsid w:val="006F1C06"/>
    <w:rsid w:val="006F1C59"/>
    <w:rsid w:val="006F1D69"/>
    <w:rsid w:val="006F1F58"/>
    <w:rsid w:val="006F25B1"/>
    <w:rsid w:val="006F2856"/>
    <w:rsid w:val="006F306C"/>
    <w:rsid w:val="006F313D"/>
    <w:rsid w:val="006F3343"/>
    <w:rsid w:val="006F3375"/>
    <w:rsid w:val="006F3A30"/>
    <w:rsid w:val="006F3C42"/>
    <w:rsid w:val="006F4150"/>
    <w:rsid w:val="006F49D9"/>
    <w:rsid w:val="006F4FCC"/>
    <w:rsid w:val="006F4FF3"/>
    <w:rsid w:val="006F58E9"/>
    <w:rsid w:val="006F63A5"/>
    <w:rsid w:val="006F6948"/>
    <w:rsid w:val="006F6B50"/>
    <w:rsid w:val="006F6C83"/>
    <w:rsid w:val="006F7351"/>
    <w:rsid w:val="006F7B04"/>
    <w:rsid w:val="006F7BE8"/>
    <w:rsid w:val="006F7CAD"/>
    <w:rsid w:val="0070015B"/>
    <w:rsid w:val="00700946"/>
    <w:rsid w:val="00700AB7"/>
    <w:rsid w:val="00700E76"/>
    <w:rsid w:val="00700FEE"/>
    <w:rsid w:val="0070129D"/>
    <w:rsid w:val="0070142B"/>
    <w:rsid w:val="00701462"/>
    <w:rsid w:val="007015A7"/>
    <w:rsid w:val="00701600"/>
    <w:rsid w:val="007018A3"/>
    <w:rsid w:val="00701CF6"/>
    <w:rsid w:val="00701E07"/>
    <w:rsid w:val="00701F48"/>
    <w:rsid w:val="0070212C"/>
    <w:rsid w:val="007026A2"/>
    <w:rsid w:val="007026CF"/>
    <w:rsid w:val="0070276E"/>
    <w:rsid w:val="00702946"/>
    <w:rsid w:val="00702A0F"/>
    <w:rsid w:val="00702A41"/>
    <w:rsid w:val="00702F8F"/>
    <w:rsid w:val="007039D1"/>
    <w:rsid w:val="00703AAD"/>
    <w:rsid w:val="00703FBF"/>
    <w:rsid w:val="00704103"/>
    <w:rsid w:val="00704326"/>
    <w:rsid w:val="00704F1F"/>
    <w:rsid w:val="00705AF9"/>
    <w:rsid w:val="00705B82"/>
    <w:rsid w:val="00705BB7"/>
    <w:rsid w:val="00705CD2"/>
    <w:rsid w:val="00705E0A"/>
    <w:rsid w:val="00706191"/>
    <w:rsid w:val="00706444"/>
    <w:rsid w:val="007066CD"/>
    <w:rsid w:val="00706A81"/>
    <w:rsid w:val="00706DB3"/>
    <w:rsid w:val="00706EFC"/>
    <w:rsid w:val="007071DB"/>
    <w:rsid w:val="007079FC"/>
    <w:rsid w:val="00707B1E"/>
    <w:rsid w:val="00707E42"/>
    <w:rsid w:val="00707FEC"/>
    <w:rsid w:val="0071019B"/>
    <w:rsid w:val="00710333"/>
    <w:rsid w:val="00710414"/>
    <w:rsid w:val="00710598"/>
    <w:rsid w:val="00710B00"/>
    <w:rsid w:val="00710D51"/>
    <w:rsid w:val="00710FF9"/>
    <w:rsid w:val="007118EA"/>
    <w:rsid w:val="00711A16"/>
    <w:rsid w:val="00711A36"/>
    <w:rsid w:val="00711ADB"/>
    <w:rsid w:val="00711C47"/>
    <w:rsid w:val="0071201C"/>
    <w:rsid w:val="007125D3"/>
    <w:rsid w:val="00712640"/>
    <w:rsid w:val="00712680"/>
    <w:rsid w:val="007126A2"/>
    <w:rsid w:val="00712AC0"/>
    <w:rsid w:val="00713203"/>
    <w:rsid w:val="00713961"/>
    <w:rsid w:val="00713C89"/>
    <w:rsid w:val="00713F00"/>
    <w:rsid w:val="00713F4C"/>
    <w:rsid w:val="00713FEE"/>
    <w:rsid w:val="00714009"/>
    <w:rsid w:val="00714162"/>
    <w:rsid w:val="0071426B"/>
    <w:rsid w:val="00714610"/>
    <w:rsid w:val="0071484E"/>
    <w:rsid w:val="00714C26"/>
    <w:rsid w:val="00714C87"/>
    <w:rsid w:val="00714D9E"/>
    <w:rsid w:val="00715148"/>
    <w:rsid w:val="0071518B"/>
    <w:rsid w:val="0071529C"/>
    <w:rsid w:val="00715433"/>
    <w:rsid w:val="00715934"/>
    <w:rsid w:val="00715A6C"/>
    <w:rsid w:val="00715B2E"/>
    <w:rsid w:val="00715C12"/>
    <w:rsid w:val="00715D34"/>
    <w:rsid w:val="007164EE"/>
    <w:rsid w:val="0071650E"/>
    <w:rsid w:val="00716851"/>
    <w:rsid w:val="00716872"/>
    <w:rsid w:val="00716CA1"/>
    <w:rsid w:val="007170C7"/>
    <w:rsid w:val="007170DA"/>
    <w:rsid w:val="007172AD"/>
    <w:rsid w:val="007173C2"/>
    <w:rsid w:val="00717546"/>
    <w:rsid w:val="007178EF"/>
    <w:rsid w:val="007200A4"/>
    <w:rsid w:val="007206ED"/>
    <w:rsid w:val="00720801"/>
    <w:rsid w:val="0072082E"/>
    <w:rsid w:val="007209A2"/>
    <w:rsid w:val="00720C2F"/>
    <w:rsid w:val="007211D8"/>
    <w:rsid w:val="007215B2"/>
    <w:rsid w:val="00721825"/>
    <w:rsid w:val="00721CCE"/>
    <w:rsid w:val="0072246A"/>
    <w:rsid w:val="00722508"/>
    <w:rsid w:val="00722752"/>
    <w:rsid w:val="00722A22"/>
    <w:rsid w:val="00722B1B"/>
    <w:rsid w:val="0072359F"/>
    <w:rsid w:val="00723A2E"/>
    <w:rsid w:val="00723A5C"/>
    <w:rsid w:val="00723B56"/>
    <w:rsid w:val="0072416F"/>
    <w:rsid w:val="0072462D"/>
    <w:rsid w:val="00724EDD"/>
    <w:rsid w:val="00725102"/>
    <w:rsid w:val="007251DE"/>
    <w:rsid w:val="0072588A"/>
    <w:rsid w:val="007259CB"/>
    <w:rsid w:val="00725CA6"/>
    <w:rsid w:val="00725D0A"/>
    <w:rsid w:val="00725DF0"/>
    <w:rsid w:val="00725F35"/>
    <w:rsid w:val="00725F97"/>
    <w:rsid w:val="007264DE"/>
    <w:rsid w:val="00726554"/>
    <w:rsid w:val="00726A20"/>
    <w:rsid w:val="00726B24"/>
    <w:rsid w:val="00727159"/>
    <w:rsid w:val="00727560"/>
    <w:rsid w:val="007275F7"/>
    <w:rsid w:val="007277CE"/>
    <w:rsid w:val="00727BD9"/>
    <w:rsid w:val="00727C94"/>
    <w:rsid w:val="00730103"/>
    <w:rsid w:val="00730210"/>
    <w:rsid w:val="0073051D"/>
    <w:rsid w:val="0073078C"/>
    <w:rsid w:val="00730843"/>
    <w:rsid w:val="00730F9A"/>
    <w:rsid w:val="00730FF9"/>
    <w:rsid w:val="007310C3"/>
    <w:rsid w:val="0073119E"/>
    <w:rsid w:val="007312AE"/>
    <w:rsid w:val="007312E2"/>
    <w:rsid w:val="007313BA"/>
    <w:rsid w:val="0073179E"/>
    <w:rsid w:val="00731B0A"/>
    <w:rsid w:val="00731E22"/>
    <w:rsid w:val="00731EAE"/>
    <w:rsid w:val="00732082"/>
    <w:rsid w:val="007323BC"/>
    <w:rsid w:val="00732FA2"/>
    <w:rsid w:val="00733073"/>
    <w:rsid w:val="007335EB"/>
    <w:rsid w:val="00733A72"/>
    <w:rsid w:val="00733CBC"/>
    <w:rsid w:val="00733D60"/>
    <w:rsid w:val="00733FE8"/>
    <w:rsid w:val="00734363"/>
    <w:rsid w:val="00734548"/>
    <w:rsid w:val="0073473F"/>
    <w:rsid w:val="00735033"/>
    <w:rsid w:val="007350CE"/>
    <w:rsid w:val="00735328"/>
    <w:rsid w:val="0073556A"/>
    <w:rsid w:val="007355BF"/>
    <w:rsid w:val="0073685B"/>
    <w:rsid w:val="00737607"/>
    <w:rsid w:val="00737B80"/>
    <w:rsid w:val="00740300"/>
    <w:rsid w:val="0074032C"/>
    <w:rsid w:val="007404FD"/>
    <w:rsid w:val="0074086E"/>
    <w:rsid w:val="007408BB"/>
    <w:rsid w:val="007409DC"/>
    <w:rsid w:val="00740E39"/>
    <w:rsid w:val="0074140B"/>
    <w:rsid w:val="007417AB"/>
    <w:rsid w:val="00741870"/>
    <w:rsid w:val="00741A40"/>
    <w:rsid w:val="00741DA9"/>
    <w:rsid w:val="00741EF4"/>
    <w:rsid w:val="00742307"/>
    <w:rsid w:val="00742711"/>
    <w:rsid w:val="00742805"/>
    <w:rsid w:val="00742C45"/>
    <w:rsid w:val="00742D76"/>
    <w:rsid w:val="00742F4D"/>
    <w:rsid w:val="007430D3"/>
    <w:rsid w:val="00743153"/>
    <w:rsid w:val="00743417"/>
    <w:rsid w:val="007436EA"/>
    <w:rsid w:val="007439FB"/>
    <w:rsid w:val="00743DB7"/>
    <w:rsid w:val="00743EA6"/>
    <w:rsid w:val="007442B2"/>
    <w:rsid w:val="0074445F"/>
    <w:rsid w:val="007444C1"/>
    <w:rsid w:val="007447A7"/>
    <w:rsid w:val="00744825"/>
    <w:rsid w:val="007449BF"/>
    <w:rsid w:val="007449E7"/>
    <w:rsid w:val="00744A77"/>
    <w:rsid w:val="00744ACA"/>
    <w:rsid w:val="00744BFF"/>
    <w:rsid w:val="00744C5F"/>
    <w:rsid w:val="00744E78"/>
    <w:rsid w:val="00744E7F"/>
    <w:rsid w:val="007451E0"/>
    <w:rsid w:val="0074524B"/>
    <w:rsid w:val="00745267"/>
    <w:rsid w:val="00745335"/>
    <w:rsid w:val="00745554"/>
    <w:rsid w:val="0074624C"/>
    <w:rsid w:val="007463FE"/>
    <w:rsid w:val="00746705"/>
    <w:rsid w:val="00746957"/>
    <w:rsid w:val="00746BC0"/>
    <w:rsid w:val="00746D07"/>
    <w:rsid w:val="0074736C"/>
    <w:rsid w:val="0074773E"/>
    <w:rsid w:val="007479D3"/>
    <w:rsid w:val="00747A64"/>
    <w:rsid w:val="00747ACC"/>
    <w:rsid w:val="00747F72"/>
    <w:rsid w:val="00750245"/>
    <w:rsid w:val="00750A28"/>
    <w:rsid w:val="007510B4"/>
    <w:rsid w:val="007510BA"/>
    <w:rsid w:val="0075110E"/>
    <w:rsid w:val="00751299"/>
    <w:rsid w:val="00751369"/>
    <w:rsid w:val="007517AD"/>
    <w:rsid w:val="0075203B"/>
    <w:rsid w:val="00752142"/>
    <w:rsid w:val="0075214C"/>
    <w:rsid w:val="007523F9"/>
    <w:rsid w:val="007527E8"/>
    <w:rsid w:val="007528CD"/>
    <w:rsid w:val="00752A7D"/>
    <w:rsid w:val="00752FB3"/>
    <w:rsid w:val="00753454"/>
    <w:rsid w:val="0075357E"/>
    <w:rsid w:val="0075358D"/>
    <w:rsid w:val="007536D3"/>
    <w:rsid w:val="00753B29"/>
    <w:rsid w:val="00753F4E"/>
    <w:rsid w:val="007541CF"/>
    <w:rsid w:val="0075452D"/>
    <w:rsid w:val="00754680"/>
    <w:rsid w:val="007547CC"/>
    <w:rsid w:val="007547EE"/>
    <w:rsid w:val="00754823"/>
    <w:rsid w:val="00754890"/>
    <w:rsid w:val="00754A64"/>
    <w:rsid w:val="00754F15"/>
    <w:rsid w:val="00754F6E"/>
    <w:rsid w:val="007554AD"/>
    <w:rsid w:val="00755543"/>
    <w:rsid w:val="007555A4"/>
    <w:rsid w:val="007557D0"/>
    <w:rsid w:val="00755ABE"/>
    <w:rsid w:val="00755F0A"/>
    <w:rsid w:val="00756184"/>
    <w:rsid w:val="0075658A"/>
    <w:rsid w:val="0075678C"/>
    <w:rsid w:val="007568E3"/>
    <w:rsid w:val="00756C7E"/>
    <w:rsid w:val="00756E29"/>
    <w:rsid w:val="00756EFA"/>
    <w:rsid w:val="0075727A"/>
    <w:rsid w:val="007573E8"/>
    <w:rsid w:val="00757507"/>
    <w:rsid w:val="00757783"/>
    <w:rsid w:val="00757AC9"/>
    <w:rsid w:val="007602DF"/>
    <w:rsid w:val="007605E1"/>
    <w:rsid w:val="007605F3"/>
    <w:rsid w:val="00760C4E"/>
    <w:rsid w:val="00760E0E"/>
    <w:rsid w:val="00760F9E"/>
    <w:rsid w:val="007616BD"/>
    <w:rsid w:val="007616E6"/>
    <w:rsid w:val="00761892"/>
    <w:rsid w:val="00761C5F"/>
    <w:rsid w:val="00761C86"/>
    <w:rsid w:val="00761D14"/>
    <w:rsid w:val="00761D30"/>
    <w:rsid w:val="0076222A"/>
    <w:rsid w:val="007622C9"/>
    <w:rsid w:val="0076266A"/>
    <w:rsid w:val="007627BE"/>
    <w:rsid w:val="007637A6"/>
    <w:rsid w:val="00763801"/>
    <w:rsid w:val="00763EE4"/>
    <w:rsid w:val="0076407F"/>
    <w:rsid w:val="00764F03"/>
    <w:rsid w:val="0076595F"/>
    <w:rsid w:val="00765B1A"/>
    <w:rsid w:val="00765DC1"/>
    <w:rsid w:val="00765E28"/>
    <w:rsid w:val="00765F44"/>
    <w:rsid w:val="007663B0"/>
    <w:rsid w:val="0076649D"/>
    <w:rsid w:val="00766805"/>
    <w:rsid w:val="00766B28"/>
    <w:rsid w:val="00766C6E"/>
    <w:rsid w:val="00767253"/>
    <w:rsid w:val="007673ED"/>
    <w:rsid w:val="00767898"/>
    <w:rsid w:val="00767AD9"/>
    <w:rsid w:val="0077055E"/>
    <w:rsid w:val="00770571"/>
    <w:rsid w:val="007705CC"/>
    <w:rsid w:val="007706C4"/>
    <w:rsid w:val="00770731"/>
    <w:rsid w:val="00770799"/>
    <w:rsid w:val="00770A04"/>
    <w:rsid w:val="00770C66"/>
    <w:rsid w:val="00770CEF"/>
    <w:rsid w:val="00770E95"/>
    <w:rsid w:val="00771177"/>
    <w:rsid w:val="00771B23"/>
    <w:rsid w:val="00771B9A"/>
    <w:rsid w:val="00771EC5"/>
    <w:rsid w:val="007724B9"/>
    <w:rsid w:val="00772D6F"/>
    <w:rsid w:val="00772E2F"/>
    <w:rsid w:val="00772E31"/>
    <w:rsid w:val="00772F94"/>
    <w:rsid w:val="007731BC"/>
    <w:rsid w:val="00773288"/>
    <w:rsid w:val="00773605"/>
    <w:rsid w:val="00773B72"/>
    <w:rsid w:val="00773BFE"/>
    <w:rsid w:val="00773C31"/>
    <w:rsid w:val="007748D8"/>
    <w:rsid w:val="00775C48"/>
    <w:rsid w:val="00775E82"/>
    <w:rsid w:val="00776ED6"/>
    <w:rsid w:val="00777335"/>
    <w:rsid w:val="00777B04"/>
    <w:rsid w:val="007801FF"/>
    <w:rsid w:val="0078020E"/>
    <w:rsid w:val="00780285"/>
    <w:rsid w:val="0078030F"/>
    <w:rsid w:val="00780742"/>
    <w:rsid w:val="007808C8"/>
    <w:rsid w:val="00780ACD"/>
    <w:rsid w:val="00780B4B"/>
    <w:rsid w:val="00781035"/>
    <w:rsid w:val="0078142B"/>
    <w:rsid w:val="00781606"/>
    <w:rsid w:val="00781C9C"/>
    <w:rsid w:val="00782299"/>
    <w:rsid w:val="00782BAC"/>
    <w:rsid w:val="00782FDB"/>
    <w:rsid w:val="007832A0"/>
    <w:rsid w:val="00783787"/>
    <w:rsid w:val="007838A0"/>
    <w:rsid w:val="00783D60"/>
    <w:rsid w:val="00783D98"/>
    <w:rsid w:val="00783FCD"/>
    <w:rsid w:val="00783FDF"/>
    <w:rsid w:val="0078439C"/>
    <w:rsid w:val="007843F2"/>
    <w:rsid w:val="00784458"/>
    <w:rsid w:val="007845E3"/>
    <w:rsid w:val="0078460E"/>
    <w:rsid w:val="007846FA"/>
    <w:rsid w:val="00784BA6"/>
    <w:rsid w:val="00784EB6"/>
    <w:rsid w:val="00785311"/>
    <w:rsid w:val="00785906"/>
    <w:rsid w:val="00785A9F"/>
    <w:rsid w:val="00786246"/>
    <w:rsid w:val="007862DD"/>
    <w:rsid w:val="0078661C"/>
    <w:rsid w:val="00786D31"/>
    <w:rsid w:val="00786DE9"/>
    <w:rsid w:val="00787875"/>
    <w:rsid w:val="00787BB8"/>
    <w:rsid w:val="00790248"/>
    <w:rsid w:val="00790635"/>
    <w:rsid w:val="00790682"/>
    <w:rsid w:val="00791137"/>
    <w:rsid w:val="007913FC"/>
    <w:rsid w:val="0079157E"/>
    <w:rsid w:val="00791626"/>
    <w:rsid w:val="00791E59"/>
    <w:rsid w:val="00791FCA"/>
    <w:rsid w:val="00792481"/>
    <w:rsid w:val="0079248C"/>
    <w:rsid w:val="00792516"/>
    <w:rsid w:val="007925D3"/>
    <w:rsid w:val="007925DF"/>
    <w:rsid w:val="00792868"/>
    <w:rsid w:val="00792DAA"/>
    <w:rsid w:val="007930E1"/>
    <w:rsid w:val="007934ED"/>
    <w:rsid w:val="007937DC"/>
    <w:rsid w:val="00793888"/>
    <w:rsid w:val="00793D33"/>
    <w:rsid w:val="00793EA9"/>
    <w:rsid w:val="0079453E"/>
    <w:rsid w:val="0079454E"/>
    <w:rsid w:val="00794813"/>
    <w:rsid w:val="00794B33"/>
    <w:rsid w:val="007952B9"/>
    <w:rsid w:val="007956B5"/>
    <w:rsid w:val="007959CB"/>
    <w:rsid w:val="00795B9B"/>
    <w:rsid w:val="00795E5D"/>
    <w:rsid w:val="0079622D"/>
    <w:rsid w:val="007968CA"/>
    <w:rsid w:val="00796BAE"/>
    <w:rsid w:val="00797146"/>
    <w:rsid w:val="00797177"/>
    <w:rsid w:val="00797488"/>
    <w:rsid w:val="00797581"/>
    <w:rsid w:val="00797B2E"/>
    <w:rsid w:val="00797CA1"/>
    <w:rsid w:val="007A08AA"/>
    <w:rsid w:val="007A0A12"/>
    <w:rsid w:val="007A0C05"/>
    <w:rsid w:val="007A0DB0"/>
    <w:rsid w:val="007A0E5F"/>
    <w:rsid w:val="007A121A"/>
    <w:rsid w:val="007A132D"/>
    <w:rsid w:val="007A1345"/>
    <w:rsid w:val="007A14E6"/>
    <w:rsid w:val="007A196F"/>
    <w:rsid w:val="007A1BB9"/>
    <w:rsid w:val="007A1D0C"/>
    <w:rsid w:val="007A237C"/>
    <w:rsid w:val="007A276D"/>
    <w:rsid w:val="007A2902"/>
    <w:rsid w:val="007A2926"/>
    <w:rsid w:val="007A2933"/>
    <w:rsid w:val="007A2DDB"/>
    <w:rsid w:val="007A2F5F"/>
    <w:rsid w:val="007A32A3"/>
    <w:rsid w:val="007A34CE"/>
    <w:rsid w:val="007A34CF"/>
    <w:rsid w:val="007A3A60"/>
    <w:rsid w:val="007A3CF4"/>
    <w:rsid w:val="007A3E4B"/>
    <w:rsid w:val="007A42EC"/>
    <w:rsid w:val="007A5025"/>
    <w:rsid w:val="007A5905"/>
    <w:rsid w:val="007A5B0C"/>
    <w:rsid w:val="007A60DD"/>
    <w:rsid w:val="007A62CF"/>
    <w:rsid w:val="007A6750"/>
    <w:rsid w:val="007A689E"/>
    <w:rsid w:val="007A6A02"/>
    <w:rsid w:val="007A6F72"/>
    <w:rsid w:val="007A70BA"/>
    <w:rsid w:val="007A7342"/>
    <w:rsid w:val="007A753F"/>
    <w:rsid w:val="007A75DC"/>
    <w:rsid w:val="007A7DBA"/>
    <w:rsid w:val="007B0884"/>
    <w:rsid w:val="007B0BC5"/>
    <w:rsid w:val="007B0D68"/>
    <w:rsid w:val="007B141C"/>
    <w:rsid w:val="007B14E8"/>
    <w:rsid w:val="007B1944"/>
    <w:rsid w:val="007B1E01"/>
    <w:rsid w:val="007B236D"/>
    <w:rsid w:val="007B2382"/>
    <w:rsid w:val="007B251D"/>
    <w:rsid w:val="007B272D"/>
    <w:rsid w:val="007B27C3"/>
    <w:rsid w:val="007B2864"/>
    <w:rsid w:val="007B2B13"/>
    <w:rsid w:val="007B2C14"/>
    <w:rsid w:val="007B3531"/>
    <w:rsid w:val="007B3533"/>
    <w:rsid w:val="007B36AC"/>
    <w:rsid w:val="007B38A5"/>
    <w:rsid w:val="007B3EF8"/>
    <w:rsid w:val="007B44ED"/>
    <w:rsid w:val="007B4D3A"/>
    <w:rsid w:val="007B4F58"/>
    <w:rsid w:val="007B511E"/>
    <w:rsid w:val="007B528D"/>
    <w:rsid w:val="007B5778"/>
    <w:rsid w:val="007B63CA"/>
    <w:rsid w:val="007B6473"/>
    <w:rsid w:val="007B6889"/>
    <w:rsid w:val="007B6A21"/>
    <w:rsid w:val="007B6C8F"/>
    <w:rsid w:val="007B6D2D"/>
    <w:rsid w:val="007B7366"/>
    <w:rsid w:val="007B75AA"/>
    <w:rsid w:val="007B7668"/>
    <w:rsid w:val="007B77D1"/>
    <w:rsid w:val="007B7AF1"/>
    <w:rsid w:val="007B7B99"/>
    <w:rsid w:val="007C000C"/>
    <w:rsid w:val="007C0060"/>
    <w:rsid w:val="007C03B1"/>
    <w:rsid w:val="007C0631"/>
    <w:rsid w:val="007C0748"/>
    <w:rsid w:val="007C07A6"/>
    <w:rsid w:val="007C07C7"/>
    <w:rsid w:val="007C0DD7"/>
    <w:rsid w:val="007C11D5"/>
    <w:rsid w:val="007C11F4"/>
    <w:rsid w:val="007C133C"/>
    <w:rsid w:val="007C1BE2"/>
    <w:rsid w:val="007C1CD9"/>
    <w:rsid w:val="007C2223"/>
    <w:rsid w:val="007C23E9"/>
    <w:rsid w:val="007C2530"/>
    <w:rsid w:val="007C2554"/>
    <w:rsid w:val="007C2752"/>
    <w:rsid w:val="007C276B"/>
    <w:rsid w:val="007C2A72"/>
    <w:rsid w:val="007C2F9C"/>
    <w:rsid w:val="007C32EF"/>
    <w:rsid w:val="007C361D"/>
    <w:rsid w:val="007C37F3"/>
    <w:rsid w:val="007C3818"/>
    <w:rsid w:val="007C3B2F"/>
    <w:rsid w:val="007C3C56"/>
    <w:rsid w:val="007C464D"/>
    <w:rsid w:val="007C47DB"/>
    <w:rsid w:val="007C4B84"/>
    <w:rsid w:val="007C4BD4"/>
    <w:rsid w:val="007C4C2D"/>
    <w:rsid w:val="007C5280"/>
    <w:rsid w:val="007C550E"/>
    <w:rsid w:val="007C5511"/>
    <w:rsid w:val="007C60F8"/>
    <w:rsid w:val="007C64D4"/>
    <w:rsid w:val="007C65AA"/>
    <w:rsid w:val="007C66FC"/>
    <w:rsid w:val="007C6FCE"/>
    <w:rsid w:val="007C7097"/>
    <w:rsid w:val="007C70FF"/>
    <w:rsid w:val="007C7569"/>
    <w:rsid w:val="007C7C25"/>
    <w:rsid w:val="007C7E65"/>
    <w:rsid w:val="007C7FC3"/>
    <w:rsid w:val="007D001B"/>
    <w:rsid w:val="007D004F"/>
    <w:rsid w:val="007D0185"/>
    <w:rsid w:val="007D035F"/>
    <w:rsid w:val="007D06B2"/>
    <w:rsid w:val="007D0B38"/>
    <w:rsid w:val="007D0B5B"/>
    <w:rsid w:val="007D15FF"/>
    <w:rsid w:val="007D164C"/>
    <w:rsid w:val="007D20BF"/>
    <w:rsid w:val="007D2189"/>
    <w:rsid w:val="007D21C8"/>
    <w:rsid w:val="007D29B2"/>
    <w:rsid w:val="007D2E3A"/>
    <w:rsid w:val="007D36D8"/>
    <w:rsid w:val="007D36DE"/>
    <w:rsid w:val="007D3CE0"/>
    <w:rsid w:val="007D3FF6"/>
    <w:rsid w:val="007D44D3"/>
    <w:rsid w:val="007D4A7B"/>
    <w:rsid w:val="007D5440"/>
    <w:rsid w:val="007D55E5"/>
    <w:rsid w:val="007D5894"/>
    <w:rsid w:val="007D5931"/>
    <w:rsid w:val="007D5BD0"/>
    <w:rsid w:val="007D5C9D"/>
    <w:rsid w:val="007D5CC9"/>
    <w:rsid w:val="007D5F26"/>
    <w:rsid w:val="007D640C"/>
    <w:rsid w:val="007D661C"/>
    <w:rsid w:val="007D6738"/>
    <w:rsid w:val="007D69EB"/>
    <w:rsid w:val="007D6AD5"/>
    <w:rsid w:val="007D6FB4"/>
    <w:rsid w:val="007D713B"/>
    <w:rsid w:val="007D7289"/>
    <w:rsid w:val="007D7892"/>
    <w:rsid w:val="007D7A51"/>
    <w:rsid w:val="007D7E3D"/>
    <w:rsid w:val="007E0067"/>
    <w:rsid w:val="007E058D"/>
    <w:rsid w:val="007E0E70"/>
    <w:rsid w:val="007E1071"/>
    <w:rsid w:val="007E128F"/>
    <w:rsid w:val="007E169C"/>
    <w:rsid w:val="007E1BCC"/>
    <w:rsid w:val="007E1F87"/>
    <w:rsid w:val="007E2D60"/>
    <w:rsid w:val="007E3014"/>
    <w:rsid w:val="007E32E5"/>
    <w:rsid w:val="007E3D29"/>
    <w:rsid w:val="007E3F4D"/>
    <w:rsid w:val="007E3FE6"/>
    <w:rsid w:val="007E4296"/>
    <w:rsid w:val="007E42A0"/>
    <w:rsid w:val="007E42ED"/>
    <w:rsid w:val="007E4AB3"/>
    <w:rsid w:val="007E4B4F"/>
    <w:rsid w:val="007E4C73"/>
    <w:rsid w:val="007E4DD7"/>
    <w:rsid w:val="007E506C"/>
    <w:rsid w:val="007E585C"/>
    <w:rsid w:val="007E595C"/>
    <w:rsid w:val="007E68B4"/>
    <w:rsid w:val="007E6910"/>
    <w:rsid w:val="007E6A64"/>
    <w:rsid w:val="007E6A87"/>
    <w:rsid w:val="007E6ADD"/>
    <w:rsid w:val="007E6E54"/>
    <w:rsid w:val="007E73B2"/>
    <w:rsid w:val="007E74FF"/>
    <w:rsid w:val="007E7609"/>
    <w:rsid w:val="007E7A82"/>
    <w:rsid w:val="007E7F9B"/>
    <w:rsid w:val="007E7FED"/>
    <w:rsid w:val="007F0660"/>
    <w:rsid w:val="007F096D"/>
    <w:rsid w:val="007F0DD5"/>
    <w:rsid w:val="007F0E6C"/>
    <w:rsid w:val="007F0EB0"/>
    <w:rsid w:val="007F1017"/>
    <w:rsid w:val="007F1072"/>
    <w:rsid w:val="007F1644"/>
    <w:rsid w:val="007F1A83"/>
    <w:rsid w:val="007F1B9D"/>
    <w:rsid w:val="007F1C09"/>
    <w:rsid w:val="007F26B5"/>
    <w:rsid w:val="007F30C9"/>
    <w:rsid w:val="007F377E"/>
    <w:rsid w:val="007F37B1"/>
    <w:rsid w:val="007F37FC"/>
    <w:rsid w:val="007F382D"/>
    <w:rsid w:val="007F3E9D"/>
    <w:rsid w:val="007F4516"/>
    <w:rsid w:val="007F490F"/>
    <w:rsid w:val="007F4A29"/>
    <w:rsid w:val="007F4A3F"/>
    <w:rsid w:val="007F4A61"/>
    <w:rsid w:val="007F4D3F"/>
    <w:rsid w:val="007F5255"/>
    <w:rsid w:val="007F5469"/>
    <w:rsid w:val="007F56CC"/>
    <w:rsid w:val="007F57D1"/>
    <w:rsid w:val="007F600B"/>
    <w:rsid w:val="007F61C2"/>
    <w:rsid w:val="007F63A8"/>
    <w:rsid w:val="007F676A"/>
    <w:rsid w:val="007F6948"/>
    <w:rsid w:val="007F69BB"/>
    <w:rsid w:val="007F7AC3"/>
    <w:rsid w:val="007F7B1C"/>
    <w:rsid w:val="007F7FB2"/>
    <w:rsid w:val="00800DD3"/>
    <w:rsid w:val="00800E1E"/>
    <w:rsid w:val="00800E32"/>
    <w:rsid w:val="00800F97"/>
    <w:rsid w:val="00801B02"/>
    <w:rsid w:val="00801B8B"/>
    <w:rsid w:val="00801B98"/>
    <w:rsid w:val="0080256E"/>
    <w:rsid w:val="008026D3"/>
    <w:rsid w:val="0080280E"/>
    <w:rsid w:val="00802C4D"/>
    <w:rsid w:val="00802D5E"/>
    <w:rsid w:val="00802F2A"/>
    <w:rsid w:val="008031FD"/>
    <w:rsid w:val="00803275"/>
    <w:rsid w:val="008033CF"/>
    <w:rsid w:val="00803456"/>
    <w:rsid w:val="00803754"/>
    <w:rsid w:val="00803ADC"/>
    <w:rsid w:val="00803BCB"/>
    <w:rsid w:val="00803C11"/>
    <w:rsid w:val="0080431B"/>
    <w:rsid w:val="0080447A"/>
    <w:rsid w:val="00804729"/>
    <w:rsid w:val="0080488D"/>
    <w:rsid w:val="00804E7A"/>
    <w:rsid w:val="00805142"/>
    <w:rsid w:val="0080517F"/>
    <w:rsid w:val="00805FCE"/>
    <w:rsid w:val="00806870"/>
    <w:rsid w:val="00806ADB"/>
    <w:rsid w:val="00807A8B"/>
    <w:rsid w:val="00807CD6"/>
    <w:rsid w:val="00810160"/>
    <w:rsid w:val="008106D2"/>
    <w:rsid w:val="00810B50"/>
    <w:rsid w:val="00810C1F"/>
    <w:rsid w:val="00810CC0"/>
    <w:rsid w:val="00810DE8"/>
    <w:rsid w:val="00810F6A"/>
    <w:rsid w:val="00810FBB"/>
    <w:rsid w:val="0081105C"/>
    <w:rsid w:val="00811383"/>
    <w:rsid w:val="0081139F"/>
    <w:rsid w:val="0081171C"/>
    <w:rsid w:val="00811FAD"/>
    <w:rsid w:val="00812149"/>
    <w:rsid w:val="00812159"/>
    <w:rsid w:val="00812851"/>
    <w:rsid w:val="008129E6"/>
    <w:rsid w:val="00812BC0"/>
    <w:rsid w:val="00812CAC"/>
    <w:rsid w:val="00812FC5"/>
    <w:rsid w:val="008132FC"/>
    <w:rsid w:val="00813444"/>
    <w:rsid w:val="00813463"/>
    <w:rsid w:val="008134F6"/>
    <w:rsid w:val="00813719"/>
    <w:rsid w:val="00813730"/>
    <w:rsid w:val="00813858"/>
    <w:rsid w:val="00813CF2"/>
    <w:rsid w:val="0081476D"/>
    <w:rsid w:val="008148D0"/>
    <w:rsid w:val="00814A2D"/>
    <w:rsid w:val="0081555E"/>
    <w:rsid w:val="008158AA"/>
    <w:rsid w:val="00815D42"/>
    <w:rsid w:val="0081604A"/>
    <w:rsid w:val="00816361"/>
    <w:rsid w:val="008166EF"/>
    <w:rsid w:val="008169CB"/>
    <w:rsid w:val="00816CCC"/>
    <w:rsid w:val="00816FEC"/>
    <w:rsid w:val="00816FEF"/>
    <w:rsid w:val="008170E0"/>
    <w:rsid w:val="0081712B"/>
    <w:rsid w:val="00817144"/>
    <w:rsid w:val="00817463"/>
    <w:rsid w:val="008175D4"/>
    <w:rsid w:val="008176D4"/>
    <w:rsid w:val="00817DA3"/>
    <w:rsid w:val="00817DD2"/>
    <w:rsid w:val="00817E64"/>
    <w:rsid w:val="008209D3"/>
    <w:rsid w:val="00820A8C"/>
    <w:rsid w:val="00820AB3"/>
    <w:rsid w:val="00820D7D"/>
    <w:rsid w:val="00820E20"/>
    <w:rsid w:val="00820F7A"/>
    <w:rsid w:val="008213C8"/>
    <w:rsid w:val="008215FB"/>
    <w:rsid w:val="00821651"/>
    <w:rsid w:val="0082172E"/>
    <w:rsid w:val="00821ED0"/>
    <w:rsid w:val="00822073"/>
    <w:rsid w:val="008220CC"/>
    <w:rsid w:val="008222AA"/>
    <w:rsid w:val="008224A1"/>
    <w:rsid w:val="00822758"/>
    <w:rsid w:val="00822C15"/>
    <w:rsid w:val="00823174"/>
    <w:rsid w:val="00823239"/>
    <w:rsid w:val="0082326D"/>
    <w:rsid w:val="00823619"/>
    <w:rsid w:val="00823792"/>
    <w:rsid w:val="00823897"/>
    <w:rsid w:val="00823B1E"/>
    <w:rsid w:val="00823DDE"/>
    <w:rsid w:val="0082403E"/>
    <w:rsid w:val="00824785"/>
    <w:rsid w:val="00824C80"/>
    <w:rsid w:val="00824F2C"/>
    <w:rsid w:val="00825036"/>
    <w:rsid w:val="008256D0"/>
    <w:rsid w:val="00825751"/>
    <w:rsid w:val="008258F3"/>
    <w:rsid w:val="00825A03"/>
    <w:rsid w:val="00825CB3"/>
    <w:rsid w:val="008264EB"/>
    <w:rsid w:val="00826799"/>
    <w:rsid w:val="008268CE"/>
    <w:rsid w:val="00826974"/>
    <w:rsid w:val="00826C32"/>
    <w:rsid w:val="008271D7"/>
    <w:rsid w:val="008274BF"/>
    <w:rsid w:val="00827760"/>
    <w:rsid w:val="00827765"/>
    <w:rsid w:val="00827BC7"/>
    <w:rsid w:val="00827C23"/>
    <w:rsid w:val="00827DA2"/>
    <w:rsid w:val="00827F31"/>
    <w:rsid w:val="00827FB6"/>
    <w:rsid w:val="00830284"/>
    <w:rsid w:val="0083039C"/>
    <w:rsid w:val="008310CE"/>
    <w:rsid w:val="00831277"/>
    <w:rsid w:val="0083150B"/>
    <w:rsid w:val="008318D2"/>
    <w:rsid w:val="008318D5"/>
    <w:rsid w:val="00831CD8"/>
    <w:rsid w:val="00831D43"/>
    <w:rsid w:val="00831E0A"/>
    <w:rsid w:val="0083213A"/>
    <w:rsid w:val="008323AB"/>
    <w:rsid w:val="008324EA"/>
    <w:rsid w:val="0083281E"/>
    <w:rsid w:val="00832869"/>
    <w:rsid w:val="0083294F"/>
    <w:rsid w:val="00832AA2"/>
    <w:rsid w:val="00832CD1"/>
    <w:rsid w:val="008330D6"/>
    <w:rsid w:val="0083316F"/>
    <w:rsid w:val="00833B05"/>
    <w:rsid w:val="008340BB"/>
    <w:rsid w:val="008349A5"/>
    <w:rsid w:val="00834C68"/>
    <w:rsid w:val="00834F66"/>
    <w:rsid w:val="008356D6"/>
    <w:rsid w:val="0083591B"/>
    <w:rsid w:val="00835B1A"/>
    <w:rsid w:val="00835BF3"/>
    <w:rsid w:val="00835CCF"/>
    <w:rsid w:val="00835E46"/>
    <w:rsid w:val="008361E7"/>
    <w:rsid w:val="00836274"/>
    <w:rsid w:val="008362B4"/>
    <w:rsid w:val="00836500"/>
    <w:rsid w:val="00836FDE"/>
    <w:rsid w:val="0083726B"/>
    <w:rsid w:val="00837917"/>
    <w:rsid w:val="008409B2"/>
    <w:rsid w:val="00840CA2"/>
    <w:rsid w:val="00841262"/>
    <w:rsid w:val="00841B01"/>
    <w:rsid w:val="0084208B"/>
    <w:rsid w:val="0084212B"/>
    <w:rsid w:val="008421F8"/>
    <w:rsid w:val="00842783"/>
    <w:rsid w:val="00842791"/>
    <w:rsid w:val="008427EB"/>
    <w:rsid w:val="00842DAB"/>
    <w:rsid w:val="008430CF"/>
    <w:rsid w:val="0084317D"/>
    <w:rsid w:val="00843234"/>
    <w:rsid w:val="008434C4"/>
    <w:rsid w:val="00843552"/>
    <w:rsid w:val="0084374F"/>
    <w:rsid w:val="008438ED"/>
    <w:rsid w:val="00843985"/>
    <w:rsid w:val="00843DB2"/>
    <w:rsid w:val="008445C4"/>
    <w:rsid w:val="00844851"/>
    <w:rsid w:val="00844A22"/>
    <w:rsid w:val="00844AB6"/>
    <w:rsid w:val="00844AFE"/>
    <w:rsid w:val="00844EA9"/>
    <w:rsid w:val="00844EE9"/>
    <w:rsid w:val="0084506B"/>
    <w:rsid w:val="00845FB9"/>
    <w:rsid w:val="00845FF7"/>
    <w:rsid w:val="008462AC"/>
    <w:rsid w:val="008469AD"/>
    <w:rsid w:val="00846C99"/>
    <w:rsid w:val="00847167"/>
    <w:rsid w:val="008474EA"/>
    <w:rsid w:val="00847703"/>
    <w:rsid w:val="00847C58"/>
    <w:rsid w:val="00847DF5"/>
    <w:rsid w:val="00850432"/>
    <w:rsid w:val="0085077C"/>
    <w:rsid w:val="00850873"/>
    <w:rsid w:val="00850CBE"/>
    <w:rsid w:val="008515DE"/>
    <w:rsid w:val="008519B0"/>
    <w:rsid w:val="00851DB1"/>
    <w:rsid w:val="008521FF"/>
    <w:rsid w:val="00852499"/>
    <w:rsid w:val="00852837"/>
    <w:rsid w:val="00852B96"/>
    <w:rsid w:val="00852BDF"/>
    <w:rsid w:val="00852D3C"/>
    <w:rsid w:val="0085309D"/>
    <w:rsid w:val="0085314A"/>
    <w:rsid w:val="00853291"/>
    <w:rsid w:val="00854333"/>
    <w:rsid w:val="008545AF"/>
    <w:rsid w:val="00854A89"/>
    <w:rsid w:val="00854C8E"/>
    <w:rsid w:val="00855028"/>
    <w:rsid w:val="00855054"/>
    <w:rsid w:val="00855221"/>
    <w:rsid w:val="0085523B"/>
    <w:rsid w:val="00855257"/>
    <w:rsid w:val="008552CE"/>
    <w:rsid w:val="008556F3"/>
    <w:rsid w:val="0085586C"/>
    <w:rsid w:val="00855A84"/>
    <w:rsid w:val="00855E65"/>
    <w:rsid w:val="00855F6E"/>
    <w:rsid w:val="0085652A"/>
    <w:rsid w:val="008565EB"/>
    <w:rsid w:val="00856897"/>
    <w:rsid w:val="00856A44"/>
    <w:rsid w:val="00856B08"/>
    <w:rsid w:val="00856E9A"/>
    <w:rsid w:val="00857504"/>
    <w:rsid w:val="00857C14"/>
    <w:rsid w:val="00857DAD"/>
    <w:rsid w:val="00860201"/>
    <w:rsid w:val="0086075D"/>
    <w:rsid w:val="00860A21"/>
    <w:rsid w:val="00860A46"/>
    <w:rsid w:val="00861220"/>
    <w:rsid w:val="00861D91"/>
    <w:rsid w:val="00861F32"/>
    <w:rsid w:val="0086200E"/>
    <w:rsid w:val="00862162"/>
    <w:rsid w:val="00862502"/>
    <w:rsid w:val="008625A6"/>
    <w:rsid w:val="00862993"/>
    <w:rsid w:val="00862C5B"/>
    <w:rsid w:val="00862CC1"/>
    <w:rsid w:val="00862E8F"/>
    <w:rsid w:val="00862FC6"/>
    <w:rsid w:val="008632E4"/>
    <w:rsid w:val="0086344E"/>
    <w:rsid w:val="00863750"/>
    <w:rsid w:val="008638DC"/>
    <w:rsid w:val="0086401E"/>
    <w:rsid w:val="0086405C"/>
    <w:rsid w:val="0086408A"/>
    <w:rsid w:val="008642A7"/>
    <w:rsid w:val="0086464F"/>
    <w:rsid w:val="008646B4"/>
    <w:rsid w:val="00864775"/>
    <w:rsid w:val="00864869"/>
    <w:rsid w:val="00864952"/>
    <w:rsid w:val="00864A6E"/>
    <w:rsid w:val="00864BE2"/>
    <w:rsid w:val="00864CC0"/>
    <w:rsid w:val="00864E0E"/>
    <w:rsid w:val="00864F9B"/>
    <w:rsid w:val="00865023"/>
    <w:rsid w:val="00865474"/>
    <w:rsid w:val="008656AF"/>
    <w:rsid w:val="00865918"/>
    <w:rsid w:val="00865A44"/>
    <w:rsid w:val="008660D4"/>
    <w:rsid w:val="0086636D"/>
    <w:rsid w:val="008665F2"/>
    <w:rsid w:val="00866ADF"/>
    <w:rsid w:val="00866B1F"/>
    <w:rsid w:val="00866B22"/>
    <w:rsid w:val="00866C33"/>
    <w:rsid w:val="00866DB1"/>
    <w:rsid w:val="00867219"/>
    <w:rsid w:val="0086745F"/>
    <w:rsid w:val="00867A52"/>
    <w:rsid w:val="00867F17"/>
    <w:rsid w:val="0087001A"/>
    <w:rsid w:val="0087042E"/>
    <w:rsid w:val="008704C2"/>
    <w:rsid w:val="0087129B"/>
    <w:rsid w:val="0087151A"/>
    <w:rsid w:val="00871622"/>
    <w:rsid w:val="008717EE"/>
    <w:rsid w:val="00871820"/>
    <w:rsid w:val="0087189F"/>
    <w:rsid w:val="00871AB1"/>
    <w:rsid w:val="00871B0E"/>
    <w:rsid w:val="00871C98"/>
    <w:rsid w:val="00871E4F"/>
    <w:rsid w:val="00871FA9"/>
    <w:rsid w:val="00872106"/>
    <w:rsid w:val="0087210B"/>
    <w:rsid w:val="0087246A"/>
    <w:rsid w:val="008728E9"/>
    <w:rsid w:val="008731B6"/>
    <w:rsid w:val="008743D9"/>
    <w:rsid w:val="00874960"/>
    <w:rsid w:val="00874AE5"/>
    <w:rsid w:val="008757AB"/>
    <w:rsid w:val="00875923"/>
    <w:rsid w:val="008759D0"/>
    <w:rsid w:val="00875A0A"/>
    <w:rsid w:val="00875A87"/>
    <w:rsid w:val="00875B5C"/>
    <w:rsid w:val="00875EF8"/>
    <w:rsid w:val="0087610E"/>
    <w:rsid w:val="008761E0"/>
    <w:rsid w:val="00876610"/>
    <w:rsid w:val="00876CEF"/>
    <w:rsid w:val="00876EDD"/>
    <w:rsid w:val="00876FDE"/>
    <w:rsid w:val="00876FED"/>
    <w:rsid w:val="00877117"/>
    <w:rsid w:val="00877238"/>
    <w:rsid w:val="00877754"/>
    <w:rsid w:val="00877CD6"/>
    <w:rsid w:val="00877ED9"/>
    <w:rsid w:val="008800BA"/>
    <w:rsid w:val="0088017A"/>
    <w:rsid w:val="00880289"/>
    <w:rsid w:val="00880360"/>
    <w:rsid w:val="0088066D"/>
    <w:rsid w:val="008809FD"/>
    <w:rsid w:val="008816C9"/>
    <w:rsid w:val="0088186A"/>
    <w:rsid w:val="00881D23"/>
    <w:rsid w:val="00881E60"/>
    <w:rsid w:val="00881F1E"/>
    <w:rsid w:val="00881F1F"/>
    <w:rsid w:val="00882264"/>
    <w:rsid w:val="008825C7"/>
    <w:rsid w:val="0088260D"/>
    <w:rsid w:val="008826E0"/>
    <w:rsid w:val="00882874"/>
    <w:rsid w:val="00882DA2"/>
    <w:rsid w:val="00882E3C"/>
    <w:rsid w:val="0088308A"/>
    <w:rsid w:val="008830DC"/>
    <w:rsid w:val="00883463"/>
    <w:rsid w:val="00883787"/>
    <w:rsid w:val="00883978"/>
    <w:rsid w:val="00883AD0"/>
    <w:rsid w:val="00883B5B"/>
    <w:rsid w:val="00884343"/>
    <w:rsid w:val="00885176"/>
    <w:rsid w:val="008852C8"/>
    <w:rsid w:val="00885397"/>
    <w:rsid w:val="008854FA"/>
    <w:rsid w:val="008855E4"/>
    <w:rsid w:val="008859A4"/>
    <w:rsid w:val="00885B53"/>
    <w:rsid w:val="00885C9A"/>
    <w:rsid w:val="00885E53"/>
    <w:rsid w:val="00885EE6"/>
    <w:rsid w:val="00886025"/>
    <w:rsid w:val="008861CD"/>
    <w:rsid w:val="008867B6"/>
    <w:rsid w:val="00886928"/>
    <w:rsid w:val="00886A7A"/>
    <w:rsid w:val="00886CD2"/>
    <w:rsid w:val="00887057"/>
    <w:rsid w:val="008871BB"/>
    <w:rsid w:val="00887575"/>
    <w:rsid w:val="008875D4"/>
    <w:rsid w:val="00890118"/>
    <w:rsid w:val="0089019E"/>
    <w:rsid w:val="00890268"/>
    <w:rsid w:val="008909D8"/>
    <w:rsid w:val="00890A20"/>
    <w:rsid w:val="00890D1F"/>
    <w:rsid w:val="00890DE0"/>
    <w:rsid w:val="00890F52"/>
    <w:rsid w:val="00891762"/>
    <w:rsid w:val="00891993"/>
    <w:rsid w:val="00891D1E"/>
    <w:rsid w:val="00891D45"/>
    <w:rsid w:val="00891DC9"/>
    <w:rsid w:val="00891E6F"/>
    <w:rsid w:val="00891F3E"/>
    <w:rsid w:val="00892408"/>
    <w:rsid w:val="00892565"/>
    <w:rsid w:val="0089275D"/>
    <w:rsid w:val="00892A36"/>
    <w:rsid w:val="00892E81"/>
    <w:rsid w:val="00892F2C"/>
    <w:rsid w:val="00893239"/>
    <w:rsid w:val="008937CB"/>
    <w:rsid w:val="008943BC"/>
    <w:rsid w:val="00894489"/>
    <w:rsid w:val="008945C4"/>
    <w:rsid w:val="008946ED"/>
    <w:rsid w:val="0089477D"/>
    <w:rsid w:val="008948E5"/>
    <w:rsid w:val="00894CD6"/>
    <w:rsid w:val="008952FC"/>
    <w:rsid w:val="00895C23"/>
    <w:rsid w:val="00896086"/>
    <w:rsid w:val="00896334"/>
    <w:rsid w:val="008963A5"/>
    <w:rsid w:val="008963DE"/>
    <w:rsid w:val="00896415"/>
    <w:rsid w:val="0089642F"/>
    <w:rsid w:val="00896550"/>
    <w:rsid w:val="0089665F"/>
    <w:rsid w:val="00896710"/>
    <w:rsid w:val="00896D5D"/>
    <w:rsid w:val="00896E20"/>
    <w:rsid w:val="00897A58"/>
    <w:rsid w:val="008A0295"/>
    <w:rsid w:val="008A056F"/>
    <w:rsid w:val="008A05C4"/>
    <w:rsid w:val="008A0791"/>
    <w:rsid w:val="008A14DD"/>
    <w:rsid w:val="008A1761"/>
    <w:rsid w:val="008A1B26"/>
    <w:rsid w:val="008A20B5"/>
    <w:rsid w:val="008A236B"/>
    <w:rsid w:val="008A2E34"/>
    <w:rsid w:val="008A3158"/>
    <w:rsid w:val="008A3363"/>
    <w:rsid w:val="008A3371"/>
    <w:rsid w:val="008A33CF"/>
    <w:rsid w:val="008A346F"/>
    <w:rsid w:val="008A3617"/>
    <w:rsid w:val="008A36A3"/>
    <w:rsid w:val="008A386B"/>
    <w:rsid w:val="008A3A9C"/>
    <w:rsid w:val="008A3C3E"/>
    <w:rsid w:val="008A40B2"/>
    <w:rsid w:val="008A42F2"/>
    <w:rsid w:val="008A434E"/>
    <w:rsid w:val="008A45C5"/>
    <w:rsid w:val="008A468F"/>
    <w:rsid w:val="008A491F"/>
    <w:rsid w:val="008A4AE4"/>
    <w:rsid w:val="008A4C6A"/>
    <w:rsid w:val="008A4CD2"/>
    <w:rsid w:val="008A4CE7"/>
    <w:rsid w:val="008A5627"/>
    <w:rsid w:val="008A5A3A"/>
    <w:rsid w:val="008A5BD4"/>
    <w:rsid w:val="008A6082"/>
    <w:rsid w:val="008A6225"/>
    <w:rsid w:val="008A6D9E"/>
    <w:rsid w:val="008A6F41"/>
    <w:rsid w:val="008A7943"/>
    <w:rsid w:val="008A79DE"/>
    <w:rsid w:val="008B01B2"/>
    <w:rsid w:val="008B0440"/>
    <w:rsid w:val="008B0664"/>
    <w:rsid w:val="008B071F"/>
    <w:rsid w:val="008B08D6"/>
    <w:rsid w:val="008B0933"/>
    <w:rsid w:val="008B0F39"/>
    <w:rsid w:val="008B1152"/>
    <w:rsid w:val="008B124C"/>
    <w:rsid w:val="008B125B"/>
    <w:rsid w:val="008B1757"/>
    <w:rsid w:val="008B1BE8"/>
    <w:rsid w:val="008B1C33"/>
    <w:rsid w:val="008B21A2"/>
    <w:rsid w:val="008B21F6"/>
    <w:rsid w:val="008B2591"/>
    <w:rsid w:val="008B26FE"/>
    <w:rsid w:val="008B2AD4"/>
    <w:rsid w:val="008B2D70"/>
    <w:rsid w:val="008B2FDC"/>
    <w:rsid w:val="008B397E"/>
    <w:rsid w:val="008B3CCA"/>
    <w:rsid w:val="008B3DA4"/>
    <w:rsid w:val="008B4642"/>
    <w:rsid w:val="008B47A8"/>
    <w:rsid w:val="008B47D3"/>
    <w:rsid w:val="008B4877"/>
    <w:rsid w:val="008B4B12"/>
    <w:rsid w:val="008B4B6F"/>
    <w:rsid w:val="008B4D6A"/>
    <w:rsid w:val="008B5213"/>
    <w:rsid w:val="008B551D"/>
    <w:rsid w:val="008B563D"/>
    <w:rsid w:val="008B58B9"/>
    <w:rsid w:val="008B5A55"/>
    <w:rsid w:val="008B5BAB"/>
    <w:rsid w:val="008B5C19"/>
    <w:rsid w:val="008B5C96"/>
    <w:rsid w:val="008B5E7E"/>
    <w:rsid w:val="008B6433"/>
    <w:rsid w:val="008B6908"/>
    <w:rsid w:val="008B700A"/>
    <w:rsid w:val="008B73F2"/>
    <w:rsid w:val="008B7533"/>
    <w:rsid w:val="008B777F"/>
    <w:rsid w:val="008B7876"/>
    <w:rsid w:val="008B7992"/>
    <w:rsid w:val="008B7D7E"/>
    <w:rsid w:val="008B7E77"/>
    <w:rsid w:val="008C0476"/>
    <w:rsid w:val="008C0486"/>
    <w:rsid w:val="008C071B"/>
    <w:rsid w:val="008C07D0"/>
    <w:rsid w:val="008C07EB"/>
    <w:rsid w:val="008C089E"/>
    <w:rsid w:val="008C0A1E"/>
    <w:rsid w:val="008C1322"/>
    <w:rsid w:val="008C1453"/>
    <w:rsid w:val="008C148C"/>
    <w:rsid w:val="008C14CC"/>
    <w:rsid w:val="008C182D"/>
    <w:rsid w:val="008C1EEF"/>
    <w:rsid w:val="008C248A"/>
    <w:rsid w:val="008C27E7"/>
    <w:rsid w:val="008C30CD"/>
    <w:rsid w:val="008C31B8"/>
    <w:rsid w:val="008C3233"/>
    <w:rsid w:val="008C367E"/>
    <w:rsid w:val="008C3A3D"/>
    <w:rsid w:val="008C5007"/>
    <w:rsid w:val="008C5159"/>
    <w:rsid w:val="008C5610"/>
    <w:rsid w:val="008C5739"/>
    <w:rsid w:val="008C591B"/>
    <w:rsid w:val="008C6062"/>
    <w:rsid w:val="008C6222"/>
    <w:rsid w:val="008C623D"/>
    <w:rsid w:val="008C63D1"/>
    <w:rsid w:val="008C697E"/>
    <w:rsid w:val="008C6A21"/>
    <w:rsid w:val="008C6AB6"/>
    <w:rsid w:val="008C7004"/>
    <w:rsid w:val="008C7282"/>
    <w:rsid w:val="008C7732"/>
    <w:rsid w:val="008C7ECB"/>
    <w:rsid w:val="008C7F87"/>
    <w:rsid w:val="008D043F"/>
    <w:rsid w:val="008D062C"/>
    <w:rsid w:val="008D08DE"/>
    <w:rsid w:val="008D096C"/>
    <w:rsid w:val="008D0DEC"/>
    <w:rsid w:val="008D11BC"/>
    <w:rsid w:val="008D16E0"/>
    <w:rsid w:val="008D18C4"/>
    <w:rsid w:val="008D199B"/>
    <w:rsid w:val="008D25EE"/>
    <w:rsid w:val="008D2E10"/>
    <w:rsid w:val="008D31AE"/>
    <w:rsid w:val="008D31CC"/>
    <w:rsid w:val="008D31DC"/>
    <w:rsid w:val="008D32C1"/>
    <w:rsid w:val="008D3453"/>
    <w:rsid w:val="008D38C3"/>
    <w:rsid w:val="008D3B86"/>
    <w:rsid w:val="008D43FD"/>
    <w:rsid w:val="008D45BC"/>
    <w:rsid w:val="008D4755"/>
    <w:rsid w:val="008D4C3D"/>
    <w:rsid w:val="008D5D41"/>
    <w:rsid w:val="008D60B0"/>
    <w:rsid w:val="008D61FE"/>
    <w:rsid w:val="008D67C8"/>
    <w:rsid w:val="008D6DB4"/>
    <w:rsid w:val="008D70EC"/>
    <w:rsid w:val="008D743C"/>
    <w:rsid w:val="008D7816"/>
    <w:rsid w:val="008D7B39"/>
    <w:rsid w:val="008D7E08"/>
    <w:rsid w:val="008D7F04"/>
    <w:rsid w:val="008E032E"/>
    <w:rsid w:val="008E0A6C"/>
    <w:rsid w:val="008E0C81"/>
    <w:rsid w:val="008E0D35"/>
    <w:rsid w:val="008E0D3C"/>
    <w:rsid w:val="008E1324"/>
    <w:rsid w:val="008E14EB"/>
    <w:rsid w:val="008E197F"/>
    <w:rsid w:val="008E1B14"/>
    <w:rsid w:val="008E1B9E"/>
    <w:rsid w:val="008E2070"/>
    <w:rsid w:val="008E2E23"/>
    <w:rsid w:val="008E30F0"/>
    <w:rsid w:val="008E3213"/>
    <w:rsid w:val="008E333A"/>
    <w:rsid w:val="008E3413"/>
    <w:rsid w:val="008E366D"/>
    <w:rsid w:val="008E37E1"/>
    <w:rsid w:val="008E3F0F"/>
    <w:rsid w:val="008E4364"/>
    <w:rsid w:val="008E437A"/>
    <w:rsid w:val="008E43EA"/>
    <w:rsid w:val="008E4828"/>
    <w:rsid w:val="008E483A"/>
    <w:rsid w:val="008E51B9"/>
    <w:rsid w:val="008E542B"/>
    <w:rsid w:val="008E55AB"/>
    <w:rsid w:val="008E55D5"/>
    <w:rsid w:val="008E570E"/>
    <w:rsid w:val="008E60DC"/>
    <w:rsid w:val="008E6AFD"/>
    <w:rsid w:val="008E6C09"/>
    <w:rsid w:val="008E6E5D"/>
    <w:rsid w:val="008E7017"/>
    <w:rsid w:val="008E74C1"/>
    <w:rsid w:val="008E7517"/>
    <w:rsid w:val="008E7C7A"/>
    <w:rsid w:val="008E7D73"/>
    <w:rsid w:val="008F004D"/>
    <w:rsid w:val="008F03BD"/>
    <w:rsid w:val="008F053C"/>
    <w:rsid w:val="008F05B6"/>
    <w:rsid w:val="008F05D4"/>
    <w:rsid w:val="008F0B66"/>
    <w:rsid w:val="008F0B97"/>
    <w:rsid w:val="008F0F17"/>
    <w:rsid w:val="008F0FD3"/>
    <w:rsid w:val="008F120A"/>
    <w:rsid w:val="008F197E"/>
    <w:rsid w:val="008F20EE"/>
    <w:rsid w:val="008F228D"/>
    <w:rsid w:val="008F2743"/>
    <w:rsid w:val="008F27E0"/>
    <w:rsid w:val="008F2C7D"/>
    <w:rsid w:val="008F3147"/>
    <w:rsid w:val="008F39E5"/>
    <w:rsid w:val="008F3B69"/>
    <w:rsid w:val="008F3DD9"/>
    <w:rsid w:val="008F4347"/>
    <w:rsid w:val="008F44D0"/>
    <w:rsid w:val="008F48EB"/>
    <w:rsid w:val="008F4D49"/>
    <w:rsid w:val="008F4EEC"/>
    <w:rsid w:val="008F4F0B"/>
    <w:rsid w:val="008F502B"/>
    <w:rsid w:val="008F50A5"/>
    <w:rsid w:val="008F5958"/>
    <w:rsid w:val="008F5DA0"/>
    <w:rsid w:val="008F5ECD"/>
    <w:rsid w:val="008F611C"/>
    <w:rsid w:val="008F64A2"/>
    <w:rsid w:val="008F69EE"/>
    <w:rsid w:val="008F6AA7"/>
    <w:rsid w:val="008F6C9E"/>
    <w:rsid w:val="008F710F"/>
    <w:rsid w:val="008F7197"/>
    <w:rsid w:val="008F7AAA"/>
    <w:rsid w:val="008F7E38"/>
    <w:rsid w:val="00900403"/>
    <w:rsid w:val="00900463"/>
    <w:rsid w:val="0090059C"/>
    <w:rsid w:val="009005A6"/>
    <w:rsid w:val="00900BF1"/>
    <w:rsid w:val="00900D4C"/>
    <w:rsid w:val="00901196"/>
    <w:rsid w:val="0090163B"/>
    <w:rsid w:val="00902EC7"/>
    <w:rsid w:val="0090301A"/>
    <w:rsid w:val="0090334D"/>
    <w:rsid w:val="009034BC"/>
    <w:rsid w:val="0090377D"/>
    <w:rsid w:val="00903929"/>
    <w:rsid w:val="00903C94"/>
    <w:rsid w:val="00903CF9"/>
    <w:rsid w:val="00904276"/>
    <w:rsid w:val="0090428D"/>
    <w:rsid w:val="00904548"/>
    <w:rsid w:val="0090459C"/>
    <w:rsid w:val="009046C4"/>
    <w:rsid w:val="00904A8C"/>
    <w:rsid w:val="009051D6"/>
    <w:rsid w:val="0090530A"/>
    <w:rsid w:val="0090534A"/>
    <w:rsid w:val="00905626"/>
    <w:rsid w:val="0090568A"/>
    <w:rsid w:val="00905C20"/>
    <w:rsid w:val="00905C84"/>
    <w:rsid w:val="0090603C"/>
    <w:rsid w:val="009062A5"/>
    <w:rsid w:val="00906403"/>
    <w:rsid w:val="00906441"/>
    <w:rsid w:val="0090698C"/>
    <w:rsid w:val="00906C53"/>
    <w:rsid w:val="00907117"/>
    <w:rsid w:val="00907699"/>
    <w:rsid w:val="00907BF1"/>
    <w:rsid w:val="009101E7"/>
    <w:rsid w:val="009102C7"/>
    <w:rsid w:val="009104D1"/>
    <w:rsid w:val="00910920"/>
    <w:rsid w:val="009109FE"/>
    <w:rsid w:val="00910DD7"/>
    <w:rsid w:val="00910E62"/>
    <w:rsid w:val="00910FA7"/>
    <w:rsid w:val="00911272"/>
    <w:rsid w:val="00911339"/>
    <w:rsid w:val="0091137A"/>
    <w:rsid w:val="0091169F"/>
    <w:rsid w:val="0091237A"/>
    <w:rsid w:val="00912A94"/>
    <w:rsid w:val="0091303B"/>
    <w:rsid w:val="00913343"/>
    <w:rsid w:val="009135D6"/>
    <w:rsid w:val="009136AD"/>
    <w:rsid w:val="00913761"/>
    <w:rsid w:val="00913CEB"/>
    <w:rsid w:val="009147D3"/>
    <w:rsid w:val="0091487B"/>
    <w:rsid w:val="00914BF2"/>
    <w:rsid w:val="00914C77"/>
    <w:rsid w:val="0091507A"/>
    <w:rsid w:val="009153D6"/>
    <w:rsid w:val="00915758"/>
    <w:rsid w:val="00915F69"/>
    <w:rsid w:val="0091611C"/>
    <w:rsid w:val="00916510"/>
    <w:rsid w:val="00916C9D"/>
    <w:rsid w:val="00916CD2"/>
    <w:rsid w:val="00917537"/>
    <w:rsid w:val="00917595"/>
    <w:rsid w:val="009178C3"/>
    <w:rsid w:val="009201D3"/>
    <w:rsid w:val="00920A89"/>
    <w:rsid w:val="00921847"/>
    <w:rsid w:val="00921ACB"/>
    <w:rsid w:val="00922286"/>
    <w:rsid w:val="0092236F"/>
    <w:rsid w:val="009224CB"/>
    <w:rsid w:val="009224D1"/>
    <w:rsid w:val="00922509"/>
    <w:rsid w:val="009227DE"/>
    <w:rsid w:val="00922C85"/>
    <w:rsid w:val="00923045"/>
    <w:rsid w:val="009233C6"/>
    <w:rsid w:val="0092369B"/>
    <w:rsid w:val="00923A4F"/>
    <w:rsid w:val="00923A5E"/>
    <w:rsid w:val="009242AE"/>
    <w:rsid w:val="00924F81"/>
    <w:rsid w:val="00925013"/>
    <w:rsid w:val="00925229"/>
    <w:rsid w:val="0092574C"/>
    <w:rsid w:val="009257E5"/>
    <w:rsid w:val="00925892"/>
    <w:rsid w:val="00925A0D"/>
    <w:rsid w:val="00925ACD"/>
    <w:rsid w:val="00925B08"/>
    <w:rsid w:val="00925BA0"/>
    <w:rsid w:val="00925F1F"/>
    <w:rsid w:val="0092668F"/>
    <w:rsid w:val="0092697E"/>
    <w:rsid w:val="00926B33"/>
    <w:rsid w:val="00926F2D"/>
    <w:rsid w:val="00927334"/>
    <w:rsid w:val="009276E4"/>
    <w:rsid w:val="00927A1D"/>
    <w:rsid w:val="00927C5C"/>
    <w:rsid w:val="00927CDA"/>
    <w:rsid w:val="00927F46"/>
    <w:rsid w:val="00927F7F"/>
    <w:rsid w:val="00930130"/>
    <w:rsid w:val="0093084F"/>
    <w:rsid w:val="00931619"/>
    <w:rsid w:val="009316CD"/>
    <w:rsid w:val="009316EC"/>
    <w:rsid w:val="00931857"/>
    <w:rsid w:val="009318BD"/>
    <w:rsid w:val="00931938"/>
    <w:rsid w:val="00931B2B"/>
    <w:rsid w:val="00931EA8"/>
    <w:rsid w:val="009320AE"/>
    <w:rsid w:val="00932173"/>
    <w:rsid w:val="0093253E"/>
    <w:rsid w:val="00932D55"/>
    <w:rsid w:val="0093377A"/>
    <w:rsid w:val="00933AB7"/>
    <w:rsid w:val="00933F9F"/>
    <w:rsid w:val="0093433D"/>
    <w:rsid w:val="0093472E"/>
    <w:rsid w:val="0093474F"/>
    <w:rsid w:val="00934816"/>
    <w:rsid w:val="00934872"/>
    <w:rsid w:val="00934988"/>
    <w:rsid w:val="00934B6E"/>
    <w:rsid w:val="00934BFA"/>
    <w:rsid w:val="00935901"/>
    <w:rsid w:val="00935ADE"/>
    <w:rsid w:val="00935AF6"/>
    <w:rsid w:val="00936116"/>
    <w:rsid w:val="009366F2"/>
    <w:rsid w:val="009369EB"/>
    <w:rsid w:val="00936C1C"/>
    <w:rsid w:val="00937049"/>
    <w:rsid w:val="00937089"/>
    <w:rsid w:val="009376DB"/>
    <w:rsid w:val="009377E4"/>
    <w:rsid w:val="00937ED6"/>
    <w:rsid w:val="00940235"/>
    <w:rsid w:val="0094025C"/>
    <w:rsid w:val="00940324"/>
    <w:rsid w:val="009403F9"/>
    <w:rsid w:val="009405FB"/>
    <w:rsid w:val="009406DF"/>
    <w:rsid w:val="00941258"/>
    <w:rsid w:val="00941936"/>
    <w:rsid w:val="00942233"/>
    <w:rsid w:val="00942251"/>
    <w:rsid w:val="0094230C"/>
    <w:rsid w:val="0094349D"/>
    <w:rsid w:val="009437DD"/>
    <w:rsid w:val="00943B3B"/>
    <w:rsid w:val="00943C54"/>
    <w:rsid w:val="009444A1"/>
    <w:rsid w:val="0094463D"/>
    <w:rsid w:val="00944643"/>
    <w:rsid w:val="00944F8A"/>
    <w:rsid w:val="009456C1"/>
    <w:rsid w:val="009458FE"/>
    <w:rsid w:val="00945A25"/>
    <w:rsid w:val="009461B2"/>
    <w:rsid w:val="00946400"/>
    <w:rsid w:val="009464B0"/>
    <w:rsid w:val="009465CD"/>
    <w:rsid w:val="0094667D"/>
    <w:rsid w:val="0094687E"/>
    <w:rsid w:val="00946A6A"/>
    <w:rsid w:val="00946BCF"/>
    <w:rsid w:val="00947583"/>
    <w:rsid w:val="00947C6C"/>
    <w:rsid w:val="00950217"/>
    <w:rsid w:val="00950878"/>
    <w:rsid w:val="009508F1"/>
    <w:rsid w:val="00950A14"/>
    <w:rsid w:val="00950E3A"/>
    <w:rsid w:val="009510A2"/>
    <w:rsid w:val="009513E5"/>
    <w:rsid w:val="00951A6D"/>
    <w:rsid w:val="009521F6"/>
    <w:rsid w:val="0095246B"/>
    <w:rsid w:val="009524E1"/>
    <w:rsid w:val="009525F1"/>
    <w:rsid w:val="00952716"/>
    <w:rsid w:val="00952984"/>
    <w:rsid w:val="00952ABA"/>
    <w:rsid w:val="00952B64"/>
    <w:rsid w:val="00952CD5"/>
    <w:rsid w:val="00953257"/>
    <w:rsid w:val="0095403C"/>
    <w:rsid w:val="0095414E"/>
    <w:rsid w:val="0095431E"/>
    <w:rsid w:val="0095474C"/>
    <w:rsid w:val="009548A0"/>
    <w:rsid w:val="00954B85"/>
    <w:rsid w:val="00955457"/>
    <w:rsid w:val="00955A7F"/>
    <w:rsid w:val="00955CE1"/>
    <w:rsid w:val="00955D47"/>
    <w:rsid w:val="00955E4D"/>
    <w:rsid w:val="00955EA5"/>
    <w:rsid w:val="0095604C"/>
    <w:rsid w:val="009564BC"/>
    <w:rsid w:val="00956D13"/>
    <w:rsid w:val="00957395"/>
    <w:rsid w:val="00957541"/>
    <w:rsid w:val="00957552"/>
    <w:rsid w:val="00957576"/>
    <w:rsid w:val="0095758F"/>
    <w:rsid w:val="009576A6"/>
    <w:rsid w:val="009579E3"/>
    <w:rsid w:val="00957B9D"/>
    <w:rsid w:val="00957D92"/>
    <w:rsid w:val="00957F72"/>
    <w:rsid w:val="00960A80"/>
    <w:rsid w:val="00960AAE"/>
    <w:rsid w:val="00960B87"/>
    <w:rsid w:val="009616F8"/>
    <w:rsid w:val="009617D1"/>
    <w:rsid w:val="00961811"/>
    <w:rsid w:val="009622DB"/>
    <w:rsid w:val="00962A79"/>
    <w:rsid w:val="00962CB9"/>
    <w:rsid w:val="00962CF1"/>
    <w:rsid w:val="00962D15"/>
    <w:rsid w:val="0096308A"/>
    <w:rsid w:val="0096344A"/>
    <w:rsid w:val="00963776"/>
    <w:rsid w:val="00963998"/>
    <w:rsid w:val="00963AA8"/>
    <w:rsid w:val="00963B76"/>
    <w:rsid w:val="00963BB2"/>
    <w:rsid w:val="00963C9C"/>
    <w:rsid w:val="00963FCA"/>
    <w:rsid w:val="00964312"/>
    <w:rsid w:val="00964B60"/>
    <w:rsid w:val="00964B94"/>
    <w:rsid w:val="00964DB1"/>
    <w:rsid w:val="00964DDF"/>
    <w:rsid w:val="009659E0"/>
    <w:rsid w:val="00965A11"/>
    <w:rsid w:val="00965B8A"/>
    <w:rsid w:val="00965BD6"/>
    <w:rsid w:val="00966126"/>
    <w:rsid w:val="00966369"/>
    <w:rsid w:val="00966674"/>
    <w:rsid w:val="00966A9A"/>
    <w:rsid w:val="00966AA2"/>
    <w:rsid w:val="00966B0E"/>
    <w:rsid w:val="00966B57"/>
    <w:rsid w:val="00966CD9"/>
    <w:rsid w:val="00966EF3"/>
    <w:rsid w:val="00966FE2"/>
    <w:rsid w:val="00967072"/>
    <w:rsid w:val="009673B5"/>
    <w:rsid w:val="0096740B"/>
    <w:rsid w:val="009677E3"/>
    <w:rsid w:val="0096798D"/>
    <w:rsid w:val="00967A58"/>
    <w:rsid w:val="00967CF4"/>
    <w:rsid w:val="00967F86"/>
    <w:rsid w:val="00970249"/>
    <w:rsid w:val="0097071F"/>
    <w:rsid w:val="0097090D"/>
    <w:rsid w:val="00970A7A"/>
    <w:rsid w:val="00970B0D"/>
    <w:rsid w:val="0097135E"/>
    <w:rsid w:val="009717AC"/>
    <w:rsid w:val="009720EA"/>
    <w:rsid w:val="009725ED"/>
    <w:rsid w:val="00972A94"/>
    <w:rsid w:val="00972CAE"/>
    <w:rsid w:val="00972EB2"/>
    <w:rsid w:val="0097323E"/>
    <w:rsid w:val="00973888"/>
    <w:rsid w:val="0097399F"/>
    <w:rsid w:val="00973ACB"/>
    <w:rsid w:val="00973AF9"/>
    <w:rsid w:val="00973B6C"/>
    <w:rsid w:val="00973E11"/>
    <w:rsid w:val="00974068"/>
    <w:rsid w:val="009741DC"/>
    <w:rsid w:val="00974643"/>
    <w:rsid w:val="00974712"/>
    <w:rsid w:val="00974FBE"/>
    <w:rsid w:val="009751C1"/>
    <w:rsid w:val="009754C4"/>
    <w:rsid w:val="00975D48"/>
    <w:rsid w:val="0097622D"/>
    <w:rsid w:val="00976538"/>
    <w:rsid w:val="009766B1"/>
    <w:rsid w:val="00976D27"/>
    <w:rsid w:val="009770BB"/>
    <w:rsid w:val="0097711D"/>
    <w:rsid w:val="009773B0"/>
    <w:rsid w:val="00980010"/>
    <w:rsid w:val="009804C8"/>
    <w:rsid w:val="009806DB"/>
    <w:rsid w:val="00980810"/>
    <w:rsid w:val="00980840"/>
    <w:rsid w:val="00980A7F"/>
    <w:rsid w:val="00980B63"/>
    <w:rsid w:val="00980E5A"/>
    <w:rsid w:val="009810A5"/>
    <w:rsid w:val="009811F1"/>
    <w:rsid w:val="0098149E"/>
    <w:rsid w:val="009819A0"/>
    <w:rsid w:val="00981DF6"/>
    <w:rsid w:val="00982199"/>
    <w:rsid w:val="00982259"/>
    <w:rsid w:val="009825FE"/>
    <w:rsid w:val="00982A38"/>
    <w:rsid w:val="00982AE4"/>
    <w:rsid w:val="00983A6E"/>
    <w:rsid w:val="00983AE5"/>
    <w:rsid w:val="00983DF0"/>
    <w:rsid w:val="00983E57"/>
    <w:rsid w:val="009840FE"/>
    <w:rsid w:val="0098417C"/>
    <w:rsid w:val="00984826"/>
    <w:rsid w:val="009849D7"/>
    <w:rsid w:val="00985969"/>
    <w:rsid w:val="00985DE2"/>
    <w:rsid w:val="00986019"/>
    <w:rsid w:val="009866D3"/>
    <w:rsid w:val="009866EA"/>
    <w:rsid w:val="00986731"/>
    <w:rsid w:val="0098675D"/>
    <w:rsid w:val="00986A2C"/>
    <w:rsid w:val="00986F67"/>
    <w:rsid w:val="0098753A"/>
    <w:rsid w:val="00987742"/>
    <w:rsid w:val="009878DE"/>
    <w:rsid w:val="00987BA4"/>
    <w:rsid w:val="00987C52"/>
    <w:rsid w:val="00987CB0"/>
    <w:rsid w:val="00990633"/>
    <w:rsid w:val="009907C7"/>
    <w:rsid w:val="009908D3"/>
    <w:rsid w:val="00990BCF"/>
    <w:rsid w:val="00990DC4"/>
    <w:rsid w:val="00990FBF"/>
    <w:rsid w:val="009912A4"/>
    <w:rsid w:val="00991795"/>
    <w:rsid w:val="00991B23"/>
    <w:rsid w:val="00991B52"/>
    <w:rsid w:val="0099214A"/>
    <w:rsid w:val="0099231F"/>
    <w:rsid w:val="009926E0"/>
    <w:rsid w:val="00992B6A"/>
    <w:rsid w:val="00992D09"/>
    <w:rsid w:val="009930B8"/>
    <w:rsid w:val="009938F1"/>
    <w:rsid w:val="009939BA"/>
    <w:rsid w:val="00993D94"/>
    <w:rsid w:val="00993FA2"/>
    <w:rsid w:val="0099416A"/>
    <w:rsid w:val="0099451E"/>
    <w:rsid w:val="00994B4E"/>
    <w:rsid w:val="00994D1A"/>
    <w:rsid w:val="00994DD4"/>
    <w:rsid w:val="00994E4D"/>
    <w:rsid w:val="00994F17"/>
    <w:rsid w:val="00995177"/>
    <w:rsid w:val="009956E1"/>
    <w:rsid w:val="00995741"/>
    <w:rsid w:val="00995A70"/>
    <w:rsid w:val="00995B79"/>
    <w:rsid w:val="00996058"/>
    <w:rsid w:val="009963CC"/>
    <w:rsid w:val="00996B1A"/>
    <w:rsid w:val="00996B24"/>
    <w:rsid w:val="009971F5"/>
    <w:rsid w:val="009A081A"/>
    <w:rsid w:val="009A09A0"/>
    <w:rsid w:val="009A0D73"/>
    <w:rsid w:val="009A0DFE"/>
    <w:rsid w:val="009A0F3B"/>
    <w:rsid w:val="009A0F46"/>
    <w:rsid w:val="009A12DD"/>
    <w:rsid w:val="009A1665"/>
    <w:rsid w:val="009A18F6"/>
    <w:rsid w:val="009A1B08"/>
    <w:rsid w:val="009A1D65"/>
    <w:rsid w:val="009A2553"/>
    <w:rsid w:val="009A282B"/>
    <w:rsid w:val="009A29A9"/>
    <w:rsid w:val="009A2DCC"/>
    <w:rsid w:val="009A306D"/>
    <w:rsid w:val="009A3193"/>
    <w:rsid w:val="009A33E9"/>
    <w:rsid w:val="009A3CE9"/>
    <w:rsid w:val="009A40AB"/>
    <w:rsid w:val="009A4435"/>
    <w:rsid w:val="009A455F"/>
    <w:rsid w:val="009A47A1"/>
    <w:rsid w:val="009A48B3"/>
    <w:rsid w:val="009A49A8"/>
    <w:rsid w:val="009A4B45"/>
    <w:rsid w:val="009A4B6E"/>
    <w:rsid w:val="009A5278"/>
    <w:rsid w:val="009A58A6"/>
    <w:rsid w:val="009A5ABC"/>
    <w:rsid w:val="009A5D98"/>
    <w:rsid w:val="009A60D3"/>
    <w:rsid w:val="009A62D4"/>
    <w:rsid w:val="009A69AF"/>
    <w:rsid w:val="009A6A90"/>
    <w:rsid w:val="009A6E27"/>
    <w:rsid w:val="009A70B3"/>
    <w:rsid w:val="009A726D"/>
    <w:rsid w:val="009A7950"/>
    <w:rsid w:val="009A795A"/>
    <w:rsid w:val="009A7B7F"/>
    <w:rsid w:val="009A7B96"/>
    <w:rsid w:val="009A7C3B"/>
    <w:rsid w:val="009A7F10"/>
    <w:rsid w:val="009B00B8"/>
    <w:rsid w:val="009B054A"/>
    <w:rsid w:val="009B0F23"/>
    <w:rsid w:val="009B109E"/>
    <w:rsid w:val="009B1C90"/>
    <w:rsid w:val="009B1F9C"/>
    <w:rsid w:val="009B2DF3"/>
    <w:rsid w:val="009B36DD"/>
    <w:rsid w:val="009B3B3E"/>
    <w:rsid w:val="009B3CED"/>
    <w:rsid w:val="009B3E26"/>
    <w:rsid w:val="009B413D"/>
    <w:rsid w:val="009B41B0"/>
    <w:rsid w:val="009B422F"/>
    <w:rsid w:val="009B489E"/>
    <w:rsid w:val="009B51CD"/>
    <w:rsid w:val="009B53A1"/>
    <w:rsid w:val="009B53D9"/>
    <w:rsid w:val="009B5B35"/>
    <w:rsid w:val="009B600C"/>
    <w:rsid w:val="009B6037"/>
    <w:rsid w:val="009B635E"/>
    <w:rsid w:val="009B66DF"/>
    <w:rsid w:val="009B67BE"/>
    <w:rsid w:val="009B6CD9"/>
    <w:rsid w:val="009B6FDD"/>
    <w:rsid w:val="009B7108"/>
    <w:rsid w:val="009B7275"/>
    <w:rsid w:val="009B795B"/>
    <w:rsid w:val="009B7ABE"/>
    <w:rsid w:val="009B7CD7"/>
    <w:rsid w:val="009B7F3C"/>
    <w:rsid w:val="009C068F"/>
    <w:rsid w:val="009C1271"/>
    <w:rsid w:val="009C128A"/>
    <w:rsid w:val="009C1307"/>
    <w:rsid w:val="009C13AD"/>
    <w:rsid w:val="009C14E7"/>
    <w:rsid w:val="009C1741"/>
    <w:rsid w:val="009C204A"/>
    <w:rsid w:val="009C24B8"/>
    <w:rsid w:val="009C3240"/>
    <w:rsid w:val="009C36CD"/>
    <w:rsid w:val="009C3706"/>
    <w:rsid w:val="009C3A3A"/>
    <w:rsid w:val="009C4279"/>
    <w:rsid w:val="009C4321"/>
    <w:rsid w:val="009C469D"/>
    <w:rsid w:val="009C4A7D"/>
    <w:rsid w:val="009C5361"/>
    <w:rsid w:val="009C553C"/>
    <w:rsid w:val="009C567A"/>
    <w:rsid w:val="009C57BF"/>
    <w:rsid w:val="009C5BE6"/>
    <w:rsid w:val="009C5FE2"/>
    <w:rsid w:val="009C60BD"/>
    <w:rsid w:val="009C6443"/>
    <w:rsid w:val="009C6458"/>
    <w:rsid w:val="009C6580"/>
    <w:rsid w:val="009C65A6"/>
    <w:rsid w:val="009C6869"/>
    <w:rsid w:val="009C6B62"/>
    <w:rsid w:val="009C6CEA"/>
    <w:rsid w:val="009C6F4F"/>
    <w:rsid w:val="009C7432"/>
    <w:rsid w:val="009C75B1"/>
    <w:rsid w:val="009C762F"/>
    <w:rsid w:val="009C7688"/>
    <w:rsid w:val="009C76E7"/>
    <w:rsid w:val="009C77AA"/>
    <w:rsid w:val="009C79D8"/>
    <w:rsid w:val="009C7B56"/>
    <w:rsid w:val="009C7B85"/>
    <w:rsid w:val="009C7D88"/>
    <w:rsid w:val="009C7DF0"/>
    <w:rsid w:val="009D0254"/>
    <w:rsid w:val="009D036C"/>
    <w:rsid w:val="009D061C"/>
    <w:rsid w:val="009D0815"/>
    <w:rsid w:val="009D0881"/>
    <w:rsid w:val="009D0E1D"/>
    <w:rsid w:val="009D0E6D"/>
    <w:rsid w:val="009D0F9F"/>
    <w:rsid w:val="009D10C8"/>
    <w:rsid w:val="009D15B6"/>
    <w:rsid w:val="009D15F1"/>
    <w:rsid w:val="009D16CE"/>
    <w:rsid w:val="009D1827"/>
    <w:rsid w:val="009D1A64"/>
    <w:rsid w:val="009D1EB6"/>
    <w:rsid w:val="009D24B6"/>
    <w:rsid w:val="009D263C"/>
    <w:rsid w:val="009D2CCB"/>
    <w:rsid w:val="009D2EE6"/>
    <w:rsid w:val="009D3136"/>
    <w:rsid w:val="009D373B"/>
    <w:rsid w:val="009D38DD"/>
    <w:rsid w:val="009D3DAE"/>
    <w:rsid w:val="009D3DBF"/>
    <w:rsid w:val="009D4191"/>
    <w:rsid w:val="009D42BA"/>
    <w:rsid w:val="009D4685"/>
    <w:rsid w:val="009D4B1A"/>
    <w:rsid w:val="009D58CC"/>
    <w:rsid w:val="009D5B2E"/>
    <w:rsid w:val="009D5B50"/>
    <w:rsid w:val="009D5B91"/>
    <w:rsid w:val="009D5FB4"/>
    <w:rsid w:val="009D6010"/>
    <w:rsid w:val="009D669B"/>
    <w:rsid w:val="009D6760"/>
    <w:rsid w:val="009D6926"/>
    <w:rsid w:val="009D73AE"/>
    <w:rsid w:val="009D747C"/>
    <w:rsid w:val="009D75AB"/>
    <w:rsid w:val="009D792E"/>
    <w:rsid w:val="009D793E"/>
    <w:rsid w:val="009D793F"/>
    <w:rsid w:val="009D7C53"/>
    <w:rsid w:val="009D7E83"/>
    <w:rsid w:val="009E002E"/>
    <w:rsid w:val="009E0196"/>
    <w:rsid w:val="009E0354"/>
    <w:rsid w:val="009E0DFE"/>
    <w:rsid w:val="009E186A"/>
    <w:rsid w:val="009E1AAE"/>
    <w:rsid w:val="009E1B41"/>
    <w:rsid w:val="009E1D6F"/>
    <w:rsid w:val="009E1E2D"/>
    <w:rsid w:val="009E1EBA"/>
    <w:rsid w:val="009E1F08"/>
    <w:rsid w:val="009E2361"/>
    <w:rsid w:val="009E240B"/>
    <w:rsid w:val="009E2B03"/>
    <w:rsid w:val="009E2D27"/>
    <w:rsid w:val="009E31F6"/>
    <w:rsid w:val="009E3385"/>
    <w:rsid w:val="009E374A"/>
    <w:rsid w:val="009E3819"/>
    <w:rsid w:val="009E3830"/>
    <w:rsid w:val="009E3E8D"/>
    <w:rsid w:val="009E42EE"/>
    <w:rsid w:val="009E45DD"/>
    <w:rsid w:val="009E4796"/>
    <w:rsid w:val="009E47FF"/>
    <w:rsid w:val="009E485E"/>
    <w:rsid w:val="009E4C07"/>
    <w:rsid w:val="009E4D6D"/>
    <w:rsid w:val="009E4F2F"/>
    <w:rsid w:val="009E5DD3"/>
    <w:rsid w:val="009E5EA7"/>
    <w:rsid w:val="009E6418"/>
    <w:rsid w:val="009E6C5A"/>
    <w:rsid w:val="009E7572"/>
    <w:rsid w:val="009E777F"/>
    <w:rsid w:val="009E7932"/>
    <w:rsid w:val="009E7BC2"/>
    <w:rsid w:val="009E7EB9"/>
    <w:rsid w:val="009E7FB6"/>
    <w:rsid w:val="009F0138"/>
    <w:rsid w:val="009F031F"/>
    <w:rsid w:val="009F07E3"/>
    <w:rsid w:val="009F0AE5"/>
    <w:rsid w:val="009F0CB1"/>
    <w:rsid w:val="009F0FAD"/>
    <w:rsid w:val="009F15E6"/>
    <w:rsid w:val="009F1F39"/>
    <w:rsid w:val="009F20C6"/>
    <w:rsid w:val="009F2168"/>
    <w:rsid w:val="009F2339"/>
    <w:rsid w:val="009F28CC"/>
    <w:rsid w:val="009F2C8A"/>
    <w:rsid w:val="009F2E58"/>
    <w:rsid w:val="009F319C"/>
    <w:rsid w:val="009F324B"/>
    <w:rsid w:val="009F3A5A"/>
    <w:rsid w:val="009F3D73"/>
    <w:rsid w:val="009F3D81"/>
    <w:rsid w:val="009F3DAA"/>
    <w:rsid w:val="009F3EF2"/>
    <w:rsid w:val="009F41FE"/>
    <w:rsid w:val="009F4659"/>
    <w:rsid w:val="009F4842"/>
    <w:rsid w:val="009F4980"/>
    <w:rsid w:val="009F5101"/>
    <w:rsid w:val="009F5762"/>
    <w:rsid w:val="009F57BF"/>
    <w:rsid w:val="009F6120"/>
    <w:rsid w:val="009F65ED"/>
    <w:rsid w:val="009F6B8C"/>
    <w:rsid w:val="009F6D9B"/>
    <w:rsid w:val="009F6DC5"/>
    <w:rsid w:val="009F757B"/>
    <w:rsid w:val="009F7FA3"/>
    <w:rsid w:val="00A00327"/>
    <w:rsid w:val="00A00434"/>
    <w:rsid w:val="00A00437"/>
    <w:rsid w:val="00A00D76"/>
    <w:rsid w:val="00A00FF7"/>
    <w:rsid w:val="00A01184"/>
    <w:rsid w:val="00A01449"/>
    <w:rsid w:val="00A01C05"/>
    <w:rsid w:val="00A01CB0"/>
    <w:rsid w:val="00A01D9D"/>
    <w:rsid w:val="00A01FF4"/>
    <w:rsid w:val="00A02052"/>
    <w:rsid w:val="00A0268F"/>
    <w:rsid w:val="00A02740"/>
    <w:rsid w:val="00A02847"/>
    <w:rsid w:val="00A02AB3"/>
    <w:rsid w:val="00A0306C"/>
    <w:rsid w:val="00A032B5"/>
    <w:rsid w:val="00A03352"/>
    <w:rsid w:val="00A037C2"/>
    <w:rsid w:val="00A03B9A"/>
    <w:rsid w:val="00A03D43"/>
    <w:rsid w:val="00A0401C"/>
    <w:rsid w:val="00A04380"/>
    <w:rsid w:val="00A04786"/>
    <w:rsid w:val="00A04DD6"/>
    <w:rsid w:val="00A05452"/>
    <w:rsid w:val="00A05472"/>
    <w:rsid w:val="00A0570A"/>
    <w:rsid w:val="00A05799"/>
    <w:rsid w:val="00A05C32"/>
    <w:rsid w:val="00A05D6B"/>
    <w:rsid w:val="00A0619C"/>
    <w:rsid w:val="00A0632A"/>
    <w:rsid w:val="00A0653F"/>
    <w:rsid w:val="00A06708"/>
    <w:rsid w:val="00A06B40"/>
    <w:rsid w:val="00A07461"/>
    <w:rsid w:val="00A101A7"/>
    <w:rsid w:val="00A1067F"/>
    <w:rsid w:val="00A10D8C"/>
    <w:rsid w:val="00A11CD0"/>
    <w:rsid w:val="00A12182"/>
    <w:rsid w:val="00A121A0"/>
    <w:rsid w:val="00A12B8D"/>
    <w:rsid w:val="00A135FF"/>
    <w:rsid w:val="00A137A5"/>
    <w:rsid w:val="00A1383F"/>
    <w:rsid w:val="00A13948"/>
    <w:rsid w:val="00A13A0D"/>
    <w:rsid w:val="00A14898"/>
    <w:rsid w:val="00A149A5"/>
    <w:rsid w:val="00A14A19"/>
    <w:rsid w:val="00A14CAA"/>
    <w:rsid w:val="00A1509F"/>
    <w:rsid w:val="00A1555B"/>
    <w:rsid w:val="00A155C5"/>
    <w:rsid w:val="00A15823"/>
    <w:rsid w:val="00A15D46"/>
    <w:rsid w:val="00A15FEC"/>
    <w:rsid w:val="00A16344"/>
    <w:rsid w:val="00A163F4"/>
    <w:rsid w:val="00A165D5"/>
    <w:rsid w:val="00A16776"/>
    <w:rsid w:val="00A169C8"/>
    <w:rsid w:val="00A16A42"/>
    <w:rsid w:val="00A16AD8"/>
    <w:rsid w:val="00A16D89"/>
    <w:rsid w:val="00A16DAB"/>
    <w:rsid w:val="00A16EEF"/>
    <w:rsid w:val="00A17348"/>
    <w:rsid w:val="00A175CE"/>
    <w:rsid w:val="00A17B08"/>
    <w:rsid w:val="00A17BAF"/>
    <w:rsid w:val="00A17C25"/>
    <w:rsid w:val="00A17D54"/>
    <w:rsid w:val="00A17E5E"/>
    <w:rsid w:val="00A17F24"/>
    <w:rsid w:val="00A2011D"/>
    <w:rsid w:val="00A2021E"/>
    <w:rsid w:val="00A20250"/>
    <w:rsid w:val="00A206BE"/>
    <w:rsid w:val="00A2079E"/>
    <w:rsid w:val="00A2098C"/>
    <w:rsid w:val="00A2098D"/>
    <w:rsid w:val="00A20DB9"/>
    <w:rsid w:val="00A2111D"/>
    <w:rsid w:val="00A21520"/>
    <w:rsid w:val="00A21C95"/>
    <w:rsid w:val="00A21CF3"/>
    <w:rsid w:val="00A21D0C"/>
    <w:rsid w:val="00A21DC2"/>
    <w:rsid w:val="00A229D1"/>
    <w:rsid w:val="00A231AD"/>
    <w:rsid w:val="00A2323F"/>
    <w:rsid w:val="00A2334C"/>
    <w:rsid w:val="00A2399F"/>
    <w:rsid w:val="00A23D59"/>
    <w:rsid w:val="00A2458D"/>
    <w:rsid w:val="00A24813"/>
    <w:rsid w:val="00A2499F"/>
    <w:rsid w:val="00A249A2"/>
    <w:rsid w:val="00A24B85"/>
    <w:rsid w:val="00A24C32"/>
    <w:rsid w:val="00A24F97"/>
    <w:rsid w:val="00A25066"/>
    <w:rsid w:val="00A25856"/>
    <w:rsid w:val="00A2585C"/>
    <w:rsid w:val="00A25B9B"/>
    <w:rsid w:val="00A26446"/>
    <w:rsid w:val="00A2749E"/>
    <w:rsid w:val="00A27502"/>
    <w:rsid w:val="00A276E2"/>
    <w:rsid w:val="00A278C3"/>
    <w:rsid w:val="00A27AEC"/>
    <w:rsid w:val="00A27E29"/>
    <w:rsid w:val="00A30439"/>
    <w:rsid w:val="00A30544"/>
    <w:rsid w:val="00A307EA"/>
    <w:rsid w:val="00A30A51"/>
    <w:rsid w:val="00A312AB"/>
    <w:rsid w:val="00A317DA"/>
    <w:rsid w:val="00A319F3"/>
    <w:rsid w:val="00A31A53"/>
    <w:rsid w:val="00A31A85"/>
    <w:rsid w:val="00A31CC8"/>
    <w:rsid w:val="00A320DB"/>
    <w:rsid w:val="00A32143"/>
    <w:rsid w:val="00A322E6"/>
    <w:rsid w:val="00A32382"/>
    <w:rsid w:val="00A32559"/>
    <w:rsid w:val="00A3268A"/>
    <w:rsid w:val="00A32727"/>
    <w:rsid w:val="00A32D69"/>
    <w:rsid w:val="00A332B7"/>
    <w:rsid w:val="00A3373C"/>
    <w:rsid w:val="00A34EBF"/>
    <w:rsid w:val="00A3543F"/>
    <w:rsid w:val="00A3557A"/>
    <w:rsid w:val="00A359CB"/>
    <w:rsid w:val="00A359CF"/>
    <w:rsid w:val="00A35A17"/>
    <w:rsid w:val="00A35D16"/>
    <w:rsid w:val="00A360F0"/>
    <w:rsid w:val="00A368D8"/>
    <w:rsid w:val="00A36954"/>
    <w:rsid w:val="00A36A4F"/>
    <w:rsid w:val="00A36AE2"/>
    <w:rsid w:val="00A37202"/>
    <w:rsid w:val="00A3734D"/>
    <w:rsid w:val="00A374D4"/>
    <w:rsid w:val="00A377E2"/>
    <w:rsid w:val="00A37978"/>
    <w:rsid w:val="00A37AF0"/>
    <w:rsid w:val="00A37BCD"/>
    <w:rsid w:val="00A401FA"/>
    <w:rsid w:val="00A404B4"/>
    <w:rsid w:val="00A40564"/>
    <w:rsid w:val="00A40600"/>
    <w:rsid w:val="00A4093B"/>
    <w:rsid w:val="00A41137"/>
    <w:rsid w:val="00A41454"/>
    <w:rsid w:val="00A41541"/>
    <w:rsid w:val="00A41689"/>
    <w:rsid w:val="00A41E69"/>
    <w:rsid w:val="00A42592"/>
    <w:rsid w:val="00A4260A"/>
    <w:rsid w:val="00A4284A"/>
    <w:rsid w:val="00A428F4"/>
    <w:rsid w:val="00A42D58"/>
    <w:rsid w:val="00A42D7A"/>
    <w:rsid w:val="00A42E41"/>
    <w:rsid w:val="00A43114"/>
    <w:rsid w:val="00A43310"/>
    <w:rsid w:val="00A43763"/>
    <w:rsid w:val="00A43A9A"/>
    <w:rsid w:val="00A43B1D"/>
    <w:rsid w:val="00A43C45"/>
    <w:rsid w:val="00A43C59"/>
    <w:rsid w:val="00A44146"/>
    <w:rsid w:val="00A445DF"/>
    <w:rsid w:val="00A44652"/>
    <w:rsid w:val="00A447F2"/>
    <w:rsid w:val="00A46A30"/>
    <w:rsid w:val="00A46ACF"/>
    <w:rsid w:val="00A46D6D"/>
    <w:rsid w:val="00A47453"/>
    <w:rsid w:val="00A475D7"/>
    <w:rsid w:val="00A47FB5"/>
    <w:rsid w:val="00A5008D"/>
    <w:rsid w:val="00A5041C"/>
    <w:rsid w:val="00A50775"/>
    <w:rsid w:val="00A507A1"/>
    <w:rsid w:val="00A5096D"/>
    <w:rsid w:val="00A50D0D"/>
    <w:rsid w:val="00A50ECD"/>
    <w:rsid w:val="00A51298"/>
    <w:rsid w:val="00A515CA"/>
    <w:rsid w:val="00A518F3"/>
    <w:rsid w:val="00A51C63"/>
    <w:rsid w:val="00A51F1B"/>
    <w:rsid w:val="00A52379"/>
    <w:rsid w:val="00A523CE"/>
    <w:rsid w:val="00A5262A"/>
    <w:rsid w:val="00A52729"/>
    <w:rsid w:val="00A53067"/>
    <w:rsid w:val="00A5338B"/>
    <w:rsid w:val="00A53675"/>
    <w:rsid w:val="00A53759"/>
    <w:rsid w:val="00A53975"/>
    <w:rsid w:val="00A53CB8"/>
    <w:rsid w:val="00A53EBB"/>
    <w:rsid w:val="00A53F54"/>
    <w:rsid w:val="00A542D7"/>
    <w:rsid w:val="00A54D7D"/>
    <w:rsid w:val="00A54DEA"/>
    <w:rsid w:val="00A55378"/>
    <w:rsid w:val="00A554F6"/>
    <w:rsid w:val="00A55B46"/>
    <w:rsid w:val="00A55B8F"/>
    <w:rsid w:val="00A55C60"/>
    <w:rsid w:val="00A55E32"/>
    <w:rsid w:val="00A55EBF"/>
    <w:rsid w:val="00A55F34"/>
    <w:rsid w:val="00A56147"/>
    <w:rsid w:val="00A5630C"/>
    <w:rsid w:val="00A564D7"/>
    <w:rsid w:val="00A5668B"/>
    <w:rsid w:val="00A56829"/>
    <w:rsid w:val="00A56962"/>
    <w:rsid w:val="00A56B6A"/>
    <w:rsid w:val="00A56BA8"/>
    <w:rsid w:val="00A56DB5"/>
    <w:rsid w:val="00A57047"/>
    <w:rsid w:val="00A570BB"/>
    <w:rsid w:val="00A571E8"/>
    <w:rsid w:val="00A5755A"/>
    <w:rsid w:val="00A57643"/>
    <w:rsid w:val="00A578DC"/>
    <w:rsid w:val="00A57A92"/>
    <w:rsid w:val="00A57AF1"/>
    <w:rsid w:val="00A57B9E"/>
    <w:rsid w:val="00A60161"/>
    <w:rsid w:val="00A603AB"/>
    <w:rsid w:val="00A6067D"/>
    <w:rsid w:val="00A60C06"/>
    <w:rsid w:val="00A60C12"/>
    <w:rsid w:val="00A60FCF"/>
    <w:rsid w:val="00A612A8"/>
    <w:rsid w:val="00A61AAC"/>
    <w:rsid w:val="00A61D76"/>
    <w:rsid w:val="00A624DC"/>
    <w:rsid w:val="00A62D28"/>
    <w:rsid w:val="00A62DDD"/>
    <w:rsid w:val="00A62E98"/>
    <w:rsid w:val="00A6301A"/>
    <w:rsid w:val="00A6351F"/>
    <w:rsid w:val="00A6355E"/>
    <w:rsid w:val="00A636F1"/>
    <w:rsid w:val="00A637DC"/>
    <w:rsid w:val="00A63819"/>
    <w:rsid w:val="00A63F90"/>
    <w:rsid w:val="00A640E2"/>
    <w:rsid w:val="00A64975"/>
    <w:rsid w:val="00A64D65"/>
    <w:rsid w:val="00A64EF1"/>
    <w:rsid w:val="00A6535D"/>
    <w:rsid w:val="00A65989"/>
    <w:rsid w:val="00A65B24"/>
    <w:rsid w:val="00A65C05"/>
    <w:rsid w:val="00A66261"/>
    <w:rsid w:val="00A663C6"/>
    <w:rsid w:val="00A6649E"/>
    <w:rsid w:val="00A667E8"/>
    <w:rsid w:val="00A66C38"/>
    <w:rsid w:val="00A67067"/>
    <w:rsid w:val="00A671A6"/>
    <w:rsid w:val="00A67219"/>
    <w:rsid w:val="00A6725B"/>
    <w:rsid w:val="00A677CD"/>
    <w:rsid w:val="00A678C1"/>
    <w:rsid w:val="00A67D2B"/>
    <w:rsid w:val="00A7051D"/>
    <w:rsid w:val="00A7057B"/>
    <w:rsid w:val="00A70605"/>
    <w:rsid w:val="00A70619"/>
    <w:rsid w:val="00A70745"/>
    <w:rsid w:val="00A70A5E"/>
    <w:rsid w:val="00A710D5"/>
    <w:rsid w:val="00A7127F"/>
    <w:rsid w:val="00A715E4"/>
    <w:rsid w:val="00A71988"/>
    <w:rsid w:val="00A71A19"/>
    <w:rsid w:val="00A71C7A"/>
    <w:rsid w:val="00A7244E"/>
    <w:rsid w:val="00A72639"/>
    <w:rsid w:val="00A727E9"/>
    <w:rsid w:val="00A73134"/>
    <w:rsid w:val="00A732B5"/>
    <w:rsid w:val="00A7365A"/>
    <w:rsid w:val="00A739F7"/>
    <w:rsid w:val="00A73B91"/>
    <w:rsid w:val="00A73F28"/>
    <w:rsid w:val="00A73FA5"/>
    <w:rsid w:val="00A740EA"/>
    <w:rsid w:val="00A742C7"/>
    <w:rsid w:val="00A74473"/>
    <w:rsid w:val="00A74517"/>
    <w:rsid w:val="00A74686"/>
    <w:rsid w:val="00A7494E"/>
    <w:rsid w:val="00A74E3B"/>
    <w:rsid w:val="00A7571F"/>
    <w:rsid w:val="00A75B3E"/>
    <w:rsid w:val="00A75DD6"/>
    <w:rsid w:val="00A75EBC"/>
    <w:rsid w:val="00A75FAC"/>
    <w:rsid w:val="00A76001"/>
    <w:rsid w:val="00A7663F"/>
    <w:rsid w:val="00A77130"/>
    <w:rsid w:val="00A774EF"/>
    <w:rsid w:val="00A774FC"/>
    <w:rsid w:val="00A77709"/>
    <w:rsid w:val="00A777B2"/>
    <w:rsid w:val="00A77E58"/>
    <w:rsid w:val="00A8022C"/>
    <w:rsid w:val="00A805E0"/>
    <w:rsid w:val="00A8070C"/>
    <w:rsid w:val="00A80A32"/>
    <w:rsid w:val="00A80B88"/>
    <w:rsid w:val="00A8126E"/>
    <w:rsid w:val="00A8157F"/>
    <w:rsid w:val="00A8169F"/>
    <w:rsid w:val="00A818F5"/>
    <w:rsid w:val="00A81900"/>
    <w:rsid w:val="00A81A0B"/>
    <w:rsid w:val="00A82062"/>
    <w:rsid w:val="00A8220A"/>
    <w:rsid w:val="00A825D4"/>
    <w:rsid w:val="00A828F6"/>
    <w:rsid w:val="00A82B73"/>
    <w:rsid w:val="00A82BE4"/>
    <w:rsid w:val="00A82D83"/>
    <w:rsid w:val="00A82E1A"/>
    <w:rsid w:val="00A82E4E"/>
    <w:rsid w:val="00A83617"/>
    <w:rsid w:val="00A83743"/>
    <w:rsid w:val="00A84182"/>
    <w:rsid w:val="00A84519"/>
    <w:rsid w:val="00A84874"/>
    <w:rsid w:val="00A8509A"/>
    <w:rsid w:val="00A85334"/>
    <w:rsid w:val="00A85714"/>
    <w:rsid w:val="00A858D0"/>
    <w:rsid w:val="00A85B2D"/>
    <w:rsid w:val="00A85ED5"/>
    <w:rsid w:val="00A862C1"/>
    <w:rsid w:val="00A86E8B"/>
    <w:rsid w:val="00A86F86"/>
    <w:rsid w:val="00A86FEC"/>
    <w:rsid w:val="00A87164"/>
    <w:rsid w:val="00A871A9"/>
    <w:rsid w:val="00A87B3F"/>
    <w:rsid w:val="00A87E92"/>
    <w:rsid w:val="00A87F21"/>
    <w:rsid w:val="00A90A16"/>
    <w:rsid w:val="00A90DE9"/>
    <w:rsid w:val="00A9109C"/>
    <w:rsid w:val="00A91205"/>
    <w:rsid w:val="00A9170F"/>
    <w:rsid w:val="00A9176C"/>
    <w:rsid w:val="00A92056"/>
    <w:rsid w:val="00A92093"/>
    <w:rsid w:val="00A921D2"/>
    <w:rsid w:val="00A922DB"/>
    <w:rsid w:val="00A92DF4"/>
    <w:rsid w:val="00A93072"/>
    <w:rsid w:val="00A934ED"/>
    <w:rsid w:val="00A938BD"/>
    <w:rsid w:val="00A93953"/>
    <w:rsid w:val="00A93954"/>
    <w:rsid w:val="00A93B38"/>
    <w:rsid w:val="00A93E30"/>
    <w:rsid w:val="00A93F8B"/>
    <w:rsid w:val="00A9422D"/>
    <w:rsid w:val="00A94617"/>
    <w:rsid w:val="00A9469C"/>
    <w:rsid w:val="00A94845"/>
    <w:rsid w:val="00A94928"/>
    <w:rsid w:val="00A94A70"/>
    <w:rsid w:val="00A94C0E"/>
    <w:rsid w:val="00A950A2"/>
    <w:rsid w:val="00A951A8"/>
    <w:rsid w:val="00A952A3"/>
    <w:rsid w:val="00A954C9"/>
    <w:rsid w:val="00A95662"/>
    <w:rsid w:val="00A95681"/>
    <w:rsid w:val="00A959D8"/>
    <w:rsid w:val="00A95A15"/>
    <w:rsid w:val="00A95AB6"/>
    <w:rsid w:val="00A95C04"/>
    <w:rsid w:val="00A96630"/>
    <w:rsid w:val="00A966F3"/>
    <w:rsid w:val="00A969EE"/>
    <w:rsid w:val="00A96AB9"/>
    <w:rsid w:val="00A96DFD"/>
    <w:rsid w:val="00A96FF1"/>
    <w:rsid w:val="00A971B5"/>
    <w:rsid w:val="00A97524"/>
    <w:rsid w:val="00A979B5"/>
    <w:rsid w:val="00A97CE1"/>
    <w:rsid w:val="00A97EEA"/>
    <w:rsid w:val="00A97FF0"/>
    <w:rsid w:val="00AA0005"/>
    <w:rsid w:val="00AA0241"/>
    <w:rsid w:val="00AA03D9"/>
    <w:rsid w:val="00AA094E"/>
    <w:rsid w:val="00AA113D"/>
    <w:rsid w:val="00AA195D"/>
    <w:rsid w:val="00AA1C3E"/>
    <w:rsid w:val="00AA1FFB"/>
    <w:rsid w:val="00AA24FE"/>
    <w:rsid w:val="00AA25E2"/>
    <w:rsid w:val="00AA2B61"/>
    <w:rsid w:val="00AA3077"/>
    <w:rsid w:val="00AA30CB"/>
    <w:rsid w:val="00AA35D3"/>
    <w:rsid w:val="00AA377E"/>
    <w:rsid w:val="00AA3798"/>
    <w:rsid w:val="00AA3A7A"/>
    <w:rsid w:val="00AA40B9"/>
    <w:rsid w:val="00AA420C"/>
    <w:rsid w:val="00AA43CE"/>
    <w:rsid w:val="00AA4C94"/>
    <w:rsid w:val="00AA521A"/>
    <w:rsid w:val="00AA55D6"/>
    <w:rsid w:val="00AA5677"/>
    <w:rsid w:val="00AA56BA"/>
    <w:rsid w:val="00AA582C"/>
    <w:rsid w:val="00AA5B19"/>
    <w:rsid w:val="00AA5B77"/>
    <w:rsid w:val="00AA5BE0"/>
    <w:rsid w:val="00AA60BF"/>
    <w:rsid w:val="00AA60DF"/>
    <w:rsid w:val="00AA645A"/>
    <w:rsid w:val="00AA656B"/>
    <w:rsid w:val="00AA65BD"/>
    <w:rsid w:val="00AA679F"/>
    <w:rsid w:val="00AA67A3"/>
    <w:rsid w:val="00AA6A3D"/>
    <w:rsid w:val="00AA6BD5"/>
    <w:rsid w:val="00AA6BD8"/>
    <w:rsid w:val="00AA6C7D"/>
    <w:rsid w:val="00AA6CA1"/>
    <w:rsid w:val="00AA6D08"/>
    <w:rsid w:val="00AA6F9F"/>
    <w:rsid w:val="00AA7102"/>
    <w:rsid w:val="00AA71B8"/>
    <w:rsid w:val="00AA74C8"/>
    <w:rsid w:val="00AA7933"/>
    <w:rsid w:val="00AA7AC0"/>
    <w:rsid w:val="00AA7EED"/>
    <w:rsid w:val="00AA7F3F"/>
    <w:rsid w:val="00AA7FD6"/>
    <w:rsid w:val="00AB02C5"/>
    <w:rsid w:val="00AB033F"/>
    <w:rsid w:val="00AB0357"/>
    <w:rsid w:val="00AB042A"/>
    <w:rsid w:val="00AB05C6"/>
    <w:rsid w:val="00AB06E1"/>
    <w:rsid w:val="00AB0984"/>
    <w:rsid w:val="00AB0F45"/>
    <w:rsid w:val="00AB107E"/>
    <w:rsid w:val="00AB1094"/>
    <w:rsid w:val="00AB11AD"/>
    <w:rsid w:val="00AB16F5"/>
    <w:rsid w:val="00AB17FA"/>
    <w:rsid w:val="00AB19EF"/>
    <w:rsid w:val="00AB1BA9"/>
    <w:rsid w:val="00AB210D"/>
    <w:rsid w:val="00AB22AF"/>
    <w:rsid w:val="00AB2411"/>
    <w:rsid w:val="00AB2490"/>
    <w:rsid w:val="00AB2495"/>
    <w:rsid w:val="00AB2603"/>
    <w:rsid w:val="00AB2D34"/>
    <w:rsid w:val="00AB3262"/>
    <w:rsid w:val="00AB3430"/>
    <w:rsid w:val="00AB37B9"/>
    <w:rsid w:val="00AB40CC"/>
    <w:rsid w:val="00AB4505"/>
    <w:rsid w:val="00AB494F"/>
    <w:rsid w:val="00AB4AD1"/>
    <w:rsid w:val="00AB4C42"/>
    <w:rsid w:val="00AB4E42"/>
    <w:rsid w:val="00AB5154"/>
    <w:rsid w:val="00AB515A"/>
    <w:rsid w:val="00AB53C2"/>
    <w:rsid w:val="00AB5A1A"/>
    <w:rsid w:val="00AB5A6B"/>
    <w:rsid w:val="00AB5AEF"/>
    <w:rsid w:val="00AB5BBE"/>
    <w:rsid w:val="00AB5E07"/>
    <w:rsid w:val="00AB62CA"/>
    <w:rsid w:val="00AB6646"/>
    <w:rsid w:val="00AB6B5C"/>
    <w:rsid w:val="00AB7203"/>
    <w:rsid w:val="00AB7348"/>
    <w:rsid w:val="00AB7456"/>
    <w:rsid w:val="00AB74FA"/>
    <w:rsid w:val="00AB7CFA"/>
    <w:rsid w:val="00AC041E"/>
    <w:rsid w:val="00AC076E"/>
    <w:rsid w:val="00AC10F0"/>
    <w:rsid w:val="00AC1315"/>
    <w:rsid w:val="00AC1985"/>
    <w:rsid w:val="00AC1AEA"/>
    <w:rsid w:val="00AC1B6F"/>
    <w:rsid w:val="00AC1C46"/>
    <w:rsid w:val="00AC2076"/>
    <w:rsid w:val="00AC2294"/>
    <w:rsid w:val="00AC26D1"/>
    <w:rsid w:val="00AC281F"/>
    <w:rsid w:val="00AC2927"/>
    <w:rsid w:val="00AC2B0A"/>
    <w:rsid w:val="00AC2C2A"/>
    <w:rsid w:val="00AC2E26"/>
    <w:rsid w:val="00AC2F68"/>
    <w:rsid w:val="00AC31DF"/>
    <w:rsid w:val="00AC35EE"/>
    <w:rsid w:val="00AC3BAF"/>
    <w:rsid w:val="00AC3EC3"/>
    <w:rsid w:val="00AC42AF"/>
    <w:rsid w:val="00AC44BE"/>
    <w:rsid w:val="00AC46DB"/>
    <w:rsid w:val="00AC4BC1"/>
    <w:rsid w:val="00AC4DB1"/>
    <w:rsid w:val="00AC5B42"/>
    <w:rsid w:val="00AC5B48"/>
    <w:rsid w:val="00AC5E2E"/>
    <w:rsid w:val="00AC6326"/>
    <w:rsid w:val="00AC63BB"/>
    <w:rsid w:val="00AC646E"/>
    <w:rsid w:val="00AC6680"/>
    <w:rsid w:val="00AC68BD"/>
    <w:rsid w:val="00AC699B"/>
    <w:rsid w:val="00AC7078"/>
    <w:rsid w:val="00AC7225"/>
    <w:rsid w:val="00AC7616"/>
    <w:rsid w:val="00AC7989"/>
    <w:rsid w:val="00AC7B23"/>
    <w:rsid w:val="00AD0A3E"/>
    <w:rsid w:val="00AD0FB4"/>
    <w:rsid w:val="00AD1450"/>
    <w:rsid w:val="00AD15E8"/>
    <w:rsid w:val="00AD1A90"/>
    <w:rsid w:val="00AD1C7A"/>
    <w:rsid w:val="00AD1E6E"/>
    <w:rsid w:val="00AD1FE2"/>
    <w:rsid w:val="00AD20BC"/>
    <w:rsid w:val="00AD295D"/>
    <w:rsid w:val="00AD2C5A"/>
    <w:rsid w:val="00AD2CB6"/>
    <w:rsid w:val="00AD2EAE"/>
    <w:rsid w:val="00AD31B1"/>
    <w:rsid w:val="00AD356D"/>
    <w:rsid w:val="00AD36EC"/>
    <w:rsid w:val="00AD37C0"/>
    <w:rsid w:val="00AD3843"/>
    <w:rsid w:val="00AD3CE7"/>
    <w:rsid w:val="00AD3EF0"/>
    <w:rsid w:val="00AD4848"/>
    <w:rsid w:val="00AD4AB3"/>
    <w:rsid w:val="00AD4C41"/>
    <w:rsid w:val="00AD5136"/>
    <w:rsid w:val="00AD51FF"/>
    <w:rsid w:val="00AD525F"/>
    <w:rsid w:val="00AD543A"/>
    <w:rsid w:val="00AD56F3"/>
    <w:rsid w:val="00AD57E5"/>
    <w:rsid w:val="00AD5F48"/>
    <w:rsid w:val="00AD6215"/>
    <w:rsid w:val="00AD6247"/>
    <w:rsid w:val="00AD6293"/>
    <w:rsid w:val="00AD62B6"/>
    <w:rsid w:val="00AD6502"/>
    <w:rsid w:val="00AD6E6E"/>
    <w:rsid w:val="00AD6F32"/>
    <w:rsid w:val="00AD7955"/>
    <w:rsid w:val="00AD7B01"/>
    <w:rsid w:val="00AE029B"/>
    <w:rsid w:val="00AE0376"/>
    <w:rsid w:val="00AE041B"/>
    <w:rsid w:val="00AE04AC"/>
    <w:rsid w:val="00AE0599"/>
    <w:rsid w:val="00AE060C"/>
    <w:rsid w:val="00AE0695"/>
    <w:rsid w:val="00AE0725"/>
    <w:rsid w:val="00AE0ECE"/>
    <w:rsid w:val="00AE1295"/>
    <w:rsid w:val="00AE1A25"/>
    <w:rsid w:val="00AE1E58"/>
    <w:rsid w:val="00AE2004"/>
    <w:rsid w:val="00AE24AF"/>
    <w:rsid w:val="00AE2596"/>
    <w:rsid w:val="00AE266D"/>
    <w:rsid w:val="00AE285C"/>
    <w:rsid w:val="00AE2952"/>
    <w:rsid w:val="00AE2E03"/>
    <w:rsid w:val="00AE2E9B"/>
    <w:rsid w:val="00AE3770"/>
    <w:rsid w:val="00AE38BB"/>
    <w:rsid w:val="00AE3A88"/>
    <w:rsid w:val="00AE3A94"/>
    <w:rsid w:val="00AE3AB9"/>
    <w:rsid w:val="00AE3B12"/>
    <w:rsid w:val="00AE3E7E"/>
    <w:rsid w:val="00AE4062"/>
    <w:rsid w:val="00AE4191"/>
    <w:rsid w:val="00AE42A2"/>
    <w:rsid w:val="00AE43A4"/>
    <w:rsid w:val="00AE4804"/>
    <w:rsid w:val="00AE4DF8"/>
    <w:rsid w:val="00AE4E0E"/>
    <w:rsid w:val="00AE4FE8"/>
    <w:rsid w:val="00AE5426"/>
    <w:rsid w:val="00AE6093"/>
    <w:rsid w:val="00AE60CD"/>
    <w:rsid w:val="00AE65D3"/>
    <w:rsid w:val="00AE689D"/>
    <w:rsid w:val="00AE6C75"/>
    <w:rsid w:val="00AE6D6A"/>
    <w:rsid w:val="00AE6EC7"/>
    <w:rsid w:val="00AE708F"/>
    <w:rsid w:val="00AE71D8"/>
    <w:rsid w:val="00AE72C5"/>
    <w:rsid w:val="00AE7521"/>
    <w:rsid w:val="00AE77B2"/>
    <w:rsid w:val="00AE7E53"/>
    <w:rsid w:val="00AE7EA0"/>
    <w:rsid w:val="00AE7FC0"/>
    <w:rsid w:val="00AF0055"/>
    <w:rsid w:val="00AF0300"/>
    <w:rsid w:val="00AF030E"/>
    <w:rsid w:val="00AF04CE"/>
    <w:rsid w:val="00AF093A"/>
    <w:rsid w:val="00AF0C41"/>
    <w:rsid w:val="00AF0E29"/>
    <w:rsid w:val="00AF1315"/>
    <w:rsid w:val="00AF191E"/>
    <w:rsid w:val="00AF19BF"/>
    <w:rsid w:val="00AF19CB"/>
    <w:rsid w:val="00AF1E97"/>
    <w:rsid w:val="00AF202F"/>
    <w:rsid w:val="00AF210C"/>
    <w:rsid w:val="00AF2203"/>
    <w:rsid w:val="00AF220D"/>
    <w:rsid w:val="00AF24AB"/>
    <w:rsid w:val="00AF267C"/>
    <w:rsid w:val="00AF28ED"/>
    <w:rsid w:val="00AF2A3D"/>
    <w:rsid w:val="00AF2B89"/>
    <w:rsid w:val="00AF2DC3"/>
    <w:rsid w:val="00AF3681"/>
    <w:rsid w:val="00AF3C0C"/>
    <w:rsid w:val="00AF425F"/>
    <w:rsid w:val="00AF443D"/>
    <w:rsid w:val="00AF44B0"/>
    <w:rsid w:val="00AF4ABF"/>
    <w:rsid w:val="00AF5306"/>
    <w:rsid w:val="00AF5961"/>
    <w:rsid w:val="00AF60BC"/>
    <w:rsid w:val="00AF60CB"/>
    <w:rsid w:val="00AF6782"/>
    <w:rsid w:val="00AF67FD"/>
    <w:rsid w:val="00AF6AF9"/>
    <w:rsid w:val="00AF6BAD"/>
    <w:rsid w:val="00AF7ABA"/>
    <w:rsid w:val="00B00027"/>
    <w:rsid w:val="00B005D0"/>
    <w:rsid w:val="00B009FE"/>
    <w:rsid w:val="00B00BB9"/>
    <w:rsid w:val="00B00BE3"/>
    <w:rsid w:val="00B0127F"/>
    <w:rsid w:val="00B01610"/>
    <w:rsid w:val="00B016E3"/>
    <w:rsid w:val="00B01B7A"/>
    <w:rsid w:val="00B01F79"/>
    <w:rsid w:val="00B02367"/>
    <w:rsid w:val="00B02CAE"/>
    <w:rsid w:val="00B02EC9"/>
    <w:rsid w:val="00B02EEB"/>
    <w:rsid w:val="00B03377"/>
    <w:rsid w:val="00B033E5"/>
    <w:rsid w:val="00B03A63"/>
    <w:rsid w:val="00B03F9F"/>
    <w:rsid w:val="00B03FA6"/>
    <w:rsid w:val="00B04434"/>
    <w:rsid w:val="00B045E2"/>
    <w:rsid w:val="00B045EB"/>
    <w:rsid w:val="00B04A65"/>
    <w:rsid w:val="00B05F01"/>
    <w:rsid w:val="00B06166"/>
    <w:rsid w:val="00B06347"/>
    <w:rsid w:val="00B064D0"/>
    <w:rsid w:val="00B066A6"/>
    <w:rsid w:val="00B068A4"/>
    <w:rsid w:val="00B068AF"/>
    <w:rsid w:val="00B06E5F"/>
    <w:rsid w:val="00B06FFE"/>
    <w:rsid w:val="00B10248"/>
    <w:rsid w:val="00B104E7"/>
    <w:rsid w:val="00B10522"/>
    <w:rsid w:val="00B1063A"/>
    <w:rsid w:val="00B10854"/>
    <w:rsid w:val="00B10992"/>
    <w:rsid w:val="00B113E5"/>
    <w:rsid w:val="00B115FA"/>
    <w:rsid w:val="00B11991"/>
    <w:rsid w:val="00B11A43"/>
    <w:rsid w:val="00B11B9A"/>
    <w:rsid w:val="00B11DDB"/>
    <w:rsid w:val="00B121EF"/>
    <w:rsid w:val="00B12268"/>
    <w:rsid w:val="00B12567"/>
    <w:rsid w:val="00B125F7"/>
    <w:rsid w:val="00B12667"/>
    <w:rsid w:val="00B129A4"/>
    <w:rsid w:val="00B12B71"/>
    <w:rsid w:val="00B12CB2"/>
    <w:rsid w:val="00B12D74"/>
    <w:rsid w:val="00B13CE4"/>
    <w:rsid w:val="00B13DBE"/>
    <w:rsid w:val="00B1402E"/>
    <w:rsid w:val="00B143CC"/>
    <w:rsid w:val="00B143CF"/>
    <w:rsid w:val="00B14443"/>
    <w:rsid w:val="00B147EB"/>
    <w:rsid w:val="00B14FDD"/>
    <w:rsid w:val="00B152CA"/>
    <w:rsid w:val="00B1600C"/>
    <w:rsid w:val="00B1638F"/>
    <w:rsid w:val="00B16542"/>
    <w:rsid w:val="00B16C07"/>
    <w:rsid w:val="00B178C2"/>
    <w:rsid w:val="00B17E29"/>
    <w:rsid w:val="00B201A4"/>
    <w:rsid w:val="00B201D1"/>
    <w:rsid w:val="00B2063C"/>
    <w:rsid w:val="00B207CE"/>
    <w:rsid w:val="00B20852"/>
    <w:rsid w:val="00B20BF8"/>
    <w:rsid w:val="00B21128"/>
    <w:rsid w:val="00B213A6"/>
    <w:rsid w:val="00B21557"/>
    <w:rsid w:val="00B217E1"/>
    <w:rsid w:val="00B21969"/>
    <w:rsid w:val="00B21C95"/>
    <w:rsid w:val="00B228A1"/>
    <w:rsid w:val="00B228AD"/>
    <w:rsid w:val="00B22F05"/>
    <w:rsid w:val="00B232C7"/>
    <w:rsid w:val="00B2346B"/>
    <w:rsid w:val="00B235B0"/>
    <w:rsid w:val="00B235D0"/>
    <w:rsid w:val="00B236C8"/>
    <w:rsid w:val="00B23EDD"/>
    <w:rsid w:val="00B24017"/>
    <w:rsid w:val="00B246FE"/>
    <w:rsid w:val="00B248F4"/>
    <w:rsid w:val="00B24C87"/>
    <w:rsid w:val="00B24DF6"/>
    <w:rsid w:val="00B253EA"/>
    <w:rsid w:val="00B25B26"/>
    <w:rsid w:val="00B25BDA"/>
    <w:rsid w:val="00B25DC3"/>
    <w:rsid w:val="00B25E72"/>
    <w:rsid w:val="00B26103"/>
    <w:rsid w:val="00B26495"/>
    <w:rsid w:val="00B2676D"/>
    <w:rsid w:val="00B26C3E"/>
    <w:rsid w:val="00B26EF0"/>
    <w:rsid w:val="00B2756A"/>
    <w:rsid w:val="00B27787"/>
    <w:rsid w:val="00B2787B"/>
    <w:rsid w:val="00B27A61"/>
    <w:rsid w:val="00B27AEF"/>
    <w:rsid w:val="00B27C3F"/>
    <w:rsid w:val="00B27E22"/>
    <w:rsid w:val="00B27E36"/>
    <w:rsid w:val="00B30014"/>
    <w:rsid w:val="00B304A3"/>
    <w:rsid w:val="00B30567"/>
    <w:rsid w:val="00B305B6"/>
    <w:rsid w:val="00B3096C"/>
    <w:rsid w:val="00B30B26"/>
    <w:rsid w:val="00B30BF6"/>
    <w:rsid w:val="00B30C1E"/>
    <w:rsid w:val="00B30CCD"/>
    <w:rsid w:val="00B3149D"/>
    <w:rsid w:val="00B31B4D"/>
    <w:rsid w:val="00B31FB5"/>
    <w:rsid w:val="00B32274"/>
    <w:rsid w:val="00B3228B"/>
    <w:rsid w:val="00B327A4"/>
    <w:rsid w:val="00B32C61"/>
    <w:rsid w:val="00B33644"/>
    <w:rsid w:val="00B337C5"/>
    <w:rsid w:val="00B33C22"/>
    <w:rsid w:val="00B33C72"/>
    <w:rsid w:val="00B33D04"/>
    <w:rsid w:val="00B33DE8"/>
    <w:rsid w:val="00B33E07"/>
    <w:rsid w:val="00B34130"/>
    <w:rsid w:val="00B344A6"/>
    <w:rsid w:val="00B3481A"/>
    <w:rsid w:val="00B348AD"/>
    <w:rsid w:val="00B34A32"/>
    <w:rsid w:val="00B34B7B"/>
    <w:rsid w:val="00B34C9F"/>
    <w:rsid w:val="00B34E2D"/>
    <w:rsid w:val="00B34FE2"/>
    <w:rsid w:val="00B35131"/>
    <w:rsid w:val="00B35166"/>
    <w:rsid w:val="00B352E9"/>
    <w:rsid w:val="00B35438"/>
    <w:rsid w:val="00B3568F"/>
    <w:rsid w:val="00B357D8"/>
    <w:rsid w:val="00B3586F"/>
    <w:rsid w:val="00B358F8"/>
    <w:rsid w:val="00B35BE0"/>
    <w:rsid w:val="00B360F4"/>
    <w:rsid w:val="00B3664E"/>
    <w:rsid w:val="00B36961"/>
    <w:rsid w:val="00B36A00"/>
    <w:rsid w:val="00B36C72"/>
    <w:rsid w:val="00B3721A"/>
    <w:rsid w:val="00B372F6"/>
    <w:rsid w:val="00B3753A"/>
    <w:rsid w:val="00B377DC"/>
    <w:rsid w:val="00B3792B"/>
    <w:rsid w:val="00B37AA9"/>
    <w:rsid w:val="00B37BFC"/>
    <w:rsid w:val="00B402D4"/>
    <w:rsid w:val="00B40358"/>
    <w:rsid w:val="00B40542"/>
    <w:rsid w:val="00B408E0"/>
    <w:rsid w:val="00B40A9B"/>
    <w:rsid w:val="00B40E87"/>
    <w:rsid w:val="00B41308"/>
    <w:rsid w:val="00B4157E"/>
    <w:rsid w:val="00B41614"/>
    <w:rsid w:val="00B4210C"/>
    <w:rsid w:val="00B42317"/>
    <w:rsid w:val="00B42851"/>
    <w:rsid w:val="00B42A2B"/>
    <w:rsid w:val="00B42BB0"/>
    <w:rsid w:val="00B42C0D"/>
    <w:rsid w:val="00B42EA4"/>
    <w:rsid w:val="00B42F5C"/>
    <w:rsid w:val="00B42F80"/>
    <w:rsid w:val="00B435CB"/>
    <w:rsid w:val="00B43A13"/>
    <w:rsid w:val="00B43A3C"/>
    <w:rsid w:val="00B43AEF"/>
    <w:rsid w:val="00B44464"/>
    <w:rsid w:val="00B444A9"/>
    <w:rsid w:val="00B44CC1"/>
    <w:rsid w:val="00B44D6A"/>
    <w:rsid w:val="00B44FCA"/>
    <w:rsid w:val="00B450C2"/>
    <w:rsid w:val="00B45278"/>
    <w:rsid w:val="00B4559C"/>
    <w:rsid w:val="00B46010"/>
    <w:rsid w:val="00B46134"/>
    <w:rsid w:val="00B465EC"/>
    <w:rsid w:val="00B46624"/>
    <w:rsid w:val="00B46B37"/>
    <w:rsid w:val="00B46F37"/>
    <w:rsid w:val="00B476F1"/>
    <w:rsid w:val="00B4778D"/>
    <w:rsid w:val="00B47B16"/>
    <w:rsid w:val="00B47CA4"/>
    <w:rsid w:val="00B50165"/>
    <w:rsid w:val="00B50293"/>
    <w:rsid w:val="00B505C8"/>
    <w:rsid w:val="00B507FC"/>
    <w:rsid w:val="00B509EE"/>
    <w:rsid w:val="00B50DB8"/>
    <w:rsid w:val="00B50E41"/>
    <w:rsid w:val="00B50F5D"/>
    <w:rsid w:val="00B51893"/>
    <w:rsid w:val="00B51A5A"/>
    <w:rsid w:val="00B51AF8"/>
    <w:rsid w:val="00B51BC3"/>
    <w:rsid w:val="00B520B6"/>
    <w:rsid w:val="00B52109"/>
    <w:rsid w:val="00B52148"/>
    <w:rsid w:val="00B5238A"/>
    <w:rsid w:val="00B5261D"/>
    <w:rsid w:val="00B52C38"/>
    <w:rsid w:val="00B53236"/>
    <w:rsid w:val="00B53654"/>
    <w:rsid w:val="00B53905"/>
    <w:rsid w:val="00B53F1D"/>
    <w:rsid w:val="00B541F6"/>
    <w:rsid w:val="00B54418"/>
    <w:rsid w:val="00B5450D"/>
    <w:rsid w:val="00B546DB"/>
    <w:rsid w:val="00B54710"/>
    <w:rsid w:val="00B54B5B"/>
    <w:rsid w:val="00B54BC4"/>
    <w:rsid w:val="00B54C7B"/>
    <w:rsid w:val="00B5562E"/>
    <w:rsid w:val="00B55862"/>
    <w:rsid w:val="00B55B16"/>
    <w:rsid w:val="00B55C51"/>
    <w:rsid w:val="00B55D65"/>
    <w:rsid w:val="00B5600F"/>
    <w:rsid w:val="00B5609F"/>
    <w:rsid w:val="00B561D5"/>
    <w:rsid w:val="00B56277"/>
    <w:rsid w:val="00B562F6"/>
    <w:rsid w:val="00B56305"/>
    <w:rsid w:val="00B568BF"/>
    <w:rsid w:val="00B5690A"/>
    <w:rsid w:val="00B56BD3"/>
    <w:rsid w:val="00B56BF5"/>
    <w:rsid w:val="00B56CFE"/>
    <w:rsid w:val="00B57000"/>
    <w:rsid w:val="00B5723C"/>
    <w:rsid w:val="00B57897"/>
    <w:rsid w:val="00B57D0B"/>
    <w:rsid w:val="00B57F41"/>
    <w:rsid w:val="00B60040"/>
    <w:rsid w:val="00B60080"/>
    <w:rsid w:val="00B60090"/>
    <w:rsid w:val="00B606ED"/>
    <w:rsid w:val="00B607F0"/>
    <w:rsid w:val="00B60939"/>
    <w:rsid w:val="00B60AFD"/>
    <w:rsid w:val="00B60C88"/>
    <w:rsid w:val="00B60DD1"/>
    <w:rsid w:val="00B61031"/>
    <w:rsid w:val="00B61389"/>
    <w:rsid w:val="00B6183F"/>
    <w:rsid w:val="00B618CE"/>
    <w:rsid w:val="00B61DC2"/>
    <w:rsid w:val="00B62715"/>
    <w:rsid w:val="00B62C46"/>
    <w:rsid w:val="00B62E15"/>
    <w:rsid w:val="00B63589"/>
    <w:rsid w:val="00B6369F"/>
    <w:rsid w:val="00B6384C"/>
    <w:rsid w:val="00B638EF"/>
    <w:rsid w:val="00B63D7E"/>
    <w:rsid w:val="00B63F75"/>
    <w:rsid w:val="00B64BF5"/>
    <w:rsid w:val="00B65611"/>
    <w:rsid w:val="00B65692"/>
    <w:rsid w:val="00B659FA"/>
    <w:rsid w:val="00B65BB1"/>
    <w:rsid w:val="00B65DD7"/>
    <w:rsid w:val="00B66502"/>
    <w:rsid w:val="00B6652E"/>
    <w:rsid w:val="00B666C7"/>
    <w:rsid w:val="00B66939"/>
    <w:rsid w:val="00B66B20"/>
    <w:rsid w:val="00B67237"/>
    <w:rsid w:val="00B67331"/>
    <w:rsid w:val="00B6741F"/>
    <w:rsid w:val="00B67AAD"/>
    <w:rsid w:val="00B67D2F"/>
    <w:rsid w:val="00B67D7C"/>
    <w:rsid w:val="00B67FC9"/>
    <w:rsid w:val="00B70000"/>
    <w:rsid w:val="00B70106"/>
    <w:rsid w:val="00B701E8"/>
    <w:rsid w:val="00B70290"/>
    <w:rsid w:val="00B70AC1"/>
    <w:rsid w:val="00B70E8E"/>
    <w:rsid w:val="00B71310"/>
    <w:rsid w:val="00B718C4"/>
    <w:rsid w:val="00B71B85"/>
    <w:rsid w:val="00B71CC9"/>
    <w:rsid w:val="00B71F77"/>
    <w:rsid w:val="00B720AF"/>
    <w:rsid w:val="00B72114"/>
    <w:rsid w:val="00B72205"/>
    <w:rsid w:val="00B72306"/>
    <w:rsid w:val="00B7298B"/>
    <w:rsid w:val="00B729CD"/>
    <w:rsid w:val="00B7337D"/>
    <w:rsid w:val="00B737F3"/>
    <w:rsid w:val="00B7391B"/>
    <w:rsid w:val="00B73BA5"/>
    <w:rsid w:val="00B74461"/>
    <w:rsid w:val="00B745D2"/>
    <w:rsid w:val="00B746B9"/>
    <w:rsid w:val="00B74B22"/>
    <w:rsid w:val="00B752B5"/>
    <w:rsid w:val="00B75472"/>
    <w:rsid w:val="00B75482"/>
    <w:rsid w:val="00B756F8"/>
    <w:rsid w:val="00B75FFA"/>
    <w:rsid w:val="00B761EB"/>
    <w:rsid w:val="00B76C92"/>
    <w:rsid w:val="00B76F98"/>
    <w:rsid w:val="00B77177"/>
    <w:rsid w:val="00B7731D"/>
    <w:rsid w:val="00B77648"/>
    <w:rsid w:val="00B777A1"/>
    <w:rsid w:val="00B7784B"/>
    <w:rsid w:val="00B77CE1"/>
    <w:rsid w:val="00B80090"/>
    <w:rsid w:val="00B8012C"/>
    <w:rsid w:val="00B804DE"/>
    <w:rsid w:val="00B806FA"/>
    <w:rsid w:val="00B80EFD"/>
    <w:rsid w:val="00B81261"/>
    <w:rsid w:val="00B81586"/>
    <w:rsid w:val="00B81600"/>
    <w:rsid w:val="00B818A4"/>
    <w:rsid w:val="00B81A57"/>
    <w:rsid w:val="00B81C96"/>
    <w:rsid w:val="00B81D8C"/>
    <w:rsid w:val="00B81D99"/>
    <w:rsid w:val="00B81E77"/>
    <w:rsid w:val="00B81FC5"/>
    <w:rsid w:val="00B8228D"/>
    <w:rsid w:val="00B8275F"/>
    <w:rsid w:val="00B82B5F"/>
    <w:rsid w:val="00B82DD8"/>
    <w:rsid w:val="00B82E3D"/>
    <w:rsid w:val="00B834BD"/>
    <w:rsid w:val="00B83739"/>
    <w:rsid w:val="00B838DC"/>
    <w:rsid w:val="00B83B67"/>
    <w:rsid w:val="00B84117"/>
    <w:rsid w:val="00B8528E"/>
    <w:rsid w:val="00B857F8"/>
    <w:rsid w:val="00B858F0"/>
    <w:rsid w:val="00B85AA2"/>
    <w:rsid w:val="00B85C82"/>
    <w:rsid w:val="00B86416"/>
    <w:rsid w:val="00B8649C"/>
    <w:rsid w:val="00B86650"/>
    <w:rsid w:val="00B866F9"/>
    <w:rsid w:val="00B8695D"/>
    <w:rsid w:val="00B86B28"/>
    <w:rsid w:val="00B86DBD"/>
    <w:rsid w:val="00B86E38"/>
    <w:rsid w:val="00B86ED7"/>
    <w:rsid w:val="00B87663"/>
    <w:rsid w:val="00B87909"/>
    <w:rsid w:val="00B87A4A"/>
    <w:rsid w:val="00B87B21"/>
    <w:rsid w:val="00B87B92"/>
    <w:rsid w:val="00B87C62"/>
    <w:rsid w:val="00B87C68"/>
    <w:rsid w:val="00B87F0A"/>
    <w:rsid w:val="00B87F21"/>
    <w:rsid w:val="00B908E3"/>
    <w:rsid w:val="00B90C6D"/>
    <w:rsid w:val="00B90DA8"/>
    <w:rsid w:val="00B912D2"/>
    <w:rsid w:val="00B9175C"/>
    <w:rsid w:val="00B91764"/>
    <w:rsid w:val="00B91942"/>
    <w:rsid w:val="00B919C7"/>
    <w:rsid w:val="00B91C64"/>
    <w:rsid w:val="00B91D9B"/>
    <w:rsid w:val="00B92064"/>
    <w:rsid w:val="00B92163"/>
    <w:rsid w:val="00B92302"/>
    <w:rsid w:val="00B92CB3"/>
    <w:rsid w:val="00B92D0B"/>
    <w:rsid w:val="00B92D12"/>
    <w:rsid w:val="00B939FE"/>
    <w:rsid w:val="00B93A35"/>
    <w:rsid w:val="00B93A85"/>
    <w:rsid w:val="00B93C3F"/>
    <w:rsid w:val="00B93C79"/>
    <w:rsid w:val="00B93EF9"/>
    <w:rsid w:val="00B9426C"/>
    <w:rsid w:val="00B94817"/>
    <w:rsid w:val="00B94884"/>
    <w:rsid w:val="00B94945"/>
    <w:rsid w:val="00B94DD6"/>
    <w:rsid w:val="00B94E17"/>
    <w:rsid w:val="00B950EE"/>
    <w:rsid w:val="00B95561"/>
    <w:rsid w:val="00B95B02"/>
    <w:rsid w:val="00B96006"/>
    <w:rsid w:val="00B96092"/>
    <w:rsid w:val="00B96186"/>
    <w:rsid w:val="00B96703"/>
    <w:rsid w:val="00B96D57"/>
    <w:rsid w:val="00B971C8"/>
    <w:rsid w:val="00B97259"/>
    <w:rsid w:val="00B9754E"/>
    <w:rsid w:val="00B97611"/>
    <w:rsid w:val="00B977B9"/>
    <w:rsid w:val="00BA0268"/>
    <w:rsid w:val="00BA0292"/>
    <w:rsid w:val="00BA0488"/>
    <w:rsid w:val="00BA1530"/>
    <w:rsid w:val="00BA183F"/>
    <w:rsid w:val="00BA1881"/>
    <w:rsid w:val="00BA1ABD"/>
    <w:rsid w:val="00BA1C1B"/>
    <w:rsid w:val="00BA1F2E"/>
    <w:rsid w:val="00BA2759"/>
    <w:rsid w:val="00BA2ED0"/>
    <w:rsid w:val="00BA3075"/>
    <w:rsid w:val="00BA322D"/>
    <w:rsid w:val="00BA32F7"/>
    <w:rsid w:val="00BA362B"/>
    <w:rsid w:val="00BA3726"/>
    <w:rsid w:val="00BA3792"/>
    <w:rsid w:val="00BA39A1"/>
    <w:rsid w:val="00BA3D89"/>
    <w:rsid w:val="00BA3EDC"/>
    <w:rsid w:val="00BA3FEC"/>
    <w:rsid w:val="00BA4102"/>
    <w:rsid w:val="00BA43C6"/>
    <w:rsid w:val="00BA46B3"/>
    <w:rsid w:val="00BA4A46"/>
    <w:rsid w:val="00BA4ACF"/>
    <w:rsid w:val="00BA514F"/>
    <w:rsid w:val="00BA53C9"/>
    <w:rsid w:val="00BA54A2"/>
    <w:rsid w:val="00BA59AE"/>
    <w:rsid w:val="00BA5A7F"/>
    <w:rsid w:val="00BA63FA"/>
    <w:rsid w:val="00BA65F8"/>
    <w:rsid w:val="00BA6C01"/>
    <w:rsid w:val="00BA72CB"/>
    <w:rsid w:val="00BA751B"/>
    <w:rsid w:val="00BB00B3"/>
    <w:rsid w:val="00BB04A1"/>
    <w:rsid w:val="00BB04D8"/>
    <w:rsid w:val="00BB09C4"/>
    <w:rsid w:val="00BB0BDD"/>
    <w:rsid w:val="00BB0E0C"/>
    <w:rsid w:val="00BB0E89"/>
    <w:rsid w:val="00BB0FA4"/>
    <w:rsid w:val="00BB12C9"/>
    <w:rsid w:val="00BB176C"/>
    <w:rsid w:val="00BB1F1D"/>
    <w:rsid w:val="00BB1F35"/>
    <w:rsid w:val="00BB2866"/>
    <w:rsid w:val="00BB2A73"/>
    <w:rsid w:val="00BB2E5B"/>
    <w:rsid w:val="00BB3A04"/>
    <w:rsid w:val="00BB3A45"/>
    <w:rsid w:val="00BB3B4A"/>
    <w:rsid w:val="00BB3D2A"/>
    <w:rsid w:val="00BB3D35"/>
    <w:rsid w:val="00BB406C"/>
    <w:rsid w:val="00BB40C8"/>
    <w:rsid w:val="00BB420C"/>
    <w:rsid w:val="00BB4318"/>
    <w:rsid w:val="00BB43A3"/>
    <w:rsid w:val="00BB43AC"/>
    <w:rsid w:val="00BB4557"/>
    <w:rsid w:val="00BB46A8"/>
    <w:rsid w:val="00BB490E"/>
    <w:rsid w:val="00BB49A1"/>
    <w:rsid w:val="00BB4ACC"/>
    <w:rsid w:val="00BB4AD5"/>
    <w:rsid w:val="00BB4C97"/>
    <w:rsid w:val="00BB4D89"/>
    <w:rsid w:val="00BB4ED6"/>
    <w:rsid w:val="00BB5173"/>
    <w:rsid w:val="00BB51DA"/>
    <w:rsid w:val="00BB5280"/>
    <w:rsid w:val="00BB55B9"/>
    <w:rsid w:val="00BB5714"/>
    <w:rsid w:val="00BB5720"/>
    <w:rsid w:val="00BB57E4"/>
    <w:rsid w:val="00BB57F0"/>
    <w:rsid w:val="00BB5A48"/>
    <w:rsid w:val="00BB5EAF"/>
    <w:rsid w:val="00BB5F9B"/>
    <w:rsid w:val="00BB6197"/>
    <w:rsid w:val="00BB6691"/>
    <w:rsid w:val="00BB6811"/>
    <w:rsid w:val="00BB6B9D"/>
    <w:rsid w:val="00BB703E"/>
    <w:rsid w:val="00BB732D"/>
    <w:rsid w:val="00BB7405"/>
    <w:rsid w:val="00BB76BB"/>
    <w:rsid w:val="00BC0325"/>
    <w:rsid w:val="00BC07C1"/>
    <w:rsid w:val="00BC0928"/>
    <w:rsid w:val="00BC0A87"/>
    <w:rsid w:val="00BC0D04"/>
    <w:rsid w:val="00BC1554"/>
    <w:rsid w:val="00BC18B4"/>
    <w:rsid w:val="00BC1CC8"/>
    <w:rsid w:val="00BC20FC"/>
    <w:rsid w:val="00BC2D5C"/>
    <w:rsid w:val="00BC32FC"/>
    <w:rsid w:val="00BC3631"/>
    <w:rsid w:val="00BC4010"/>
    <w:rsid w:val="00BC4228"/>
    <w:rsid w:val="00BC4EC4"/>
    <w:rsid w:val="00BC517D"/>
    <w:rsid w:val="00BC519A"/>
    <w:rsid w:val="00BC5637"/>
    <w:rsid w:val="00BC56D7"/>
    <w:rsid w:val="00BC591F"/>
    <w:rsid w:val="00BC5973"/>
    <w:rsid w:val="00BC5982"/>
    <w:rsid w:val="00BC5A4C"/>
    <w:rsid w:val="00BC5DE5"/>
    <w:rsid w:val="00BC6351"/>
    <w:rsid w:val="00BC7081"/>
    <w:rsid w:val="00BC72FC"/>
    <w:rsid w:val="00BC77F4"/>
    <w:rsid w:val="00BC780F"/>
    <w:rsid w:val="00BC7870"/>
    <w:rsid w:val="00BC7C0D"/>
    <w:rsid w:val="00BC7D18"/>
    <w:rsid w:val="00BC7D6D"/>
    <w:rsid w:val="00BC7F08"/>
    <w:rsid w:val="00BC7F3F"/>
    <w:rsid w:val="00BD00A2"/>
    <w:rsid w:val="00BD00CE"/>
    <w:rsid w:val="00BD04DE"/>
    <w:rsid w:val="00BD08D6"/>
    <w:rsid w:val="00BD08F1"/>
    <w:rsid w:val="00BD09C2"/>
    <w:rsid w:val="00BD0B3B"/>
    <w:rsid w:val="00BD0ED0"/>
    <w:rsid w:val="00BD1127"/>
    <w:rsid w:val="00BD1172"/>
    <w:rsid w:val="00BD1A5D"/>
    <w:rsid w:val="00BD1CDD"/>
    <w:rsid w:val="00BD1E6A"/>
    <w:rsid w:val="00BD2108"/>
    <w:rsid w:val="00BD2141"/>
    <w:rsid w:val="00BD2345"/>
    <w:rsid w:val="00BD24D6"/>
    <w:rsid w:val="00BD2A06"/>
    <w:rsid w:val="00BD2DDB"/>
    <w:rsid w:val="00BD300E"/>
    <w:rsid w:val="00BD3030"/>
    <w:rsid w:val="00BD31F7"/>
    <w:rsid w:val="00BD33EE"/>
    <w:rsid w:val="00BD3705"/>
    <w:rsid w:val="00BD3F9D"/>
    <w:rsid w:val="00BD457F"/>
    <w:rsid w:val="00BD4733"/>
    <w:rsid w:val="00BD4A5F"/>
    <w:rsid w:val="00BD4A92"/>
    <w:rsid w:val="00BD4D2C"/>
    <w:rsid w:val="00BD559F"/>
    <w:rsid w:val="00BD5B5D"/>
    <w:rsid w:val="00BD5C8D"/>
    <w:rsid w:val="00BD62E7"/>
    <w:rsid w:val="00BD6784"/>
    <w:rsid w:val="00BD6817"/>
    <w:rsid w:val="00BD68A3"/>
    <w:rsid w:val="00BD6938"/>
    <w:rsid w:val="00BD6CF3"/>
    <w:rsid w:val="00BD72A7"/>
    <w:rsid w:val="00BD75B1"/>
    <w:rsid w:val="00BD76A0"/>
    <w:rsid w:val="00BD799F"/>
    <w:rsid w:val="00BD7A3A"/>
    <w:rsid w:val="00BD7BB2"/>
    <w:rsid w:val="00BD7C24"/>
    <w:rsid w:val="00BD7C9F"/>
    <w:rsid w:val="00BD7DF9"/>
    <w:rsid w:val="00BD7F72"/>
    <w:rsid w:val="00BE04F9"/>
    <w:rsid w:val="00BE0AFA"/>
    <w:rsid w:val="00BE0E3E"/>
    <w:rsid w:val="00BE0ECA"/>
    <w:rsid w:val="00BE1461"/>
    <w:rsid w:val="00BE1544"/>
    <w:rsid w:val="00BE1ECF"/>
    <w:rsid w:val="00BE2074"/>
    <w:rsid w:val="00BE2180"/>
    <w:rsid w:val="00BE21F2"/>
    <w:rsid w:val="00BE24D5"/>
    <w:rsid w:val="00BE26FC"/>
    <w:rsid w:val="00BE280A"/>
    <w:rsid w:val="00BE2877"/>
    <w:rsid w:val="00BE28C5"/>
    <w:rsid w:val="00BE28CA"/>
    <w:rsid w:val="00BE30B7"/>
    <w:rsid w:val="00BE30F6"/>
    <w:rsid w:val="00BE32AA"/>
    <w:rsid w:val="00BE3669"/>
    <w:rsid w:val="00BE3769"/>
    <w:rsid w:val="00BE3B46"/>
    <w:rsid w:val="00BE3BD7"/>
    <w:rsid w:val="00BE4275"/>
    <w:rsid w:val="00BE431C"/>
    <w:rsid w:val="00BE446C"/>
    <w:rsid w:val="00BE4963"/>
    <w:rsid w:val="00BE4D7D"/>
    <w:rsid w:val="00BE5033"/>
    <w:rsid w:val="00BE5BA6"/>
    <w:rsid w:val="00BE5CE6"/>
    <w:rsid w:val="00BE66CF"/>
    <w:rsid w:val="00BE6735"/>
    <w:rsid w:val="00BE70B9"/>
    <w:rsid w:val="00BE7B0E"/>
    <w:rsid w:val="00BF0353"/>
    <w:rsid w:val="00BF046F"/>
    <w:rsid w:val="00BF047A"/>
    <w:rsid w:val="00BF06AE"/>
    <w:rsid w:val="00BF09D7"/>
    <w:rsid w:val="00BF0B79"/>
    <w:rsid w:val="00BF0F95"/>
    <w:rsid w:val="00BF149A"/>
    <w:rsid w:val="00BF15A1"/>
    <w:rsid w:val="00BF1669"/>
    <w:rsid w:val="00BF1781"/>
    <w:rsid w:val="00BF2147"/>
    <w:rsid w:val="00BF23EA"/>
    <w:rsid w:val="00BF2433"/>
    <w:rsid w:val="00BF2609"/>
    <w:rsid w:val="00BF2680"/>
    <w:rsid w:val="00BF2D08"/>
    <w:rsid w:val="00BF2E6E"/>
    <w:rsid w:val="00BF2EEA"/>
    <w:rsid w:val="00BF2EF7"/>
    <w:rsid w:val="00BF3213"/>
    <w:rsid w:val="00BF3340"/>
    <w:rsid w:val="00BF3A5A"/>
    <w:rsid w:val="00BF3D13"/>
    <w:rsid w:val="00BF4008"/>
    <w:rsid w:val="00BF4066"/>
    <w:rsid w:val="00BF40CE"/>
    <w:rsid w:val="00BF42C5"/>
    <w:rsid w:val="00BF53AC"/>
    <w:rsid w:val="00BF597D"/>
    <w:rsid w:val="00BF5A0E"/>
    <w:rsid w:val="00BF5A29"/>
    <w:rsid w:val="00BF60D4"/>
    <w:rsid w:val="00BF61C9"/>
    <w:rsid w:val="00BF63FF"/>
    <w:rsid w:val="00BF66C9"/>
    <w:rsid w:val="00BF686B"/>
    <w:rsid w:val="00BF6A68"/>
    <w:rsid w:val="00BF6C94"/>
    <w:rsid w:val="00BF6DF2"/>
    <w:rsid w:val="00BF7256"/>
    <w:rsid w:val="00BF7DAC"/>
    <w:rsid w:val="00BF7FAB"/>
    <w:rsid w:val="00C000B1"/>
    <w:rsid w:val="00C0040C"/>
    <w:rsid w:val="00C00424"/>
    <w:rsid w:val="00C004A3"/>
    <w:rsid w:val="00C005CB"/>
    <w:rsid w:val="00C0083C"/>
    <w:rsid w:val="00C00B9B"/>
    <w:rsid w:val="00C00BB0"/>
    <w:rsid w:val="00C01360"/>
    <w:rsid w:val="00C0169C"/>
    <w:rsid w:val="00C017D1"/>
    <w:rsid w:val="00C0191B"/>
    <w:rsid w:val="00C01AAC"/>
    <w:rsid w:val="00C01BC8"/>
    <w:rsid w:val="00C01C97"/>
    <w:rsid w:val="00C01CCC"/>
    <w:rsid w:val="00C01D15"/>
    <w:rsid w:val="00C01E77"/>
    <w:rsid w:val="00C01E86"/>
    <w:rsid w:val="00C01F32"/>
    <w:rsid w:val="00C01FA9"/>
    <w:rsid w:val="00C020D6"/>
    <w:rsid w:val="00C02127"/>
    <w:rsid w:val="00C02229"/>
    <w:rsid w:val="00C02275"/>
    <w:rsid w:val="00C022A6"/>
    <w:rsid w:val="00C02A83"/>
    <w:rsid w:val="00C030E2"/>
    <w:rsid w:val="00C03478"/>
    <w:rsid w:val="00C03B95"/>
    <w:rsid w:val="00C03C65"/>
    <w:rsid w:val="00C03EDA"/>
    <w:rsid w:val="00C0421B"/>
    <w:rsid w:val="00C04684"/>
    <w:rsid w:val="00C04765"/>
    <w:rsid w:val="00C04CA7"/>
    <w:rsid w:val="00C04FDA"/>
    <w:rsid w:val="00C053CD"/>
    <w:rsid w:val="00C05483"/>
    <w:rsid w:val="00C0569F"/>
    <w:rsid w:val="00C0677B"/>
    <w:rsid w:val="00C06F53"/>
    <w:rsid w:val="00C07262"/>
    <w:rsid w:val="00C075D7"/>
    <w:rsid w:val="00C07864"/>
    <w:rsid w:val="00C07B33"/>
    <w:rsid w:val="00C07B9D"/>
    <w:rsid w:val="00C07E7D"/>
    <w:rsid w:val="00C10687"/>
    <w:rsid w:val="00C10B0E"/>
    <w:rsid w:val="00C10E6C"/>
    <w:rsid w:val="00C11166"/>
    <w:rsid w:val="00C11411"/>
    <w:rsid w:val="00C1179F"/>
    <w:rsid w:val="00C11D7B"/>
    <w:rsid w:val="00C11ED7"/>
    <w:rsid w:val="00C11F7F"/>
    <w:rsid w:val="00C125CB"/>
    <w:rsid w:val="00C12666"/>
    <w:rsid w:val="00C127B9"/>
    <w:rsid w:val="00C128FA"/>
    <w:rsid w:val="00C12AB5"/>
    <w:rsid w:val="00C12C14"/>
    <w:rsid w:val="00C12E05"/>
    <w:rsid w:val="00C12E30"/>
    <w:rsid w:val="00C12F4D"/>
    <w:rsid w:val="00C13492"/>
    <w:rsid w:val="00C13976"/>
    <w:rsid w:val="00C13B66"/>
    <w:rsid w:val="00C13C05"/>
    <w:rsid w:val="00C13ED8"/>
    <w:rsid w:val="00C1411F"/>
    <w:rsid w:val="00C14159"/>
    <w:rsid w:val="00C14CA1"/>
    <w:rsid w:val="00C150C3"/>
    <w:rsid w:val="00C15536"/>
    <w:rsid w:val="00C15588"/>
    <w:rsid w:val="00C155C3"/>
    <w:rsid w:val="00C15731"/>
    <w:rsid w:val="00C15B1F"/>
    <w:rsid w:val="00C15B55"/>
    <w:rsid w:val="00C15C91"/>
    <w:rsid w:val="00C15E0C"/>
    <w:rsid w:val="00C15E50"/>
    <w:rsid w:val="00C15F04"/>
    <w:rsid w:val="00C168E3"/>
    <w:rsid w:val="00C16B41"/>
    <w:rsid w:val="00C16D8C"/>
    <w:rsid w:val="00C174E0"/>
    <w:rsid w:val="00C175B7"/>
    <w:rsid w:val="00C17764"/>
    <w:rsid w:val="00C179B3"/>
    <w:rsid w:val="00C17A28"/>
    <w:rsid w:val="00C17D10"/>
    <w:rsid w:val="00C17D97"/>
    <w:rsid w:val="00C17E3F"/>
    <w:rsid w:val="00C17F11"/>
    <w:rsid w:val="00C200AA"/>
    <w:rsid w:val="00C20304"/>
    <w:rsid w:val="00C207AF"/>
    <w:rsid w:val="00C20ABB"/>
    <w:rsid w:val="00C20B06"/>
    <w:rsid w:val="00C20EE7"/>
    <w:rsid w:val="00C214AB"/>
    <w:rsid w:val="00C21A7A"/>
    <w:rsid w:val="00C21EFE"/>
    <w:rsid w:val="00C2229D"/>
    <w:rsid w:val="00C223E5"/>
    <w:rsid w:val="00C22716"/>
    <w:rsid w:val="00C227F7"/>
    <w:rsid w:val="00C22A1E"/>
    <w:rsid w:val="00C23480"/>
    <w:rsid w:val="00C237ED"/>
    <w:rsid w:val="00C23875"/>
    <w:rsid w:val="00C23BE2"/>
    <w:rsid w:val="00C23D28"/>
    <w:rsid w:val="00C23D77"/>
    <w:rsid w:val="00C244C3"/>
    <w:rsid w:val="00C244EA"/>
    <w:rsid w:val="00C24632"/>
    <w:rsid w:val="00C24BA8"/>
    <w:rsid w:val="00C24E74"/>
    <w:rsid w:val="00C252D2"/>
    <w:rsid w:val="00C25418"/>
    <w:rsid w:val="00C2574D"/>
    <w:rsid w:val="00C25A47"/>
    <w:rsid w:val="00C25C7B"/>
    <w:rsid w:val="00C25D9C"/>
    <w:rsid w:val="00C25FF3"/>
    <w:rsid w:val="00C262C5"/>
    <w:rsid w:val="00C26331"/>
    <w:rsid w:val="00C264E5"/>
    <w:rsid w:val="00C265C0"/>
    <w:rsid w:val="00C266DF"/>
    <w:rsid w:val="00C26C25"/>
    <w:rsid w:val="00C26F88"/>
    <w:rsid w:val="00C272CF"/>
    <w:rsid w:val="00C2778B"/>
    <w:rsid w:val="00C2785B"/>
    <w:rsid w:val="00C27A6E"/>
    <w:rsid w:val="00C27FDF"/>
    <w:rsid w:val="00C30125"/>
    <w:rsid w:val="00C30141"/>
    <w:rsid w:val="00C305F5"/>
    <w:rsid w:val="00C30793"/>
    <w:rsid w:val="00C3090B"/>
    <w:rsid w:val="00C30BA7"/>
    <w:rsid w:val="00C31071"/>
    <w:rsid w:val="00C31357"/>
    <w:rsid w:val="00C31649"/>
    <w:rsid w:val="00C317F4"/>
    <w:rsid w:val="00C31D6F"/>
    <w:rsid w:val="00C31E23"/>
    <w:rsid w:val="00C3209C"/>
    <w:rsid w:val="00C32254"/>
    <w:rsid w:val="00C32398"/>
    <w:rsid w:val="00C323BD"/>
    <w:rsid w:val="00C32675"/>
    <w:rsid w:val="00C32AB2"/>
    <w:rsid w:val="00C32B58"/>
    <w:rsid w:val="00C33055"/>
    <w:rsid w:val="00C330A7"/>
    <w:rsid w:val="00C33447"/>
    <w:rsid w:val="00C336AC"/>
    <w:rsid w:val="00C33B23"/>
    <w:rsid w:val="00C33BD1"/>
    <w:rsid w:val="00C3434C"/>
    <w:rsid w:val="00C344E9"/>
    <w:rsid w:val="00C3477B"/>
    <w:rsid w:val="00C34998"/>
    <w:rsid w:val="00C34E33"/>
    <w:rsid w:val="00C35033"/>
    <w:rsid w:val="00C35ACA"/>
    <w:rsid w:val="00C35D71"/>
    <w:rsid w:val="00C35E06"/>
    <w:rsid w:val="00C3610F"/>
    <w:rsid w:val="00C362B2"/>
    <w:rsid w:val="00C36568"/>
    <w:rsid w:val="00C367A1"/>
    <w:rsid w:val="00C3691B"/>
    <w:rsid w:val="00C36AA7"/>
    <w:rsid w:val="00C36AC4"/>
    <w:rsid w:val="00C36EA0"/>
    <w:rsid w:val="00C36F52"/>
    <w:rsid w:val="00C3754B"/>
    <w:rsid w:val="00C37727"/>
    <w:rsid w:val="00C3778B"/>
    <w:rsid w:val="00C37C1A"/>
    <w:rsid w:val="00C37CC1"/>
    <w:rsid w:val="00C40385"/>
    <w:rsid w:val="00C406BA"/>
    <w:rsid w:val="00C40730"/>
    <w:rsid w:val="00C40CA4"/>
    <w:rsid w:val="00C40D7F"/>
    <w:rsid w:val="00C41024"/>
    <w:rsid w:val="00C415ED"/>
    <w:rsid w:val="00C4163D"/>
    <w:rsid w:val="00C41732"/>
    <w:rsid w:val="00C41768"/>
    <w:rsid w:val="00C41AE3"/>
    <w:rsid w:val="00C41B23"/>
    <w:rsid w:val="00C41B6B"/>
    <w:rsid w:val="00C42B2C"/>
    <w:rsid w:val="00C431F1"/>
    <w:rsid w:val="00C43777"/>
    <w:rsid w:val="00C43D42"/>
    <w:rsid w:val="00C43D54"/>
    <w:rsid w:val="00C43DC1"/>
    <w:rsid w:val="00C44419"/>
    <w:rsid w:val="00C44543"/>
    <w:rsid w:val="00C448E2"/>
    <w:rsid w:val="00C45172"/>
    <w:rsid w:val="00C4530B"/>
    <w:rsid w:val="00C45A11"/>
    <w:rsid w:val="00C45DF3"/>
    <w:rsid w:val="00C46709"/>
    <w:rsid w:val="00C46788"/>
    <w:rsid w:val="00C468FF"/>
    <w:rsid w:val="00C46DC3"/>
    <w:rsid w:val="00C46EFF"/>
    <w:rsid w:val="00C46FA1"/>
    <w:rsid w:val="00C470D5"/>
    <w:rsid w:val="00C475AA"/>
    <w:rsid w:val="00C4765D"/>
    <w:rsid w:val="00C47895"/>
    <w:rsid w:val="00C47B96"/>
    <w:rsid w:val="00C47C39"/>
    <w:rsid w:val="00C5004C"/>
    <w:rsid w:val="00C50BD4"/>
    <w:rsid w:val="00C50D1D"/>
    <w:rsid w:val="00C51085"/>
    <w:rsid w:val="00C513C3"/>
    <w:rsid w:val="00C51425"/>
    <w:rsid w:val="00C51637"/>
    <w:rsid w:val="00C5169A"/>
    <w:rsid w:val="00C51756"/>
    <w:rsid w:val="00C51A1E"/>
    <w:rsid w:val="00C51CCF"/>
    <w:rsid w:val="00C51F12"/>
    <w:rsid w:val="00C52463"/>
    <w:rsid w:val="00C527C7"/>
    <w:rsid w:val="00C52DE9"/>
    <w:rsid w:val="00C53130"/>
    <w:rsid w:val="00C5323B"/>
    <w:rsid w:val="00C53429"/>
    <w:rsid w:val="00C53738"/>
    <w:rsid w:val="00C53C98"/>
    <w:rsid w:val="00C547B6"/>
    <w:rsid w:val="00C5489B"/>
    <w:rsid w:val="00C54A55"/>
    <w:rsid w:val="00C555DE"/>
    <w:rsid w:val="00C55702"/>
    <w:rsid w:val="00C557B3"/>
    <w:rsid w:val="00C5584A"/>
    <w:rsid w:val="00C55A60"/>
    <w:rsid w:val="00C56068"/>
    <w:rsid w:val="00C56133"/>
    <w:rsid w:val="00C56497"/>
    <w:rsid w:val="00C56597"/>
    <w:rsid w:val="00C565EC"/>
    <w:rsid w:val="00C5698C"/>
    <w:rsid w:val="00C56FCF"/>
    <w:rsid w:val="00C57114"/>
    <w:rsid w:val="00C57653"/>
    <w:rsid w:val="00C57846"/>
    <w:rsid w:val="00C57B6C"/>
    <w:rsid w:val="00C604F9"/>
    <w:rsid w:val="00C60517"/>
    <w:rsid w:val="00C6067E"/>
    <w:rsid w:val="00C608D6"/>
    <w:rsid w:val="00C60A60"/>
    <w:rsid w:val="00C6111B"/>
    <w:rsid w:val="00C61236"/>
    <w:rsid w:val="00C61375"/>
    <w:rsid w:val="00C614A0"/>
    <w:rsid w:val="00C61A59"/>
    <w:rsid w:val="00C61C7E"/>
    <w:rsid w:val="00C61CA0"/>
    <w:rsid w:val="00C61E53"/>
    <w:rsid w:val="00C61EFE"/>
    <w:rsid w:val="00C61F83"/>
    <w:rsid w:val="00C6225A"/>
    <w:rsid w:val="00C628A6"/>
    <w:rsid w:val="00C62D2E"/>
    <w:rsid w:val="00C631F0"/>
    <w:rsid w:val="00C63215"/>
    <w:rsid w:val="00C636DC"/>
    <w:rsid w:val="00C63A16"/>
    <w:rsid w:val="00C63B56"/>
    <w:rsid w:val="00C63F81"/>
    <w:rsid w:val="00C64344"/>
    <w:rsid w:val="00C6446F"/>
    <w:rsid w:val="00C64671"/>
    <w:rsid w:val="00C64904"/>
    <w:rsid w:val="00C64974"/>
    <w:rsid w:val="00C64F2E"/>
    <w:rsid w:val="00C65047"/>
    <w:rsid w:val="00C6509E"/>
    <w:rsid w:val="00C65108"/>
    <w:rsid w:val="00C6538B"/>
    <w:rsid w:val="00C65527"/>
    <w:rsid w:val="00C65576"/>
    <w:rsid w:val="00C65645"/>
    <w:rsid w:val="00C65B1B"/>
    <w:rsid w:val="00C65B36"/>
    <w:rsid w:val="00C660FA"/>
    <w:rsid w:val="00C66165"/>
    <w:rsid w:val="00C6661F"/>
    <w:rsid w:val="00C669D9"/>
    <w:rsid w:val="00C6754A"/>
    <w:rsid w:val="00C677F9"/>
    <w:rsid w:val="00C7060A"/>
    <w:rsid w:val="00C70703"/>
    <w:rsid w:val="00C70BAF"/>
    <w:rsid w:val="00C70D9E"/>
    <w:rsid w:val="00C70E1D"/>
    <w:rsid w:val="00C713AE"/>
    <w:rsid w:val="00C7151A"/>
    <w:rsid w:val="00C717E3"/>
    <w:rsid w:val="00C71877"/>
    <w:rsid w:val="00C71C79"/>
    <w:rsid w:val="00C71E52"/>
    <w:rsid w:val="00C71F60"/>
    <w:rsid w:val="00C721F0"/>
    <w:rsid w:val="00C72241"/>
    <w:rsid w:val="00C7240E"/>
    <w:rsid w:val="00C724CC"/>
    <w:rsid w:val="00C7251E"/>
    <w:rsid w:val="00C7262E"/>
    <w:rsid w:val="00C7294D"/>
    <w:rsid w:val="00C72AF1"/>
    <w:rsid w:val="00C72B80"/>
    <w:rsid w:val="00C72BC4"/>
    <w:rsid w:val="00C730B3"/>
    <w:rsid w:val="00C7399D"/>
    <w:rsid w:val="00C73AA7"/>
    <w:rsid w:val="00C73C91"/>
    <w:rsid w:val="00C74266"/>
    <w:rsid w:val="00C747AE"/>
    <w:rsid w:val="00C748C7"/>
    <w:rsid w:val="00C74939"/>
    <w:rsid w:val="00C74E42"/>
    <w:rsid w:val="00C750C8"/>
    <w:rsid w:val="00C75336"/>
    <w:rsid w:val="00C755BA"/>
    <w:rsid w:val="00C7560F"/>
    <w:rsid w:val="00C75EEB"/>
    <w:rsid w:val="00C7654D"/>
    <w:rsid w:val="00C76625"/>
    <w:rsid w:val="00C76AE8"/>
    <w:rsid w:val="00C76D00"/>
    <w:rsid w:val="00C76ED8"/>
    <w:rsid w:val="00C76F00"/>
    <w:rsid w:val="00C77195"/>
    <w:rsid w:val="00C7722D"/>
    <w:rsid w:val="00C7774F"/>
    <w:rsid w:val="00C77B41"/>
    <w:rsid w:val="00C77B6C"/>
    <w:rsid w:val="00C77BE3"/>
    <w:rsid w:val="00C77C84"/>
    <w:rsid w:val="00C77CC7"/>
    <w:rsid w:val="00C77D45"/>
    <w:rsid w:val="00C80A0E"/>
    <w:rsid w:val="00C81134"/>
    <w:rsid w:val="00C81318"/>
    <w:rsid w:val="00C816FD"/>
    <w:rsid w:val="00C81739"/>
    <w:rsid w:val="00C81DD0"/>
    <w:rsid w:val="00C81ED8"/>
    <w:rsid w:val="00C82056"/>
    <w:rsid w:val="00C8213F"/>
    <w:rsid w:val="00C82156"/>
    <w:rsid w:val="00C8227D"/>
    <w:rsid w:val="00C826CD"/>
    <w:rsid w:val="00C828AB"/>
    <w:rsid w:val="00C82D71"/>
    <w:rsid w:val="00C8303F"/>
    <w:rsid w:val="00C8350B"/>
    <w:rsid w:val="00C836BC"/>
    <w:rsid w:val="00C83BFD"/>
    <w:rsid w:val="00C83F2C"/>
    <w:rsid w:val="00C845AE"/>
    <w:rsid w:val="00C84855"/>
    <w:rsid w:val="00C84A9E"/>
    <w:rsid w:val="00C84BB3"/>
    <w:rsid w:val="00C85037"/>
    <w:rsid w:val="00C85154"/>
    <w:rsid w:val="00C8535A"/>
    <w:rsid w:val="00C85563"/>
    <w:rsid w:val="00C85833"/>
    <w:rsid w:val="00C85A70"/>
    <w:rsid w:val="00C85D43"/>
    <w:rsid w:val="00C861A3"/>
    <w:rsid w:val="00C86244"/>
    <w:rsid w:val="00C863ED"/>
    <w:rsid w:val="00C864AD"/>
    <w:rsid w:val="00C86763"/>
    <w:rsid w:val="00C86931"/>
    <w:rsid w:val="00C86986"/>
    <w:rsid w:val="00C86B08"/>
    <w:rsid w:val="00C86B96"/>
    <w:rsid w:val="00C8797A"/>
    <w:rsid w:val="00C879DD"/>
    <w:rsid w:val="00C87A6C"/>
    <w:rsid w:val="00C87D49"/>
    <w:rsid w:val="00C87DE7"/>
    <w:rsid w:val="00C900B8"/>
    <w:rsid w:val="00C90197"/>
    <w:rsid w:val="00C9079A"/>
    <w:rsid w:val="00C90A08"/>
    <w:rsid w:val="00C90A7C"/>
    <w:rsid w:val="00C90C71"/>
    <w:rsid w:val="00C90F3C"/>
    <w:rsid w:val="00C90F91"/>
    <w:rsid w:val="00C913AD"/>
    <w:rsid w:val="00C916FC"/>
    <w:rsid w:val="00C91B2E"/>
    <w:rsid w:val="00C91F25"/>
    <w:rsid w:val="00C91FD1"/>
    <w:rsid w:val="00C920F3"/>
    <w:rsid w:val="00C92860"/>
    <w:rsid w:val="00C929A6"/>
    <w:rsid w:val="00C92A33"/>
    <w:rsid w:val="00C92FC5"/>
    <w:rsid w:val="00C931CF"/>
    <w:rsid w:val="00C93666"/>
    <w:rsid w:val="00C938CF"/>
    <w:rsid w:val="00C93F75"/>
    <w:rsid w:val="00C94053"/>
    <w:rsid w:val="00C9426C"/>
    <w:rsid w:val="00C9463F"/>
    <w:rsid w:val="00C94900"/>
    <w:rsid w:val="00C94978"/>
    <w:rsid w:val="00C94D53"/>
    <w:rsid w:val="00C95116"/>
    <w:rsid w:val="00C95323"/>
    <w:rsid w:val="00C956A4"/>
    <w:rsid w:val="00C9578A"/>
    <w:rsid w:val="00C95869"/>
    <w:rsid w:val="00C9588E"/>
    <w:rsid w:val="00C95C71"/>
    <w:rsid w:val="00C96202"/>
    <w:rsid w:val="00C9624D"/>
    <w:rsid w:val="00C969DA"/>
    <w:rsid w:val="00C97404"/>
    <w:rsid w:val="00C979F0"/>
    <w:rsid w:val="00C97F95"/>
    <w:rsid w:val="00CA00CA"/>
    <w:rsid w:val="00CA01AF"/>
    <w:rsid w:val="00CA039F"/>
    <w:rsid w:val="00CA0677"/>
    <w:rsid w:val="00CA0722"/>
    <w:rsid w:val="00CA0918"/>
    <w:rsid w:val="00CA0BAF"/>
    <w:rsid w:val="00CA0C95"/>
    <w:rsid w:val="00CA0FC6"/>
    <w:rsid w:val="00CA1063"/>
    <w:rsid w:val="00CA1F13"/>
    <w:rsid w:val="00CA203E"/>
    <w:rsid w:val="00CA26FE"/>
    <w:rsid w:val="00CA2BF5"/>
    <w:rsid w:val="00CA2C77"/>
    <w:rsid w:val="00CA2FC6"/>
    <w:rsid w:val="00CA326B"/>
    <w:rsid w:val="00CA3395"/>
    <w:rsid w:val="00CA3AB5"/>
    <w:rsid w:val="00CA3F45"/>
    <w:rsid w:val="00CA4005"/>
    <w:rsid w:val="00CA444F"/>
    <w:rsid w:val="00CA4BB0"/>
    <w:rsid w:val="00CA4C08"/>
    <w:rsid w:val="00CA5245"/>
    <w:rsid w:val="00CA5639"/>
    <w:rsid w:val="00CA6592"/>
    <w:rsid w:val="00CA69A3"/>
    <w:rsid w:val="00CA6B60"/>
    <w:rsid w:val="00CA6D30"/>
    <w:rsid w:val="00CA7157"/>
    <w:rsid w:val="00CA71F4"/>
    <w:rsid w:val="00CA7344"/>
    <w:rsid w:val="00CA74CF"/>
    <w:rsid w:val="00CA771F"/>
    <w:rsid w:val="00CA77DB"/>
    <w:rsid w:val="00CA785E"/>
    <w:rsid w:val="00CA7B09"/>
    <w:rsid w:val="00CA7F65"/>
    <w:rsid w:val="00CB02F9"/>
    <w:rsid w:val="00CB1119"/>
    <w:rsid w:val="00CB12A5"/>
    <w:rsid w:val="00CB19CA"/>
    <w:rsid w:val="00CB1CAC"/>
    <w:rsid w:val="00CB1DD1"/>
    <w:rsid w:val="00CB21F4"/>
    <w:rsid w:val="00CB2305"/>
    <w:rsid w:val="00CB2F2A"/>
    <w:rsid w:val="00CB2F52"/>
    <w:rsid w:val="00CB2F64"/>
    <w:rsid w:val="00CB3866"/>
    <w:rsid w:val="00CB3A82"/>
    <w:rsid w:val="00CB48F3"/>
    <w:rsid w:val="00CB5B1A"/>
    <w:rsid w:val="00CB5C76"/>
    <w:rsid w:val="00CB60FB"/>
    <w:rsid w:val="00CB62FF"/>
    <w:rsid w:val="00CB660B"/>
    <w:rsid w:val="00CB6704"/>
    <w:rsid w:val="00CB6B1B"/>
    <w:rsid w:val="00CB6B22"/>
    <w:rsid w:val="00CB6C67"/>
    <w:rsid w:val="00CB6D63"/>
    <w:rsid w:val="00CB71C3"/>
    <w:rsid w:val="00CB71FB"/>
    <w:rsid w:val="00CB761B"/>
    <w:rsid w:val="00CB77E3"/>
    <w:rsid w:val="00CB78DF"/>
    <w:rsid w:val="00CB7956"/>
    <w:rsid w:val="00CB7F5F"/>
    <w:rsid w:val="00CC0131"/>
    <w:rsid w:val="00CC07E4"/>
    <w:rsid w:val="00CC0BFD"/>
    <w:rsid w:val="00CC1155"/>
    <w:rsid w:val="00CC122A"/>
    <w:rsid w:val="00CC15D3"/>
    <w:rsid w:val="00CC1AEA"/>
    <w:rsid w:val="00CC1B39"/>
    <w:rsid w:val="00CC1BFA"/>
    <w:rsid w:val="00CC25C7"/>
    <w:rsid w:val="00CC2E9F"/>
    <w:rsid w:val="00CC318F"/>
    <w:rsid w:val="00CC35EA"/>
    <w:rsid w:val="00CC3848"/>
    <w:rsid w:val="00CC388F"/>
    <w:rsid w:val="00CC3A21"/>
    <w:rsid w:val="00CC3C65"/>
    <w:rsid w:val="00CC3DD6"/>
    <w:rsid w:val="00CC4074"/>
    <w:rsid w:val="00CC43F6"/>
    <w:rsid w:val="00CC45B7"/>
    <w:rsid w:val="00CC45E7"/>
    <w:rsid w:val="00CC49A0"/>
    <w:rsid w:val="00CC4A49"/>
    <w:rsid w:val="00CC4A4C"/>
    <w:rsid w:val="00CC4E09"/>
    <w:rsid w:val="00CC4FCC"/>
    <w:rsid w:val="00CC59AC"/>
    <w:rsid w:val="00CC5C14"/>
    <w:rsid w:val="00CC619F"/>
    <w:rsid w:val="00CC61E6"/>
    <w:rsid w:val="00CC657A"/>
    <w:rsid w:val="00CC6837"/>
    <w:rsid w:val="00CC6A0C"/>
    <w:rsid w:val="00CC6D5E"/>
    <w:rsid w:val="00CC6EDD"/>
    <w:rsid w:val="00CC7329"/>
    <w:rsid w:val="00CC74A2"/>
    <w:rsid w:val="00CC7618"/>
    <w:rsid w:val="00CC77B7"/>
    <w:rsid w:val="00CC793A"/>
    <w:rsid w:val="00CC7981"/>
    <w:rsid w:val="00CC7ACF"/>
    <w:rsid w:val="00CC7F75"/>
    <w:rsid w:val="00CD0200"/>
    <w:rsid w:val="00CD06A3"/>
    <w:rsid w:val="00CD06FD"/>
    <w:rsid w:val="00CD0752"/>
    <w:rsid w:val="00CD0C15"/>
    <w:rsid w:val="00CD1565"/>
    <w:rsid w:val="00CD1895"/>
    <w:rsid w:val="00CD1AF1"/>
    <w:rsid w:val="00CD1D5E"/>
    <w:rsid w:val="00CD1DE5"/>
    <w:rsid w:val="00CD1E1C"/>
    <w:rsid w:val="00CD2553"/>
    <w:rsid w:val="00CD27AA"/>
    <w:rsid w:val="00CD292C"/>
    <w:rsid w:val="00CD2A1A"/>
    <w:rsid w:val="00CD2CDF"/>
    <w:rsid w:val="00CD2EAC"/>
    <w:rsid w:val="00CD35AC"/>
    <w:rsid w:val="00CD393E"/>
    <w:rsid w:val="00CD3A7F"/>
    <w:rsid w:val="00CD3F77"/>
    <w:rsid w:val="00CD4136"/>
    <w:rsid w:val="00CD430F"/>
    <w:rsid w:val="00CD431F"/>
    <w:rsid w:val="00CD44A4"/>
    <w:rsid w:val="00CD4F6A"/>
    <w:rsid w:val="00CD5073"/>
    <w:rsid w:val="00CD537A"/>
    <w:rsid w:val="00CD55A3"/>
    <w:rsid w:val="00CD5A32"/>
    <w:rsid w:val="00CD5D13"/>
    <w:rsid w:val="00CD5D59"/>
    <w:rsid w:val="00CD66FD"/>
    <w:rsid w:val="00CD6851"/>
    <w:rsid w:val="00CD6ADC"/>
    <w:rsid w:val="00CD6C7B"/>
    <w:rsid w:val="00CD7140"/>
    <w:rsid w:val="00CD7193"/>
    <w:rsid w:val="00CD7558"/>
    <w:rsid w:val="00CD7F23"/>
    <w:rsid w:val="00CE0532"/>
    <w:rsid w:val="00CE0A60"/>
    <w:rsid w:val="00CE0C83"/>
    <w:rsid w:val="00CE0D5C"/>
    <w:rsid w:val="00CE1675"/>
    <w:rsid w:val="00CE1ECF"/>
    <w:rsid w:val="00CE1F89"/>
    <w:rsid w:val="00CE22E2"/>
    <w:rsid w:val="00CE2893"/>
    <w:rsid w:val="00CE2C0D"/>
    <w:rsid w:val="00CE30A6"/>
    <w:rsid w:val="00CE31C5"/>
    <w:rsid w:val="00CE35AF"/>
    <w:rsid w:val="00CE35F6"/>
    <w:rsid w:val="00CE3732"/>
    <w:rsid w:val="00CE3827"/>
    <w:rsid w:val="00CE38C8"/>
    <w:rsid w:val="00CE3AA1"/>
    <w:rsid w:val="00CE4238"/>
    <w:rsid w:val="00CE4B91"/>
    <w:rsid w:val="00CE4BA1"/>
    <w:rsid w:val="00CE4C90"/>
    <w:rsid w:val="00CE4D2E"/>
    <w:rsid w:val="00CE5204"/>
    <w:rsid w:val="00CE524F"/>
    <w:rsid w:val="00CE5494"/>
    <w:rsid w:val="00CE58CC"/>
    <w:rsid w:val="00CE5BB5"/>
    <w:rsid w:val="00CE5E42"/>
    <w:rsid w:val="00CE5F73"/>
    <w:rsid w:val="00CE6123"/>
    <w:rsid w:val="00CE6158"/>
    <w:rsid w:val="00CE6274"/>
    <w:rsid w:val="00CE629B"/>
    <w:rsid w:val="00CE639E"/>
    <w:rsid w:val="00CE6536"/>
    <w:rsid w:val="00CE69D7"/>
    <w:rsid w:val="00CE7192"/>
    <w:rsid w:val="00CE7702"/>
    <w:rsid w:val="00CE771D"/>
    <w:rsid w:val="00CE77B6"/>
    <w:rsid w:val="00CF0025"/>
    <w:rsid w:val="00CF0745"/>
    <w:rsid w:val="00CF12AD"/>
    <w:rsid w:val="00CF16DC"/>
    <w:rsid w:val="00CF1952"/>
    <w:rsid w:val="00CF2044"/>
    <w:rsid w:val="00CF21E6"/>
    <w:rsid w:val="00CF22EB"/>
    <w:rsid w:val="00CF2329"/>
    <w:rsid w:val="00CF2803"/>
    <w:rsid w:val="00CF2A21"/>
    <w:rsid w:val="00CF2B8D"/>
    <w:rsid w:val="00CF2D34"/>
    <w:rsid w:val="00CF2FC4"/>
    <w:rsid w:val="00CF3A1B"/>
    <w:rsid w:val="00CF3C00"/>
    <w:rsid w:val="00CF3DC9"/>
    <w:rsid w:val="00CF412A"/>
    <w:rsid w:val="00CF4239"/>
    <w:rsid w:val="00CF4514"/>
    <w:rsid w:val="00CF451F"/>
    <w:rsid w:val="00CF456B"/>
    <w:rsid w:val="00CF460E"/>
    <w:rsid w:val="00CF4803"/>
    <w:rsid w:val="00CF48A2"/>
    <w:rsid w:val="00CF4ACB"/>
    <w:rsid w:val="00CF4D73"/>
    <w:rsid w:val="00CF4E28"/>
    <w:rsid w:val="00CF5017"/>
    <w:rsid w:val="00CF5135"/>
    <w:rsid w:val="00CF51B3"/>
    <w:rsid w:val="00CF5A22"/>
    <w:rsid w:val="00CF5B74"/>
    <w:rsid w:val="00CF5C82"/>
    <w:rsid w:val="00CF5CE4"/>
    <w:rsid w:val="00CF5E22"/>
    <w:rsid w:val="00CF5F54"/>
    <w:rsid w:val="00CF67FF"/>
    <w:rsid w:val="00CF6B19"/>
    <w:rsid w:val="00CF739F"/>
    <w:rsid w:val="00CF7626"/>
    <w:rsid w:val="00CF793C"/>
    <w:rsid w:val="00CF7A66"/>
    <w:rsid w:val="00CF7CB0"/>
    <w:rsid w:val="00CF7E2C"/>
    <w:rsid w:val="00CF7F3D"/>
    <w:rsid w:val="00D01234"/>
    <w:rsid w:val="00D0168B"/>
    <w:rsid w:val="00D01955"/>
    <w:rsid w:val="00D0195D"/>
    <w:rsid w:val="00D01AA0"/>
    <w:rsid w:val="00D01ADF"/>
    <w:rsid w:val="00D01EDC"/>
    <w:rsid w:val="00D02026"/>
    <w:rsid w:val="00D0262E"/>
    <w:rsid w:val="00D02DB5"/>
    <w:rsid w:val="00D02DC3"/>
    <w:rsid w:val="00D03311"/>
    <w:rsid w:val="00D03679"/>
    <w:rsid w:val="00D037F6"/>
    <w:rsid w:val="00D03C43"/>
    <w:rsid w:val="00D03D1B"/>
    <w:rsid w:val="00D03EFE"/>
    <w:rsid w:val="00D04730"/>
    <w:rsid w:val="00D048A0"/>
    <w:rsid w:val="00D0492B"/>
    <w:rsid w:val="00D04A33"/>
    <w:rsid w:val="00D04AC7"/>
    <w:rsid w:val="00D04B88"/>
    <w:rsid w:val="00D04D89"/>
    <w:rsid w:val="00D050AF"/>
    <w:rsid w:val="00D0571B"/>
    <w:rsid w:val="00D0578D"/>
    <w:rsid w:val="00D0588C"/>
    <w:rsid w:val="00D059C6"/>
    <w:rsid w:val="00D05E3D"/>
    <w:rsid w:val="00D06139"/>
    <w:rsid w:val="00D06144"/>
    <w:rsid w:val="00D064CA"/>
    <w:rsid w:val="00D067FC"/>
    <w:rsid w:val="00D06A28"/>
    <w:rsid w:val="00D06D00"/>
    <w:rsid w:val="00D07B1F"/>
    <w:rsid w:val="00D07B8C"/>
    <w:rsid w:val="00D07FB2"/>
    <w:rsid w:val="00D07FCC"/>
    <w:rsid w:val="00D101E9"/>
    <w:rsid w:val="00D10483"/>
    <w:rsid w:val="00D104BD"/>
    <w:rsid w:val="00D107AA"/>
    <w:rsid w:val="00D10B65"/>
    <w:rsid w:val="00D10F88"/>
    <w:rsid w:val="00D110BD"/>
    <w:rsid w:val="00D1149F"/>
    <w:rsid w:val="00D118D0"/>
    <w:rsid w:val="00D11CA8"/>
    <w:rsid w:val="00D11DDE"/>
    <w:rsid w:val="00D11DFB"/>
    <w:rsid w:val="00D11E82"/>
    <w:rsid w:val="00D11F3A"/>
    <w:rsid w:val="00D12938"/>
    <w:rsid w:val="00D12E49"/>
    <w:rsid w:val="00D12FF4"/>
    <w:rsid w:val="00D13018"/>
    <w:rsid w:val="00D13098"/>
    <w:rsid w:val="00D133F5"/>
    <w:rsid w:val="00D1344D"/>
    <w:rsid w:val="00D13675"/>
    <w:rsid w:val="00D13DB6"/>
    <w:rsid w:val="00D141E1"/>
    <w:rsid w:val="00D1477A"/>
    <w:rsid w:val="00D14976"/>
    <w:rsid w:val="00D14A6E"/>
    <w:rsid w:val="00D14CEC"/>
    <w:rsid w:val="00D14E41"/>
    <w:rsid w:val="00D15314"/>
    <w:rsid w:val="00D15574"/>
    <w:rsid w:val="00D156C3"/>
    <w:rsid w:val="00D1591C"/>
    <w:rsid w:val="00D15B48"/>
    <w:rsid w:val="00D15EA6"/>
    <w:rsid w:val="00D160B0"/>
    <w:rsid w:val="00D16514"/>
    <w:rsid w:val="00D16CFE"/>
    <w:rsid w:val="00D16ED0"/>
    <w:rsid w:val="00D17127"/>
    <w:rsid w:val="00D17281"/>
    <w:rsid w:val="00D173E5"/>
    <w:rsid w:val="00D174CD"/>
    <w:rsid w:val="00D17646"/>
    <w:rsid w:val="00D17AED"/>
    <w:rsid w:val="00D17AEE"/>
    <w:rsid w:val="00D17D6C"/>
    <w:rsid w:val="00D20456"/>
    <w:rsid w:val="00D207EA"/>
    <w:rsid w:val="00D20972"/>
    <w:rsid w:val="00D209FE"/>
    <w:rsid w:val="00D20C75"/>
    <w:rsid w:val="00D20EFD"/>
    <w:rsid w:val="00D2103D"/>
    <w:rsid w:val="00D2149E"/>
    <w:rsid w:val="00D2155B"/>
    <w:rsid w:val="00D21DA7"/>
    <w:rsid w:val="00D21F16"/>
    <w:rsid w:val="00D235BE"/>
    <w:rsid w:val="00D2379B"/>
    <w:rsid w:val="00D2383A"/>
    <w:rsid w:val="00D23D11"/>
    <w:rsid w:val="00D23EC5"/>
    <w:rsid w:val="00D23EC9"/>
    <w:rsid w:val="00D23F5B"/>
    <w:rsid w:val="00D244B6"/>
    <w:rsid w:val="00D24978"/>
    <w:rsid w:val="00D24BFF"/>
    <w:rsid w:val="00D25187"/>
    <w:rsid w:val="00D25363"/>
    <w:rsid w:val="00D258AA"/>
    <w:rsid w:val="00D25BAB"/>
    <w:rsid w:val="00D25C2C"/>
    <w:rsid w:val="00D25CEC"/>
    <w:rsid w:val="00D26406"/>
    <w:rsid w:val="00D26B59"/>
    <w:rsid w:val="00D26BA2"/>
    <w:rsid w:val="00D27082"/>
    <w:rsid w:val="00D2721E"/>
    <w:rsid w:val="00D274D2"/>
    <w:rsid w:val="00D274DF"/>
    <w:rsid w:val="00D2754D"/>
    <w:rsid w:val="00D27B27"/>
    <w:rsid w:val="00D27DF1"/>
    <w:rsid w:val="00D27E94"/>
    <w:rsid w:val="00D27F20"/>
    <w:rsid w:val="00D27F30"/>
    <w:rsid w:val="00D30644"/>
    <w:rsid w:val="00D30712"/>
    <w:rsid w:val="00D30846"/>
    <w:rsid w:val="00D30D5B"/>
    <w:rsid w:val="00D30FEE"/>
    <w:rsid w:val="00D311DC"/>
    <w:rsid w:val="00D31512"/>
    <w:rsid w:val="00D3176A"/>
    <w:rsid w:val="00D31A9D"/>
    <w:rsid w:val="00D31E8B"/>
    <w:rsid w:val="00D3266A"/>
    <w:rsid w:val="00D329FC"/>
    <w:rsid w:val="00D32A69"/>
    <w:rsid w:val="00D337F7"/>
    <w:rsid w:val="00D33BE9"/>
    <w:rsid w:val="00D33F93"/>
    <w:rsid w:val="00D34649"/>
    <w:rsid w:val="00D3475B"/>
    <w:rsid w:val="00D34C1D"/>
    <w:rsid w:val="00D3536F"/>
    <w:rsid w:val="00D35380"/>
    <w:rsid w:val="00D357FF"/>
    <w:rsid w:val="00D35A11"/>
    <w:rsid w:val="00D35A6F"/>
    <w:rsid w:val="00D35AB9"/>
    <w:rsid w:val="00D35B84"/>
    <w:rsid w:val="00D35D0D"/>
    <w:rsid w:val="00D35F57"/>
    <w:rsid w:val="00D3605D"/>
    <w:rsid w:val="00D360AC"/>
    <w:rsid w:val="00D361A4"/>
    <w:rsid w:val="00D366C7"/>
    <w:rsid w:val="00D36DD1"/>
    <w:rsid w:val="00D3793E"/>
    <w:rsid w:val="00D379DF"/>
    <w:rsid w:val="00D37B17"/>
    <w:rsid w:val="00D4014B"/>
    <w:rsid w:val="00D402F3"/>
    <w:rsid w:val="00D40607"/>
    <w:rsid w:val="00D40F24"/>
    <w:rsid w:val="00D41073"/>
    <w:rsid w:val="00D41246"/>
    <w:rsid w:val="00D41AF4"/>
    <w:rsid w:val="00D41DE5"/>
    <w:rsid w:val="00D41F69"/>
    <w:rsid w:val="00D42325"/>
    <w:rsid w:val="00D42353"/>
    <w:rsid w:val="00D424C7"/>
    <w:rsid w:val="00D4252B"/>
    <w:rsid w:val="00D42AC4"/>
    <w:rsid w:val="00D42C1D"/>
    <w:rsid w:val="00D42C41"/>
    <w:rsid w:val="00D4305F"/>
    <w:rsid w:val="00D4342A"/>
    <w:rsid w:val="00D43522"/>
    <w:rsid w:val="00D4359B"/>
    <w:rsid w:val="00D43930"/>
    <w:rsid w:val="00D43B2A"/>
    <w:rsid w:val="00D43BCC"/>
    <w:rsid w:val="00D43CF1"/>
    <w:rsid w:val="00D43D83"/>
    <w:rsid w:val="00D43F44"/>
    <w:rsid w:val="00D440CD"/>
    <w:rsid w:val="00D444DB"/>
    <w:rsid w:val="00D44B22"/>
    <w:rsid w:val="00D44FCA"/>
    <w:rsid w:val="00D4570B"/>
    <w:rsid w:val="00D45753"/>
    <w:rsid w:val="00D45767"/>
    <w:rsid w:val="00D45B0E"/>
    <w:rsid w:val="00D45D1F"/>
    <w:rsid w:val="00D45D5F"/>
    <w:rsid w:val="00D46192"/>
    <w:rsid w:val="00D465B0"/>
    <w:rsid w:val="00D466BC"/>
    <w:rsid w:val="00D468AC"/>
    <w:rsid w:val="00D46CD6"/>
    <w:rsid w:val="00D46E0B"/>
    <w:rsid w:val="00D46E8C"/>
    <w:rsid w:val="00D4709A"/>
    <w:rsid w:val="00D47575"/>
    <w:rsid w:val="00D50253"/>
    <w:rsid w:val="00D50424"/>
    <w:rsid w:val="00D50582"/>
    <w:rsid w:val="00D50FBE"/>
    <w:rsid w:val="00D510B4"/>
    <w:rsid w:val="00D5119C"/>
    <w:rsid w:val="00D5160D"/>
    <w:rsid w:val="00D517C0"/>
    <w:rsid w:val="00D51C3C"/>
    <w:rsid w:val="00D51F80"/>
    <w:rsid w:val="00D521F6"/>
    <w:rsid w:val="00D523DB"/>
    <w:rsid w:val="00D5243B"/>
    <w:rsid w:val="00D5244B"/>
    <w:rsid w:val="00D52B10"/>
    <w:rsid w:val="00D533EC"/>
    <w:rsid w:val="00D53710"/>
    <w:rsid w:val="00D53B93"/>
    <w:rsid w:val="00D53C23"/>
    <w:rsid w:val="00D53FD3"/>
    <w:rsid w:val="00D54239"/>
    <w:rsid w:val="00D544AB"/>
    <w:rsid w:val="00D54C24"/>
    <w:rsid w:val="00D553B5"/>
    <w:rsid w:val="00D5546A"/>
    <w:rsid w:val="00D5552F"/>
    <w:rsid w:val="00D55580"/>
    <w:rsid w:val="00D55873"/>
    <w:rsid w:val="00D55A2B"/>
    <w:rsid w:val="00D55BA4"/>
    <w:rsid w:val="00D55C27"/>
    <w:rsid w:val="00D55D58"/>
    <w:rsid w:val="00D55DB7"/>
    <w:rsid w:val="00D55DC2"/>
    <w:rsid w:val="00D5604F"/>
    <w:rsid w:val="00D560CC"/>
    <w:rsid w:val="00D560E7"/>
    <w:rsid w:val="00D56571"/>
    <w:rsid w:val="00D56A95"/>
    <w:rsid w:val="00D56DA4"/>
    <w:rsid w:val="00D56F42"/>
    <w:rsid w:val="00D5703F"/>
    <w:rsid w:val="00D570D6"/>
    <w:rsid w:val="00D5717A"/>
    <w:rsid w:val="00D5737B"/>
    <w:rsid w:val="00D5767B"/>
    <w:rsid w:val="00D57AB9"/>
    <w:rsid w:val="00D57D2E"/>
    <w:rsid w:val="00D57E50"/>
    <w:rsid w:val="00D57FB5"/>
    <w:rsid w:val="00D6007A"/>
    <w:rsid w:val="00D60144"/>
    <w:rsid w:val="00D6026B"/>
    <w:rsid w:val="00D606BF"/>
    <w:rsid w:val="00D606ED"/>
    <w:rsid w:val="00D6076E"/>
    <w:rsid w:val="00D6096F"/>
    <w:rsid w:val="00D6116D"/>
    <w:rsid w:val="00D612AC"/>
    <w:rsid w:val="00D612D7"/>
    <w:rsid w:val="00D6168E"/>
    <w:rsid w:val="00D61757"/>
    <w:rsid w:val="00D61826"/>
    <w:rsid w:val="00D6199C"/>
    <w:rsid w:val="00D61ABD"/>
    <w:rsid w:val="00D61EA0"/>
    <w:rsid w:val="00D629B5"/>
    <w:rsid w:val="00D62A6D"/>
    <w:rsid w:val="00D62D28"/>
    <w:rsid w:val="00D635C6"/>
    <w:rsid w:val="00D63956"/>
    <w:rsid w:val="00D63AA3"/>
    <w:rsid w:val="00D63D98"/>
    <w:rsid w:val="00D63E3B"/>
    <w:rsid w:val="00D64F5F"/>
    <w:rsid w:val="00D65539"/>
    <w:rsid w:val="00D661DB"/>
    <w:rsid w:val="00D661E2"/>
    <w:rsid w:val="00D663EB"/>
    <w:rsid w:val="00D66756"/>
    <w:rsid w:val="00D66B53"/>
    <w:rsid w:val="00D66DAA"/>
    <w:rsid w:val="00D66FE8"/>
    <w:rsid w:val="00D67131"/>
    <w:rsid w:val="00D67826"/>
    <w:rsid w:val="00D67BD8"/>
    <w:rsid w:val="00D67C80"/>
    <w:rsid w:val="00D70057"/>
    <w:rsid w:val="00D7026E"/>
    <w:rsid w:val="00D70596"/>
    <w:rsid w:val="00D70692"/>
    <w:rsid w:val="00D70708"/>
    <w:rsid w:val="00D70A34"/>
    <w:rsid w:val="00D70C46"/>
    <w:rsid w:val="00D70C78"/>
    <w:rsid w:val="00D70D38"/>
    <w:rsid w:val="00D70F16"/>
    <w:rsid w:val="00D7139D"/>
    <w:rsid w:val="00D71A91"/>
    <w:rsid w:val="00D72082"/>
    <w:rsid w:val="00D72087"/>
    <w:rsid w:val="00D720E6"/>
    <w:rsid w:val="00D72617"/>
    <w:rsid w:val="00D72C67"/>
    <w:rsid w:val="00D72F57"/>
    <w:rsid w:val="00D7300A"/>
    <w:rsid w:val="00D730DE"/>
    <w:rsid w:val="00D7348B"/>
    <w:rsid w:val="00D7360E"/>
    <w:rsid w:val="00D73B35"/>
    <w:rsid w:val="00D73D66"/>
    <w:rsid w:val="00D74583"/>
    <w:rsid w:val="00D746DB"/>
    <w:rsid w:val="00D74847"/>
    <w:rsid w:val="00D74AD2"/>
    <w:rsid w:val="00D74B61"/>
    <w:rsid w:val="00D74B93"/>
    <w:rsid w:val="00D75402"/>
    <w:rsid w:val="00D764EA"/>
    <w:rsid w:val="00D7663A"/>
    <w:rsid w:val="00D766EE"/>
    <w:rsid w:val="00D76A44"/>
    <w:rsid w:val="00D76C10"/>
    <w:rsid w:val="00D76CD5"/>
    <w:rsid w:val="00D7727F"/>
    <w:rsid w:val="00D772D2"/>
    <w:rsid w:val="00D7750F"/>
    <w:rsid w:val="00D77872"/>
    <w:rsid w:val="00D77B22"/>
    <w:rsid w:val="00D77D76"/>
    <w:rsid w:val="00D80018"/>
    <w:rsid w:val="00D800C2"/>
    <w:rsid w:val="00D801DE"/>
    <w:rsid w:val="00D80290"/>
    <w:rsid w:val="00D8040B"/>
    <w:rsid w:val="00D805D0"/>
    <w:rsid w:val="00D80CDF"/>
    <w:rsid w:val="00D80D9C"/>
    <w:rsid w:val="00D80F01"/>
    <w:rsid w:val="00D8106C"/>
    <w:rsid w:val="00D81150"/>
    <w:rsid w:val="00D81214"/>
    <w:rsid w:val="00D815EF"/>
    <w:rsid w:val="00D81920"/>
    <w:rsid w:val="00D81949"/>
    <w:rsid w:val="00D81A9B"/>
    <w:rsid w:val="00D81D2B"/>
    <w:rsid w:val="00D81F26"/>
    <w:rsid w:val="00D81F83"/>
    <w:rsid w:val="00D822E2"/>
    <w:rsid w:val="00D824E6"/>
    <w:rsid w:val="00D82E3C"/>
    <w:rsid w:val="00D834AE"/>
    <w:rsid w:val="00D83704"/>
    <w:rsid w:val="00D83739"/>
    <w:rsid w:val="00D837F3"/>
    <w:rsid w:val="00D83C15"/>
    <w:rsid w:val="00D8434F"/>
    <w:rsid w:val="00D843F2"/>
    <w:rsid w:val="00D84581"/>
    <w:rsid w:val="00D847EE"/>
    <w:rsid w:val="00D849AD"/>
    <w:rsid w:val="00D84E9F"/>
    <w:rsid w:val="00D852CA"/>
    <w:rsid w:val="00D8589D"/>
    <w:rsid w:val="00D85A83"/>
    <w:rsid w:val="00D86231"/>
    <w:rsid w:val="00D8665D"/>
    <w:rsid w:val="00D8684C"/>
    <w:rsid w:val="00D86A8A"/>
    <w:rsid w:val="00D86BF0"/>
    <w:rsid w:val="00D86F3B"/>
    <w:rsid w:val="00D8719D"/>
    <w:rsid w:val="00D872AA"/>
    <w:rsid w:val="00D872B9"/>
    <w:rsid w:val="00D875FD"/>
    <w:rsid w:val="00D876B4"/>
    <w:rsid w:val="00D87847"/>
    <w:rsid w:val="00D878A0"/>
    <w:rsid w:val="00D9000F"/>
    <w:rsid w:val="00D901BC"/>
    <w:rsid w:val="00D909BB"/>
    <w:rsid w:val="00D90D64"/>
    <w:rsid w:val="00D91230"/>
    <w:rsid w:val="00D912AB"/>
    <w:rsid w:val="00D9162E"/>
    <w:rsid w:val="00D916F5"/>
    <w:rsid w:val="00D91923"/>
    <w:rsid w:val="00D928EF"/>
    <w:rsid w:val="00D92BB5"/>
    <w:rsid w:val="00D92E25"/>
    <w:rsid w:val="00D933E9"/>
    <w:rsid w:val="00D93424"/>
    <w:rsid w:val="00D93598"/>
    <w:rsid w:val="00D93753"/>
    <w:rsid w:val="00D93BDF"/>
    <w:rsid w:val="00D93C9E"/>
    <w:rsid w:val="00D93F79"/>
    <w:rsid w:val="00D942BD"/>
    <w:rsid w:val="00D94368"/>
    <w:rsid w:val="00D943DE"/>
    <w:rsid w:val="00D9464E"/>
    <w:rsid w:val="00D946C8"/>
    <w:rsid w:val="00D946E0"/>
    <w:rsid w:val="00D94905"/>
    <w:rsid w:val="00D94B78"/>
    <w:rsid w:val="00D95096"/>
    <w:rsid w:val="00D95872"/>
    <w:rsid w:val="00D96679"/>
    <w:rsid w:val="00D96B73"/>
    <w:rsid w:val="00D96C6D"/>
    <w:rsid w:val="00D96C8D"/>
    <w:rsid w:val="00D9754F"/>
    <w:rsid w:val="00D976C8"/>
    <w:rsid w:val="00D977B5"/>
    <w:rsid w:val="00D978D1"/>
    <w:rsid w:val="00D978FC"/>
    <w:rsid w:val="00D97F41"/>
    <w:rsid w:val="00DA01FA"/>
    <w:rsid w:val="00DA0275"/>
    <w:rsid w:val="00DA0966"/>
    <w:rsid w:val="00DA0C72"/>
    <w:rsid w:val="00DA0CA5"/>
    <w:rsid w:val="00DA12D3"/>
    <w:rsid w:val="00DA131C"/>
    <w:rsid w:val="00DA13B3"/>
    <w:rsid w:val="00DA15D1"/>
    <w:rsid w:val="00DA17DE"/>
    <w:rsid w:val="00DA1C89"/>
    <w:rsid w:val="00DA1E6F"/>
    <w:rsid w:val="00DA2111"/>
    <w:rsid w:val="00DA2474"/>
    <w:rsid w:val="00DA274F"/>
    <w:rsid w:val="00DA2922"/>
    <w:rsid w:val="00DA2A89"/>
    <w:rsid w:val="00DA2B60"/>
    <w:rsid w:val="00DA2D7D"/>
    <w:rsid w:val="00DA3073"/>
    <w:rsid w:val="00DA3167"/>
    <w:rsid w:val="00DA3376"/>
    <w:rsid w:val="00DA3597"/>
    <w:rsid w:val="00DA37DA"/>
    <w:rsid w:val="00DA3BA8"/>
    <w:rsid w:val="00DA45AC"/>
    <w:rsid w:val="00DA4DC3"/>
    <w:rsid w:val="00DA4F77"/>
    <w:rsid w:val="00DA5EB1"/>
    <w:rsid w:val="00DA66FD"/>
    <w:rsid w:val="00DA6727"/>
    <w:rsid w:val="00DA69B4"/>
    <w:rsid w:val="00DA6D8C"/>
    <w:rsid w:val="00DA6E02"/>
    <w:rsid w:val="00DA73E4"/>
    <w:rsid w:val="00DA77A5"/>
    <w:rsid w:val="00DA79FC"/>
    <w:rsid w:val="00DA7C93"/>
    <w:rsid w:val="00DA7EF3"/>
    <w:rsid w:val="00DA7F4C"/>
    <w:rsid w:val="00DB0151"/>
    <w:rsid w:val="00DB026E"/>
    <w:rsid w:val="00DB036E"/>
    <w:rsid w:val="00DB0916"/>
    <w:rsid w:val="00DB0B6A"/>
    <w:rsid w:val="00DB0BC0"/>
    <w:rsid w:val="00DB0C12"/>
    <w:rsid w:val="00DB0E36"/>
    <w:rsid w:val="00DB0FE3"/>
    <w:rsid w:val="00DB102D"/>
    <w:rsid w:val="00DB1143"/>
    <w:rsid w:val="00DB11B2"/>
    <w:rsid w:val="00DB21A2"/>
    <w:rsid w:val="00DB2289"/>
    <w:rsid w:val="00DB2699"/>
    <w:rsid w:val="00DB2CB1"/>
    <w:rsid w:val="00DB2F86"/>
    <w:rsid w:val="00DB364F"/>
    <w:rsid w:val="00DB3D44"/>
    <w:rsid w:val="00DB3DBF"/>
    <w:rsid w:val="00DB4021"/>
    <w:rsid w:val="00DB484F"/>
    <w:rsid w:val="00DB49DF"/>
    <w:rsid w:val="00DB4C48"/>
    <w:rsid w:val="00DB4FD6"/>
    <w:rsid w:val="00DB5473"/>
    <w:rsid w:val="00DB5689"/>
    <w:rsid w:val="00DB58B8"/>
    <w:rsid w:val="00DB5AE3"/>
    <w:rsid w:val="00DB5E65"/>
    <w:rsid w:val="00DB6492"/>
    <w:rsid w:val="00DB65B7"/>
    <w:rsid w:val="00DB6694"/>
    <w:rsid w:val="00DB6973"/>
    <w:rsid w:val="00DB6A57"/>
    <w:rsid w:val="00DB6C23"/>
    <w:rsid w:val="00DB6EC3"/>
    <w:rsid w:val="00DB73F1"/>
    <w:rsid w:val="00DB7696"/>
    <w:rsid w:val="00DB772C"/>
    <w:rsid w:val="00DB7839"/>
    <w:rsid w:val="00DB7C47"/>
    <w:rsid w:val="00DB7F10"/>
    <w:rsid w:val="00DC000D"/>
    <w:rsid w:val="00DC03DB"/>
    <w:rsid w:val="00DC0422"/>
    <w:rsid w:val="00DC04F6"/>
    <w:rsid w:val="00DC0690"/>
    <w:rsid w:val="00DC077A"/>
    <w:rsid w:val="00DC14C1"/>
    <w:rsid w:val="00DC15D3"/>
    <w:rsid w:val="00DC16E4"/>
    <w:rsid w:val="00DC1C10"/>
    <w:rsid w:val="00DC1D65"/>
    <w:rsid w:val="00DC1E8A"/>
    <w:rsid w:val="00DC273C"/>
    <w:rsid w:val="00DC2A10"/>
    <w:rsid w:val="00DC2A33"/>
    <w:rsid w:val="00DC2CF2"/>
    <w:rsid w:val="00DC2D09"/>
    <w:rsid w:val="00DC3102"/>
    <w:rsid w:val="00DC3527"/>
    <w:rsid w:val="00DC353F"/>
    <w:rsid w:val="00DC367A"/>
    <w:rsid w:val="00DC373E"/>
    <w:rsid w:val="00DC3C57"/>
    <w:rsid w:val="00DC40AF"/>
    <w:rsid w:val="00DC442A"/>
    <w:rsid w:val="00DC4498"/>
    <w:rsid w:val="00DC4770"/>
    <w:rsid w:val="00DC4E9C"/>
    <w:rsid w:val="00DC5081"/>
    <w:rsid w:val="00DC533A"/>
    <w:rsid w:val="00DC53D1"/>
    <w:rsid w:val="00DC5501"/>
    <w:rsid w:val="00DC5514"/>
    <w:rsid w:val="00DC57AD"/>
    <w:rsid w:val="00DC5DE4"/>
    <w:rsid w:val="00DC6249"/>
    <w:rsid w:val="00DC667A"/>
    <w:rsid w:val="00DC682C"/>
    <w:rsid w:val="00DC6EBC"/>
    <w:rsid w:val="00DC6FCE"/>
    <w:rsid w:val="00DC7154"/>
    <w:rsid w:val="00DC760D"/>
    <w:rsid w:val="00DC7BA2"/>
    <w:rsid w:val="00DC7E8A"/>
    <w:rsid w:val="00DD0341"/>
    <w:rsid w:val="00DD0F78"/>
    <w:rsid w:val="00DD1283"/>
    <w:rsid w:val="00DD1344"/>
    <w:rsid w:val="00DD13DE"/>
    <w:rsid w:val="00DD1AEE"/>
    <w:rsid w:val="00DD1BC3"/>
    <w:rsid w:val="00DD1E4D"/>
    <w:rsid w:val="00DD1F2D"/>
    <w:rsid w:val="00DD240C"/>
    <w:rsid w:val="00DD273C"/>
    <w:rsid w:val="00DD2879"/>
    <w:rsid w:val="00DD29DE"/>
    <w:rsid w:val="00DD2A91"/>
    <w:rsid w:val="00DD2AE4"/>
    <w:rsid w:val="00DD31B0"/>
    <w:rsid w:val="00DD35AA"/>
    <w:rsid w:val="00DD36A8"/>
    <w:rsid w:val="00DD36D8"/>
    <w:rsid w:val="00DD389E"/>
    <w:rsid w:val="00DD3F28"/>
    <w:rsid w:val="00DD4008"/>
    <w:rsid w:val="00DD42FB"/>
    <w:rsid w:val="00DD4446"/>
    <w:rsid w:val="00DD4537"/>
    <w:rsid w:val="00DD489A"/>
    <w:rsid w:val="00DD4B34"/>
    <w:rsid w:val="00DD4B4A"/>
    <w:rsid w:val="00DD4B6A"/>
    <w:rsid w:val="00DD4E15"/>
    <w:rsid w:val="00DD51A5"/>
    <w:rsid w:val="00DD556A"/>
    <w:rsid w:val="00DD5862"/>
    <w:rsid w:val="00DD58ED"/>
    <w:rsid w:val="00DD5A8A"/>
    <w:rsid w:val="00DD5D86"/>
    <w:rsid w:val="00DD5D9A"/>
    <w:rsid w:val="00DD6731"/>
    <w:rsid w:val="00DD6B73"/>
    <w:rsid w:val="00DD6E4B"/>
    <w:rsid w:val="00DD7046"/>
    <w:rsid w:val="00DD70D4"/>
    <w:rsid w:val="00DD7474"/>
    <w:rsid w:val="00DD7641"/>
    <w:rsid w:val="00DD775D"/>
    <w:rsid w:val="00DE01C8"/>
    <w:rsid w:val="00DE0786"/>
    <w:rsid w:val="00DE098A"/>
    <w:rsid w:val="00DE0EF3"/>
    <w:rsid w:val="00DE13F2"/>
    <w:rsid w:val="00DE1599"/>
    <w:rsid w:val="00DE162C"/>
    <w:rsid w:val="00DE1778"/>
    <w:rsid w:val="00DE193A"/>
    <w:rsid w:val="00DE2277"/>
    <w:rsid w:val="00DE2304"/>
    <w:rsid w:val="00DE24CC"/>
    <w:rsid w:val="00DE29A9"/>
    <w:rsid w:val="00DE3026"/>
    <w:rsid w:val="00DE3138"/>
    <w:rsid w:val="00DE32A2"/>
    <w:rsid w:val="00DE3567"/>
    <w:rsid w:val="00DE361B"/>
    <w:rsid w:val="00DE37F8"/>
    <w:rsid w:val="00DE3B31"/>
    <w:rsid w:val="00DE3ED4"/>
    <w:rsid w:val="00DE4273"/>
    <w:rsid w:val="00DE45A7"/>
    <w:rsid w:val="00DE49AA"/>
    <w:rsid w:val="00DE4D42"/>
    <w:rsid w:val="00DE4FCB"/>
    <w:rsid w:val="00DE50E2"/>
    <w:rsid w:val="00DE5638"/>
    <w:rsid w:val="00DE5D07"/>
    <w:rsid w:val="00DE5D67"/>
    <w:rsid w:val="00DE6007"/>
    <w:rsid w:val="00DE613F"/>
    <w:rsid w:val="00DE648F"/>
    <w:rsid w:val="00DE6813"/>
    <w:rsid w:val="00DE68D2"/>
    <w:rsid w:val="00DE72A7"/>
    <w:rsid w:val="00DE765B"/>
    <w:rsid w:val="00DE7734"/>
    <w:rsid w:val="00DE7756"/>
    <w:rsid w:val="00DE77E5"/>
    <w:rsid w:val="00DE7810"/>
    <w:rsid w:val="00DE7832"/>
    <w:rsid w:val="00DE7A72"/>
    <w:rsid w:val="00DE7FF8"/>
    <w:rsid w:val="00DF02CF"/>
    <w:rsid w:val="00DF0384"/>
    <w:rsid w:val="00DF1545"/>
    <w:rsid w:val="00DF158D"/>
    <w:rsid w:val="00DF18FC"/>
    <w:rsid w:val="00DF1C81"/>
    <w:rsid w:val="00DF22B4"/>
    <w:rsid w:val="00DF2D39"/>
    <w:rsid w:val="00DF31D2"/>
    <w:rsid w:val="00DF386C"/>
    <w:rsid w:val="00DF3ECA"/>
    <w:rsid w:val="00DF408C"/>
    <w:rsid w:val="00DF4268"/>
    <w:rsid w:val="00DF43E3"/>
    <w:rsid w:val="00DF4515"/>
    <w:rsid w:val="00DF46E9"/>
    <w:rsid w:val="00DF4A22"/>
    <w:rsid w:val="00DF4FF2"/>
    <w:rsid w:val="00DF5186"/>
    <w:rsid w:val="00DF5561"/>
    <w:rsid w:val="00DF56F3"/>
    <w:rsid w:val="00DF5ABB"/>
    <w:rsid w:val="00DF5AE9"/>
    <w:rsid w:val="00DF5B95"/>
    <w:rsid w:val="00DF5D2B"/>
    <w:rsid w:val="00DF5E61"/>
    <w:rsid w:val="00DF620D"/>
    <w:rsid w:val="00DF6235"/>
    <w:rsid w:val="00DF6341"/>
    <w:rsid w:val="00DF6BE6"/>
    <w:rsid w:val="00DF6CFE"/>
    <w:rsid w:val="00DF6D06"/>
    <w:rsid w:val="00DF6D69"/>
    <w:rsid w:val="00DF6F18"/>
    <w:rsid w:val="00DF76FA"/>
    <w:rsid w:val="00DF7735"/>
    <w:rsid w:val="00DF7B08"/>
    <w:rsid w:val="00DF7D3B"/>
    <w:rsid w:val="00E002C4"/>
    <w:rsid w:val="00E00308"/>
    <w:rsid w:val="00E00661"/>
    <w:rsid w:val="00E00920"/>
    <w:rsid w:val="00E00E8E"/>
    <w:rsid w:val="00E0143D"/>
    <w:rsid w:val="00E016E8"/>
    <w:rsid w:val="00E01DD5"/>
    <w:rsid w:val="00E021D9"/>
    <w:rsid w:val="00E025A6"/>
    <w:rsid w:val="00E02755"/>
    <w:rsid w:val="00E027C6"/>
    <w:rsid w:val="00E0298D"/>
    <w:rsid w:val="00E02A67"/>
    <w:rsid w:val="00E02AC5"/>
    <w:rsid w:val="00E02B22"/>
    <w:rsid w:val="00E02E96"/>
    <w:rsid w:val="00E03397"/>
    <w:rsid w:val="00E0396A"/>
    <w:rsid w:val="00E03E60"/>
    <w:rsid w:val="00E0436D"/>
    <w:rsid w:val="00E04440"/>
    <w:rsid w:val="00E0445A"/>
    <w:rsid w:val="00E04A8F"/>
    <w:rsid w:val="00E04D76"/>
    <w:rsid w:val="00E04D79"/>
    <w:rsid w:val="00E04FAB"/>
    <w:rsid w:val="00E05630"/>
    <w:rsid w:val="00E05653"/>
    <w:rsid w:val="00E06017"/>
    <w:rsid w:val="00E0629D"/>
    <w:rsid w:val="00E06895"/>
    <w:rsid w:val="00E06ABC"/>
    <w:rsid w:val="00E06DBB"/>
    <w:rsid w:val="00E070B5"/>
    <w:rsid w:val="00E0747A"/>
    <w:rsid w:val="00E077F5"/>
    <w:rsid w:val="00E07B61"/>
    <w:rsid w:val="00E10108"/>
    <w:rsid w:val="00E10149"/>
    <w:rsid w:val="00E10315"/>
    <w:rsid w:val="00E10A66"/>
    <w:rsid w:val="00E10CA7"/>
    <w:rsid w:val="00E10FBC"/>
    <w:rsid w:val="00E110C7"/>
    <w:rsid w:val="00E11340"/>
    <w:rsid w:val="00E114EF"/>
    <w:rsid w:val="00E11B08"/>
    <w:rsid w:val="00E11C40"/>
    <w:rsid w:val="00E11C7F"/>
    <w:rsid w:val="00E11E48"/>
    <w:rsid w:val="00E122A1"/>
    <w:rsid w:val="00E12A13"/>
    <w:rsid w:val="00E130A7"/>
    <w:rsid w:val="00E13575"/>
    <w:rsid w:val="00E1399C"/>
    <w:rsid w:val="00E13B52"/>
    <w:rsid w:val="00E13E3C"/>
    <w:rsid w:val="00E13F8C"/>
    <w:rsid w:val="00E14116"/>
    <w:rsid w:val="00E1425D"/>
    <w:rsid w:val="00E1446D"/>
    <w:rsid w:val="00E144F5"/>
    <w:rsid w:val="00E146D5"/>
    <w:rsid w:val="00E14BE2"/>
    <w:rsid w:val="00E15572"/>
    <w:rsid w:val="00E158A1"/>
    <w:rsid w:val="00E15C0C"/>
    <w:rsid w:val="00E15E3C"/>
    <w:rsid w:val="00E160FF"/>
    <w:rsid w:val="00E16249"/>
    <w:rsid w:val="00E16372"/>
    <w:rsid w:val="00E163D1"/>
    <w:rsid w:val="00E165D5"/>
    <w:rsid w:val="00E16994"/>
    <w:rsid w:val="00E16AD8"/>
    <w:rsid w:val="00E16AF6"/>
    <w:rsid w:val="00E16B21"/>
    <w:rsid w:val="00E16D5C"/>
    <w:rsid w:val="00E16E16"/>
    <w:rsid w:val="00E174EC"/>
    <w:rsid w:val="00E17580"/>
    <w:rsid w:val="00E176BE"/>
    <w:rsid w:val="00E17859"/>
    <w:rsid w:val="00E17945"/>
    <w:rsid w:val="00E17C8F"/>
    <w:rsid w:val="00E17FFA"/>
    <w:rsid w:val="00E202E9"/>
    <w:rsid w:val="00E20AE7"/>
    <w:rsid w:val="00E20E2E"/>
    <w:rsid w:val="00E20E4D"/>
    <w:rsid w:val="00E20ED6"/>
    <w:rsid w:val="00E21019"/>
    <w:rsid w:val="00E21358"/>
    <w:rsid w:val="00E2155F"/>
    <w:rsid w:val="00E21856"/>
    <w:rsid w:val="00E219AB"/>
    <w:rsid w:val="00E21A96"/>
    <w:rsid w:val="00E22153"/>
    <w:rsid w:val="00E222C5"/>
    <w:rsid w:val="00E2249B"/>
    <w:rsid w:val="00E225C3"/>
    <w:rsid w:val="00E22A0D"/>
    <w:rsid w:val="00E22AB7"/>
    <w:rsid w:val="00E22AF2"/>
    <w:rsid w:val="00E22C80"/>
    <w:rsid w:val="00E23561"/>
    <w:rsid w:val="00E23E49"/>
    <w:rsid w:val="00E241B5"/>
    <w:rsid w:val="00E242C4"/>
    <w:rsid w:val="00E243B2"/>
    <w:rsid w:val="00E24497"/>
    <w:rsid w:val="00E244F6"/>
    <w:rsid w:val="00E24D7F"/>
    <w:rsid w:val="00E24EA2"/>
    <w:rsid w:val="00E250C1"/>
    <w:rsid w:val="00E25746"/>
    <w:rsid w:val="00E258DB"/>
    <w:rsid w:val="00E259EA"/>
    <w:rsid w:val="00E26FFF"/>
    <w:rsid w:val="00E27122"/>
    <w:rsid w:val="00E27402"/>
    <w:rsid w:val="00E274F8"/>
    <w:rsid w:val="00E27549"/>
    <w:rsid w:val="00E2771E"/>
    <w:rsid w:val="00E27C34"/>
    <w:rsid w:val="00E27E83"/>
    <w:rsid w:val="00E30682"/>
    <w:rsid w:val="00E306D1"/>
    <w:rsid w:val="00E3076A"/>
    <w:rsid w:val="00E30D67"/>
    <w:rsid w:val="00E30DB8"/>
    <w:rsid w:val="00E30DBA"/>
    <w:rsid w:val="00E310A1"/>
    <w:rsid w:val="00E310D5"/>
    <w:rsid w:val="00E311EF"/>
    <w:rsid w:val="00E3155A"/>
    <w:rsid w:val="00E31653"/>
    <w:rsid w:val="00E31817"/>
    <w:rsid w:val="00E31961"/>
    <w:rsid w:val="00E31C11"/>
    <w:rsid w:val="00E31ED7"/>
    <w:rsid w:val="00E32180"/>
    <w:rsid w:val="00E326FF"/>
    <w:rsid w:val="00E32879"/>
    <w:rsid w:val="00E332EC"/>
    <w:rsid w:val="00E3331D"/>
    <w:rsid w:val="00E3367A"/>
    <w:rsid w:val="00E33ACD"/>
    <w:rsid w:val="00E342A1"/>
    <w:rsid w:val="00E34574"/>
    <w:rsid w:val="00E34948"/>
    <w:rsid w:val="00E34F06"/>
    <w:rsid w:val="00E34FAE"/>
    <w:rsid w:val="00E354B7"/>
    <w:rsid w:val="00E357FD"/>
    <w:rsid w:val="00E3583B"/>
    <w:rsid w:val="00E36F12"/>
    <w:rsid w:val="00E37569"/>
    <w:rsid w:val="00E4008D"/>
    <w:rsid w:val="00E401B2"/>
    <w:rsid w:val="00E40284"/>
    <w:rsid w:val="00E40BE7"/>
    <w:rsid w:val="00E40C76"/>
    <w:rsid w:val="00E40E7F"/>
    <w:rsid w:val="00E4100F"/>
    <w:rsid w:val="00E4101D"/>
    <w:rsid w:val="00E41848"/>
    <w:rsid w:val="00E418B2"/>
    <w:rsid w:val="00E41E30"/>
    <w:rsid w:val="00E42070"/>
    <w:rsid w:val="00E421C7"/>
    <w:rsid w:val="00E421D0"/>
    <w:rsid w:val="00E42667"/>
    <w:rsid w:val="00E42A9B"/>
    <w:rsid w:val="00E42F73"/>
    <w:rsid w:val="00E435BC"/>
    <w:rsid w:val="00E43D1B"/>
    <w:rsid w:val="00E43D70"/>
    <w:rsid w:val="00E43F1C"/>
    <w:rsid w:val="00E44420"/>
    <w:rsid w:val="00E44A21"/>
    <w:rsid w:val="00E44D06"/>
    <w:rsid w:val="00E45229"/>
    <w:rsid w:val="00E4537B"/>
    <w:rsid w:val="00E458DD"/>
    <w:rsid w:val="00E46528"/>
    <w:rsid w:val="00E466F3"/>
    <w:rsid w:val="00E46A5B"/>
    <w:rsid w:val="00E4701D"/>
    <w:rsid w:val="00E4709A"/>
    <w:rsid w:val="00E4724C"/>
    <w:rsid w:val="00E478EA"/>
    <w:rsid w:val="00E47B2C"/>
    <w:rsid w:val="00E47D25"/>
    <w:rsid w:val="00E50074"/>
    <w:rsid w:val="00E505DB"/>
    <w:rsid w:val="00E50A51"/>
    <w:rsid w:val="00E51379"/>
    <w:rsid w:val="00E513D5"/>
    <w:rsid w:val="00E514CA"/>
    <w:rsid w:val="00E51560"/>
    <w:rsid w:val="00E51607"/>
    <w:rsid w:val="00E51611"/>
    <w:rsid w:val="00E516F4"/>
    <w:rsid w:val="00E51821"/>
    <w:rsid w:val="00E51B1F"/>
    <w:rsid w:val="00E5261F"/>
    <w:rsid w:val="00E52698"/>
    <w:rsid w:val="00E52D70"/>
    <w:rsid w:val="00E5319A"/>
    <w:rsid w:val="00E53584"/>
    <w:rsid w:val="00E53622"/>
    <w:rsid w:val="00E53663"/>
    <w:rsid w:val="00E53A94"/>
    <w:rsid w:val="00E53A9A"/>
    <w:rsid w:val="00E53D22"/>
    <w:rsid w:val="00E53F69"/>
    <w:rsid w:val="00E53FC8"/>
    <w:rsid w:val="00E54347"/>
    <w:rsid w:val="00E54544"/>
    <w:rsid w:val="00E54618"/>
    <w:rsid w:val="00E54696"/>
    <w:rsid w:val="00E5478B"/>
    <w:rsid w:val="00E5480A"/>
    <w:rsid w:val="00E54821"/>
    <w:rsid w:val="00E549DE"/>
    <w:rsid w:val="00E54D19"/>
    <w:rsid w:val="00E55184"/>
    <w:rsid w:val="00E5528F"/>
    <w:rsid w:val="00E55424"/>
    <w:rsid w:val="00E556B1"/>
    <w:rsid w:val="00E55915"/>
    <w:rsid w:val="00E55BB5"/>
    <w:rsid w:val="00E55C0B"/>
    <w:rsid w:val="00E55C5E"/>
    <w:rsid w:val="00E55CB1"/>
    <w:rsid w:val="00E56631"/>
    <w:rsid w:val="00E56805"/>
    <w:rsid w:val="00E56CE8"/>
    <w:rsid w:val="00E56D50"/>
    <w:rsid w:val="00E57037"/>
    <w:rsid w:val="00E5707A"/>
    <w:rsid w:val="00E574FC"/>
    <w:rsid w:val="00E57BC0"/>
    <w:rsid w:val="00E57DE5"/>
    <w:rsid w:val="00E57E3F"/>
    <w:rsid w:val="00E60525"/>
    <w:rsid w:val="00E60535"/>
    <w:rsid w:val="00E6081B"/>
    <w:rsid w:val="00E6099F"/>
    <w:rsid w:val="00E60AA4"/>
    <w:rsid w:val="00E60AAC"/>
    <w:rsid w:val="00E60D26"/>
    <w:rsid w:val="00E611DF"/>
    <w:rsid w:val="00E6194F"/>
    <w:rsid w:val="00E61DF0"/>
    <w:rsid w:val="00E634C4"/>
    <w:rsid w:val="00E635B4"/>
    <w:rsid w:val="00E639D9"/>
    <w:rsid w:val="00E63C10"/>
    <w:rsid w:val="00E6436B"/>
    <w:rsid w:val="00E64520"/>
    <w:rsid w:val="00E64B3C"/>
    <w:rsid w:val="00E64E2A"/>
    <w:rsid w:val="00E65614"/>
    <w:rsid w:val="00E65832"/>
    <w:rsid w:val="00E65A77"/>
    <w:rsid w:val="00E65AFD"/>
    <w:rsid w:val="00E65C65"/>
    <w:rsid w:val="00E65E79"/>
    <w:rsid w:val="00E660DF"/>
    <w:rsid w:val="00E6635E"/>
    <w:rsid w:val="00E6638F"/>
    <w:rsid w:val="00E6639E"/>
    <w:rsid w:val="00E663E0"/>
    <w:rsid w:val="00E665D9"/>
    <w:rsid w:val="00E6671E"/>
    <w:rsid w:val="00E66A8E"/>
    <w:rsid w:val="00E66AAD"/>
    <w:rsid w:val="00E66BA2"/>
    <w:rsid w:val="00E6708D"/>
    <w:rsid w:val="00E67416"/>
    <w:rsid w:val="00E67E8F"/>
    <w:rsid w:val="00E67FC3"/>
    <w:rsid w:val="00E7043A"/>
    <w:rsid w:val="00E7057F"/>
    <w:rsid w:val="00E7059F"/>
    <w:rsid w:val="00E70700"/>
    <w:rsid w:val="00E70A6E"/>
    <w:rsid w:val="00E70C09"/>
    <w:rsid w:val="00E70DA3"/>
    <w:rsid w:val="00E70E4E"/>
    <w:rsid w:val="00E70EEE"/>
    <w:rsid w:val="00E71620"/>
    <w:rsid w:val="00E71752"/>
    <w:rsid w:val="00E7187C"/>
    <w:rsid w:val="00E718B6"/>
    <w:rsid w:val="00E71A7C"/>
    <w:rsid w:val="00E7214F"/>
    <w:rsid w:val="00E723BA"/>
    <w:rsid w:val="00E724E6"/>
    <w:rsid w:val="00E72977"/>
    <w:rsid w:val="00E72AE4"/>
    <w:rsid w:val="00E72B60"/>
    <w:rsid w:val="00E7329C"/>
    <w:rsid w:val="00E73581"/>
    <w:rsid w:val="00E74072"/>
    <w:rsid w:val="00E7420A"/>
    <w:rsid w:val="00E743DD"/>
    <w:rsid w:val="00E74484"/>
    <w:rsid w:val="00E74707"/>
    <w:rsid w:val="00E74F0B"/>
    <w:rsid w:val="00E75148"/>
    <w:rsid w:val="00E75687"/>
    <w:rsid w:val="00E756C0"/>
    <w:rsid w:val="00E75E6C"/>
    <w:rsid w:val="00E76150"/>
    <w:rsid w:val="00E763F1"/>
    <w:rsid w:val="00E764C6"/>
    <w:rsid w:val="00E76B47"/>
    <w:rsid w:val="00E7710E"/>
    <w:rsid w:val="00E7712A"/>
    <w:rsid w:val="00E771F8"/>
    <w:rsid w:val="00E7746B"/>
    <w:rsid w:val="00E77862"/>
    <w:rsid w:val="00E77DF2"/>
    <w:rsid w:val="00E807F1"/>
    <w:rsid w:val="00E81154"/>
    <w:rsid w:val="00E812BD"/>
    <w:rsid w:val="00E81D9D"/>
    <w:rsid w:val="00E820B6"/>
    <w:rsid w:val="00E82547"/>
    <w:rsid w:val="00E82730"/>
    <w:rsid w:val="00E828DC"/>
    <w:rsid w:val="00E82F61"/>
    <w:rsid w:val="00E833F7"/>
    <w:rsid w:val="00E83571"/>
    <w:rsid w:val="00E839D4"/>
    <w:rsid w:val="00E83BDF"/>
    <w:rsid w:val="00E83DFB"/>
    <w:rsid w:val="00E843AC"/>
    <w:rsid w:val="00E84467"/>
    <w:rsid w:val="00E84AD5"/>
    <w:rsid w:val="00E8506D"/>
    <w:rsid w:val="00E85769"/>
    <w:rsid w:val="00E8586C"/>
    <w:rsid w:val="00E858CD"/>
    <w:rsid w:val="00E85AED"/>
    <w:rsid w:val="00E85CA5"/>
    <w:rsid w:val="00E85DD5"/>
    <w:rsid w:val="00E85F76"/>
    <w:rsid w:val="00E85FB6"/>
    <w:rsid w:val="00E8600C"/>
    <w:rsid w:val="00E8605E"/>
    <w:rsid w:val="00E86201"/>
    <w:rsid w:val="00E86602"/>
    <w:rsid w:val="00E866E2"/>
    <w:rsid w:val="00E86C9B"/>
    <w:rsid w:val="00E86FCC"/>
    <w:rsid w:val="00E87A1D"/>
    <w:rsid w:val="00E87DEF"/>
    <w:rsid w:val="00E9012F"/>
    <w:rsid w:val="00E9042C"/>
    <w:rsid w:val="00E907CB"/>
    <w:rsid w:val="00E9094A"/>
    <w:rsid w:val="00E90FF0"/>
    <w:rsid w:val="00E90FF7"/>
    <w:rsid w:val="00E9121A"/>
    <w:rsid w:val="00E91382"/>
    <w:rsid w:val="00E91837"/>
    <w:rsid w:val="00E91D35"/>
    <w:rsid w:val="00E91E5E"/>
    <w:rsid w:val="00E92366"/>
    <w:rsid w:val="00E925FE"/>
    <w:rsid w:val="00E92685"/>
    <w:rsid w:val="00E926A5"/>
    <w:rsid w:val="00E92A6A"/>
    <w:rsid w:val="00E92F18"/>
    <w:rsid w:val="00E92F92"/>
    <w:rsid w:val="00E9302E"/>
    <w:rsid w:val="00E93287"/>
    <w:rsid w:val="00E93659"/>
    <w:rsid w:val="00E93850"/>
    <w:rsid w:val="00E93A71"/>
    <w:rsid w:val="00E9418E"/>
    <w:rsid w:val="00E94280"/>
    <w:rsid w:val="00E951D8"/>
    <w:rsid w:val="00E9527B"/>
    <w:rsid w:val="00E95748"/>
    <w:rsid w:val="00E9581D"/>
    <w:rsid w:val="00E95BE8"/>
    <w:rsid w:val="00E95C65"/>
    <w:rsid w:val="00E95E5A"/>
    <w:rsid w:val="00E9627A"/>
    <w:rsid w:val="00E962CC"/>
    <w:rsid w:val="00E963AF"/>
    <w:rsid w:val="00E966CE"/>
    <w:rsid w:val="00E96858"/>
    <w:rsid w:val="00E96B9A"/>
    <w:rsid w:val="00E9720F"/>
    <w:rsid w:val="00E973B0"/>
    <w:rsid w:val="00E9749A"/>
    <w:rsid w:val="00E97569"/>
    <w:rsid w:val="00E97893"/>
    <w:rsid w:val="00E9793D"/>
    <w:rsid w:val="00E97BB5"/>
    <w:rsid w:val="00E97C72"/>
    <w:rsid w:val="00E97E90"/>
    <w:rsid w:val="00EA0226"/>
    <w:rsid w:val="00EA0264"/>
    <w:rsid w:val="00EA0D35"/>
    <w:rsid w:val="00EA0E5A"/>
    <w:rsid w:val="00EA106D"/>
    <w:rsid w:val="00EA117A"/>
    <w:rsid w:val="00EA17C3"/>
    <w:rsid w:val="00EA1896"/>
    <w:rsid w:val="00EA18A3"/>
    <w:rsid w:val="00EA2373"/>
    <w:rsid w:val="00EA26FA"/>
    <w:rsid w:val="00EA28B9"/>
    <w:rsid w:val="00EA2C6E"/>
    <w:rsid w:val="00EA2CAA"/>
    <w:rsid w:val="00EA30C3"/>
    <w:rsid w:val="00EA3443"/>
    <w:rsid w:val="00EA3864"/>
    <w:rsid w:val="00EA3D96"/>
    <w:rsid w:val="00EA427D"/>
    <w:rsid w:val="00EA451F"/>
    <w:rsid w:val="00EA4559"/>
    <w:rsid w:val="00EA4B1E"/>
    <w:rsid w:val="00EA4C5A"/>
    <w:rsid w:val="00EA4C68"/>
    <w:rsid w:val="00EA4C91"/>
    <w:rsid w:val="00EA4C97"/>
    <w:rsid w:val="00EA4F38"/>
    <w:rsid w:val="00EA5397"/>
    <w:rsid w:val="00EA547E"/>
    <w:rsid w:val="00EA5E99"/>
    <w:rsid w:val="00EA6597"/>
    <w:rsid w:val="00EA66FF"/>
    <w:rsid w:val="00EA7222"/>
    <w:rsid w:val="00EA7BD3"/>
    <w:rsid w:val="00EA7D52"/>
    <w:rsid w:val="00EA7F1C"/>
    <w:rsid w:val="00EA7FE6"/>
    <w:rsid w:val="00EB0733"/>
    <w:rsid w:val="00EB15B6"/>
    <w:rsid w:val="00EB17D6"/>
    <w:rsid w:val="00EB1C52"/>
    <w:rsid w:val="00EB1C70"/>
    <w:rsid w:val="00EB1E18"/>
    <w:rsid w:val="00EB24DC"/>
    <w:rsid w:val="00EB26E3"/>
    <w:rsid w:val="00EB27F8"/>
    <w:rsid w:val="00EB290E"/>
    <w:rsid w:val="00EB2D30"/>
    <w:rsid w:val="00EB3120"/>
    <w:rsid w:val="00EB382D"/>
    <w:rsid w:val="00EB396D"/>
    <w:rsid w:val="00EB3AC6"/>
    <w:rsid w:val="00EB3AD3"/>
    <w:rsid w:val="00EB3D06"/>
    <w:rsid w:val="00EB4164"/>
    <w:rsid w:val="00EB451F"/>
    <w:rsid w:val="00EB4774"/>
    <w:rsid w:val="00EB4916"/>
    <w:rsid w:val="00EB49C0"/>
    <w:rsid w:val="00EB4C1A"/>
    <w:rsid w:val="00EB4D86"/>
    <w:rsid w:val="00EB54C1"/>
    <w:rsid w:val="00EB55A9"/>
    <w:rsid w:val="00EB5689"/>
    <w:rsid w:val="00EB576E"/>
    <w:rsid w:val="00EB580E"/>
    <w:rsid w:val="00EB58F9"/>
    <w:rsid w:val="00EB5B84"/>
    <w:rsid w:val="00EB6405"/>
    <w:rsid w:val="00EB66D7"/>
    <w:rsid w:val="00EB728D"/>
    <w:rsid w:val="00EB7422"/>
    <w:rsid w:val="00EB77C6"/>
    <w:rsid w:val="00EB78A6"/>
    <w:rsid w:val="00EC0026"/>
    <w:rsid w:val="00EC00C9"/>
    <w:rsid w:val="00EC0361"/>
    <w:rsid w:val="00EC03B5"/>
    <w:rsid w:val="00EC05D4"/>
    <w:rsid w:val="00EC0936"/>
    <w:rsid w:val="00EC0B02"/>
    <w:rsid w:val="00EC0DD9"/>
    <w:rsid w:val="00EC119C"/>
    <w:rsid w:val="00EC1316"/>
    <w:rsid w:val="00EC154C"/>
    <w:rsid w:val="00EC1B06"/>
    <w:rsid w:val="00EC1B0D"/>
    <w:rsid w:val="00EC1C4D"/>
    <w:rsid w:val="00EC1C87"/>
    <w:rsid w:val="00EC20F9"/>
    <w:rsid w:val="00EC217C"/>
    <w:rsid w:val="00EC2529"/>
    <w:rsid w:val="00EC2649"/>
    <w:rsid w:val="00EC296B"/>
    <w:rsid w:val="00EC2AF5"/>
    <w:rsid w:val="00EC2BF0"/>
    <w:rsid w:val="00EC3066"/>
    <w:rsid w:val="00EC30B5"/>
    <w:rsid w:val="00EC31ED"/>
    <w:rsid w:val="00EC3C58"/>
    <w:rsid w:val="00EC476B"/>
    <w:rsid w:val="00EC4AFF"/>
    <w:rsid w:val="00EC4B1C"/>
    <w:rsid w:val="00EC4BAE"/>
    <w:rsid w:val="00EC5836"/>
    <w:rsid w:val="00EC5E1F"/>
    <w:rsid w:val="00EC688C"/>
    <w:rsid w:val="00EC68CE"/>
    <w:rsid w:val="00EC695F"/>
    <w:rsid w:val="00EC6BCF"/>
    <w:rsid w:val="00EC6CA3"/>
    <w:rsid w:val="00EC6D3C"/>
    <w:rsid w:val="00EC6F46"/>
    <w:rsid w:val="00EC7889"/>
    <w:rsid w:val="00ED0099"/>
    <w:rsid w:val="00ED069B"/>
    <w:rsid w:val="00ED06D3"/>
    <w:rsid w:val="00ED08AB"/>
    <w:rsid w:val="00ED09A9"/>
    <w:rsid w:val="00ED0B89"/>
    <w:rsid w:val="00ED0F84"/>
    <w:rsid w:val="00ED12C1"/>
    <w:rsid w:val="00ED12E3"/>
    <w:rsid w:val="00ED152C"/>
    <w:rsid w:val="00ED1944"/>
    <w:rsid w:val="00ED1BD5"/>
    <w:rsid w:val="00ED1C02"/>
    <w:rsid w:val="00ED1E71"/>
    <w:rsid w:val="00ED203C"/>
    <w:rsid w:val="00ED27C5"/>
    <w:rsid w:val="00ED2B13"/>
    <w:rsid w:val="00ED2B3C"/>
    <w:rsid w:val="00ED2C5F"/>
    <w:rsid w:val="00ED35FA"/>
    <w:rsid w:val="00ED3DD3"/>
    <w:rsid w:val="00ED3FAC"/>
    <w:rsid w:val="00ED41EF"/>
    <w:rsid w:val="00ED4624"/>
    <w:rsid w:val="00ED4633"/>
    <w:rsid w:val="00ED467A"/>
    <w:rsid w:val="00ED49F3"/>
    <w:rsid w:val="00ED4B04"/>
    <w:rsid w:val="00ED57EA"/>
    <w:rsid w:val="00ED5807"/>
    <w:rsid w:val="00ED59D0"/>
    <w:rsid w:val="00ED5BD4"/>
    <w:rsid w:val="00ED5FE6"/>
    <w:rsid w:val="00ED60B4"/>
    <w:rsid w:val="00ED6184"/>
    <w:rsid w:val="00ED6226"/>
    <w:rsid w:val="00ED6414"/>
    <w:rsid w:val="00ED6C75"/>
    <w:rsid w:val="00ED722F"/>
    <w:rsid w:val="00ED72D5"/>
    <w:rsid w:val="00ED778B"/>
    <w:rsid w:val="00ED7F3C"/>
    <w:rsid w:val="00EE02CA"/>
    <w:rsid w:val="00EE07D3"/>
    <w:rsid w:val="00EE1077"/>
    <w:rsid w:val="00EE13E1"/>
    <w:rsid w:val="00EE15D8"/>
    <w:rsid w:val="00EE170A"/>
    <w:rsid w:val="00EE1996"/>
    <w:rsid w:val="00EE1B25"/>
    <w:rsid w:val="00EE1C01"/>
    <w:rsid w:val="00EE1EC2"/>
    <w:rsid w:val="00EE1FB5"/>
    <w:rsid w:val="00EE22AF"/>
    <w:rsid w:val="00EE2F98"/>
    <w:rsid w:val="00EE3646"/>
    <w:rsid w:val="00EE36C9"/>
    <w:rsid w:val="00EE39CE"/>
    <w:rsid w:val="00EE3B9A"/>
    <w:rsid w:val="00EE3DFE"/>
    <w:rsid w:val="00EE3E72"/>
    <w:rsid w:val="00EE4024"/>
    <w:rsid w:val="00EE4613"/>
    <w:rsid w:val="00EE4BCA"/>
    <w:rsid w:val="00EE4E94"/>
    <w:rsid w:val="00EE4EC9"/>
    <w:rsid w:val="00EE5D3E"/>
    <w:rsid w:val="00EE5D79"/>
    <w:rsid w:val="00EE632A"/>
    <w:rsid w:val="00EE640D"/>
    <w:rsid w:val="00EE64DB"/>
    <w:rsid w:val="00EE65AA"/>
    <w:rsid w:val="00EE697A"/>
    <w:rsid w:val="00EE6A5A"/>
    <w:rsid w:val="00EE724E"/>
    <w:rsid w:val="00EE76D1"/>
    <w:rsid w:val="00EE7882"/>
    <w:rsid w:val="00EE788F"/>
    <w:rsid w:val="00EF0171"/>
    <w:rsid w:val="00EF0387"/>
    <w:rsid w:val="00EF0568"/>
    <w:rsid w:val="00EF07F5"/>
    <w:rsid w:val="00EF08BB"/>
    <w:rsid w:val="00EF0D23"/>
    <w:rsid w:val="00EF0DC3"/>
    <w:rsid w:val="00EF0E4A"/>
    <w:rsid w:val="00EF0EC3"/>
    <w:rsid w:val="00EF1B25"/>
    <w:rsid w:val="00EF1B96"/>
    <w:rsid w:val="00EF1BC5"/>
    <w:rsid w:val="00EF1D5D"/>
    <w:rsid w:val="00EF1DA0"/>
    <w:rsid w:val="00EF1F38"/>
    <w:rsid w:val="00EF277E"/>
    <w:rsid w:val="00EF2BF3"/>
    <w:rsid w:val="00EF2DD6"/>
    <w:rsid w:val="00EF2E4F"/>
    <w:rsid w:val="00EF346A"/>
    <w:rsid w:val="00EF3AB9"/>
    <w:rsid w:val="00EF3FDD"/>
    <w:rsid w:val="00EF43E9"/>
    <w:rsid w:val="00EF4528"/>
    <w:rsid w:val="00EF4578"/>
    <w:rsid w:val="00EF4747"/>
    <w:rsid w:val="00EF4BF8"/>
    <w:rsid w:val="00EF4F8A"/>
    <w:rsid w:val="00EF598C"/>
    <w:rsid w:val="00EF5D0A"/>
    <w:rsid w:val="00EF5E7F"/>
    <w:rsid w:val="00EF5EAD"/>
    <w:rsid w:val="00EF621E"/>
    <w:rsid w:val="00EF63DD"/>
    <w:rsid w:val="00EF648C"/>
    <w:rsid w:val="00EF69C7"/>
    <w:rsid w:val="00EF6B88"/>
    <w:rsid w:val="00EF6BC2"/>
    <w:rsid w:val="00EF73AD"/>
    <w:rsid w:val="00EF76DD"/>
    <w:rsid w:val="00EF7719"/>
    <w:rsid w:val="00EF77BE"/>
    <w:rsid w:val="00EF77E6"/>
    <w:rsid w:val="00EF7B55"/>
    <w:rsid w:val="00EF7E5D"/>
    <w:rsid w:val="00EF7EB8"/>
    <w:rsid w:val="00F00007"/>
    <w:rsid w:val="00F00202"/>
    <w:rsid w:val="00F00429"/>
    <w:rsid w:val="00F0045B"/>
    <w:rsid w:val="00F00743"/>
    <w:rsid w:val="00F00941"/>
    <w:rsid w:val="00F01109"/>
    <w:rsid w:val="00F01265"/>
    <w:rsid w:val="00F01D5F"/>
    <w:rsid w:val="00F02253"/>
    <w:rsid w:val="00F02280"/>
    <w:rsid w:val="00F02D84"/>
    <w:rsid w:val="00F02F94"/>
    <w:rsid w:val="00F0310F"/>
    <w:rsid w:val="00F034D5"/>
    <w:rsid w:val="00F035FC"/>
    <w:rsid w:val="00F03C2E"/>
    <w:rsid w:val="00F04063"/>
    <w:rsid w:val="00F043BD"/>
    <w:rsid w:val="00F045EA"/>
    <w:rsid w:val="00F047CF"/>
    <w:rsid w:val="00F048C5"/>
    <w:rsid w:val="00F04A66"/>
    <w:rsid w:val="00F04B4B"/>
    <w:rsid w:val="00F0516C"/>
    <w:rsid w:val="00F05300"/>
    <w:rsid w:val="00F05845"/>
    <w:rsid w:val="00F06187"/>
    <w:rsid w:val="00F067A2"/>
    <w:rsid w:val="00F068A4"/>
    <w:rsid w:val="00F06B34"/>
    <w:rsid w:val="00F06C10"/>
    <w:rsid w:val="00F06DFC"/>
    <w:rsid w:val="00F0712F"/>
    <w:rsid w:val="00F07B9B"/>
    <w:rsid w:val="00F07B9E"/>
    <w:rsid w:val="00F10065"/>
    <w:rsid w:val="00F105AE"/>
    <w:rsid w:val="00F10645"/>
    <w:rsid w:val="00F107A2"/>
    <w:rsid w:val="00F10A9A"/>
    <w:rsid w:val="00F10B42"/>
    <w:rsid w:val="00F10D8C"/>
    <w:rsid w:val="00F10F1A"/>
    <w:rsid w:val="00F1116F"/>
    <w:rsid w:val="00F11670"/>
    <w:rsid w:val="00F11B53"/>
    <w:rsid w:val="00F11BD2"/>
    <w:rsid w:val="00F11ECB"/>
    <w:rsid w:val="00F12212"/>
    <w:rsid w:val="00F1263A"/>
    <w:rsid w:val="00F12667"/>
    <w:rsid w:val="00F127E1"/>
    <w:rsid w:val="00F128E1"/>
    <w:rsid w:val="00F13559"/>
    <w:rsid w:val="00F135D2"/>
    <w:rsid w:val="00F139C5"/>
    <w:rsid w:val="00F13C10"/>
    <w:rsid w:val="00F13FE8"/>
    <w:rsid w:val="00F14236"/>
    <w:rsid w:val="00F143F0"/>
    <w:rsid w:val="00F14618"/>
    <w:rsid w:val="00F1494C"/>
    <w:rsid w:val="00F14D47"/>
    <w:rsid w:val="00F151CF"/>
    <w:rsid w:val="00F155F0"/>
    <w:rsid w:val="00F1579B"/>
    <w:rsid w:val="00F15A06"/>
    <w:rsid w:val="00F15ADF"/>
    <w:rsid w:val="00F15B77"/>
    <w:rsid w:val="00F1619C"/>
    <w:rsid w:val="00F162C1"/>
    <w:rsid w:val="00F1652B"/>
    <w:rsid w:val="00F17328"/>
    <w:rsid w:val="00F17480"/>
    <w:rsid w:val="00F1768E"/>
    <w:rsid w:val="00F17AAE"/>
    <w:rsid w:val="00F17B67"/>
    <w:rsid w:val="00F17FC1"/>
    <w:rsid w:val="00F17FD6"/>
    <w:rsid w:val="00F2011B"/>
    <w:rsid w:val="00F21236"/>
    <w:rsid w:val="00F21368"/>
    <w:rsid w:val="00F213A8"/>
    <w:rsid w:val="00F21940"/>
    <w:rsid w:val="00F21D59"/>
    <w:rsid w:val="00F221B8"/>
    <w:rsid w:val="00F22373"/>
    <w:rsid w:val="00F227F7"/>
    <w:rsid w:val="00F22976"/>
    <w:rsid w:val="00F237AE"/>
    <w:rsid w:val="00F239DF"/>
    <w:rsid w:val="00F23F63"/>
    <w:rsid w:val="00F2443F"/>
    <w:rsid w:val="00F24558"/>
    <w:rsid w:val="00F247AF"/>
    <w:rsid w:val="00F24837"/>
    <w:rsid w:val="00F24899"/>
    <w:rsid w:val="00F24A4F"/>
    <w:rsid w:val="00F24C78"/>
    <w:rsid w:val="00F2514A"/>
    <w:rsid w:val="00F25612"/>
    <w:rsid w:val="00F2575F"/>
    <w:rsid w:val="00F25BF4"/>
    <w:rsid w:val="00F25E80"/>
    <w:rsid w:val="00F260FA"/>
    <w:rsid w:val="00F26265"/>
    <w:rsid w:val="00F26454"/>
    <w:rsid w:val="00F26C81"/>
    <w:rsid w:val="00F26FFF"/>
    <w:rsid w:val="00F272FE"/>
    <w:rsid w:val="00F27474"/>
    <w:rsid w:val="00F27565"/>
    <w:rsid w:val="00F27677"/>
    <w:rsid w:val="00F279BE"/>
    <w:rsid w:val="00F27AB6"/>
    <w:rsid w:val="00F27B95"/>
    <w:rsid w:val="00F27E78"/>
    <w:rsid w:val="00F27EC2"/>
    <w:rsid w:val="00F309C1"/>
    <w:rsid w:val="00F310D4"/>
    <w:rsid w:val="00F312E4"/>
    <w:rsid w:val="00F31327"/>
    <w:rsid w:val="00F31AC8"/>
    <w:rsid w:val="00F31D5A"/>
    <w:rsid w:val="00F31E5C"/>
    <w:rsid w:val="00F31F3C"/>
    <w:rsid w:val="00F3207D"/>
    <w:rsid w:val="00F323C1"/>
    <w:rsid w:val="00F323E1"/>
    <w:rsid w:val="00F326E3"/>
    <w:rsid w:val="00F32952"/>
    <w:rsid w:val="00F32A8B"/>
    <w:rsid w:val="00F32DA1"/>
    <w:rsid w:val="00F32F62"/>
    <w:rsid w:val="00F335DE"/>
    <w:rsid w:val="00F338D6"/>
    <w:rsid w:val="00F33975"/>
    <w:rsid w:val="00F3398B"/>
    <w:rsid w:val="00F33A58"/>
    <w:rsid w:val="00F33C30"/>
    <w:rsid w:val="00F33CFB"/>
    <w:rsid w:val="00F33DE9"/>
    <w:rsid w:val="00F34352"/>
    <w:rsid w:val="00F3473F"/>
    <w:rsid w:val="00F34C58"/>
    <w:rsid w:val="00F34F4C"/>
    <w:rsid w:val="00F34FA5"/>
    <w:rsid w:val="00F354ED"/>
    <w:rsid w:val="00F35809"/>
    <w:rsid w:val="00F35AE0"/>
    <w:rsid w:val="00F35E6D"/>
    <w:rsid w:val="00F35E7F"/>
    <w:rsid w:val="00F3619A"/>
    <w:rsid w:val="00F3626B"/>
    <w:rsid w:val="00F36290"/>
    <w:rsid w:val="00F3699F"/>
    <w:rsid w:val="00F36A3E"/>
    <w:rsid w:val="00F37159"/>
    <w:rsid w:val="00F37266"/>
    <w:rsid w:val="00F3761C"/>
    <w:rsid w:val="00F37992"/>
    <w:rsid w:val="00F40445"/>
    <w:rsid w:val="00F40628"/>
    <w:rsid w:val="00F40740"/>
    <w:rsid w:val="00F40AAA"/>
    <w:rsid w:val="00F40BA7"/>
    <w:rsid w:val="00F40D2B"/>
    <w:rsid w:val="00F40E16"/>
    <w:rsid w:val="00F40F9D"/>
    <w:rsid w:val="00F40FC2"/>
    <w:rsid w:val="00F41250"/>
    <w:rsid w:val="00F41648"/>
    <w:rsid w:val="00F416CF"/>
    <w:rsid w:val="00F41A18"/>
    <w:rsid w:val="00F41A1E"/>
    <w:rsid w:val="00F41ACD"/>
    <w:rsid w:val="00F41BA2"/>
    <w:rsid w:val="00F41BB6"/>
    <w:rsid w:val="00F41E0E"/>
    <w:rsid w:val="00F41EB8"/>
    <w:rsid w:val="00F42770"/>
    <w:rsid w:val="00F4281C"/>
    <w:rsid w:val="00F4287C"/>
    <w:rsid w:val="00F42A84"/>
    <w:rsid w:val="00F42AA0"/>
    <w:rsid w:val="00F42C91"/>
    <w:rsid w:val="00F42FB6"/>
    <w:rsid w:val="00F43381"/>
    <w:rsid w:val="00F434A6"/>
    <w:rsid w:val="00F4354B"/>
    <w:rsid w:val="00F439DE"/>
    <w:rsid w:val="00F43BCF"/>
    <w:rsid w:val="00F43EAF"/>
    <w:rsid w:val="00F43F76"/>
    <w:rsid w:val="00F441B6"/>
    <w:rsid w:val="00F4435F"/>
    <w:rsid w:val="00F44413"/>
    <w:rsid w:val="00F447F7"/>
    <w:rsid w:val="00F44C76"/>
    <w:rsid w:val="00F45085"/>
    <w:rsid w:val="00F453F5"/>
    <w:rsid w:val="00F4585E"/>
    <w:rsid w:val="00F45D5E"/>
    <w:rsid w:val="00F462E9"/>
    <w:rsid w:val="00F46CB6"/>
    <w:rsid w:val="00F46E24"/>
    <w:rsid w:val="00F46F2E"/>
    <w:rsid w:val="00F47062"/>
    <w:rsid w:val="00F47123"/>
    <w:rsid w:val="00F4756D"/>
    <w:rsid w:val="00F47C17"/>
    <w:rsid w:val="00F47DBB"/>
    <w:rsid w:val="00F47DE8"/>
    <w:rsid w:val="00F47F6D"/>
    <w:rsid w:val="00F502BC"/>
    <w:rsid w:val="00F51079"/>
    <w:rsid w:val="00F5115C"/>
    <w:rsid w:val="00F518C5"/>
    <w:rsid w:val="00F52443"/>
    <w:rsid w:val="00F52658"/>
    <w:rsid w:val="00F5265D"/>
    <w:rsid w:val="00F526F0"/>
    <w:rsid w:val="00F5274B"/>
    <w:rsid w:val="00F52987"/>
    <w:rsid w:val="00F52DAF"/>
    <w:rsid w:val="00F53439"/>
    <w:rsid w:val="00F538C9"/>
    <w:rsid w:val="00F53A1A"/>
    <w:rsid w:val="00F542C1"/>
    <w:rsid w:val="00F543B1"/>
    <w:rsid w:val="00F544D1"/>
    <w:rsid w:val="00F546F1"/>
    <w:rsid w:val="00F5496C"/>
    <w:rsid w:val="00F54AB8"/>
    <w:rsid w:val="00F54DF4"/>
    <w:rsid w:val="00F54DFC"/>
    <w:rsid w:val="00F550E3"/>
    <w:rsid w:val="00F5530F"/>
    <w:rsid w:val="00F55A0D"/>
    <w:rsid w:val="00F55A52"/>
    <w:rsid w:val="00F55CE7"/>
    <w:rsid w:val="00F55DDE"/>
    <w:rsid w:val="00F55E70"/>
    <w:rsid w:val="00F55E73"/>
    <w:rsid w:val="00F55EDA"/>
    <w:rsid w:val="00F56224"/>
    <w:rsid w:val="00F564F8"/>
    <w:rsid w:val="00F56535"/>
    <w:rsid w:val="00F56C80"/>
    <w:rsid w:val="00F56D71"/>
    <w:rsid w:val="00F56F5C"/>
    <w:rsid w:val="00F573EA"/>
    <w:rsid w:val="00F5742A"/>
    <w:rsid w:val="00F5779D"/>
    <w:rsid w:val="00F57A67"/>
    <w:rsid w:val="00F57BD2"/>
    <w:rsid w:val="00F60092"/>
    <w:rsid w:val="00F6075C"/>
    <w:rsid w:val="00F609A4"/>
    <w:rsid w:val="00F61035"/>
    <w:rsid w:val="00F61148"/>
    <w:rsid w:val="00F616BD"/>
    <w:rsid w:val="00F6187C"/>
    <w:rsid w:val="00F61955"/>
    <w:rsid w:val="00F61C18"/>
    <w:rsid w:val="00F61C5F"/>
    <w:rsid w:val="00F61F0E"/>
    <w:rsid w:val="00F62022"/>
    <w:rsid w:val="00F626FA"/>
    <w:rsid w:val="00F627D9"/>
    <w:rsid w:val="00F62B8E"/>
    <w:rsid w:val="00F62CE6"/>
    <w:rsid w:val="00F6312A"/>
    <w:rsid w:val="00F633CD"/>
    <w:rsid w:val="00F6397F"/>
    <w:rsid w:val="00F63D0A"/>
    <w:rsid w:val="00F644B4"/>
    <w:rsid w:val="00F644DE"/>
    <w:rsid w:val="00F64658"/>
    <w:rsid w:val="00F64853"/>
    <w:rsid w:val="00F64892"/>
    <w:rsid w:val="00F65226"/>
    <w:rsid w:val="00F65B86"/>
    <w:rsid w:val="00F65B9E"/>
    <w:rsid w:val="00F65F4B"/>
    <w:rsid w:val="00F66502"/>
    <w:rsid w:val="00F66776"/>
    <w:rsid w:val="00F673DE"/>
    <w:rsid w:val="00F67655"/>
    <w:rsid w:val="00F67788"/>
    <w:rsid w:val="00F67823"/>
    <w:rsid w:val="00F67A69"/>
    <w:rsid w:val="00F67A6C"/>
    <w:rsid w:val="00F67CE7"/>
    <w:rsid w:val="00F7041B"/>
    <w:rsid w:val="00F704BF"/>
    <w:rsid w:val="00F70706"/>
    <w:rsid w:val="00F70BFF"/>
    <w:rsid w:val="00F70C9D"/>
    <w:rsid w:val="00F71342"/>
    <w:rsid w:val="00F71967"/>
    <w:rsid w:val="00F72039"/>
    <w:rsid w:val="00F721C0"/>
    <w:rsid w:val="00F72729"/>
    <w:rsid w:val="00F72748"/>
    <w:rsid w:val="00F735AC"/>
    <w:rsid w:val="00F73A0A"/>
    <w:rsid w:val="00F73CE5"/>
    <w:rsid w:val="00F73DEA"/>
    <w:rsid w:val="00F73E08"/>
    <w:rsid w:val="00F73E61"/>
    <w:rsid w:val="00F73F91"/>
    <w:rsid w:val="00F74431"/>
    <w:rsid w:val="00F7472D"/>
    <w:rsid w:val="00F747A8"/>
    <w:rsid w:val="00F74A91"/>
    <w:rsid w:val="00F74BA5"/>
    <w:rsid w:val="00F74CD9"/>
    <w:rsid w:val="00F74EB6"/>
    <w:rsid w:val="00F752DD"/>
    <w:rsid w:val="00F756F3"/>
    <w:rsid w:val="00F7652C"/>
    <w:rsid w:val="00F76BFE"/>
    <w:rsid w:val="00F76CB7"/>
    <w:rsid w:val="00F76E76"/>
    <w:rsid w:val="00F77179"/>
    <w:rsid w:val="00F7769F"/>
    <w:rsid w:val="00F777B1"/>
    <w:rsid w:val="00F77E10"/>
    <w:rsid w:val="00F77E8D"/>
    <w:rsid w:val="00F80536"/>
    <w:rsid w:val="00F807F7"/>
    <w:rsid w:val="00F808DA"/>
    <w:rsid w:val="00F809F2"/>
    <w:rsid w:val="00F80A7B"/>
    <w:rsid w:val="00F80B17"/>
    <w:rsid w:val="00F80E5D"/>
    <w:rsid w:val="00F81578"/>
    <w:rsid w:val="00F81D93"/>
    <w:rsid w:val="00F81E78"/>
    <w:rsid w:val="00F81E9F"/>
    <w:rsid w:val="00F82256"/>
    <w:rsid w:val="00F823C3"/>
    <w:rsid w:val="00F826E6"/>
    <w:rsid w:val="00F826F0"/>
    <w:rsid w:val="00F82760"/>
    <w:rsid w:val="00F829AF"/>
    <w:rsid w:val="00F82EEB"/>
    <w:rsid w:val="00F830C2"/>
    <w:rsid w:val="00F8331D"/>
    <w:rsid w:val="00F8339F"/>
    <w:rsid w:val="00F83658"/>
    <w:rsid w:val="00F836A6"/>
    <w:rsid w:val="00F836D6"/>
    <w:rsid w:val="00F83916"/>
    <w:rsid w:val="00F83AAF"/>
    <w:rsid w:val="00F841DD"/>
    <w:rsid w:val="00F85093"/>
    <w:rsid w:val="00F85111"/>
    <w:rsid w:val="00F851CE"/>
    <w:rsid w:val="00F855C3"/>
    <w:rsid w:val="00F85FB8"/>
    <w:rsid w:val="00F861B3"/>
    <w:rsid w:val="00F86323"/>
    <w:rsid w:val="00F86731"/>
    <w:rsid w:val="00F8684B"/>
    <w:rsid w:val="00F86F93"/>
    <w:rsid w:val="00F873A1"/>
    <w:rsid w:val="00F8789D"/>
    <w:rsid w:val="00F87969"/>
    <w:rsid w:val="00F87EDF"/>
    <w:rsid w:val="00F87F97"/>
    <w:rsid w:val="00F9037C"/>
    <w:rsid w:val="00F90422"/>
    <w:rsid w:val="00F91092"/>
    <w:rsid w:val="00F91107"/>
    <w:rsid w:val="00F91219"/>
    <w:rsid w:val="00F913C3"/>
    <w:rsid w:val="00F9156F"/>
    <w:rsid w:val="00F916FD"/>
    <w:rsid w:val="00F91724"/>
    <w:rsid w:val="00F91860"/>
    <w:rsid w:val="00F91E5E"/>
    <w:rsid w:val="00F921D3"/>
    <w:rsid w:val="00F9229C"/>
    <w:rsid w:val="00F92444"/>
    <w:rsid w:val="00F92671"/>
    <w:rsid w:val="00F92762"/>
    <w:rsid w:val="00F92DA6"/>
    <w:rsid w:val="00F92E5E"/>
    <w:rsid w:val="00F93356"/>
    <w:rsid w:val="00F933AB"/>
    <w:rsid w:val="00F934EF"/>
    <w:rsid w:val="00F93595"/>
    <w:rsid w:val="00F93631"/>
    <w:rsid w:val="00F936F8"/>
    <w:rsid w:val="00F9393E"/>
    <w:rsid w:val="00F93DB7"/>
    <w:rsid w:val="00F93DCD"/>
    <w:rsid w:val="00F94ED5"/>
    <w:rsid w:val="00F94EF0"/>
    <w:rsid w:val="00F954EF"/>
    <w:rsid w:val="00F95DA8"/>
    <w:rsid w:val="00F96327"/>
    <w:rsid w:val="00F965A6"/>
    <w:rsid w:val="00F96912"/>
    <w:rsid w:val="00F96FD0"/>
    <w:rsid w:val="00F96FE7"/>
    <w:rsid w:val="00F974D3"/>
    <w:rsid w:val="00F9781E"/>
    <w:rsid w:val="00F97A78"/>
    <w:rsid w:val="00FA0484"/>
    <w:rsid w:val="00FA0AEE"/>
    <w:rsid w:val="00FA0B20"/>
    <w:rsid w:val="00FA0C3C"/>
    <w:rsid w:val="00FA0C98"/>
    <w:rsid w:val="00FA0E3A"/>
    <w:rsid w:val="00FA17AD"/>
    <w:rsid w:val="00FA1CDF"/>
    <w:rsid w:val="00FA1EF9"/>
    <w:rsid w:val="00FA2487"/>
    <w:rsid w:val="00FA24E7"/>
    <w:rsid w:val="00FA2924"/>
    <w:rsid w:val="00FA2AA2"/>
    <w:rsid w:val="00FA2BE7"/>
    <w:rsid w:val="00FA2C16"/>
    <w:rsid w:val="00FA352A"/>
    <w:rsid w:val="00FA3641"/>
    <w:rsid w:val="00FA37E6"/>
    <w:rsid w:val="00FA3895"/>
    <w:rsid w:val="00FA3A75"/>
    <w:rsid w:val="00FA4362"/>
    <w:rsid w:val="00FA45CF"/>
    <w:rsid w:val="00FA482C"/>
    <w:rsid w:val="00FA4D55"/>
    <w:rsid w:val="00FA4F31"/>
    <w:rsid w:val="00FA5115"/>
    <w:rsid w:val="00FA5443"/>
    <w:rsid w:val="00FA58DD"/>
    <w:rsid w:val="00FA596F"/>
    <w:rsid w:val="00FA5EE6"/>
    <w:rsid w:val="00FA5FE6"/>
    <w:rsid w:val="00FA63DE"/>
    <w:rsid w:val="00FA67EB"/>
    <w:rsid w:val="00FA6944"/>
    <w:rsid w:val="00FA733D"/>
    <w:rsid w:val="00FA756C"/>
    <w:rsid w:val="00FA78DA"/>
    <w:rsid w:val="00FA7956"/>
    <w:rsid w:val="00FA79C3"/>
    <w:rsid w:val="00FA7A7E"/>
    <w:rsid w:val="00FA7C3F"/>
    <w:rsid w:val="00FA7D30"/>
    <w:rsid w:val="00FB0018"/>
    <w:rsid w:val="00FB0155"/>
    <w:rsid w:val="00FB015E"/>
    <w:rsid w:val="00FB021F"/>
    <w:rsid w:val="00FB02DE"/>
    <w:rsid w:val="00FB0554"/>
    <w:rsid w:val="00FB0705"/>
    <w:rsid w:val="00FB0824"/>
    <w:rsid w:val="00FB0856"/>
    <w:rsid w:val="00FB0C81"/>
    <w:rsid w:val="00FB15C0"/>
    <w:rsid w:val="00FB20B2"/>
    <w:rsid w:val="00FB2406"/>
    <w:rsid w:val="00FB2547"/>
    <w:rsid w:val="00FB2D81"/>
    <w:rsid w:val="00FB2FCB"/>
    <w:rsid w:val="00FB3A8C"/>
    <w:rsid w:val="00FB3B66"/>
    <w:rsid w:val="00FB458C"/>
    <w:rsid w:val="00FB475F"/>
    <w:rsid w:val="00FB4784"/>
    <w:rsid w:val="00FB4C9C"/>
    <w:rsid w:val="00FB4D60"/>
    <w:rsid w:val="00FB502C"/>
    <w:rsid w:val="00FB5079"/>
    <w:rsid w:val="00FB5106"/>
    <w:rsid w:val="00FB51FF"/>
    <w:rsid w:val="00FB594E"/>
    <w:rsid w:val="00FB5A07"/>
    <w:rsid w:val="00FB5AE4"/>
    <w:rsid w:val="00FB5B88"/>
    <w:rsid w:val="00FB6185"/>
    <w:rsid w:val="00FB6188"/>
    <w:rsid w:val="00FB62C2"/>
    <w:rsid w:val="00FB68B5"/>
    <w:rsid w:val="00FB6955"/>
    <w:rsid w:val="00FB6CA6"/>
    <w:rsid w:val="00FB6DDD"/>
    <w:rsid w:val="00FB6E04"/>
    <w:rsid w:val="00FB70E3"/>
    <w:rsid w:val="00FB73CB"/>
    <w:rsid w:val="00FB73E7"/>
    <w:rsid w:val="00FB7537"/>
    <w:rsid w:val="00FB76D7"/>
    <w:rsid w:val="00FB7C55"/>
    <w:rsid w:val="00FC0825"/>
    <w:rsid w:val="00FC0C3D"/>
    <w:rsid w:val="00FC0D7C"/>
    <w:rsid w:val="00FC0EB3"/>
    <w:rsid w:val="00FC1074"/>
    <w:rsid w:val="00FC1124"/>
    <w:rsid w:val="00FC121A"/>
    <w:rsid w:val="00FC1793"/>
    <w:rsid w:val="00FC1884"/>
    <w:rsid w:val="00FC1D80"/>
    <w:rsid w:val="00FC1F61"/>
    <w:rsid w:val="00FC2643"/>
    <w:rsid w:val="00FC2A78"/>
    <w:rsid w:val="00FC2F98"/>
    <w:rsid w:val="00FC33DF"/>
    <w:rsid w:val="00FC371D"/>
    <w:rsid w:val="00FC3897"/>
    <w:rsid w:val="00FC3E62"/>
    <w:rsid w:val="00FC5417"/>
    <w:rsid w:val="00FC5548"/>
    <w:rsid w:val="00FC5955"/>
    <w:rsid w:val="00FC5F0B"/>
    <w:rsid w:val="00FC6031"/>
    <w:rsid w:val="00FC61A2"/>
    <w:rsid w:val="00FC67AC"/>
    <w:rsid w:val="00FC6A27"/>
    <w:rsid w:val="00FC7012"/>
    <w:rsid w:val="00FC75AD"/>
    <w:rsid w:val="00FC76A7"/>
    <w:rsid w:val="00FC783D"/>
    <w:rsid w:val="00FD0600"/>
    <w:rsid w:val="00FD07D9"/>
    <w:rsid w:val="00FD0F69"/>
    <w:rsid w:val="00FD0F87"/>
    <w:rsid w:val="00FD18EC"/>
    <w:rsid w:val="00FD1B6E"/>
    <w:rsid w:val="00FD1E26"/>
    <w:rsid w:val="00FD1F70"/>
    <w:rsid w:val="00FD2100"/>
    <w:rsid w:val="00FD2427"/>
    <w:rsid w:val="00FD2611"/>
    <w:rsid w:val="00FD297A"/>
    <w:rsid w:val="00FD2993"/>
    <w:rsid w:val="00FD2B2B"/>
    <w:rsid w:val="00FD2B91"/>
    <w:rsid w:val="00FD2ED1"/>
    <w:rsid w:val="00FD3978"/>
    <w:rsid w:val="00FD3BC3"/>
    <w:rsid w:val="00FD436C"/>
    <w:rsid w:val="00FD446D"/>
    <w:rsid w:val="00FD4805"/>
    <w:rsid w:val="00FD488E"/>
    <w:rsid w:val="00FD49B2"/>
    <w:rsid w:val="00FD4DB1"/>
    <w:rsid w:val="00FD4E52"/>
    <w:rsid w:val="00FD4F2C"/>
    <w:rsid w:val="00FD5399"/>
    <w:rsid w:val="00FD53DC"/>
    <w:rsid w:val="00FD54FC"/>
    <w:rsid w:val="00FD56AB"/>
    <w:rsid w:val="00FD5D8F"/>
    <w:rsid w:val="00FD6050"/>
    <w:rsid w:val="00FD60C5"/>
    <w:rsid w:val="00FD6394"/>
    <w:rsid w:val="00FD6453"/>
    <w:rsid w:val="00FD69B8"/>
    <w:rsid w:val="00FD69E1"/>
    <w:rsid w:val="00FD6ADD"/>
    <w:rsid w:val="00FD6B10"/>
    <w:rsid w:val="00FD6E3F"/>
    <w:rsid w:val="00FD71CD"/>
    <w:rsid w:val="00FD763F"/>
    <w:rsid w:val="00FD77BE"/>
    <w:rsid w:val="00FD7B57"/>
    <w:rsid w:val="00FD7D36"/>
    <w:rsid w:val="00FE030A"/>
    <w:rsid w:val="00FE047F"/>
    <w:rsid w:val="00FE0A82"/>
    <w:rsid w:val="00FE0E6C"/>
    <w:rsid w:val="00FE0FCE"/>
    <w:rsid w:val="00FE1044"/>
    <w:rsid w:val="00FE10F8"/>
    <w:rsid w:val="00FE129B"/>
    <w:rsid w:val="00FE154D"/>
    <w:rsid w:val="00FE15E4"/>
    <w:rsid w:val="00FE1CDC"/>
    <w:rsid w:val="00FE2092"/>
    <w:rsid w:val="00FE2263"/>
    <w:rsid w:val="00FE2590"/>
    <w:rsid w:val="00FE27A4"/>
    <w:rsid w:val="00FE28A5"/>
    <w:rsid w:val="00FE2986"/>
    <w:rsid w:val="00FE2D8C"/>
    <w:rsid w:val="00FE3513"/>
    <w:rsid w:val="00FE376A"/>
    <w:rsid w:val="00FE3B6D"/>
    <w:rsid w:val="00FE3CB3"/>
    <w:rsid w:val="00FE430A"/>
    <w:rsid w:val="00FE494A"/>
    <w:rsid w:val="00FE49DE"/>
    <w:rsid w:val="00FE49ED"/>
    <w:rsid w:val="00FE51A8"/>
    <w:rsid w:val="00FE53F1"/>
    <w:rsid w:val="00FE571A"/>
    <w:rsid w:val="00FE576A"/>
    <w:rsid w:val="00FE57DF"/>
    <w:rsid w:val="00FE59F8"/>
    <w:rsid w:val="00FE64A4"/>
    <w:rsid w:val="00FE664A"/>
    <w:rsid w:val="00FE6C83"/>
    <w:rsid w:val="00FE70C3"/>
    <w:rsid w:val="00FE780F"/>
    <w:rsid w:val="00FE7DDD"/>
    <w:rsid w:val="00FE7ED7"/>
    <w:rsid w:val="00FE7F07"/>
    <w:rsid w:val="00FF114B"/>
    <w:rsid w:val="00FF1781"/>
    <w:rsid w:val="00FF1A8B"/>
    <w:rsid w:val="00FF1D86"/>
    <w:rsid w:val="00FF1FA6"/>
    <w:rsid w:val="00FF2214"/>
    <w:rsid w:val="00FF25D4"/>
    <w:rsid w:val="00FF2AD9"/>
    <w:rsid w:val="00FF2B99"/>
    <w:rsid w:val="00FF2D80"/>
    <w:rsid w:val="00FF300E"/>
    <w:rsid w:val="00FF359F"/>
    <w:rsid w:val="00FF3879"/>
    <w:rsid w:val="00FF3A84"/>
    <w:rsid w:val="00FF3DCD"/>
    <w:rsid w:val="00FF3DCF"/>
    <w:rsid w:val="00FF3FFA"/>
    <w:rsid w:val="00FF4227"/>
    <w:rsid w:val="00FF4514"/>
    <w:rsid w:val="00FF471D"/>
    <w:rsid w:val="00FF492C"/>
    <w:rsid w:val="00FF4A1E"/>
    <w:rsid w:val="00FF4A21"/>
    <w:rsid w:val="00FF4B97"/>
    <w:rsid w:val="00FF5AA3"/>
    <w:rsid w:val="00FF5AD8"/>
    <w:rsid w:val="00FF6020"/>
    <w:rsid w:val="00FF61A4"/>
    <w:rsid w:val="00FF6296"/>
    <w:rsid w:val="00FF6434"/>
    <w:rsid w:val="00FF6500"/>
    <w:rsid w:val="00FF668F"/>
    <w:rsid w:val="00FF6BC5"/>
    <w:rsid w:val="00FF6C3F"/>
    <w:rsid w:val="00FF6D05"/>
    <w:rsid w:val="00FF6F99"/>
    <w:rsid w:val="00FF7283"/>
    <w:rsid w:val="00FF7407"/>
    <w:rsid w:val="00FF74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 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HealthConsult,Dossi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8141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Comment Text Char1 Char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0"/>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table" w:styleId="LightShading-Accent3">
    <w:name w:val="Light Shading Accent 3"/>
    <w:basedOn w:val="TableNormal"/>
    <w:uiPriority w:val="60"/>
    <w:rsid w:val="0089642F"/>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styleId="FootnoteText">
    <w:name w:val="footnote text"/>
    <w:basedOn w:val="Normal"/>
    <w:link w:val="FootnoteTextChar"/>
    <w:uiPriority w:val="99"/>
    <w:semiHidden/>
    <w:unhideWhenUsed/>
    <w:rsid w:val="0046380C"/>
    <w:pPr>
      <w:widowControl w:val="0"/>
    </w:pPr>
    <w:rPr>
      <w:snapToGrid w:val="0"/>
      <w:sz w:val="20"/>
      <w:szCs w:val="20"/>
      <w:lang w:eastAsia="en-US"/>
    </w:rPr>
  </w:style>
  <w:style w:type="character" w:customStyle="1" w:styleId="FootnoteTextChar">
    <w:name w:val="Footnote Text Char"/>
    <w:basedOn w:val="DefaultParagraphFont"/>
    <w:link w:val="FootnoteText"/>
    <w:uiPriority w:val="99"/>
    <w:semiHidden/>
    <w:rsid w:val="0046380C"/>
    <w:rPr>
      <w:rFonts w:ascii="Calibri" w:hAnsi="Calibri" w:cs="Arial"/>
      <w:snapToGrid w:val="0"/>
      <w:lang w:eastAsia="en-US"/>
    </w:rPr>
  </w:style>
  <w:style w:type="character" w:styleId="FootnoteReference">
    <w:name w:val="footnote reference"/>
    <w:basedOn w:val="DefaultParagraphFont"/>
    <w:semiHidden/>
    <w:unhideWhenUsed/>
    <w:rsid w:val="0046380C"/>
    <w:rPr>
      <w:vertAlign w:val="superscript"/>
    </w:rPr>
  </w:style>
  <w:style w:type="character" w:styleId="IntenseReference">
    <w:name w:val="Intense Reference"/>
    <w:basedOn w:val="DefaultParagraphFont"/>
    <w:uiPriority w:val="32"/>
    <w:rsid w:val="005358A3"/>
    <w:rPr>
      <w:b/>
      <w:smallCaps/>
    </w:rPr>
  </w:style>
  <w:style w:type="paragraph" w:customStyle="1" w:styleId="TableLeft">
    <w:name w:val="Table Left"/>
    <w:basedOn w:val="Normal"/>
    <w:link w:val="TableLeftChar"/>
    <w:uiPriority w:val="99"/>
    <w:qFormat/>
    <w:rsid w:val="005358A3"/>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99"/>
    <w:rsid w:val="005358A3"/>
    <w:rPr>
      <w:rFonts w:ascii="Arial Narrow" w:eastAsiaTheme="majorEastAsia" w:hAnsi="Arial Narrow" w:cstheme="majorBidi"/>
      <w:szCs w:val="22"/>
      <w:lang w:eastAsia="en-US"/>
    </w:rPr>
  </w:style>
  <w:style w:type="paragraph" w:customStyle="1" w:styleId="BulletLast">
    <w:name w:val="Bullet Last"/>
    <w:basedOn w:val="bullet"/>
    <w:qFormat/>
    <w:rsid w:val="00813858"/>
    <w:pPr>
      <w:numPr>
        <w:numId w:val="10"/>
      </w:numPr>
      <w:spacing w:after="240"/>
      <w:jc w:val="left"/>
    </w:pPr>
    <w:rPr>
      <w:rFonts w:asciiTheme="minorHAnsi" w:eastAsiaTheme="minorHAnsi" w:hAnsiTheme="minorHAnsi"/>
      <w:i w:val="0"/>
    </w:rPr>
  </w:style>
  <w:style w:type="character" w:styleId="PlaceholderText">
    <w:name w:val="Placeholder Text"/>
    <w:basedOn w:val="DefaultParagraphFont"/>
    <w:uiPriority w:val="99"/>
    <w:semiHidden/>
    <w:rsid w:val="00145324"/>
    <w:rPr>
      <w:color w:val="808080"/>
    </w:rPr>
  </w:style>
  <w:style w:type="table" w:customStyle="1" w:styleId="Sourcetable1">
    <w:name w:val="Source table_1"/>
    <w:basedOn w:val="TableNormal"/>
    <w:next w:val="TableGrid"/>
    <w:uiPriority w:val="39"/>
    <w:rsid w:val="005412B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A29"/>
    <w:rPr>
      <w:color w:val="605E5C"/>
      <w:shd w:val="clear" w:color="auto" w:fill="E1DFDD"/>
    </w:rPr>
  </w:style>
  <w:style w:type="paragraph" w:customStyle="1" w:styleId="pf0">
    <w:name w:val="pf0"/>
    <w:basedOn w:val="Normal"/>
    <w:rsid w:val="00A950A2"/>
    <w:pPr>
      <w:spacing w:before="100" w:beforeAutospacing="1" w:after="100" w:afterAutospacing="1"/>
      <w:jc w:val="left"/>
    </w:pPr>
    <w:rPr>
      <w:rFonts w:ascii="Times New Roman" w:hAnsi="Times New Roman" w:cs="Times New Roman"/>
    </w:rPr>
  </w:style>
  <w:style w:type="character" w:customStyle="1" w:styleId="Heading1Char">
    <w:name w:val="Heading 1 Char"/>
    <w:basedOn w:val="DefaultParagraphFont"/>
    <w:link w:val="Heading1"/>
    <w:uiPriority w:val="1"/>
    <w:rsid w:val="00C0677B"/>
    <w:rPr>
      <w:rFonts w:ascii="Calibri" w:hAnsi="Calibri" w:cs="Arial"/>
      <w:b/>
      <w:caps/>
      <w:sz w:val="32"/>
      <w:szCs w:val="24"/>
    </w:rPr>
  </w:style>
  <w:style w:type="character" w:customStyle="1" w:styleId="Heading3Char">
    <w:name w:val="Heading 3 Char"/>
    <w:basedOn w:val="DefaultParagraphFont"/>
    <w:link w:val="Heading3"/>
    <w:rsid w:val="00C0677B"/>
    <w:rPr>
      <w:rFonts w:ascii="Calibri" w:hAnsi="Calibri" w:cs="Arial"/>
      <w:sz w:val="24"/>
      <w:szCs w:val="24"/>
      <w:u w:val="single"/>
    </w:rPr>
  </w:style>
  <w:style w:type="character" w:customStyle="1" w:styleId="Heading4Char">
    <w:name w:val="Heading 4 Char"/>
    <w:basedOn w:val="DefaultParagraphFont"/>
    <w:link w:val="Heading4"/>
    <w:rsid w:val="00C0677B"/>
    <w:rPr>
      <w:rFonts w:ascii="Calibri" w:hAnsi="Calibri" w:cs="Arial"/>
      <w:b/>
      <w:bCs/>
      <w:i/>
      <w:sz w:val="26"/>
      <w:szCs w:val="28"/>
    </w:rPr>
  </w:style>
  <w:style w:type="character" w:customStyle="1" w:styleId="Heading5Char">
    <w:name w:val="Heading 5 Char"/>
    <w:basedOn w:val="DefaultParagraphFont"/>
    <w:link w:val="Heading5"/>
    <w:rsid w:val="00C0677B"/>
    <w:rPr>
      <w:rFonts w:ascii="Calibri" w:hAnsi="Calibri" w:cs="Arial"/>
      <w:b/>
      <w:bCs/>
      <w:iCs/>
      <w:sz w:val="26"/>
      <w:szCs w:val="26"/>
    </w:rPr>
  </w:style>
  <w:style w:type="character" w:customStyle="1" w:styleId="Heading6Char">
    <w:name w:val="Heading 6 Char"/>
    <w:basedOn w:val="DefaultParagraphFont"/>
    <w:link w:val="Heading6"/>
    <w:rsid w:val="00C0677B"/>
    <w:rPr>
      <w:rFonts w:ascii="Calibri" w:hAnsi="Calibri" w:cs="Arial"/>
      <w:b/>
      <w:bCs/>
      <w:i/>
      <w:sz w:val="24"/>
      <w:szCs w:val="24"/>
    </w:rPr>
  </w:style>
  <w:style w:type="paragraph" w:customStyle="1" w:styleId="NumberedList">
    <w:name w:val="Numbered List"/>
    <w:basedOn w:val="Normal"/>
    <w:uiPriority w:val="3"/>
    <w:qFormat/>
    <w:rsid w:val="00C0677B"/>
    <w:pPr>
      <w:numPr>
        <w:numId w:val="14"/>
      </w:numPr>
      <w:spacing w:after="240"/>
      <w:contextualSpacing/>
      <w:jc w:val="left"/>
    </w:pPr>
    <w:rPr>
      <w:rFonts w:ascii="Candara" w:eastAsiaTheme="majorEastAsia" w:hAnsi="Candara" w:cstheme="majorBidi"/>
      <w:szCs w:val="22"/>
      <w:lang w:eastAsia="en-US"/>
    </w:rPr>
  </w:style>
  <w:style w:type="paragraph" w:customStyle="1" w:styleId="3-SubsectionHeading">
    <w:name w:val="3-Subsection Heading"/>
    <w:basedOn w:val="Heading2"/>
    <w:next w:val="Normal"/>
    <w:link w:val="3-SubsectionHeadingChar"/>
    <w:qFormat/>
    <w:rsid w:val="003747D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747D2"/>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53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6323766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50655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4898464">
      <w:bodyDiv w:val="1"/>
      <w:marLeft w:val="0"/>
      <w:marRight w:val="0"/>
      <w:marTop w:val="0"/>
      <w:marBottom w:val="0"/>
      <w:divBdr>
        <w:top w:val="none" w:sz="0" w:space="0" w:color="auto"/>
        <w:left w:val="none" w:sz="0" w:space="0" w:color="auto"/>
        <w:bottom w:val="none" w:sz="0" w:space="0" w:color="auto"/>
        <w:right w:val="none" w:sz="0" w:space="0" w:color="auto"/>
      </w:divBdr>
    </w:div>
    <w:div w:id="163926546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FOXjs.action(%7b%22ref%22:%22action-PBS058X-view-concept%22,%22ctxt%22:%22cpmWD3_l1sHDpzkC%22%7d,%20th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19670</Words>
  <Characters>108966</Characters>
  <Application>Microsoft Office Word</Application>
  <DocSecurity>0</DocSecurity>
  <Lines>908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128380</CharactersWithSpaces>
  <SharedDoc>false</SharedDoc>
  <HLinks>
    <vt:vector size="18" baseType="variant">
      <vt:variant>
        <vt:i4>1638520</vt:i4>
      </vt:variant>
      <vt:variant>
        <vt:i4>267</vt:i4>
      </vt:variant>
      <vt:variant>
        <vt:i4>0</vt:i4>
      </vt:variant>
      <vt:variant>
        <vt:i4>5</vt:i4>
      </vt:variant>
      <vt:variant>
        <vt:lpwstr>javascript:FOXjs.action(%7b%22ref%22:%22action-PBS058X-view-concept%22,%22ctxt%22:%22cpmWD3_l1sHDpzkC%22%7d, this);</vt:lpwstr>
      </vt:variant>
      <vt:variant>
        <vt:lpwstr/>
      </vt:variant>
      <vt:variant>
        <vt:i4>3014697</vt:i4>
      </vt:variant>
      <vt:variant>
        <vt:i4>3</vt:i4>
      </vt:variant>
      <vt:variant>
        <vt:i4>0</vt:i4>
      </vt:variant>
      <vt:variant>
        <vt:i4>5</vt:i4>
      </vt:variant>
      <vt:variant>
        <vt:lpwstr>https://www.pbs.gov.au/industry/listing/elements/pbac-meetings/psd/2022-03/files/cemiplimab-psd-march-2022.pdf</vt:lpwstr>
      </vt:variant>
      <vt:variant>
        <vt:lpwstr/>
      </vt:variant>
      <vt:variant>
        <vt:i4>3014697</vt:i4>
      </vt:variant>
      <vt:variant>
        <vt:i4>0</vt:i4>
      </vt:variant>
      <vt:variant>
        <vt:i4>0</vt:i4>
      </vt:variant>
      <vt:variant>
        <vt:i4>5</vt:i4>
      </vt:variant>
      <vt:variant>
        <vt:lpwstr>https://www.pbs.gov.au/industry/listing/elements/pbac-meetings/psd/2022-03/files/cemiplimab-psd-march-2022.pdf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2023-02-27T05:51:00Z</dcterms:created>
  <dcterms:modified xsi:type="dcterms:W3CDTF">2023-02-27T05:51:00Z</dcterms:modified>
</cp:coreProperties>
</file>