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7E8992B" w:rsidR="00B60939" w:rsidRPr="004A6040" w:rsidRDefault="00B6559F" w:rsidP="005F3446">
      <w:pPr>
        <w:pStyle w:val="1-MainHeading"/>
      </w:pPr>
      <w:bookmarkStart w:id="0" w:name="_Toc113979731"/>
      <w:r>
        <w:t>5.05</w:t>
      </w:r>
      <w:r w:rsidR="00163F66">
        <w:tab/>
      </w:r>
      <w:r w:rsidR="003F705A">
        <w:t>M</w:t>
      </w:r>
      <w:r w:rsidR="00C930C0">
        <w:t>AVACAMTEN</w:t>
      </w:r>
      <w:r w:rsidR="00163F66">
        <w:t>,</w:t>
      </w:r>
      <w:r w:rsidR="00163F66">
        <w:br/>
      </w:r>
      <w:r w:rsidR="0073597B">
        <w:t xml:space="preserve">Capsule 2.5 </w:t>
      </w:r>
      <w:r w:rsidR="001617F8">
        <w:t>m</w:t>
      </w:r>
      <w:r w:rsidR="005E1002">
        <w:t>g</w:t>
      </w:r>
      <w:r w:rsidR="005F3446">
        <w:br/>
      </w:r>
      <w:r w:rsidR="0073597B">
        <w:t xml:space="preserve">Capsule 5 </w:t>
      </w:r>
      <w:r w:rsidR="001617F8">
        <w:t>m</w:t>
      </w:r>
      <w:r w:rsidR="005E1002">
        <w:t>g</w:t>
      </w:r>
      <w:r w:rsidR="005F3446">
        <w:br/>
      </w:r>
      <w:r w:rsidR="0073597B">
        <w:t xml:space="preserve">Capsule 10 </w:t>
      </w:r>
      <w:r w:rsidR="001617F8">
        <w:t>m</w:t>
      </w:r>
      <w:r w:rsidR="005E1002">
        <w:t>g</w:t>
      </w:r>
      <w:r w:rsidR="005F3446">
        <w:br/>
      </w:r>
      <w:r w:rsidR="0073597B">
        <w:t xml:space="preserve">Capsule 15 </w:t>
      </w:r>
      <w:r w:rsidR="001617F8">
        <w:t>m</w:t>
      </w:r>
      <w:r w:rsidR="005E1002">
        <w:t>g</w:t>
      </w:r>
      <w:r w:rsidR="00163F66">
        <w:br/>
      </w:r>
      <w:r w:rsidR="003F705A">
        <w:t>Camzyos</w:t>
      </w:r>
      <w:r w:rsidR="00B60939" w:rsidRPr="004A6040">
        <w:rPr>
          <w:vertAlign w:val="superscript"/>
        </w:rPr>
        <w:t>®</w:t>
      </w:r>
      <w:r w:rsidR="004A6040" w:rsidRPr="004A6040">
        <w:t>,</w:t>
      </w:r>
      <w:r w:rsidR="00F72968">
        <w:t xml:space="preserve"> </w:t>
      </w:r>
      <w:r w:rsidR="004A6040" w:rsidRPr="004A6040">
        <w:br/>
      </w:r>
      <w:r w:rsidR="003F705A">
        <w:t>Bristol Myers Squibb</w:t>
      </w:r>
      <w:r w:rsidR="0073597B">
        <w:t xml:space="preserve"> Australia Pty Ltd</w:t>
      </w:r>
      <w:bookmarkEnd w:id="0"/>
      <w:r w:rsidR="00F73E08">
        <w:t xml:space="preserve"> </w:t>
      </w:r>
    </w:p>
    <w:p w14:paraId="11C00795" w14:textId="60626E25" w:rsidR="00B50DB8" w:rsidRPr="00407F2D" w:rsidRDefault="00B50DB8" w:rsidP="004A6040">
      <w:pPr>
        <w:pStyle w:val="2-SectionHeading"/>
      </w:pPr>
      <w:bookmarkStart w:id="1" w:name="_Toc113979733"/>
      <w:r w:rsidRPr="00407F2D">
        <w:t xml:space="preserve">Purpose of </w:t>
      </w:r>
      <w:r w:rsidR="00CD7193">
        <w:t>s</w:t>
      </w:r>
      <w:r w:rsidR="00BB3A45">
        <w:t>ubmission</w:t>
      </w:r>
      <w:bookmarkEnd w:id="1"/>
    </w:p>
    <w:p w14:paraId="19414AA1" w14:textId="2C39D189" w:rsidR="002C2775" w:rsidRPr="008B1757" w:rsidRDefault="007170DA" w:rsidP="004E18E9">
      <w:pPr>
        <w:pStyle w:val="3-BodyText"/>
      </w:pPr>
      <w:r>
        <w:t xml:space="preserve">The </w:t>
      </w:r>
      <w:r w:rsidR="00B50AE8" w:rsidRPr="00303F41">
        <w:t>Category 1</w:t>
      </w:r>
      <w:r w:rsidR="00B50AE8">
        <w:t xml:space="preserve"> </w:t>
      </w:r>
      <w:r>
        <w:t xml:space="preserve">submission </w:t>
      </w:r>
      <w:r w:rsidRPr="004E18E9">
        <w:t xml:space="preserve">requested </w:t>
      </w:r>
      <w:r w:rsidR="0073597B">
        <w:t xml:space="preserve">a Section 85, </w:t>
      </w:r>
      <w:r w:rsidR="00D42BDB">
        <w:t>General Sched</w:t>
      </w:r>
      <w:r w:rsidR="0073597B">
        <w:t>ule Authority Required</w:t>
      </w:r>
      <w:r w:rsidR="008B1757" w:rsidRPr="004E18E9">
        <w:t xml:space="preserve"> listing for </w:t>
      </w:r>
      <w:r w:rsidR="00D42BDB">
        <w:t>mavacamten</w:t>
      </w:r>
      <w:r w:rsidR="003F5701">
        <w:rPr>
          <w:rFonts w:cstheme="minorHAnsi"/>
        </w:rPr>
        <w:t xml:space="preserve"> </w:t>
      </w:r>
      <w:r w:rsidR="008B1757" w:rsidRPr="004E18E9">
        <w:t xml:space="preserve">for </w:t>
      </w:r>
      <w:r w:rsidR="0050174E" w:rsidRPr="004E18E9">
        <w:t xml:space="preserve">the </w:t>
      </w:r>
      <w:r w:rsidR="008B1757" w:rsidRPr="004E18E9">
        <w:t xml:space="preserve">treatment of </w:t>
      </w:r>
      <w:r w:rsidR="00D42BDB">
        <w:t>adult</w:t>
      </w:r>
      <w:r w:rsidR="0073597B">
        <w:t>s</w:t>
      </w:r>
      <w:r w:rsidR="00D42BDB">
        <w:t xml:space="preserve"> with symptomatic obstructive hypertrophic </w:t>
      </w:r>
      <w:r w:rsidR="00D42BDB" w:rsidRPr="00E22867">
        <w:t>cardiomyopathy</w:t>
      </w:r>
      <w:r w:rsidR="007C2E14" w:rsidRPr="00E22867">
        <w:t xml:space="preserve"> (HCM)</w:t>
      </w:r>
      <w:r w:rsidR="008B1757" w:rsidRPr="00E22867">
        <w:t>.</w:t>
      </w:r>
      <w:r w:rsidR="008B1757" w:rsidRPr="00E22867">
        <w:rPr>
          <w:color w:val="0066FF"/>
        </w:rPr>
        <w:t xml:space="preserve"> </w:t>
      </w:r>
      <w:r w:rsidR="0082716C" w:rsidRPr="00E22867">
        <w:t>The</w:t>
      </w:r>
      <w:r w:rsidR="0082716C" w:rsidRPr="00885192">
        <w:rPr>
          <w:iCs/>
        </w:rPr>
        <w:t xml:space="preserve"> PBAC has not previously considered mavacamten for any indication.</w:t>
      </w:r>
    </w:p>
    <w:p w14:paraId="4E9FBCB5" w14:textId="34853DF1" w:rsidR="00C2778B" w:rsidRDefault="005750C5" w:rsidP="004E18E9">
      <w:pPr>
        <w:pStyle w:val="3-BodyText"/>
      </w:pPr>
      <w:r w:rsidRPr="005750C5">
        <w:t xml:space="preserve">Listing was requested </w:t>
      </w:r>
      <w:r w:rsidR="00F72FC9" w:rsidRPr="005750C5">
        <w:t>based on</w:t>
      </w:r>
      <w:r w:rsidRPr="005750C5">
        <w:t xml:space="preserve"> a </w:t>
      </w:r>
      <w:r>
        <w:t>cost-effectiveness</w:t>
      </w:r>
      <w:r w:rsidRPr="005750C5">
        <w:t xml:space="preserve"> analysis versus</w:t>
      </w:r>
      <w:r w:rsidR="0082716C">
        <w:t xml:space="preserve"> placebo</w:t>
      </w:r>
      <w:r>
        <w:t xml:space="preserve"> </w:t>
      </w:r>
      <w:r w:rsidR="00112C61">
        <w:t>(</w:t>
      </w:r>
      <w:r w:rsidR="00112C61">
        <w:fldChar w:fldCharType="begin"/>
      </w:r>
      <w:r w:rsidR="00112C61">
        <w:instrText xml:space="preserve"> REF _Ref110344107 \h </w:instrText>
      </w:r>
      <w:r w:rsidR="00112C61">
        <w:fldChar w:fldCharType="separate"/>
      </w:r>
      <w:r w:rsidR="00645E50">
        <w:t xml:space="preserve">Table </w:t>
      </w:r>
      <w:r w:rsidR="00645E50">
        <w:rPr>
          <w:noProof/>
        </w:rPr>
        <w:t>1</w:t>
      </w:r>
      <w:r w:rsidR="00112C61">
        <w:fldChar w:fldCharType="end"/>
      </w:r>
      <w:r w:rsidR="00112C61">
        <w:t>)</w:t>
      </w:r>
      <w:r>
        <w:t>.</w:t>
      </w:r>
      <w:r w:rsidRPr="005750C5">
        <w:t xml:space="preserve"> </w:t>
      </w:r>
    </w:p>
    <w:p w14:paraId="3718DE61" w14:textId="423CBE85" w:rsidR="008B1757" w:rsidRPr="004A6040" w:rsidRDefault="00696EF9" w:rsidP="006C2DC1">
      <w:pPr>
        <w:pStyle w:val="TableFigureHeading"/>
        <w:keepLines/>
        <w:rPr>
          <w:rStyle w:val="CommentReference"/>
          <w:b/>
          <w:szCs w:val="24"/>
        </w:rPr>
      </w:pPr>
      <w:bookmarkStart w:id="2" w:name="_Ref110344107"/>
      <w:r>
        <w:t xml:space="preserve">Table </w:t>
      </w:r>
      <w:r w:rsidR="00645E50">
        <w:fldChar w:fldCharType="begin"/>
      </w:r>
      <w:r w:rsidR="00645E50">
        <w:instrText xml:space="preserve"> SEQ Table \* ARABIC </w:instrText>
      </w:r>
      <w:r w:rsidR="00645E50">
        <w:fldChar w:fldCharType="separate"/>
      </w:r>
      <w:r w:rsidR="00645E50">
        <w:rPr>
          <w:noProof/>
        </w:rPr>
        <w:t>1</w:t>
      </w:r>
      <w:r w:rsidR="00645E50">
        <w:rPr>
          <w:noProof/>
        </w:rPr>
        <w:fldChar w:fldCharType="end"/>
      </w:r>
      <w:bookmarkEnd w:id="2"/>
      <w:r>
        <w:t>:</w:t>
      </w:r>
      <w:r w:rsidR="00BC591F" w:rsidRPr="004A6040">
        <w:rPr>
          <w:rStyle w:val="CommentReference"/>
          <w:b/>
          <w:szCs w:val="24"/>
        </w:rPr>
        <w:t xml:space="preserve"> </w:t>
      </w:r>
      <w:r w:rsidR="008B1757" w:rsidRPr="004A6040">
        <w:rPr>
          <w:rStyle w:val="CommentReference"/>
          <w:b/>
          <w:szCs w:val="24"/>
        </w:rPr>
        <w:t xml:space="preserve">Key components of the clinical issue </w:t>
      </w:r>
      <w:r w:rsidR="00986ACF">
        <w:rPr>
          <w:rStyle w:val="CommentReference"/>
          <w:b/>
          <w:szCs w:val="24"/>
        </w:rPr>
        <w:t xml:space="preserve">as presented </w:t>
      </w:r>
      <w:r w:rsidR="008B1757" w:rsidRPr="004A6040">
        <w:rPr>
          <w:rStyle w:val="CommentReference"/>
          <w:b/>
          <w:szCs w:val="24"/>
        </w:rPr>
        <w:t>by the submission</w:t>
      </w:r>
      <w:r w:rsidR="007170DA" w:rsidRPr="004A6040">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2A2ADE">
        <w:trPr>
          <w:cantSplit/>
          <w:tblHeader/>
        </w:trPr>
        <w:tc>
          <w:tcPr>
            <w:tcW w:w="924" w:type="pct"/>
            <w:shd w:val="clear" w:color="auto" w:fill="auto"/>
          </w:tcPr>
          <w:p w14:paraId="501803FB" w14:textId="77777777" w:rsidR="008B1757" w:rsidRPr="008B1757" w:rsidRDefault="008B1757" w:rsidP="006C2DC1">
            <w:pPr>
              <w:pStyle w:val="In-tableHeading"/>
              <w:keepLines/>
              <w:rPr>
                <w:szCs w:val="20"/>
              </w:rPr>
            </w:pPr>
            <w:r w:rsidRPr="008B1757">
              <w:t>Component</w:t>
            </w:r>
          </w:p>
        </w:tc>
        <w:tc>
          <w:tcPr>
            <w:tcW w:w="4076" w:type="pct"/>
            <w:shd w:val="clear" w:color="auto" w:fill="auto"/>
          </w:tcPr>
          <w:p w14:paraId="445D9EBB" w14:textId="77777777" w:rsidR="008B1757" w:rsidRPr="008B1757" w:rsidRDefault="008B1757" w:rsidP="006C2DC1">
            <w:pPr>
              <w:pStyle w:val="In-tableHeading"/>
              <w:keepLines/>
            </w:pPr>
            <w:r w:rsidRPr="008B1757">
              <w:t>Description</w:t>
            </w:r>
          </w:p>
        </w:tc>
      </w:tr>
      <w:tr w:rsidR="00F925B3" w:rsidRPr="00691913" w14:paraId="2EB546E2" w14:textId="77777777" w:rsidTr="007278BA">
        <w:trPr>
          <w:cantSplit/>
        </w:trPr>
        <w:tc>
          <w:tcPr>
            <w:tcW w:w="924" w:type="pct"/>
            <w:shd w:val="clear" w:color="auto" w:fill="auto"/>
          </w:tcPr>
          <w:p w14:paraId="38F3BB34" w14:textId="77777777" w:rsidR="00F925B3" w:rsidRPr="00691913" w:rsidRDefault="00F925B3" w:rsidP="006C2DC1">
            <w:pPr>
              <w:pStyle w:val="TableText0"/>
              <w:keepLines/>
            </w:pPr>
            <w:r w:rsidRPr="00691913">
              <w:t>Population</w:t>
            </w:r>
          </w:p>
        </w:tc>
        <w:tc>
          <w:tcPr>
            <w:tcW w:w="4076" w:type="pct"/>
            <w:shd w:val="clear" w:color="auto" w:fill="auto"/>
            <w:vAlign w:val="center"/>
          </w:tcPr>
          <w:p w14:paraId="79618EEE" w14:textId="48BCEE3E" w:rsidR="00F925B3" w:rsidRPr="001E1E86" w:rsidRDefault="00F925B3" w:rsidP="006C2DC1">
            <w:pPr>
              <w:keepNext/>
              <w:keepLines/>
            </w:pPr>
            <w:r w:rsidRPr="00752F2B">
              <w:rPr>
                <w:rFonts w:ascii="Arial Narrow" w:hAnsi="Arial Narrow"/>
                <w:sz w:val="20"/>
                <w:szCs w:val="20"/>
              </w:rPr>
              <w:t>Patients with confirmed symptomatic obstructive hypertrophic cardiomyopathy (HCM</w:t>
            </w:r>
            <w:r>
              <w:rPr>
                <w:rFonts w:ascii="Arial Narrow" w:hAnsi="Arial Narrow"/>
                <w:sz w:val="20"/>
                <w:szCs w:val="20"/>
              </w:rPr>
              <w:t xml:space="preserve">) </w:t>
            </w:r>
          </w:p>
        </w:tc>
      </w:tr>
      <w:tr w:rsidR="00F925B3" w:rsidRPr="00691913" w14:paraId="0CA523AF" w14:textId="77777777" w:rsidTr="007278BA">
        <w:trPr>
          <w:cantSplit/>
        </w:trPr>
        <w:tc>
          <w:tcPr>
            <w:tcW w:w="924" w:type="pct"/>
            <w:shd w:val="clear" w:color="auto" w:fill="auto"/>
          </w:tcPr>
          <w:p w14:paraId="7B6D20D8" w14:textId="77777777" w:rsidR="00F925B3" w:rsidRPr="00691913" w:rsidRDefault="00F925B3" w:rsidP="006C2DC1">
            <w:pPr>
              <w:pStyle w:val="TableText0"/>
              <w:keepLines/>
            </w:pPr>
            <w:r w:rsidRPr="00691913">
              <w:t>Intervention</w:t>
            </w:r>
          </w:p>
        </w:tc>
        <w:tc>
          <w:tcPr>
            <w:tcW w:w="4076" w:type="pct"/>
            <w:shd w:val="clear" w:color="auto" w:fill="auto"/>
            <w:vAlign w:val="center"/>
          </w:tcPr>
          <w:p w14:paraId="3D060762" w14:textId="2C6AEC82" w:rsidR="00F925B3" w:rsidRDefault="00F925B3" w:rsidP="006C2DC1">
            <w:pPr>
              <w:pStyle w:val="TableText0"/>
              <w:keepLines/>
              <w:rPr>
                <w:szCs w:val="20"/>
              </w:rPr>
            </w:pPr>
            <w:r>
              <w:rPr>
                <w:szCs w:val="20"/>
              </w:rPr>
              <w:t>M</w:t>
            </w:r>
            <w:r w:rsidRPr="00752F2B">
              <w:rPr>
                <w:szCs w:val="20"/>
              </w:rPr>
              <w:t>avacamten with or without standard of care (</w:t>
            </w:r>
            <w:r w:rsidR="008D274F">
              <w:rPr>
                <w:szCs w:val="20"/>
              </w:rPr>
              <w:t>BB or CC</w:t>
            </w:r>
            <w:r w:rsidR="003C2EE0">
              <w:rPr>
                <w:szCs w:val="20"/>
              </w:rPr>
              <w:t>)</w:t>
            </w:r>
          </w:p>
          <w:p w14:paraId="00FE0ACD" w14:textId="0D634427" w:rsidR="00D545F8" w:rsidRDefault="00D545F8" w:rsidP="006C2DC1">
            <w:pPr>
              <w:pStyle w:val="TableText0"/>
              <w:keepLines/>
            </w:pPr>
          </w:p>
          <w:p w14:paraId="2491E905" w14:textId="5503694A" w:rsidR="00986ACF" w:rsidRPr="00691913" w:rsidRDefault="00986ACF" w:rsidP="006C2DC1">
            <w:pPr>
              <w:pStyle w:val="Tabletext"/>
              <w:keepNext/>
              <w:keepLines/>
            </w:pPr>
            <w:r w:rsidRPr="008A671D">
              <w:t xml:space="preserve">The recommended starting dose of </w:t>
            </w:r>
            <w:r>
              <w:t>mavacamten</w:t>
            </w:r>
            <w:r w:rsidRPr="008A671D">
              <w:t xml:space="preserve"> is 5 mg orally once daily.</w:t>
            </w:r>
            <w:r w:rsidR="00720AE8">
              <w:t xml:space="preserve"> May be decreased to 2.5</w:t>
            </w:r>
            <w:r w:rsidR="00133603">
              <w:t> </w:t>
            </w:r>
            <w:r w:rsidR="00720AE8">
              <w:t xml:space="preserve">mg/day (where </w:t>
            </w:r>
            <w:r w:rsidR="000B5015">
              <w:t>V</w:t>
            </w:r>
            <w:r w:rsidR="00720AE8">
              <w:t xml:space="preserve">alsalva LVOT gradient </w:t>
            </w:r>
            <w:r w:rsidR="00133603">
              <w:t>&lt; </w:t>
            </w:r>
            <w:r w:rsidR="00720AE8">
              <w:t>20</w:t>
            </w:r>
            <w:r w:rsidR="00133603">
              <w:t> </w:t>
            </w:r>
            <w:r w:rsidR="00720AE8">
              <w:t>mmH</w:t>
            </w:r>
            <w:r w:rsidR="00E22867">
              <w:t>g</w:t>
            </w:r>
            <w:r w:rsidR="00720AE8">
              <w:t>) or increased up to 15</w:t>
            </w:r>
            <w:r w:rsidR="00133603">
              <w:t> </w:t>
            </w:r>
            <w:r w:rsidR="00720AE8">
              <w:t xml:space="preserve">mg/day (where </w:t>
            </w:r>
            <w:r w:rsidR="000B5015">
              <w:t>V</w:t>
            </w:r>
            <w:r w:rsidR="00720AE8">
              <w:t>alsalva L</w:t>
            </w:r>
            <w:r w:rsidR="00E22867">
              <w:t>V</w:t>
            </w:r>
            <w:r w:rsidR="00720AE8">
              <w:t>OT gradient ≥</w:t>
            </w:r>
            <w:r w:rsidR="00133603">
              <w:t> </w:t>
            </w:r>
            <w:r w:rsidR="00720AE8">
              <w:t>30</w:t>
            </w:r>
            <w:r w:rsidR="00133603">
              <w:t> </w:t>
            </w:r>
            <w:r w:rsidR="00E22867">
              <w:t>mmHg</w:t>
            </w:r>
            <w:r w:rsidR="00720AE8">
              <w:t>, symptoms persist and LVEF ≥</w:t>
            </w:r>
            <w:r w:rsidR="00133603">
              <w:t> </w:t>
            </w:r>
            <w:r w:rsidR="00720AE8">
              <w:t>55%).</w:t>
            </w:r>
          </w:p>
        </w:tc>
      </w:tr>
      <w:tr w:rsidR="00F925B3" w:rsidRPr="00691913" w14:paraId="0F81EBE4" w14:textId="77777777" w:rsidTr="007278BA">
        <w:trPr>
          <w:cantSplit/>
        </w:trPr>
        <w:tc>
          <w:tcPr>
            <w:tcW w:w="924" w:type="pct"/>
            <w:shd w:val="clear" w:color="auto" w:fill="auto"/>
          </w:tcPr>
          <w:p w14:paraId="3656B343" w14:textId="77777777" w:rsidR="00F925B3" w:rsidRPr="00691913" w:rsidRDefault="00F925B3" w:rsidP="006C2DC1">
            <w:pPr>
              <w:pStyle w:val="TableText0"/>
              <w:keepLines/>
            </w:pPr>
            <w:r w:rsidRPr="00691913">
              <w:t>Comparator</w:t>
            </w:r>
          </w:p>
        </w:tc>
        <w:tc>
          <w:tcPr>
            <w:tcW w:w="4076" w:type="pct"/>
            <w:shd w:val="clear" w:color="auto" w:fill="auto"/>
            <w:vAlign w:val="center"/>
          </w:tcPr>
          <w:p w14:paraId="3727DE24" w14:textId="275C3077" w:rsidR="00F925B3" w:rsidRPr="00691913" w:rsidRDefault="008D274F" w:rsidP="006C2DC1">
            <w:pPr>
              <w:pStyle w:val="TableText0"/>
              <w:keepLines/>
            </w:pPr>
            <w:r>
              <w:t>S</w:t>
            </w:r>
            <w:r w:rsidR="0086301B">
              <w:t xml:space="preserve">tandard of care </w:t>
            </w:r>
            <w:r w:rsidR="00C24ADA">
              <w:t>(</w:t>
            </w:r>
            <w:r w:rsidR="00F925B3">
              <w:t>BB</w:t>
            </w:r>
            <w:r w:rsidR="00F925B3" w:rsidRPr="008A671D">
              <w:t xml:space="preserve"> or </w:t>
            </w:r>
            <w:r w:rsidR="00F925B3">
              <w:t>CCB</w:t>
            </w:r>
            <w:r w:rsidR="006577F5">
              <w:t xml:space="preserve"> alone</w:t>
            </w:r>
            <w:r w:rsidR="00C24ADA">
              <w:t>)</w:t>
            </w:r>
            <w:r w:rsidR="0086301B">
              <w:t>.</w:t>
            </w:r>
          </w:p>
        </w:tc>
      </w:tr>
      <w:tr w:rsidR="00F925B3" w:rsidRPr="00691913" w14:paraId="02F86F0D" w14:textId="77777777" w:rsidTr="007278BA">
        <w:trPr>
          <w:cantSplit/>
        </w:trPr>
        <w:tc>
          <w:tcPr>
            <w:tcW w:w="924" w:type="pct"/>
            <w:shd w:val="clear" w:color="auto" w:fill="auto"/>
          </w:tcPr>
          <w:p w14:paraId="06433105" w14:textId="77777777" w:rsidR="00F925B3" w:rsidRPr="00691913" w:rsidRDefault="00F925B3" w:rsidP="006C2DC1">
            <w:pPr>
              <w:pStyle w:val="TableText0"/>
              <w:keepLines/>
            </w:pPr>
            <w:r w:rsidRPr="00691913">
              <w:t>Outcomes</w:t>
            </w:r>
          </w:p>
        </w:tc>
        <w:tc>
          <w:tcPr>
            <w:tcW w:w="4076" w:type="pct"/>
            <w:shd w:val="clear" w:color="auto" w:fill="auto"/>
            <w:vAlign w:val="center"/>
          </w:tcPr>
          <w:p w14:paraId="5ABC4037" w14:textId="61A44FA6" w:rsidR="00E5495D" w:rsidRPr="003A2785" w:rsidRDefault="00F925B3" w:rsidP="006C2DC1">
            <w:pPr>
              <w:pStyle w:val="Tabletext"/>
              <w:keepNext/>
              <w:keepLines/>
              <w:rPr>
                <w:szCs w:val="20"/>
              </w:rPr>
            </w:pPr>
            <w:r w:rsidRPr="00E5495D">
              <w:rPr>
                <w:szCs w:val="20"/>
              </w:rPr>
              <w:t>Primary</w:t>
            </w:r>
            <w:r w:rsidR="00E5495D" w:rsidRPr="00E5495D">
              <w:rPr>
                <w:szCs w:val="20"/>
              </w:rPr>
              <w:t xml:space="preserve"> outcome</w:t>
            </w:r>
            <w:r w:rsidRPr="00E5495D">
              <w:rPr>
                <w:szCs w:val="20"/>
              </w:rPr>
              <w:t xml:space="preserve">: </w:t>
            </w:r>
            <w:r w:rsidR="00E5495D" w:rsidRPr="00E5495D">
              <w:rPr>
                <w:szCs w:val="20"/>
              </w:rPr>
              <w:t>proportion of patients who achieved the prespecified composite function endpoint at week 30, defined as: a</w:t>
            </w:r>
            <w:r w:rsidRPr="00E5495D">
              <w:rPr>
                <w:szCs w:val="20"/>
              </w:rPr>
              <w:t>n improvement of ≥</w:t>
            </w:r>
            <w:r w:rsidR="00133603">
              <w:rPr>
                <w:szCs w:val="20"/>
              </w:rPr>
              <w:t> </w:t>
            </w:r>
            <w:r w:rsidRPr="00E5495D">
              <w:rPr>
                <w:szCs w:val="20"/>
              </w:rPr>
              <w:t>1.5</w:t>
            </w:r>
            <w:r w:rsidR="00133603">
              <w:rPr>
                <w:szCs w:val="20"/>
              </w:rPr>
              <w:t> </w:t>
            </w:r>
            <w:r w:rsidRPr="00E5495D">
              <w:rPr>
                <w:szCs w:val="20"/>
              </w:rPr>
              <w:t xml:space="preserve">mL/kg/min </w:t>
            </w:r>
            <w:r w:rsidR="0006309E">
              <w:rPr>
                <w:szCs w:val="20"/>
              </w:rPr>
              <w:t>in peak oxygen consumption</w:t>
            </w:r>
            <w:r w:rsidRPr="00E5495D">
              <w:rPr>
                <w:szCs w:val="20"/>
              </w:rPr>
              <w:t xml:space="preserve"> (pVO</w:t>
            </w:r>
            <w:r w:rsidRPr="00E5495D">
              <w:rPr>
                <w:szCs w:val="20"/>
                <w:vertAlign w:val="subscript"/>
              </w:rPr>
              <w:t>2</w:t>
            </w:r>
            <w:r w:rsidRPr="00E5495D">
              <w:rPr>
                <w:szCs w:val="20"/>
              </w:rPr>
              <w:t>) and</w:t>
            </w:r>
            <w:r w:rsidR="00E5495D" w:rsidRPr="00E5495D">
              <w:rPr>
                <w:szCs w:val="20"/>
              </w:rPr>
              <w:t xml:space="preserve"> (</w:t>
            </w:r>
            <w:r w:rsidRPr="00E5495D">
              <w:rPr>
                <w:szCs w:val="20"/>
              </w:rPr>
              <w:t>a reduction of ≥1 class in New York Heart Association (NYHA) Functional Class (</w:t>
            </w:r>
            <w:r w:rsidR="00E5495D" w:rsidRPr="00E5495D">
              <w:rPr>
                <w:szCs w:val="20"/>
              </w:rPr>
              <w:t>c</w:t>
            </w:r>
            <w:r w:rsidRPr="00E5495D">
              <w:rPr>
                <w:szCs w:val="20"/>
              </w:rPr>
              <w:t xml:space="preserve">omposite 1) </w:t>
            </w:r>
            <w:r w:rsidR="00E5495D" w:rsidRPr="00E5495D">
              <w:rPr>
                <w:szCs w:val="20"/>
              </w:rPr>
              <w:t>or a</w:t>
            </w:r>
            <w:r w:rsidRPr="00E5495D">
              <w:rPr>
                <w:szCs w:val="20"/>
              </w:rPr>
              <w:t>n improvement of ≥</w:t>
            </w:r>
            <w:r w:rsidR="00133603">
              <w:rPr>
                <w:szCs w:val="20"/>
              </w:rPr>
              <w:t> </w:t>
            </w:r>
            <w:r w:rsidRPr="00E5495D">
              <w:rPr>
                <w:szCs w:val="20"/>
              </w:rPr>
              <w:t>3.0 mL/kg/min in pVO</w:t>
            </w:r>
            <w:r w:rsidRPr="00E5495D">
              <w:rPr>
                <w:szCs w:val="20"/>
                <w:vertAlign w:val="subscript"/>
              </w:rPr>
              <w:t>2</w:t>
            </w:r>
            <w:r w:rsidRPr="00E5495D">
              <w:rPr>
                <w:szCs w:val="20"/>
              </w:rPr>
              <w:t xml:space="preserve"> with no worsening in NYHA Functional Class (</w:t>
            </w:r>
            <w:r w:rsidR="00E5495D" w:rsidRPr="00E5495D">
              <w:rPr>
                <w:szCs w:val="20"/>
              </w:rPr>
              <w:t>c</w:t>
            </w:r>
            <w:r w:rsidRPr="00E5495D">
              <w:rPr>
                <w:szCs w:val="20"/>
              </w:rPr>
              <w:t>omposite 2).</w:t>
            </w:r>
            <w:r w:rsidR="00E5495D" w:rsidRPr="00E5495D">
              <w:rPr>
                <w:szCs w:val="20"/>
              </w:rPr>
              <w:t xml:space="preserve"> </w:t>
            </w:r>
          </w:p>
        </w:tc>
      </w:tr>
      <w:tr w:rsidR="00F925B3" w:rsidRPr="00691913" w14:paraId="22223890" w14:textId="77777777" w:rsidTr="003C2EE0">
        <w:trPr>
          <w:cantSplit/>
          <w:trHeight w:val="299"/>
        </w:trPr>
        <w:tc>
          <w:tcPr>
            <w:tcW w:w="924" w:type="pct"/>
            <w:shd w:val="clear" w:color="auto" w:fill="auto"/>
          </w:tcPr>
          <w:p w14:paraId="0FC8FCE0" w14:textId="77777777" w:rsidR="00F925B3" w:rsidRPr="00691913" w:rsidRDefault="00F925B3" w:rsidP="006C2DC1">
            <w:pPr>
              <w:pStyle w:val="TableText0"/>
              <w:keepLines/>
            </w:pPr>
            <w:r w:rsidRPr="00691913">
              <w:t>Clinical claim</w:t>
            </w:r>
          </w:p>
        </w:tc>
        <w:tc>
          <w:tcPr>
            <w:tcW w:w="4076" w:type="pct"/>
            <w:shd w:val="clear" w:color="auto" w:fill="auto"/>
          </w:tcPr>
          <w:p w14:paraId="2C99C4DE" w14:textId="4588BAAF" w:rsidR="00F925B3" w:rsidRPr="001E1E86" w:rsidRDefault="00F925B3" w:rsidP="006C2DC1">
            <w:pPr>
              <w:pStyle w:val="TableText0"/>
              <w:keepLines/>
              <w:rPr>
                <w:rFonts w:eastAsia="Times New Roman" w:cs="Arial"/>
                <w:bCs w:val="0"/>
                <w:snapToGrid w:val="0"/>
                <w:color w:val="0066FF"/>
                <w:szCs w:val="20"/>
              </w:rPr>
            </w:pPr>
            <w:r>
              <w:t>M</w:t>
            </w:r>
            <w:r w:rsidRPr="00A72C3E">
              <w:t xml:space="preserve">avacamten </w:t>
            </w:r>
            <w:r w:rsidR="003A2785">
              <w:t>(</w:t>
            </w:r>
            <w:r w:rsidR="003A2785">
              <w:rPr>
                <w:rFonts w:cstheme="minorHAnsi"/>
              </w:rPr>
              <w:t>±</w:t>
            </w:r>
            <w:r w:rsidR="003C2EE0">
              <w:rPr>
                <w:rFonts w:cstheme="minorHAnsi"/>
              </w:rPr>
              <w:t xml:space="preserve"> </w:t>
            </w:r>
            <w:r>
              <w:t>BB</w:t>
            </w:r>
            <w:r w:rsidRPr="00A72C3E">
              <w:t xml:space="preserve"> or </w:t>
            </w:r>
            <w:r>
              <w:t>CCB</w:t>
            </w:r>
            <w:r w:rsidR="003A2785">
              <w:t>)</w:t>
            </w:r>
            <w:r w:rsidRPr="00A72C3E">
              <w:t xml:space="preserve"> </w:t>
            </w:r>
            <w:r>
              <w:t>is</w:t>
            </w:r>
            <w:r w:rsidRPr="00A72C3E">
              <w:t xml:space="preserve"> superior </w:t>
            </w:r>
            <w:r>
              <w:t xml:space="preserve">in terms of </w:t>
            </w:r>
            <w:r w:rsidRPr="00A72C3E">
              <w:t xml:space="preserve">efficacy </w:t>
            </w:r>
            <w:r>
              <w:t xml:space="preserve">and non-inferior in terms of safety </w:t>
            </w:r>
            <w:r w:rsidRPr="00A72C3E">
              <w:t>compared to</w:t>
            </w:r>
            <w:r>
              <w:t xml:space="preserve"> </w:t>
            </w:r>
            <w:r w:rsidR="006577F5">
              <w:t>SoC</w:t>
            </w:r>
            <w:r w:rsidR="003C2EE0">
              <w:t xml:space="preserve"> (</w:t>
            </w:r>
            <w:r>
              <w:t>BB</w:t>
            </w:r>
            <w:r w:rsidRPr="00A72C3E">
              <w:t xml:space="preserve"> or </w:t>
            </w:r>
            <w:r>
              <w:t>CCB</w:t>
            </w:r>
            <w:r w:rsidR="006577F5">
              <w:t xml:space="preserve"> alone</w:t>
            </w:r>
            <w:r w:rsidR="003C2EE0">
              <w:t>)</w:t>
            </w:r>
            <w:r>
              <w:t>.</w:t>
            </w:r>
            <w:r w:rsidRPr="00A72C3E">
              <w:t xml:space="preserve"> </w:t>
            </w:r>
          </w:p>
        </w:tc>
      </w:tr>
    </w:tbl>
    <w:p w14:paraId="527CA7F0" w14:textId="67084889" w:rsidR="004E43B2" w:rsidRDefault="008B1757" w:rsidP="006C2DC1">
      <w:pPr>
        <w:pStyle w:val="FooterTableFigure"/>
        <w:keepNext/>
        <w:keepLines/>
      </w:pPr>
      <w:r>
        <w:t xml:space="preserve">Source: </w:t>
      </w:r>
      <w:r w:rsidR="00F925B3">
        <w:t xml:space="preserve">Table 1, p16-17 </w:t>
      </w:r>
      <w:r w:rsidR="00F925B3" w:rsidRPr="00D13A3E">
        <w:t xml:space="preserve">of the </w:t>
      </w:r>
      <w:r w:rsidR="00F925B3">
        <w:t>submission</w:t>
      </w:r>
      <w:r w:rsidR="00827D07">
        <w:t xml:space="preserve"> and Table 10, p38-39 of the submission</w:t>
      </w:r>
      <w:r w:rsidR="00F925B3">
        <w:t>.</w:t>
      </w:r>
    </w:p>
    <w:p w14:paraId="2E8E6EF6" w14:textId="0FC75FC1" w:rsidR="00480192" w:rsidRDefault="00480192" w:rsidP="006C2DC1">
      <w:pPr>
        <w:pStyle w:val="FooterTableFigure"/>
        <w:keepNext/>
        <w:keepLines/>
      </w:pPr>
      <w:r>
        <w:t xml:space="preserve">BB = beta-blocker; CCB = calcium channel blocker; HCM = </w:t>
      </w:r>
      <w:r w:rsidRPr="00480192">
        <w:t xml:space="preserve">hypertrophic cardiomyopathy; LVEF = left ventricular ejection fraction; </w:t>
      </w:r>
      <w:r w:rsidR="000850FF">
        <w:t xml:space="preserve">LVOT = left ventricular outflow tract; </w:t>
      </w:r>
      <w:r w:rsidRPr="00480192">
        <w:t>NYHA = New York Heart Association</w:t>
      </w:r>
      <w:r w:rsidR="00C614C5">
        <w:t>; S</w:t>
      </w:r>
      <w:r w:rsidR="00A27229">
        <w:t>O</w:t>
      </w:r>
      <w:r w:rsidR="00C614C5">
        <w:t>C = standard of care</w:t>
      </w:r>
    </w:p>
    <w:p w14:paraId="6B4AB6C2" w14:textId="3C780887" w:rsidR="005C25FF" w:rsidRPr="00407F2D" w:rsidRDefault="005C25FF" w:rsidP="004A6040">
      <w:pPr>
        <w:pStyle w:val="2-SectionHeading"/>
      </w:pPr>
      <w:bookmarkStart w:id="3" w:name="_Toc113979734"/>
      <w:r w:rsidRPr="00407F2D">
        <w:t>Background</w:t>
      </w:r>
      <w:bookmarkEnd w:id="3"/>
    </w:p>
    <w:p w14:paraId="2C521D6D" w14:textId="3AF3B0D6" w:rsidR="005C25FF" w:rsidRPr="004151CF" w:rsidRDefault="005C25FF" w:rsidP="004A6040">
      <w:pPr>
        <w:pStyle w:val="4-SubsectionHeading"/>
      </w:pPr>
      <w:bookmarkStart w:id="4" w:name="_Toc22897638"/>
      <w:bookmarkStart w:id="5" w:name="_Toc113979735"/>
      <w:r w:rsidRPr="004151CF">
        <w:t>Registration status</w:t>
      </w:r>
      <w:bookmarkEnd w:id="4"/>
      <w:bookmarkEnd w:id="5"/>
    </w:p>
    <w:p w14:paraId="5B337091" w14:textId="27A85CDC" w:rsidR="004F0033" w:rsidRDefault="004F0033" w:rsidP="004F0033">
      <w:pPr>
        <w:pStyle w:val="3-BodyText"/>
      </w:pPr>
      <w:r w:rsidRPr="00F72968">
        <w:rPr>
          <w:iCs/>
        </w:rPr>
        <w:t>Mavacamten was registered on 15 September 2022 for the following indication:</w:t>
      </w:r>
    </w:p>
    <w:p w14:paraId="671B3CB4" w14:textId="253AAF17" w:rsidR="004F0033" w:rsidRPr="0003492E" w:rsidRDefault="004F0033" w:rsidP="004F0033">
      <w:pPr>
        <w:pStyle w:val="3-BodyText"/>
        <w:numPr>
          <w:ilvl w:val="0"/>
          <w:numId w:val="0"/>
        </w:numPr>
        <w:ind w:left="993"/>
        <w:rPr>
          <w:i/>
        </w:rPr>
      </w:pPr>
      <w:r w:rsidRPr="0003492E">
        <w:rPr>
          <w:i/>
        </w:rPr>
        <w:t>CAMZYOS is indicated for the treatment of adults with symptomatic NYHA class II</w:t>
      </w:r>
      <w:r w:rsidR="00395DAC" w:rsidRPr="0003492E">
        <w:rPr>
          <w:i/>
        </w:rPr>
        <w:noBreakHyphen/>
      </w:r>
      <w:r w:rsidRPr="0003492E">
        <w:rPr>
          <w:i/>
        </w:rPr>
        <w:t>III obstructive hypertrophic cardiomyopathy.</w:t>
      </w:r>
    </w:p>
    <w:p w14:paraId="1421CFF2" w14:textId="29891A8A" w:rsidR="00E22867" w:rsidRPr="00F72968" w:rsidRDefault="00E22867" w:rsidP="00FB4DFA">
      <w:pPr>
        <w:pStyle w:val="3-BodyText"/>
        <w:rPr>
          <w:iCs/>
        </w:rPr>
      </w:pPr>
      <w:r w:rsidRPr="00F72968">
        <w:rPr>
          <w:iCs/>
        </w:rPr>
        <w:lastRenderedPageBreak/>
        <w:t xml:space="preserve">The </w:t>
      </w:r>
      <w:r w:rsidR="00E60118">
        <w:rPr>
          <w:iCs/>
        </w:rPr>
        <w:t>PBA</w:t>
      </w:r>
      <w:r w:rsidR="00E60118" w:rsidRPr="00F72968">
        <w:rPr>
          <w:iCs/>
        </w:rPr>
        <w:t xml:space="preserve">C </w:t>
      </w:r>
      <w:r w:rsidRPr="00F72968">
        <w:rPr>
          <w:iCs/>
        </w:rPr>
        <w:t xml:space="preserve">noted the TGA indication </w:t>
      </w:r>
      <w:r w:rsidR="005D1059">
        <w:rPr>
          <w:iCs/>
        </w:rPr>
        <w:t xml:space="preserve">requires the presence of </w:t>
      </w:r>
      <w:r w:rsidR="00EE0CC2">
        <w:rPr>
          <w:iCs/>
        </w:rPr>
        <w:t>obstruction but</w:t>
      </w:r>
      <w:r w:rsidR="005D1059">
        <w:rPr>
          <w:iCs/>
        </w:rPr>
        <w:t xml:space="preserve"> </w:t>
      </w:r>
      <w:r w:rsidRPr="00F72968">
        <w:rPr>
          <w:iCs/>
        </w:rPr>
        <w:t xml:space="preserve">does not include </w:t>
      </w:r>
      <w:r w:rsidR="005D1059">
        <w:rPr>
          <w:iCs/>
        </w:rPr>
        <w:t xml:space="preserve">a value of the </w:t>
      </w:r>
      <w:r w:rsidR="003415D9">
        <w:t>left ventricular outflow tract</w:t>
      </w:r>
      <w:r w:rsidR="003415D9" w:rsidRPr="00F72968">
        <w:rPr>
          <w:iCs/>
        </w:rPr>
        <w:t xml:space="preserve"> </w:t>
      </w:r>
      <w:r w:rsidR="003415D9">
        <w:rPr>
          <w:iCs/>
        </w:rPr>
        <w:t>(</w:t>
      </w:r>
      <w:r w:rsidR="006C07F0" w:rsidRPr="00F72968">
        <w:rPr>
          <w:iCs/>
        </w:rPr>
        <w:t>LVOT</w:t>
      </w:r>
      <w:r w:rsidR="003415D9">
        <w:rPr>
          <w:iCs/>
        </w:rPr>
        <w:t>)</w:t>
      </w:r>
      <w:r w:rsidR="006C07F0" w:rsidRPr="00F72968">
        <w:rPr>
          <w:iCs/>
        </w:rPr>
        <w:t xml:space="preserve"> gradient, nor is there a requirement for prior or concomitant </w:t>
      </w:r>
      <w:r w:rsidR="003415D9">
        <w:rPr>
          <w:iCs/>
        </w:rPr>
        <w:t>beta-blocker/calcium channel blocker (</w:t>
      </w:r>
      <w:r w:rsidR="00B14CEC" w:rsidRPr="00F72968">
        <w:rPr>
          <w:iCs/>
        </w:rPr>
        <w:t>BB/CCB</w:t>
      </w:r>
      <w:r w:rsidR="003415D9">
        <w:rPr>
          <w:iCs/>
        </w:rPr>
        <w:t>)</w:t>
      </w:r>
      <w:r w:rsidR="00C5079E" w:rsidRPr="00F72968">
        <w:rPr>
          <w:iCs/>
        </w:rPr>
        <w:t xml:space="preserve"> or </w:t>
      </w:r>
      <w:r w:rsidR="006C07F0" w:rsidRPr="00F72968">
        <w:rPr>
          <w:iCs/>
        </w:rPr>
        <w:t>disopyramide therapy</w:t>
      </w:r>
      <w:r w:rsidR="00C5079E" w:rsidRPr="00F72968">
        <w:rPr>
          <w:iCs/>
        </w:rPr>
        <w:t>.</w:t>
      </w:r>
    </w:p>
    <w:p w14:paraId="1EB81D58" w14:textId="3660AB6F" w:rsidR="00F840A0" w:rsidRDefault="00775552" w:rsidP="00F840A0">
      <w:pPr>
        <w:pStyle w:val="3-BodyText"/>
      </w:pPr>
      <w:r>
        <w:t xml:space="preserve">Mavacamten was approved for registration by the </w:t>
      </w:r>
      <w:r w:rsidRPr="000C33E2">
        <w:t>United States Food &amp; Drug Administration (FDA)</w:t>
      </w:r>
      <w:r>
        <w:t xml:space="preserve"> in April 2022</w:t>
      </w:r>
      <w:r w:rsidR="00087E32">
        <w:t xml:space="preserve"> </w:t>
      </w:r>
      <w:r w:rsidR="00F840A0">
        <w:t xml:space="preserve">for the treatment of adults with symptomatic </w:t>
      </w:r>
      <w:r w:rsidR="003415D9" w:rsidRPr="00480192">
        <w:t>New York Heart Association</w:t>
      </w:r>
      <w:r w:rsidR="003415D9">
        <w:t xml:space="preserve"> (</w:t>
      </w:r>
      <w:r w:rsidR="00F840A0">
        <w:t>NYHA</w:t>
      </w:r>
      <w:r w:rsidR="003415D9">
        <w:t>)</w:t>
      </w:r>
      <w:r w:rsidR="00F840A0">
        <w:t xml:space="preserve"> class II-III obstructive HCM to improve functional capacity and symptoms.</w:t>
      </w:r>
      <w:r>
        <w:t xml:space="preserve"> </w:t>
      </w:r>
    </w:p>
    <w:p w14:paraId="68C097BA" w14:textId="298D913A" w:rsidR="00EF762F" w:rsidRPr="00A9788D" w:rsidRDefault="00EF762F" w:rsidP="00A9788D">
      <w:pPr>
        <w:ind w:left="360"/>
        <w:rPr>
          <w:b/>
          <w:i/>
          <w:iCs/>
        </w:rPr>
      </w:pPr>
      <w:bookmarkStart w:id="6" w:name="_Hlk76375324"/>
      <w:bookmarkStart w:id="7" w:name="_Hlk117846883"/>
      <w:r w:rsidRPr="00A9788D">
        <w:rPr>
          <w:i/>
          <w:iCs/>
        </w:rPr>
        <w:t>For more detail on PBAC’s view, see section 7 PBAC outcome.</w:t>
      </w:r>
      <w:bookmarkEnd w:id="6"/>
    </w:p>
    <w:p w14:paraId="76E4EF3C" w14:textId="0FD1D547" w:rsidR="00B60939" w:rsidRDefault="00B50DB8" w:rsidP="004E18E9">
      <w:pPr>
        <w:pStyle w:val="2-SectionHeading"/>
      </w:pPr>
      <w:bookmarkStart w:id="8" w:name="_Toc107902078"/>
      <w:bookmarkStart w:id="9" w:name="_Toc113979736"/>
      <w:bookmarkEnd w:id="7"/>
      <w:bookmarkEnd w:id="8"/>
      <w:r w:rsidRPr="00407F2D">
        <w:t>Requested listing</w:t>
      </w:r>
      <w:bookmarkEnd w:id="9"/>
    </w:p>
    <w:p w14:paraId="1FA29687" w14:textId="7C3E8678" w:rsidR="00460CF0" w:rsidRPr="00A27D74" w:rsidRDefault="00460CF0" w:rsidP="00460CF0">
      <w:pPr>
        <w:pStyle w:val="3-BodyText"/>
        <w:rPr>
          <w:i/>
          <w:iCs/>
        </w:rPr>
      </w:pPr>
      <w:r w:rsidRPr="00A27D74">
        <w:t xml:space="preserve">The requested listing and suggested </w:t>
      </w:r>
      <w:r>
        <w:t xml:space="preserve">changes </w:t>
      </w:r>
      <w:r w:rsidRPr="00A27D74">
        <w:t>proposed by the Secretariat</w:t>
      </w:r>
      <w:r w:rsidR="00395DAC">
        <w:t xml:space="preserve"> and the PBAC</w:t>
      </w:r>
      <w:r w:rsidRPr="00A27D74">
        <w:t xml:space="preserve"> </w:t>
      </w:r>
      <w:r w:rsidR="00030E4B">
        <w:t>are</w:t>
      </w:r>
      <w:r w:rsidR="00030E4B" w:rsidRPr="00A27D74">
        <w:t xml:space="preserve"> presented below </w:t>
      </w:r>
      <w:r w:rsidRPr="00A27D74">
        <w:t>(additions are in italics, deletions in strikethrough)</w:t>
      </w:r>
      <w:r w:rsidRPr="00A27D74">
        <w:rPr>
          <w:i/>
          <w:iCs/>
        </w:rPr>
        <w:t>.</w:t>
      </w:r>
      <w:r w:rsidR="009C4B2B">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634"/>
        <w:gridCol w:w="2670"/>
        <w:gridCol w:w="811"/>
        <w:gridCol w:w="812"/>
        <w:gridCol w:w="811"/>
        <w:gridCol w:w="812"/>
        <w:gridCol w:w="1880"/>
      </w:tblGrid>
      <w:tr w:rsidR="00460CF0" w:rsidRPr="00460CF0" w14:paraId="6B18766A" w14:textId="77777777" w:rsidTr="00A9788D">
        <w:trPr>
          <w:cantSplit/>
          <w:trHeight w:val="20"/>
        </w:trPr>
        <w:tc>
          <w:tcPr>
            <w:tcW w:w="3941" w:type="dxa"/>
            <w:gridSpan w:val="3"/>
            <w:vAlign w:val="center"/>
          </w:tcPr>
          <w:p w14:paraId="0C4D96C7" w14:textId="77777777" w:rsidR="00460CF0" w:rsidRPr="00460CF0" w:rsidRDefault="00460CF0" w:rsidP="00395DAC">
            <w:pPr>
              <w:keepNext/>
              <w:keepLines/>
              <w:rPr>
                <w:rFonts w:ascii="Arial Narrow" w:hAnsi="Arial Narrow"/>
                <w:b/>
                <w:bCs/>
                <w:sz w:val="20"/>
                <w:szCs w:val="20"/>
              </w:rPr>
            </w:pPr>
            <w:r w:rsidRPr="00460CF0">
              <w:rPr>
                <w:rFonts w:ascii="Arial Narrow" w:hAnsi="Arial Narrow"/>
                <w:b/>
                <w:bCs/>
                <w:sz w:val="20"/>
                <w:szCs w:val="20"/>
              </w:rPr>
              <w:t>MEDICINAL PRODUCT</w:t>
            </w:r>
          </w:p>
          <w:p w14:paraId="179E10A9" w14:textId="77777777" w:rsidR="00460CF0" w:rsidRPr="00460CF0" w:rsidRDefault="00460CF0" w:rsidP="00395DAC">
            <w:pPr>
              <w:keepNext/>
              <w:keepLines/>
              <w:rPr>
                <w:rFonts w:ascii="Arial Narrow" w:hAnsi="Arial Narrow"/>
                <w:b/>
                <w:sz w:val="20"/>
                <w:szCs w:val="20"/>
              </w:rPr>
            </w:pPr>
            <w:r w:rsidRPr="00460CF0">
              <w:rPr>
                <w:rFonts w:ascii="Arial Narrow" w:hAnsi="Arial Narrow"/>
                <w:b/>
                <w:bCs/>
                <w:sz w:val="20"/>
                <w:szCs w:val="20"/>
              </w:rPr>
              <w:t>medicinal product pack</w:t>
            </w:r>
          </w:p>
        </w:tc>
        <w:tc>
          <w:tcPr>
            <w:tcW w:w="811" w:type="dxa"/>
            <w:vAlign w:val="center"/>
          </w:tcPr>
          <w:p w14:paraId="25F1D7FF" w14:textId="77777777" w:rsidR="00460CF0" w:rsidRPr="00460CF0" w:rsidRDefault="00460CF0" w:rsidP="00395DAC">
            <w:pPr>
              <w:keepNext/>
              <w:keepLines/>
              <w:jc w:val="center"/>
              <w:rPr>
                <w:rFonts w:ascii="Arial Narrow" w:hAnsi="Arial Narrow"/>
                <w:b/>
                <w:sz w:val="20"/>
                <w:szCs w:val="20"/>
              </w:rPr>
            </w:pPr>
            <w:r w:rsidRPr="00460CF0">
              <w:rPr>
                <w:rFonts w:ascii="Arial Narrow" w:hAnsi="Arial Narrow"/>
                <w:b/>
                <w:sz w:val="20"/>
                <w:szCs w:val="20"/>
              </w:rPr>
              <w:t>PBS item code</w:t>
            </w:r>
          </w:p>
        </w:tc>
        <w:tc>
          <w:tcPr>
            <w:tcW w:w="812" w:type="dxa"/>
            <w:vAlign w:val="center"/>
          </w:tcPr>
          <w:p w14:paraId="49F818BE" w14:textId="77777777" w:rsidR="00460CF0" w:rsidRPr="00460CF0" w:rsidRDefault="00460CF0" w:rsidP="00395DAC">
            <w:pPr>
              <w:keepNext/>
              <w:keepLines/>
              <w:jc w:val="center"/>
              <w:rPr>
                <w:rFonts w:ascii="Arial Narrow" w:hAnsi="Arial Narrow"/>
                <w:b/>
                <w:sz w:val="20"/>
                <w:szCs w:val="20"/>
              </w:rPr>
            </w:pPr>
            <w:r w:rsidRPr="00460CF0">
              <w:rPr>
                <w:rFonts w:ascii="Arial Narrow" w:hAnsi="Arial Narrow"/>
                <w:b/>
                <w:sz w:val="20"/>
                <w:szCs w:val="20"/>
              </w:rPr>
              <w:t>Max. qty packs</w:t>
            </w:r>
          </w:p>
        </w:tc>
        <w:tc>
          <w:tcPr>
            <w:tcW w:w="811" w:type="dxa"/>
            <w:vAlign w:val="center"/>
          </w:tcPr>
          <w:p w14:paraId="4DDA1953" w14:textId="77777777" w:rsidR="00460CF0" w:rsidRPr="00460CF0" w:rsidRDefault="00460CF0" w:rsidP="00395DAC">
            <w:pPr>
              <w:keepNext/>
              <w:keepLines/>
              <w:jc w:val="center"/>
              <w:rPr>
                <w:rFonts w:ascii="Arial Narrow" w:hAnsi="Arial Narrow"/>
                <w:b/>
                <w:sz w:val="20"/>
                <w:szCs w:val="20"/>
              </w:rPr>
            </w:pPr>
            <w:r w:rsidRPr="00460CF0">
              <w:rPr>
                <w:rFonts w:ascii="Arial Narrow" w:hAnsi="Arial Narrow"/>
                <w:b/>
                <w:sz w:val="20"/>
                <w:szCs w:val="20"/>
              </w:rPr>
              <w:t>Max. qty units</w:t>
            </w:r>
          </w:p>
        </w:tc>
        <w:tc>
          <w:tcPr>
            <w:tcW w:w="812" w:type="dxa"/>
            <w:vAlign w:val="center"/>
          </w:tcPr>
          <w:p w14:paraId="430A58FF" w14:textId="77777777" w:rsidR="00460CF0" w:rsidRPr="00460CF0" w:rsidRDefault="00460CF0" w:rsidP="00395DAC">
            <w:pPr>
              <w:keepNext/>
              <w:keepLines/>
              <w:jc w:val="center"/>
              <w:rPr>
                <w:rFonts w:ascii="Arial Narrow" w:hAnsi="Arial Narrow"/>
                <w:b/>
                <w:sz w:val="20"/>
                <w:szCs w:val="20"/>
              </w:rPr>
            </w:pPr>
            <w:r w:rsidRPr="00460CF0">
              <w:rPr>
                <w:rFonts w:ascii="Arial Narrow" w:hAnsi="Arial Narrow"/>
                <w:b/>
                <w:sz w:val="20"/>
                <w:szCs w:val="20"/>
              </w:rPr>
              <w:t>№.of</w:t>
            </w:r>
          </w:p>
          <w:p w14:paraId="7F05124A" w14:textId="77777777" w:rsidR="00460CF0" w:rsidRPr="00460CF0" w:rsidRDefault="00460CF0" w:rsidP="00395DAC">
            <w:pPr>
              <w:keepNext/>
              <w:keepLines/>
              <w:jc w:val="center"/>
              <w:rPr>
                <w:rFonts w:ascii="Arial Narrow" w:hAnsi="Arial Narrow"/>
                <w:b/>
                <w:sz w:val="20"/>
                <w:szCs w:val="20"/>
              </w:rPr>
            </w:pPr>
            <w:r w:rsidRPr="00460CF0">
              <w:rPr>
                <w:rFonts w:ascii="Arial Narrow" w:hAnsi="Arial Narrow"/>
                <w:b/>
                <w:sz w:val="20"/>
                <w:szCs w:val="20"/>
              </w:rPr>
              <w:t>Rpts</w:t>
            </w:r>
          </w:p>
        </w:tc>
        <w:tc>
          <w:tcPr>
            <w:tcW w:w="1880" w:type="dxa"/>
            <w:vAlign w:val="center"/>
          </w:tcPr>
          <w:p w14:paraId="009B910E" w14:textId="77777777" w:rsidR="00460CF0" w:rsidRPr="00460CF0" w:rsidRDefault="00460CF0" w:rsidP="00395DAC">
            <w:pPr>
              <w:keepNext/>
              <w:keepLines/>
              <w:rPr>
                <w:rFonts w:ascii="Arial Narrow" w:hAnsi="Arial Narrow"/>
                <w:b/>
                <w:sz w:val="20"/>
                <w:szCs w:val="20"/>
                <w:lang w:val="fr-FR"/>
              </w:rPr>
            </w:pPr>
            <w:r w:rsidRPr="00460CF0">
              <w:rPr>
                <w:rFonts w:ascii="Arial Narrow" w:hAnsi="Arial Narrow"/>
                <w:b/>
                <w:sz w:val="20"/>
                <w:szCs w:val="20"/>
              </w:rPr>
              <w:t>Available brands</w:t>
            </w:r>
          </w:p>
        </w:tc>
      </w:tr>
      <w:tr w:rsidR="00460CF0" w:rsidRPr="00460CF0" w14:paraId="68ADFB11" w14:textId="77777777" w:rsidTr="00A9788D">
        <w:trPr>
          <w:cantSplit/>
          <w:trHeight w:val="20"/>
        </w:trPr>
        <w:tc>
          <w:tcPr>
            <w:tcW w:w="9067" w:type="dxa"/>
            <w:gridSpan w:val="8"/>
            <w:vAlign w:val="center"/>
          </w:tcPr>
          <w:p w14:paraId="2483A06B" w14:textId="77777777" w:rsidR="00460CF0" w:rsidRPr="00460CF0" w:rsidRDefault="00460CF0" w:rsidP="00395DAC">
            <w:pPr>
              <w:keepNext/>
              <w:keepLines/>
              <w:rPr>
                <w:rFonts w:ascii="Arial Narrow" w:hAnsi="Arial Narrow"/>
                <w:sz w:val="20"/>
                <w:szCs w:val="20"/>
              </w:rPr>
            </w:pPr>
            <w:r w:rsidRPr="00460CF0">
              <w:rPr>
                <w:rFonts w:ascii="Arial Narrow" w:hAnsi="Arial Narrow"/>
                <w:sz w:val="20"/>
                <w:szCs w:val="20"/>
              </w:rPr>
              <w:t>MAVACAMTEN</w:t>
            </w:r>
          </w:p>
        </w:tc>
      </w:tr>
      <w:tr w:rsidR="00460CF0" w:rsidRPr="00460CF0" w14:paraId="426E818C" w14:textId="77777777" w:rsidTr="00A9788D">
        <w:trPr>
          <w:cantSplit/>
          <w:trHeight w:val="20"/>
        </w:trPr>
        <w:tc>
          <w:tcPr>
            <w:tcW w:w="3941" w:type="dxa"/>
            <w:gridSpan w:val="3"/>
            <w:vAlign w:val="center"/>
          </w:tcPr>
          <w:p w14:paraId="75859EFA" w14:textId="77777777" w:rsidR="00460CF0" w:rsidRPr="00460CF0" w:rsidRDefault="00460CF0" w:rsidP="00395DAC">
            <w:pPr>
              <w:keepNext/>
              <w:keepLines/>
              <w:rPr>
                <w:rFonts w:ascii="Arial Narrow" w:hAnsi="Arial Narrow"/>
                <w:sz w:val="20"/>
                <w:szCs w:val="20"/>
              </w:rPr>
            </w:pPr>
            <w:r w:rsidRPr="00460CF0">
              <w:rPr>
                <w:rFonts w:ascii="Arial Narrow" w:hAnsi="Arial Narrow"/>
                <w:sz w:val="20"/>
                <w:szCs w:val="20"/>
              </w:rPr>
              <w:t xml:space="preserve">mavacamten 2.5 mg capsule, 28 </w:t>
            </w:r>
          </w:p>
        </w:tc>
        <w:tc>
          <w:tcPr>
            <w:tcW w:w="811" w:type="dxa"/>
            <w:vAlign w:val="center"/>
          </w:tcPr>
          <w:p w14:paraId="2230DAED"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NEW</w:t>
            </w:r>
          </w:p>
        </w:tc>
        <w:tc>
          <w:tcPr>
            <w:tcW w:w="812" w:type="dxa"/>
            <w:vAlign w:val="center"/>
          </w:tcPr>
          <w:p w14:paraId="474B848C"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1</w:t>
            </w:r>
          </w:p>
        </w:tc>
        <w:tc>
          <w:tcPr>
            <w:tcW w:w="811" w:type="dxa"/>
            <w:vAlign w:val="center"/>
          </w:tcPr>
          <w:p w14:paraId="3728CF85"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28</w:t>
            </w:r>
          </w:p>
        </w:tc>
        <w:tc>
          <w:tcPr>
            <w:tcW w:w="812" w:type="dxa"/>
            <w:vAlign w:val="center"/>
          </w:tcPr>
          <w:p w14:paraId="33ADE0EE"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2</w:t>
            </w:r>
          </w:p>
        </w:tc>
        <w:tc>
          <w:tcPr>
            <w:tcW w:w="1880" w:type="dxa"/>
            <w:vAlign w:val="center"/>
          </w:tcPr>
          <w:p w14:paraId="309AEC78" w14:textId="77777777" w:rsidR="00460CF0" w:rsidRPr="00460CF0" w:rsidRDefault="00460CF0" w:rsidP="00395DAC">
            <w:pPr>
              <w:keepNext/>
              <w:keepLines/>
              <w:rPr>
                <w:rFonts w:ascii="Arial Narrow" w:hAnsi="Arial Narrow"/>
                <w:sz w:val="20"/>
                <w:szCs w:val="20"/>
              </w:rPr>
            </w:pPr>
            <w:r w:rsidRPr="00460CF0">
              <w:rPr>
                <w:rFonts w:ascii="Arial Narrow" w:hAnsi="Arial Narrow"/>
                <w:sz w:val="20"/>
                <w:szCs w:val="20"/>
              </w:rPr>
              <w:t>Camzyos®</w:t>
            </w:r>
          </w:p>
        </w:tc>
      </w:tr>
      <w:tr w:rsidR="00460CF0" w:rsidRPr="00460CF0" w14:paraId="416828D0" w14:textId="77777777" w:rsidTr="00A9788D">
        <w:trPr>
          <w:cantSplit/>
          <w:trHeight w:val="20"/>
        </w:trPr>
        <w:tc>
          <w:tcPr>
            <w:tcW w:w="3941" w:type="dxa"/>
            <w:gridSpan w:val="3"/>
            <w:vAlign w:val="center"/>
          </w:tcPr>
          <w:p w14:paraId="246CBC6A" w14:textId="77777777" w:rsidR="00460CF0" w:rsidRPr="00460CF0" w:rsidRDefault="00460CF0" w:rsidP="00395DAC">
            <w:pPr>
              <w:keepNext/>
              <w:keepLines/>
              <w:rPr>
                <w:rFonts w:ascii="Arial Narrow" w:hAnsi="Arial Narrow"/>
                <w:sz w:val="20"/>
                <w:szCs w:val="20"/>
              </w:rPr>
            </w:pPr>
            <w:r w:rsidRPr="00460CF0">
              <w:rPr>
                <w:rFonts w:ascii="Arial Narrow" w:hAnsi="Arial Narrow"/>
                <w:sz w:val="20"/>
                <w:szCs w:val="20"/>
              </w:rPr>
              <w:t>mavacamten 5 mg capsule, 28</w:t>
            </w:r>
          </w:p>
        </w:tc>
        <w:tc>
          <w:tcPr>
            <w:tcW w:w="811" w:type="dxa"/>
            <w:vAlign w:val="center"/>
          </w:tcPr>
          <w:p w14:paraId="7A84FF34"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NEW</w:t>
            </w:r>
          </w:p>
        </w:tc>
        <w:tc>
          <w:tcPr>
            <w:tcW w:w="812" w:type="dxa"/>
            <w:vAlign w:val="center"/>
          </w:tcPr>
          <w:p w14:paraId="5B3F5FC8"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1</w:t>
            </w:r>
          </w:p>
        </w:tc>
        <w:tc>
          <w:tcPr>
            <w:tcW w:w="811" w:type="dxa"/>
            <w:vAlign w:val="center"/>
          </w:tcPr>
          <w:p w14:paraId="294A5918"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28</w:t>
            </w:r>
          </w:p>
        </w:tc>
        <w:tc>
          <w:tcPr>
            <w:tcW w:w="812" w:type="dxa"/>
            <w:vAlign w:val="center"/>
          </w:tcPr>
          <w:p w14:paraId="2448B49A" w14:textId="77777777" w:rsidR="00460CF0" w:rsidRPr="00460CF0" w:rsidRDefault="00460CF0" w:rsidP="00395DAC">
            <w:pPr>
              <w:keepNext/>
              <w:keepLines/>
              <w:jc w:val="center"/>
              <w:rPr>
                <w:rFonts w:ascii="Arial Narrow" w:hAnsi="Arial Narrow"/>
                <w:sz w:val="20"/>
                <w:szCs w:val="20"/>
              </w:rPr>
            </w:pPr>
            <w:r w:rsidRPr="00460CF0">
              <w:rPr>
                <w:rFonts w:ascii="Arial Narrow" w:hAnsi="Arial Narrow"/>
                <w:sz w:val="20"/>
                <w:szCs w:val="20"/>
              </w:rPr>
              <w:t>2</w:t>
            </w:r>
          </w:p>
        </w:tc>
        <w:tc>
          <w:tcPr>
            <w:tcW w:w="1880" w:type="dxa"/>
            <w:vAlign w:val="center"/>
          </w:tcPr>
          <w:p w14:paraId="14454B58" w14:textId="77777777" w:rsidR="00460CF0" w:rsidRPr="00460CF0" w:rsidRDefault="00460CF0" w:rsidP="00395DAC">
            <w:pPr>
              <w:keepNext/>
              <w:keepLines/>
              <w:rPr>
                <w:rFonts w:ascii="Arial Narrow" w:hAnsi="Arial Narrow"/>
                <w:sz w:val="20"/>
                <w:szCs w:val="20"/>
              </w:rPr>
            </w:pPr>
            <w:r w:rsidRPr="00460CF0">
              <w:rPr>
                <w:rFonts w:ascii="Arial Narrow" w:hAnsi="Arial Narrow"/>
                <w:sz w:val="20"/>
                <w:szCs w:val="20"/>
              </w:rPr>
              <w:t>Camzyos®</w:t>
            </w:r>
          </w:p>
        </w:tc>
      </w:tr>
      <w:tr w:rsidR="00460CF0" w:rsidRPr="00460CF0" w14:paraId="1C74EB17" w14:textId="77777777" w:rsidTr="00A9788D">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vAlign w:val="center"/>
          </w:tcPr>
          <w:p w14:paraId="53F29618" w14:textId="77777777" w:rsidR="00460CF0" w:rsidRPr="00460CF0" w:rsidRDefault="00460CF0" w:rsidP="008E0CD7">
            <w:pPr>
              <w:rPr>
                <w:rFonts w:ascii="Arial Narrow" w:hAnsi="Arial Narrow"/>
                <w:sz w:val="20"/>
                <w:szCs w:val="20"/>
              </w:rPr>
            </w:pPr>
          </w:p>
        </w:tc>
      </w:tr>
      <w:tr w:rsidR="00460CF0" w:rsidRPr="00460CF0" w14:paraId="56DBCE22" w14:textId="77777777" w:rsidTr="00A9788D">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vAlign w:val="center"/>
          </w:tcPr>
          <w:p w14:paraId="4C6B9910" w14:textId="77777777" w:rsidR="00460CF0" w:rsidRPr="00460CF0" w:rsidRDefault="00460CF0" w:rsidP="008E0CD7">
            <w:pPr>
              <w:keepLines/>
              <w:rPr>
                <w:rFonts w:ascii="Arial Narrow" w:hAnsi="Arial Narrow"/>
                <w:b/>
                <w:sz w:val="20"/>
                <w:szCs w:val="20"/>
              </w:rPr>
            </w:pPr>
            <w:r w:rsidRPr="00460CF0">
              <w:rPr>
                <w:rFonts w:ascii="Arial Narrow" w:hAnsi="Arial Narrow"/>
                <w:b/>
                <w:sz w:val="20"/>
                <w:szCs w:val="20"/>
              </w:rPr>
              <w:t xml:space="preserve">Restriction Summary [new 1] / Treatment of Concept: [new 2] </w:t>
            </w:r>
          </w:p>
        </w:tc>
      </w:tr>
      <w:tr w:rsidR="00460CF0" w:rsidRPr="00460CF0" w14:paraId="41509939" w14:textId="77777777" w:rsidTr="00A9788D">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97FC797" w14:textId="2884DE89" w:rsidR="00460CF0" w:rsidRPr="00460CF0" w:rsidRDefault="00460CF0" w:rsidP="008E0CD7">
            <w:pPr>
              <w:jc w:val="center"/>
              <w:rPr>
                <w:rFonts w:ascii="Arial Narrow" w:hAnsi="Arial Narrow"/>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618D282" w14:textId="77777777" w:rsidR="00460CF0" w:rsidRPr="00460CF0" w:rsidRDefault="00460CF0" w:rsidP="008E0CD7">
            <w:pPr>
              <w:keepLines/>
              <w:rPr>
                <w:rFonts w:ascii="Arial Narrow" w:hAnsi="Arial Narrow"/>
                <w:sz w:val="20"/>
                <w:szCs w:val="20"/>
              </w:rPr>
            </w:pPr>
            <w:r w:rsidRPr="00460CF0">
              <w:rPr>
                <w:rFonts w:ascii="Arial Narrow" w:hAnsi="Arial Narrow"/>
                <w:b/>
                <w:sz w:val="20"/>
                <w:szCs w:val="20"/>
              </w:rPr>
              <w:t xml:space="preserve">Category / Program: </w:t>
            </w:r>
            <w:r w:rsidRPr="00460CF0">
              <w:rPr>
                <w:rFonts w:ascii="Arial Narrow" w:hAnsi="Arial Narrow"/>
                <w:sz w:val="20"/>
                <w:szCs w:val="20"/>
              </w:rPr>
              <w:t xml:space="preserve">GENERAL – General Schedule (Code GE) </w:t>
            </w:r>
          </w:p>
        </w:tc>
      </w:tr>
      <w:tr w:rsidR="00460CF0" w:rsidRPr="00460CF0" w14:paraId="7EC82F1D" w14:textId="77777777" w:rsidTr="00A9788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C12EAEF" w14:textId="77777777" w:rsidR="00460CF0" w:rsidRPr="00460CF0" w:rsidRDefault="00460CF0" w:rsidP="008E0CD7">
            <w:pP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CCBBAC1" w14:textId="77777777" w:rsidR="00460CF0" w:rsidRPr="00460CF0" w:rsidRDefault="00460CF0" w:rsidP="008E0CD7">
            <w:pPr>
              <w:keepLines/>
              <w:rPr>
                <w:rFonts w:ascii="Arial Narrow" w:hAnsi="Arial Narrow"/>
                <w:b/>
                <w:sz w:val="20"/>
                <w:szCs w:val="20"/>
              </w:rPr>
            </w:pPr>
            <w:r w:rsidRPr="00460CF0">
              <w:rPr>
                <w:rFonts w:ascii="Arial Narrow" w:hAnsi="Arial Narrow"/>
                <w:b/>
                <w:sz w:val="20"/>
                <w:szCs w:val="20"/>
              </w:rPr>
              <w:t xml:space="preserve">Prescriber type: </w:t>
            </w:r>
            <w:r w:rsidRPr="00460CF0">
              <w:rPr>
                <w:rFonts w:ascii="Arial Narrow" w:hAnsi="Arial Narrow"/>
                <w:sz w:val="20"/>
                <w:szCs w:val="20"/>
              </w:rPr>
              <w:fldChar w:fldCharType="begin">
                <w:ffData>
                  <w:name w:val=""/>
                  <w:enabled/>
                  <w:calcOnExit w:val="0"/>
                  <w:checkBox>
                    <w:sizeAuto/>
                    <w:default w:val="1"/>
                  </w:checkBox>
                </w:ffData>
              </w:fldChar>
            </w:r>
            <w:r w:rsidRPr="00460CF0">
              <w:rPr>
                <w:rFonts w:ascii="Arial Narrow" w:hAnsi="Arial Narrow"/>
                <w:sz w:val="20"/>
                <w:szCs w:val="20"/>
              </w:rPr>
              <w:instrText xml:space="preserve"> FORMCHECKBOX </w:instrText>
            </w:r>
            <w:r w:rsidR="00645E50">
              <w:rPr>
                <w:rFonts w:ascii="Arial Narrow" w:hAnsi="Arial Narrow"/>
                <w:sz w:val="20"/>
                <w:szCs w:val="20"/>
              </w:rPr>
            </w:r>
            <w:r w:rsidR="00645E50">
              <w:rPr>
                <w:rFonts w:ascii="Arial Narrow" w:hAnsi="Arial Narrow"/>
                <w:sz w:val="20"/>
                <w:szCs w:val="20"/>
              </w:rPr>
              <w:fldChar w:fldCharType="separate"/>
            </w:r>
            <w:r w:rsidRPr="00460CF0">
              <w:rPr>
                <w:rFonts w:ascii="Arial Narrow" w:hAnsi="Arial Narrow"/>
                <w:sz w:val="20"/>
                <w:szCs w:val="20"/>
              </w:rPr>
              <w:fldChar w:fldCharType="end"/>
            </w:r>
            <w:r w:rsidRPr="00460CF0">
              <w:rPr>
                <w:rFonts w:ascii="Arial Narrow" w:hAnsi="Arial Narrow"/>
                <w:sz w:val="20"/>
                <w:szCs w:val="20"/>
              </w:rPr>
              <w:t xml:space="preserve">Medical Practitioners </w:t>
            </w:r>
          </w:p>
        </w:tc>
      </w:tr>
      <w:tr w:rsidR="00460CF0" w:rsidRPr="00460CF0" w14:paraId="3D75B4BB" w14:textId="77777777" w:rsidTr="00A9788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0C463CB" w14:textId="77777777" w:rsidR="00460CF0" w:rsidRPr="00460CF0" w:rsidRDefault="00460CF0" w:rsidP="008E0CD7">
            <w:pP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6935511D" w14:textId="3D077C33" w:rsidR="00460CF0" w:rsidRPr="00460CF0" w:rsidRDefault="00460CF0" w:rsidP="008E0CD7">
            <w:pPr>
              <w:keepLines/>
              <w:rPr>
                <w:rFonts w:ascii="Arial Narrow" w:hAnsi="Arial Narrow"/>
                <w:b/>
                <w:sz w:val="20"/>
                <w:szCs w:val="20"/>
              </w:rPr>
            </w:pPr>
            <w:r w:rsidRPr="00460CF0">
              <w:rPr>
                <w:rFonts w:ascii="Arial Narrow" w:hAnsi="Arial Narrow"/>
                <w:b/>
                <w:sz w:val="20"/>
                <w:szCs w:val="20"/>
              </w:rPr>
              <w:t xml:space="preserve">Restriction type: </w:t>
            </w:r>
            <w:r w:rsidRPr="00460CF0">
              <w:rPr>
                <w:rFonts w:ascii="Arial Narrow" w:eastAsia="Calibri" w:hAnsi="Arial Narrow"/>
                <w:sz w:val="20"/>
                <w:szCs w:val="20"/>
              </w:rPr>
              <w:fldChar w:fldCharType="begin">
                <w:ffData>
                  <w:name w:val=""/>
                  <w:enabled/>
                  <w:calcOnExit w:val="0"/>
                  <w:checkBox>
                    <w:sizeAuto/>
                    <w:default w:val="1"/>
                  </w:checkBox>
                </w:ffData>
              </w:fldChar>
            </w:r>
            <w:r w:rsidRPr="00460CF0">
              <w:rPr>
                <w:rFonts w:ascii="Arial Narrow" w:eastAsia="Calibri" w:hAnsi="Arial Narrow"/>
                <w:sz w:val="20"/>
                <w:szCs w:val="20"/>
              </w:rPr>
              <w:instrText xml:space="preserve"> FORMCHECKBOX </w:instrText>
            </w:r>
            <w:r w:rsidR="00645E50">
              <w:rPr>
                <w:rFonts w:ascii="Arial Narrow" w:eastAsia="Calibri" w:hAnsi="Arial Narrow"/>
                <w:sz w:val="20"/>
                <w:szCs w:val="20"/>
              </w:rPr>
            </w:r>
            <w:r w:rsidR="00645E50">
              <w:rPr>
                <w:rFonts w:ascii="Arial Narrow" w:eastAsia="Calibri" w:hAnsi="Arial Narrow"/>
                <w:sz w:val="20"/>
                <w:szCs w:val="20"/>
              </w:rPr>
              <w:fldChar w:fldCharType="separate"/>
            </w:r>
            <w:r w:rsidRPr="00460CF0">
              <w:rPr>
                <w:rFonts w:ascii="Arial Narrow" w:eastAsia="Calibri" w:hAnsi="Arial Narrow"/>
                <w:sz w:val="20"/>
                <w:szCs w:val="20"/>
              </w:rPr>
              <w:fldChar w:fldCharType="end"/>
            </w:r>
            <w:r w:rsidRPr="00460CF0">
              <w:rPr>
                <w:rFonts w:ascii="Arial Narrow" w:eastAsia="Calibri" w:hAnsi="Arial Narrow"/>
                <w:sz w:val="20"/>
                <w:szCs w:val="20"/>
              </w:rPr>
              <w:t xml:space="preserve">Authority Required </w:t>
            </w:r>
            <w:r w:rsidRPr="00460CF0">
              <w:rPr>
                <w:rFonts w:ascii="Arial Narrow" w:eastAsia="Calibri" w:hAnsi="Arial Narrow"/>
                <w:strike/>
                <w:sz w:val="20"/>
                <w:szCs w:val="20"/>
              </w:rPr>
              <w:t>(Streamlined)</w:t>
            </w:r>
            <w:r w:rsidRPr="00460CF0">
              <w:rPr>
                <w:rFonts w:ascii="Arial Narrow" w:eastAsia="Calibri" w:hAnsi="Arial Narrow"/>
                <w:sz w:val="20"/>
                <w:szCs w:val="20"/>
              </w:rPr>
              <w:t xml:space="preserve"> </w:t>
            </w:r>
            <w:r w:rsidRPr="00460CF0">
              <w:rPr>
                <w:rFonts w:ascii="Arial Narrow" w:eastAsia="Calibri" w:hAnsi="Arial Narrow"/>
                <w:i/>
                <w:iCs/>
                <w:sz w:val="20"/>
                <w:szCs w:val="20"/>
              </w:rPr>
              <w:t>(</w:t>
            </w:r>
            <w:r w:rsidR="009273FA">
              <w:rPr>
                <w:rFonts w:ascii="Arial Narrow" w:eastAsia="Calibri" w:hAnsi="Arial Narrow"/>
                <w:i/>
                <w:iCs/>
                <w:sz w:val="20"/>
                <w:szCs w:val="20"/>
              </w:rPr>
              <w:t>writing only via post/HPOS upload</w:t>
            </w:r>
            <w:r w:rsidRPr="00460CF0">
              <w:rPr>
                <w:rFonts w:ascii="Arial Narrow" w:eastAsia="Calibri" w:hAnsi="Arial Narrow"/>
                <w:i/>
                <w:iCs/>
                <w:sz w:val="20"/>
                <w:szCs w:val="20"/>
              </w:rPr>
              <w:t>)</w:t>
            </w:r>
            <w:r w:rsidRPr="00460CF0">
              <w:rPr>
                <w:rFonts w:ascii="Arial Narrow" w:eastAsia="Calibri" w:hAnsi="Arial Narrow"/>
                <w:sz w:val="20"/>
                <w:szCs w:val="20"/>
              </w:rPr>
              <w:t xml:space="preserve">  </w:t>
            </w:r>
          </w:p>
        </w:tc>
      </w:tr>
      <w:tr w:rsidR="00460CF0" w:rsidRPr="00460CF0" w14:paraId="71665D28" w14:textId="77777777" w:rsidTr="00A9788D">
        <w:tblPrEx>
          <w:tblCellMar>
            <w:top w:w="15" w:type="dxa"/>
            <w:bottom w:w="15" w:type="dxa"/>
          </w:tblCellMar>
          <w:tblLook w:val="04A0" w:firstRow="1" w:lastRow="0" w:firstColumn="1" w:lastColumn="0" w:noHBand="0" w:noVBand="1"/>
        </w:tblPrEx>
        <w:trPr>
          <w:trHeight w:val="20"/>
        </w:trPr>
        <w:tc>
          <w:tcPr>
            <w:tcW w:w="637" w:type="dxa"/>
            <w:vMerge w:val="restart"/>
            <w:tcBorders>
              <w:left w:val="single" w:sz="4" w:space="0" w:color="auto"/>
              <w:right w:val="single" w:sz="4" w:space="0" w:color="auto"/>
            </w:tcBorders>
            <w:vAlign w:val="center"/>
          </w:tcPr>
          <w:p w14:paraId="67A332B0" w14:textId="3A5E86B1" w:rsidR="00460CF0" w:rsidRPr="00460CF0" w:rsidRDefault="00460CF0" w:rsidP="008E0CD7">
            <w:pPr>
              <w:jc w:val="center"/>
              <w:rPr>
                <w:rFonts w:ascii="Arial Narrow" w:hAnsi="Arial Narrow"/>
                <w:sz w:val="20"/>
                <w:szCs w:val="20"/>
              </w:rPr>
            </w:pPr>
          </w:p>
        </w:tc>
        <w:tc>
          <w:tcPr>
            <w:tcW w:w="634" w:type="dxa"/>
            <w:tcBorders>
              <w:left w:val="single" w:sz="4" w:space="0" w:color="auto"/>
              <w:right w:val="single" w:sz="4" w:space="0" w:color="auto"/>
            </w:tcBorders>
            <w:vAlign w:val="center"/>
          </w:tcPr>
          <w:p w14:paraId="7ADC7216" w14:textId="0C59E8AB" w:rsidR="00460CF0" w:rsidRPr="00460CF0" w:rsidRDefault="00460CF0" w:rsidP="008E0CD7">
            <w:pPr>
              <w:jc w:val="right"/>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7611A243"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Administrative Advice</w:t>
            </w:r>
            <w:r w:rsidRPr="00460CF0">
              <w:rPr>
                <w:rFonts w:ascii="Arial Narrow" w:hAnsi="Arial Narrow"/>
                <w:sz w:val="20"/>
                <w:szCs w:val="20"/>
              </w:rPr>
              <w:t>:</w:t>
            </w:r>
          </w:p>
          <w:p w14:paraId="1D8AD050" w14:textId="77777777" w:rsidR="00460CF0" w:rsidRPr="00460CF0" w:rsidRDefault="00460CF0" w:rsidP="008E0CD7">
            <w:pPr>
              <w:keepLines/>
              <w:rPr>
                <w:rFonts w:ascii="Arial Narrow" w:hAnsi="Arial Narrow"/>
                <w:b/>
                <w:sz w:val="20"/>
                <w:szCs w:val="20"/>
              </w:rPr>
            </w:pPr>
            <w:r w:rsidRPr="00460CF0">
              <w:rPr>
                <w:rFonts w:ascii="Arial Narrow" w:hAnsi="Arial Narrow"/>
                <w:sz w:val="20"/>
                <w:szCs w:val="20"/>
              </w:rPr>
              <w:t>No increase in the maximum number of repeats may be authorised.</w:t>
            </w:r>
          </w:p>
        </w:tc>
      </w:tr>
      <w:tr w:rsidR="00460CF0" w:rsidRPr="00460CF0" w14:paraId="4F154CEA" w14:textId="77777777" w:rsidTr="00A9788D">
        <w:tblPrEx>
          <w:tblCellMar>
            <w:top w:w="15" w:type="dxa"/>
            <w:bottom w:w="15" w:type="dxa"/>
          </w:tblCellMar>
          <w:tblLook w:val="04A0" w:firstRow="1" w:lastRow="0" w:firstColumn="1" w:lastColumn="0" w:noHBand="0" w:noVBand="1"/>
        </w:tblPrEx>
        <w:trPr>
          <w:trHeight w:val="20"/>
        </w:trPr>
        <w:tc>
          <w:tcPr>
            <w:tcW w:w="637" w:type="dxa"/>
            <w:vMerge/>
            <w:tcBorders>
              <w:left w:val="single" w:sz="4" w:space="0" w:color="auto"/>
              <w:bottom w:val="single" w:sz="4" w:space="0" w:color="auto"/>
              <w:right w:val="single" w:sz="4" w:space="0" w:color="auto"/>
            </w:tcBorders>
            <w:vAlign w:val="center"/>
          </w:tcPr>
          <w:p w14:paraId="7F10CE66" w14:textId="77777777" w:rsidR="00460CF0" w:rsidRPr="00460CF0" w:rsidRDefault="00460CF0" w:rsidP="008E0CD7">
            <w:pPr>
              <w:jc w:val="right"/>
              <w:rPr>
                <w:rFonts w:ascii="Arial Narrow" w:hAnsi="Arial Narrow"/>
                <w:sz w:val="20"/>
                <w:szCs w:val="20"/>
              </w:rPr>
            </w:pPr>
          </w:p>
        </w:tc>
        <w:tc>
          <w:tcPr>
            <w:tcW w:w="634" w:type="dxa"/>
            <w:tcBorders>
              <w:left w:val="single" w:sz="4" w:space="0" w:color="auto"/>
              <w:bottom w:val="single" w:sz="4" w:space="0" w:color="auto"/>
              <w:right w:val="single" w:sz="4" w:space="0" w:color="auto"/>
            </w:tcBorders>
            <w:vAlign w:val="center"/>
          </w:tcPr>
          <w:p w14:paraId="42CB1D75" w14:textId="703F92C1" w:rsidR="00460CF0" w:rsidRPr="00460CF0" w:rsidRDefault="00460CF0" w:rsidP="008E0CD7">
            <w:pPr>
              <w:jc w:val="right"/>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535FBD5" w14:textId="77777777" w:rsidR="00460CF0" w:rsidRPr="00460CF0" w:rsidRDefault="00460CF0" w:rsidP="008E0CD7">
            <w:pPr>
              <w:rPr>
                <w:rFonts w:ascii="Arial Narrow" w:hAnsi="Arial Narrow"/>
                <w:b/>
                <w:bCs/>
                <w:sz w:val="20"/>
                <w:szCs w:val="20"/>
              </w:rPr>
            </w:pPr>
            <w:r w:rsidRPr="00460CF0">
              <w:rPr>
                <w:rFonts w:ascii="Arial Narrow" w:hAnsi="Arial Narrow"/>
                <w:b/>
                <w:bCs/>
                <w:sz w:val="20"/>
                <w:szCs w:val="20"/>
              </w:rPr>
              <w:t>Administrative Advice:</w:t>
            </w:r>
          </w:p>
          <w:p w14:paraId="030AC431" w14:textId="77777777" w:rsidR="00460CF0" w:rsidRPr="00460CF0" w:rsidRDefault="00460CF0" w:rsidP="008E0CD7">
            <w:pPr>
              <w:keepLines/>
              <w:rPr>
                <w:rFonts w:ascii="Arial Narrow" w:hAnsi="Arial Narrow"/>
                <w:b/>
                <w:sz w:val="20"/>
                <w:szCs w:val="20"/>
              </w:rPr>
            </w:pPr>
            <w:r w:rsidRPr="00460CF0">
              <w:rPr>
                <w:rFonts w:ascii="Arial Narrow" w:hAnsi="Arial Narrow"/>
                <w:sz w:val="20"/>
                <w:szCs w:val="20"/>
              </w:rPr>
              <w:t>Special Pricing Arrangements apply.</w:t>
            </w:r>
          </w:p>
        </w:tc>
      </w:tr>
      <w:tr w:rsidR="00460CF0" w:rsidRPr="00460CF0" w14:paraId="523F6D56" w14:textId="77777777" w:rsidTr="00A9788D">
        <w:tblPrEx>
          <w:tblCellMar>
            <w:top w:w="15" w:type="dxa"/>
            <w:bottom w:w="15" w:type="dxa"/>
          </w:tblCellMar>
          <w:tblLook w:val="04A0" w:firstRow="1" w:lastRow="0" w:firstColumn="1" w:lastColumn="0" w:noHBand="0" w:noVBand="1"/>
        </w:tblPrEx>
        <w:trPr>
          <w:trHeight w:val="20"/>
        </w:trPr>
        <w:tc>
          <w:tcPr>
            <w:tcW w:w="1271" w:type="dxa"/>
            <w:gridSpan w:val="2"/>
            <w:tcBorders>
              <w:left w:val="single" w:sz="4" w:space="0" w:color="auto"/>
              <w:bottom w:val="single" w:sz="4" w:space="0" w:color="auto"/>
              <w:right w:val="single" w:sz="4" w:space="0" w:color="auto"/>
            </w:tcBorders>
          </w:tcPr>
          <w:p w14:paraId="7F3480ED" w14:textId="77777777" w:rsidR="00460CF0" w:rsidRPr="00460CF0" w:rsidRDefault="00460CF0" w:rsidP="008E0CD7">
            <w:pP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C4305BA" w14:textId="77777777" w:rsidR="00460CF0" w:rsidRPr="00460CF0" w:rsidRDefault="00460CF0" w:rsidP="008E0CD7">
            <w:pPr>
              <w:rPr>
                <w:rFonts w:ascii="Arial Narrow" w:hAnsi="Arial Narrow"/>
                <w:b/>
                <w:bCs/>
                <w:sz w:val="20"/>
                <w:szCs w:val="20"/>
              </w:rPr>
            </w:pPr>
          </w:p>
        </w:tc>
      </w:tr>
      <w:tr w:rsidR="00460CF0" w:rsidRPr="00460CF0" w14:paraId="166E68FB" w14:textId="77777777" w:rsidTr="00A9788D">
        <w:tblPrEx>
          <w:tblCellMar>
            <w:top w:w="15" w:type="dxa"/>
            <w:bottom w:w="15" w:type="dxa"/>
          </w:tblCellMar>
          <w:tblLook w:val="04A0" w:firstRow="1" w:lastRow="0" w:firstColumn="1" w:lastColumn="0" w:noHBand="0" w:noVBand="1"/>
        </w:tblPrEx>
        <w:trPr>
          <w:cantSplit/>
          <w:trHeight w:val="102"/>
        </w:trPr>
        <w:tc>
          <w:tcPr>
            <w:tcW w:w="1271" w:type="dxa"/>
            <w:gridSpan w:val="2"/>
            <w:vAlign w:val="center"/>
          </w:tcPr>
          <w:p w14:paraId="665261FE" w14:textId="77777777" w:rsidR="00460CF0" w:rsidRPr="00460CF0" w:rsidRDefault="00460CF0" w:rsidP="008E0CD7">
            <w:pPr>
              <w:keepLines/>
              <w:jc w:val="center"/>
              <w:rPr>
                <w:rFonts w:ascii="Arial Narrow" w:hAnsi="Arial Narrow"/>
                <w:sz w:val="20"/>
                <w:szCs w:val="20"/>
              </w:rPr>
            </w:pPr>
          </w:p>
        </w:tc>
        <w:tc>
          <w:tcPr>
            <w:tcW w:w="7796" w:type="dxa"/>
            <w:gridSpan w:val="6"/>
            <w:vAlign w:val="center"/>
          </w:tcPr>
          <w:p w14:paraId="018640BE" w14:textId="77777777" w:rsidR="00460CF0" w:rsidRPr="00460CF0" w:rsidRDefault="00460CF0" w:rsidP="008E0CD7">
            <w:pPr>
              <w:keepLines/>
              <w:rPr>
                <w:rFonts w:ascii="Arial Narrow" w:hAnsi="Arial Narrow"/>
                <w:bCs/>
                <w:sz w:val="20"/>
                <w:szCs w:val="20"/>
              </w:rPr>
            </w:pPr>
            <w:r w:rsidRPr="00460CF0">
              <w:rPr>
                <w:rFonts w:ascii="Arial Narrow" w:hAnsi="Arial Narrow"/>
                <w:b/>
                <w:bCs/>
                <w:sz w:val="20"/>
                <w:szCs w:val="20"/>
              </w:rPr>
              <w:t xml:space="preserve">Condition: </w:t>
            </w:r>
            <w:r w:rsidRPr="00460CF0">
              <w:rPr>
                <w:rFonts w:ascii="Arial Narrow" w:hAnsi="Arial Narrow"/>
                <w:sz w:val="20"/>
                <w:szCs w:val="20"/>
              </w:rPr>
              <w:t>Symptomatic obstructive hypertrophic cardiomyopathy</w:t>
            </w:r>
          </w:p>
        </w:tc>
      </w:tr>
      <w:tr w:rsidR="00460CF0" w:rsidRPr="00460CF0" w14:paraId="5F4FDCB8" w14:textId="77777777" w:rsidTr="00303F4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BE2241" w14:textId="51EDDD83" w:rsidR="00460CF0" w:rsidRPr="00460CF0" w:rsidRDefault="00460CF0" w:rsidP="008E0CD7">
            <w:pPr>
              <w:keepLines/>
              <w:jc w:val="center"/>
              <w:rPr>
                <w:rFonts w:ascii="Arial Narrow" w:hAnsi="Arial Narrow"/>
                <w:sz w:val="20"/>
                <w:szCs w:val="20"/>
              </w:rPr>
            </w:pPr>
          </w:p>
        </w:tc>
        <w:tc>
          <w:tcPr>
            <w:tcW w:w="7796" w:type="dxa"/>
            <w:gridSpan w:val="6"/>
            <w:vAlign w:val="center"/>
            <w:hideMark/>
          </w:tcPr>
          <w:p w14:paraId="2D34D804" w14:textId="77777777" w:rsidR="00460CF0" w:rsidRPr="00460CF0" w:rsidRDefault="00460CF0" w:rsidP="008E0CD7">
            <w:pPr>
              <w:keepLines/>
              <w:rPr>
                <w:rFonts w:ascii="Arial Narrow" w:hAnsi="Arial Narrow"/>
                <w:sz w:val="20"/>
                <w:szCs w:val="20"/>
              </w:rPr>
            </w:pPr>
            <w:r w:rsidRPr="00460CF0">
              <w:rPr>
                <w:rFonts w:ascii="Arial Narrow" w:hAnsi="Arial Narrow"/>
                <w:b/>
                <w:bCs/>
                <w:sz w:val="20"/>
                <w:szCs w:val="20"/>
              </w:rPr>
              <w:t>Indication:</w:t>
            </w:r>
            <w:r w:rsidRPr="00460CF0">
              <w:rPr>
                <w:rFonts w:ascii="Arial Narrow" w:hAnsi="Arial Narrow"/>
                <w:sz w:val="20"/>
                <w:szCs w:val="20"/>
              </w:rPr>
              <w:t xml:space="preserve"> Symptomatic obstructive hypertrophic cardiomyopathy</w:t>
            </w:r>
          </w:p>
        </w:tc>
      </w:tr>
      <w:tr w:rsidR="00460CF0" w:rsidRPr="00460CF0" w14:paraId="53E40CB1" w14:textId="77777777" w:rsidTr="00303F4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5D35713" w14:textId="77777777" w:rsidR="00460CF0" w:rsidRPr="00460CF0" w:rsidRDefault="00460CF0" w:rsidP="008E0CD7">
            <w:pPr>
              <w:jc w:val="center"/>
              <w:rPr>
                <w:rFonts w:ascii="Arial Narrow" w:hAnsi="Arial Narrow"/>
                <w:sz w:val="20"/>
                <w:szCs w:val="20"/>
              </w:rPr>
            </w:pPr>
          </w:p>
        </w:tc>
        <w:tc>
          <w:tcPr>
            <w:tcW w:w="7796" w:type="dxa"/>
            <w:gridSpan w:val="6"/>
            <w:vAlign w:val="center"/>
            <w:hideMark/>
          </w:tcPr>
          <w:p w14:paraId="67C035FD"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Treatment Phase:</w:t>
            </w:r>
            <w:r w:rsidRPr="00460CF0">
              <w:rPr>
                <w:rFonts w:ascii="Arial Narrow" w:hAnsi="Arial Narrow"/>
                <w:sz w:val="20"/>
                <w:szCs w:val="20"/>
              </w:rPr>
              <w:t xml:space="preserve"> Initial treatment</w:t>
            </w:r>
          </w:p>
        </w:tc>
      </w:tr>
      <w:tr w:rsidR="00460CF0" w:rsidRPr="00460CF0" w14:paraId="653088EB"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C7BDB6"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7FC5E008" w14:textId="77777777" w:rsidR="00460CF0" w:rsidRPr="00460CF0" w:rsidRDefault="00460CF0" w:rsidP="008E0CD7">
            <w:pPr>
              <w:rPr>
                <w:rFonts w:ascii="Arial Narrow" w:hAnsi="Arial Narrow"/>
                <w:b/>
                <w:bCs/>
                <w:sz w:val="20"/>
                <w:szCs w:val="20"/>
              </w:rPr>
            </w:pPr>
          </w:p>
        </w:tc>
      </w:tr>
      <w:tr w:rsidR="00460CF0" w:rsidRPr="00460CF0" w14:paraId="00DDC977" w14:textId="77777777" w:rsidTr="00303F4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017C83" w14:textId="77777777" w:rsidR="00460CF0" w:rsidRPr="00460CF0" w:rsidRDefault="00460CF0" w:rsidP="008E0CD7">
            <w:pPr>
              <w:jc w:val="center"/>
              <w:rPr>
                <w:rFonts w:ascii="Arial Narrow" w:hAnsi="Arial Narrow"/>
                <w:sz w:val="20"/>
                <w:szCs w:val="20"/>
              </w:rPr>
            </w:pPr>
          </w:p>
        </w:tc>
        <w:tc>
          <w:tcPr>
            <w:tcW w:w="7796" w:type="dxa"/>
            <w:gridSpan w:val="6"/>
            <w:vAlign w:val="center"/>
            <w:hideMark/>
          </w:tcPr>
          <w:p w14:paraId="5E125899"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 xml:space="preserve">Clinical criteria: </w:t>
            </w:r>
          </w:p>
        </w:tc>
      </w:tr>
      <w:tr w:rsidR="00460CF0" w:rsidRPr="00460CF0" w14:paraId="28045F59"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869293" w14:textId="2D57DDE8" w:rsidR="00460CF0" w:rsidRPr="00460CF0" w:rsidRDefault="00460CF0" w:rsidP="008E0CD7">
            <w:pPr>
              <w:jc w:val="center"/>
              <w:rPr>
                <w:rFonts w:ascii="Arial Narrow" w:hAnsi="Arial Narrow"/>
                <w:strike/>
                <w:sz w:val="20"/>
                <w:szCs w:val="20"/>
              </w:rPr>
            </w:pPr>
          </w:p>
        </w:tc>
        <w:tc>
          <w:tcPr>
            <w:tcW w:w="7796" w:type="dxa"/>
            <w:gridSpan w:val="6"/>
            <w:vAlign w:val="center"/>
          </w:tcPr>
          <w:p w14:paraId="60B20205" w14:textId="77777777" w:rsidR="00460CF0" w:rsidRPr="00460CF0" w:rsidRDefault="00460CF0" w:rsidP="008E0CD7">
            <w:pPr>
              <w:rPr>
                <w:rFonts w:ascii="Arial Narrow" w:hAnsi="Arial Narrow"/>
                <w:strike/>
                <w:sz w:val="20"/>
                <w:szCs w:val="20"/>
              </w:rPr>
            </w:pPr>
            <w:r w:rsidRPr="00460CF0">
              <w:rPr>
                <w:rFonts w:ascii="Arial Narrow" w:hAnsi="Arial Narrow"/>
                <w:strike/>
                <w:sz w:val="20"/>
                <w:szCs w:val="20"/>
              </w:rPr>
              <w:t>Patient must have confirmed symptomatic obstructive hypertrophic cardiomyopathy defined as</w:t>
            </w:r>
            <w:r w:rsidRPr="00460CF0">
              <w:rPr>
                <w:rFonts w:ascii="Arial Narrow" w:hAnsi="Arial Narrow"/>
                <w:i/>
                <w:iCs/>
                <w:strike/>
                <w:sz w:val="20"/>
                <w:szCs w:val="20"/>
              </w:rPr>
              <w:t xml:space="preserve">: </w:t>
            </w:r>
            <w:r w:rsidRPr="00460CF0">
              <w:rPr>
                <w:rFonts w:ascii="Arial Narrow" w:hAnsi="Arial Narrow"/>
                <w:strike/>
                <w:sz w:val="20"/>
                <w:szCs w:val="20"/>
              </w:rPr>
              <w:t xml:space="preserve">unexplained left ventricular hypertrophy with maximal left ventricular wall thickness of ≥15 mm [or ≥13 mm if familial hypertrophic cardiomyopathy]; peak LVOT gradient at least </w:t>
            </w:r>
            <w:r w:rsidRPr="00460CF0">
              <w:rPr>
                <w:rFonts w:ascii="Arial Narrow" w:hAnsi="Arial Narrow"/>
                <w:i/>
                <w:iCs/>
                <w:strike/>
                <w:sz w:val="20"/>
                <w:szCs w:val="20"/>
              </w:rPr>
              <w:t>≥</w:t>
            </w:r>
            <w:r w:rsidRPr="00460CF0">
              <w:rPr>
                <w:rFonts w:ascii="Arial Narrow" w:hAnsi="Arial Narrow"/>
                <w:strike/>
                <w:sz w:val="20"/>
                <w:szCs w:val="20"/>
              </w:rPr>
              <w:t>30 mm Hg at rest, after Valsalva manoeuvre or exercise.</w:t>
            </w:r>
          </w:p>
        </w:tc>
      </w:tr>
      <w:tr w:rsidR="00460CF0" w:rsidRPr="00460CF0" w14:paraId="5596FD83"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CA9187" w14:textId="1EE8D5AA" w:rsidR="00460CF0" w:rsidRPr="00460CF0" w:rsidRDefault="00460CF0" w:rsidP="008E0CD7">
            <w:pPr>
              <w:jc w:val="center"/>
              <w:rPr>
                <w:rFonts w:ascii="Arial Narrow" w:hAnsi="Arial Narrow"/>
                <w:i/>
                <w:iCs/>
                <w:sz w:val="20"/>
                <w:szCs w:val="20"/>
              </w:rPr>
            </w:pPr>
          </w:p>
        </w:tc>
        <w:tc>
          <w:tcPr>
            <w:tcW w:w="7796" w:type="dxa"/>
            <w:gridSpan w:val="6"/>
            <w:vAlign w:val="center"/>
          </w:tcPr>
          <w:p w14:paraId="583DCAB9" w14:textId="112DADB3" w:rsidR="00460CF0" w:rsidRPr="00460CF0" w:rsidRDefault="00460CF0" w:rsidP="008E0CD7">
            <w:pPr>
              <w:rPr>
                <w:rFonts w:ascii="Arial Narrow" w:hAnsi="Arial Narrow"/>
                <w:i/>
                <w:iCs/>
                <w:sz w:val="20"/>
                <w:szCs w:val="20"/>
              </w:rPr>
            </w:pPr>
            <w:r w:rsidRPr="00460CF0">
              <w:rPr>
                <w:rFonts w:ascii="Arial Narrow" w:hAnsi="Arial Narrow"/>
                <w:i/>
                <w:iCs/>
                <w:sz w:val="20"/>
                <w:szCs w:val="20"/>
              </w:rPr>
              <w:t>Patient must have confirmed left ventricular hypertrophy due to hypertrophic cardiomyopathy with maximal left ventricular wall thickness which is either (i) greater than or equal to 15 mm, or (ii) greater than or equal to</w:t>
            </w:r>
            <w:r w:rsidR="00F4075B">
              <w:rPr>
                <w:rFonts w:ascii="Arial Narrow" w:hAnsi="Arial Narrow"/>
                <w:i/>
                <w:iCs/>
                <w:sz w:val="20"/>
                <w:szCs w:val="20"/>
              </w:rPr>
              <w:t xml:space="preserve"> </w:t>
            </w:r>
            <w:r w:rsidRPr="00460CF0">
              <w:rPr>
                <w:rFonts w:ascii="Arial Narrow" w:hAnsi="Arial Narrow"/>
                <w:i/>
                <w:iCs/>
                <w:sz w:val="20"/>
                <w:szCs w:val="20"/>
              </w:rPr>
              <w:t xml:space="preserve">13 mm if patient has familial hypertrophic cardiomyopathy  </w:t>
            </w:r>
          </w:p>
        </w:tc>
      </w:tr>
      <w:tr w:rsidR="00460CF0" w:rsidRPr="00460CF0" w14:paraId="6F24CBBF"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C88706B" w14:textId="77777777" w:rsidR="00460CF0" w:rsidRPr="00460CF0" w:rsidRDefault="00460CF0" w:rsidP="008E0CD7">
            <w:pPr>
              <w:jc w:val="center"/>
              <w:rPr>
                <w:rFonts w:ascii="Arial Narrow" w:hAnsi="Arial Narrow"/>
                <w:i/>
                <w:iCs/>
                <w:sz w:val="20"/>
                <w:szCs w:val="20"/>
              </w:rPr>
            </w:pPr>
          </w:p>
        </w:tc>
        <w:tc>
          <w:tcPr>
            <w:tcW w:w="7796" w:type="dxa"/>
            <w:gridSpan w:val="6"/>
            <w:vAlign w:val="center"/>
          </w:tcPr>
          <w:p w14:paraId="394D8CF1" w14:textId="77777777" w:rsidR="00460CF0" w:rsidRPr="00460CF0" w:rsidRDefault="00460CF0" w:rsidP="008E0CD7">
            <w:pPr>
              <w:rPr>
                <w:rFonts w:ascii="Arial Narrow" w:hAnsi="Arial Narrow"/>
                <w:b/>
                <w:bCs/>
                <w:i/>
                <w:iCs/>
                <w:sz w:val="20"/>
                <w:szCs w:val="20"/>
              </w:rPr>
            </w:pPr>
            <w:r w:rsidRPr="00460CF0">
              <w:rPr>
                <w:rFonts w:ascii="Arial Narrow" w:hAnsi="Arial Narrow"/>
                <w:b/>
                <w:bCs/>
                <w:i/>
                <w:iCs/>
                <w:sz w:val="20"/>
                <w:szCs w:val="20"/>
              </w:rPr>
              <w:t>AND</w:t>
            </w:r>
          </w:p>
        </w:tc>
      </w:tr>
      <w:tr w:rsidR="00460CF0" w:rsidRPr="00460CF0" w14:paraId="620F87F2"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A94230" w14:textId="77777777" w:rsidR="00460CF0" w:rsidRPr="00460CF0" w:rsidRDefault="00460CF0" w:rsidP="008E0CD7">
            <w:pPr>
              <w:jc w:val="center"/>
              <w:rPr>
                <w:rFonts w:ascii="Arial Narrow" w:hAnsi="Arial Narrow"/>
                <w:i/>
                <w:iCs/>
                <w:sz w:val="20"/>
                <w:szCs w:val="20"/>
              </w:rPr>
            </w:pPr>
          </w:p>
        </w:tc>
        <w:tc>
          <w:tcPr>
            <w:tcW w:w="7796" w:type="dxa"/>
            <w:gridSpan w:val="6"/>
            <w:vAlign w:val="center"/>
          </w:tcPr>
          <w:p w14:paraId="055D298C" w14:textId="77777777" w:rsidR="00460CF0" w:rsidRPr="00460CF0" w:rsidRDefault="00460CF0" w:rsidP="008E0CD7">
            <w:pPr>
              <w:rPr>
                <w:rFonts w:ascii="Arial Narrow" w:hAnsi="Arial Narrow"/>
                <w:i/>
                <w:iCs/>
                <w:sz w:val="20"/>
                <w:szCs w:val="20"/>
              </w:rPr>
            </w:pPr>
            <w:r w:rsidRPr="00460CF0">
              <w:rPr>
                <w:rFonts w:ascii="Arial Narrow" w:hAnsi="Arial Narrow"/>
                <w:b/>
                <w:bCs/>
                <w:i/>
                <w:iCs/>
                <w:sz w:val="20"/>
                <w:szCs w:val="20"/>
              </w:rPr>
              <w:t>Clinical criteria:</w:t>
            </w:r>
          </w:p>
        </w:tc>
      </w:tr>
      <w:tr w:rsidR="00460CF0" w:rsidRPr="00460CF0" w14:paraId="6E28AD75"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DF2F93" w14:textId="6559A011" w:rsidR="00460CF0" w:rsidRPr="00460CF0" w:rsidRDefault="00460CF0" w:rsidP="008E0CD7">
            <w:pPr>
              <w:jc w:val="center"/>
              <w:rPr>
                <w:rFonts w:ascii="Arial Narrow" w:hAnsi="Arial Narrow"/>
                <w:i/>
                <w:iCs/>
                <w:sz w:val="20"/>
                <w:szCs w:val="20"/>
              </w:rPr>
            </w:pPr>
          </w:p>
        </w:tc>
        <w:tc>
          <w:tcPr>
            <w:tcW w:w="7796" w:type="dxa"/>
            <w:gridSpan w:val="6"/>
            <w:vAlign w:val="center"/>
          </w:tcPr>
          <w:p w14:paraId="7530DA03" w14:textId="77777777" w:rsidR="00460CF0" w:rsidRPr="00460CF0" w:rsidRDefault="00460CF0" w:rsidP="008E0CD7">
            <w:pPr>
              <w:rPr>
                <w:rFonts w:ascii="Arial Narrow" w:hAnsi="Arial Narrow"/>
                <w:i/>
                <w:iCs/>
                <w:sz w:val="20"/>
                <w:szCs w:val="20"/>
              </w:rPr>
            </w:pPr>
            <w:r w:rsidRPr="00460CF0">
              <w:rPr>
                <w:rFonts w:ascii="Arial Narrow" w:hAnsi="Arial Narrow"/>
                <w:i/>
                <w:iCs/>
                <w:sz w:val="20"/>
                <w:szCs w:val="20"/>
              </w:rPr>
              <w:t>Patient must have confirmed peak left ventricular outflow tract (LVOT) gradient of greater than or equal to 50mm Hg at rest, or after provocation with either (i) Valsalva manoeuvre, or (ii) exercise.</w:t>
            </w:r>
          </w:p>
        </w:tc>
      </w:tr>
      <w:tr w:rsidR="00460CF0" w:rsidRPr="00460CF0" w14:paraId="666D1409"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99351D3" w14:textId="77777777" w:rsidR="00460CF0" w:rsidRPr="00460CF0" w:rsidRDefault="00460CF0" w:rsidP="008E0CD7">
            <w:pPr>
              <w:jc w:val="center"/>
              <w:rPr>
                <w:rFonts w:ascii="Arial Narrow" w:hAnsi="Arial Narrow"/>
                <w:sz w:val="20"/>
                <w:szCs w:val="20"/>
              </w:rPr>
            </w:pPr>
          </w:p>
        </w:tc>
        <w:tc>
          <w:tcPr>
            <w:tcW w:w="7796" w:type="dxa"/>
            <w:gridSpan w:val="6"/>
            <w:vAlign w:val="center"/>
            <w:hideMark/>
          </w:tcPr>
          <w:p w14:paraId="13B6C9EC"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AND</w:t>
            </w:r>
          </w:p>
        </w:tc>
      </w:tr>
      <w:tr w:rsidR="00460CF0" w:rsidRPr="00460CF0" w14:paraId="0685C4C8"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1A68B0B" w14:textId="77777777" w:rsidR="00460CF0" w:rsidRPr="00460CF0" w:rsidRDefault="00460CF0" w:rsidP="008E0CD7">
            <w:pPr>
              <w:jc w:val="center"/>
              <w:rPr>
                <w:rFonts w:ascii="Arial Narrow" w:hAnsi="Arial Narrow"/>
                <w:sz w:val="20"/>
                <w:szCs w:val="20"/>
              </w:rPr>
            </w:pPr>
          </w:p>
        </w:tc>
        <w:tc>
          <w:tcPr>
            <w:tcW w:w="7796" w:type="dxa"/>
            <w:gridSpan w:val="6"/>
            <w:vAlign w:val="center"/>
            <w:hideMark/>
          </w:tcPr>
          <w:p w14:paraId="6D30DC71"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Clinical criteria:</w:t>
            </w:r>
          </w:p>
        </w:tc>
      </w:tr>
      <w:tr w:rsidR="00460CF0" w:rsidRPr="00460CF0" w14:paraId="33DC6C18"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DAD0B2" w14:textId="5761F7F6" w:rsidR="00460CF0" w:rsidRPr="00460CF0" w:rsidRDefault="00460CF0" w:rsidP="008E0CD7">
            <w:pPr>
              <w:jc w:val="center"/>
              <w:rPr>
                <w:rFonts w:ascii="Arial Narrow" w:hAnsi="Arial Narrow"/>
                <w:sz w:val="20"/>
                <w:szCs w:val="20"/>
              </w:rPr>
            </w:pPr>
            <w:bookmarkStart w:id="10" w:name="_Hlk121469547"/>
          </w:p>
        </w:tc>
        <w:tc>
          <w:tcPr>
            <w:tcW w:w="7796" w:type="dxa"/>
            <w:gridSpan w:val="6"/>
            <w:vAlign w:val="center"/>
          </w:tcPr>
          <w:p w14:paraId="698524AA" w14:textId="77777777" w:rsidR="00460CF0" w:rsidRPr="00460CF0" w:rsidRDefault="00460CF0" w:rsidP="008E0CD7">
            <w:pPr>
              <w:rPr>
                <w:rFonts w:ascii="Arial Narrow" w:hAnsi="Arial Narrow"/>
                <w:sz w:val="20"/>
                <w:szCs w:val="20"/>
              </w:rPr>
            </w:pPr>
            <w:r w:rsidRPr="00460CF0">
              <w:rPr>
                <w:rFonts w:ascii="Arial Narrow" w:hAnsi="Arial Narrow"/>
                <w:sz w:val="20"/>
                <w:szCs w:val="20"/>
              </w:rPr>
              <w:t xml:space="preserve">Patient must have a documented left ventricular ejection fraction (LVEF) of greater than or equal to 55%. </w:t>
            </w:r>
          </w:p>
        </w:tc>
      </w:tr>
      <w:bookmarkEnd w:id="10"/>
      <w:tr w:rsidR="00460CF0" w:rsidRPr="00460CF0" w14:paraId="5F6895C1"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2BA27F"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6705AA71"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AND</w:t>
            </w:r>
          </w:p>
        </w:tc>
      </w:tr>
      <w:tr w:rsidR="00460CF0" w:rsidRPr="00460CF0" w14:paraId="67DF7F74"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45EBBF"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7771E808"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Clinical criteria:</w:t>
            </w:r>
          </w:p>
        </w:tc>
      </w:tr>
      <w:tr w:rsidR="00460CF0" w:rsidRPr="00460CF0" w14:paraId="39748C0D"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0ABF63"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6B5D18CC" w14:textId="55F4ECEE" w:rsidR="00460CF0" w:rsidRPr="00310F46" w:rsidRDefault="00460CF0" w:rsidP="008E0CD7">
            <w:pPr>
              <w:rPr>
                <w:rFonts w:ascii="Arial Narrow" w:hAnsi="Arial Narrow"/>
                <w:sz w:val="20"/>
                <w:szCs w:val="20"/>
              </w:rPr>
            </w:pPr>
            <w:r w:rsidRPr="00310F46">
              <w:rPr>
                <w:rFonts w:ascii="Arial Narrow" w:hAnsi="Arial Narrow"/>
                <w:sz w:val="20"/>
                <w:szCs w:val="20"/>
              </w:rPr>
              <w:t xml:space="preserve">Patient must have received prior treatment with either a beta-blocker or </w:t>
            </w:r>
            <w:r w:rsidRPr="00310F46">
              <w:rPr>
                <w:rFonts w:ascii="Arial Narrow" w:hAnsi="Arial Narrow"/>
                <w:i/>
                <w:iCs/>
                <w:sz w:val="20"/>
                <w:szCs w:val="20"/>
              </w:rPr>
              <w:t>non-dihydropyridine</w:t>
            </w:r>
            <w:r w:rsidRPr="00310F46">
              <w:rPr>
                <w:rFonts w:ascii="Arial Narrow" w:hAnsi="Arial Narrow"/>
                <w:sz w:val="20"/>
                <w:szCs w:val="20"/>
              </w:rPr>
              <w:t xml:space="preserve"> calcium channel blocker, unless at least one of the following is present </w:t>
            </w:r>
            <w:r w:rsidRPr="00310F46">
              <w:rPr>
                <w:rFonts w:ascii="Arial Narrow" w:hAnsi="Arial Narrow"/>
                <w:strike/>
                <w:sz w:val="20"/>
                <w:szCs w:val="20"/>
              </w:rPr>
              <w:t>in relation to the beta-blocker or calcium channel blocker</w:t>
            </w:r>
            <w:r w:rsidRPr="00310F46">
              <w:rPr>
                <w:rFonts w:ascii="Arial Narrow" w:hAnsi="Arial Narrow"/>
                <w:sz w:val="20"/>
                <w:szCs w:val="20"/>
              </w:rPr>
              <w:t xml:space="preserve">: </w:t>
            </w:r>
          </w:p>
          <w:p w14:paraId="6D8D3029" w14:textId="77777777" w:rsidR="00460CF0" w:rsidRPr="00310F46" w:rsidRDefault="00460CF0" w:rsidP="00D161E3">
            <w:pPr>
              <w:pStyle w:val="ListParagraph"/>
              <w:numPr>
                <w:ilvl w:val="0"/>
                <w:numId w:val="11"/>
              </w:numPr>
              <w:spacing w:after="0"/>
              <w:ind w:left="462" w:hanging="334"/>
              <w:contextualSpacing/>
              <w:jc w:val="left"/>
              <w:rPr>
                <w:rFonts w:ascii="Arial Narrow" w:hAnsi="Arial Narrow"/>
                <w:sz w:val="20"/>
                <w:szCs w:val="20"/>
              </w:rPr>
            </w:pPr>
            <w:r w:rsidRPr="00310F46">
              <w:rPr>
                <w:rFonts w:ascii="Arial Narrow" w:hAnsi="Arial Narrow"/>
                <w:sz w:val="20"/>
                <w:szCs w:val="20"/>
              </w:rPr>
              <w:t xml:space="preserve">a contraindication </w:t>
            </w:r>
            <w:r w:rsidRPr="00310F46">
              <w:rPr>
                <w:rFonts w:ascii="Arial Narrow" w:hAnsi="Arial Narrow"/>
                <w:strike/>
                <w:sz w:val="20"/>
                <w:szCs w:val="20"/>
              </w:rPr>
              <w:t>listed in the Product Information</w:t>
            </w:r>
            <w:r w:rsidRPr="00310F46">
              <w:rPr>
                <w:rFonts w:ascii="Arial Narrow" w:hAnsi="Arial Narrow"/>
                <w:i/>
                <w:iCs/>
                <w:sz w:val="20"/>
                <w:szCs w:val="20"/>
              </w:rPr>
              <w:t xml:space="preserve"> to beta-blocker / non-dihydropyridine</w:t>
            </w:r>
            <w:r w:rsidRPr="00310F46">
              <w:rPr>
                <w:rFonts w:ascii="Arial Narrow" w:hAnsi="Arial Narrow"/>
                <w:sz w:val="20"/>
                <w:szCs w:val="20"/>
              </w:rPr>
              <w:t xml:space="preserve"> </w:t>
            </w:r>
            <w:r w:rsidRPr="00310F46">
              <w:rPr>
                <w:rFonts w:ascii="Arial Narrow" w:hAnsi="Arial Narrow"/>
                <w:i/>
                <w:iCs/>
                <w:sz w:val="20"/>
                <w:szCs w:val="20"/>
              </w:rPr>
              <w:t>calcium channel blocker therapy</w:t>
            </w:r>
            <w:r w:rsidRPr="00310F46">
              <w:rPr>
                <w:rFonts w:ascii="Arial Narrow" w:hAnsi="Arial Narrow"/>
                <w:sz w:val="20"/>
                <w:szCs w:val="20"/>
              </w:rPr>
              <w:t xml:space="preserve"> </w:t>
            </w:r>
            <w:r w:rsidRPr="00310F46">
              <w:rPr>
                <w:rFonts w:ascii="Arial Narrow" w:hAnsi="Arial Narrow"/>
                <w:i/>
                <w:iCs/>
                <w:sz w:val="20"/>
                <w:szCs w:val="20"/>
              </w:rPr>
              <w:t xml:space="preserve">as listed in the Product Information, </w:t>
            </w:r>
          </w:p>
          <w:p w14:paraId="5C7D7E04" w14:textId="77777777" w:rsidR="00460CF0" w:rsidRPr="00310F46" w:rsidRDefault="00460CF0" w:rsidP="00D161E3">
            <w:pPr>
              <w:pStyle w:val="ListParagraph"/>
              <w:numPr>
                <w:ilvl w:val="0"/>
                <w:numId w:val="11"/>
              </w:numPr>
              <w:spacing w:after="0"/>
              <w:ind w:left="462" w:hanging="334"/>
              <w:contextualSpacing/>
              <w:jc w:val="left"/>
              <w:rPr>
                <w:rFonts w:ascii="Arial Narrow" w:hAnsi="Arial Narrow"/>
                <w:sz w:val="20"/>
                <w:szCs w:val="20"/>
              </w:rPr>
            </w:pPr>
            <w:r w:rsidRPr="00310F46">
              <w:rPr>
                <w:rFonts w:ascii="Arial Narrow" w:hAnsi="Arial Narrow"/>
                <w:sz w:val="20"/>
                <w:szCs w:val="20"/>
              </w:rPr>
              <w:t xml:space="preserve">an existing </w:t>
            </w:r>
            <w:r w:rsidRPr="00310F46">
              <w:rPr>
                <w:rFonts w:ascii="Arial Narrow" w:hAnsi="Arial Narrow"/>
                <w:i/>
                <w:iCs/>
                <w:sz w:val="20"/>
                <w:szCs w:val="20"/>
              </w:rPr>
              <w:t>/</w:t>
            </w:r>
            <w:r w:rsidRPr="00310F46">
              <w:rPr>
                <w:rFonts w:ascii="Arial Narrow" w:hAnsi="Arial Narrow"/>
                <w:sz w:val="20"/>
                <w:szCs w:val="20"/>
              </w:rPr>
              <w:t xml:space="preserve"> expected intolerance</w:t>
            </w:r>
            <w:r w:rsidRPr="00310F46">
              <w:rPr>
                <w:rFonts w:ascii="Arial Narrow" w:hAnsi="Arial Narrow"/>
                <w:i/>
                <w:iCs/>
                <w:sz w:val="20"/>
                <w:szCs w:val="20"/>
              </w:rPr>
              <w:t xml:space="preserve"> to beta-blocker / non-dihydropyridine</w:t>
            </w:r>
            <w:r w:rsidRPr="00310F46">
              <w:rPr>
                <w:rFonts w:ascii="Arial Narrow" w:hAnsi="Arial Narrow"/>
                <w:sz w:val="20"/>
                <w:szCs w:val="20"/>
              </w:rPr>
              <w:t xml:space="preserve"> </w:t>
            </w:r>
            <w:r w:rsidRPr="00310F46">
              <w:rPr>
                <w:rFonts w:ascii="Arial Narrow" w:hAnsi="Arial Narrow"/>
                <w:i/>
                <w:iCs/>
                <w:sz w:val="20"/>
                <w:szCs w:val="20"/>
              </w:rPr>
              <w:t>calcium channel blocker therapy</w:t>
            </w:r>
            <w:r w:rsidRPr="00310F46">
              <w:rPr>
                <w:rFonts w:ascii="Arial Narrow" w:hAnsi="Arial Narrow"/>
                <w:sz w:val="20"/>
                <w:szCs w:val="20"/>
              </w:rPr>
              <w:t xml:space="preserve">. </w:t>
            </w:r>
          </w:p>
          <w:p w14:paraId="555859A9" w14:textId="77777777" w:rsidR="00460CF0" w:rsidRPr="00310F46" w:rsidRDefault="00460CF0" w:rsidP="00D161E3">
            <w:pPr>
              <w:pStyle w:val="ListParagraph"/>
              <w:numPr>
                <w:ilvl w:val="0"/>
                <w:numId w:val="11"/>
              </w:numPr>
              <w:spacing w:after="0"/>
              <w:ind w:left="462" w:hanging="334"/>
              <w:contextualSpacing/>
              <w:jc w:val="left"/>
              <w:rPr>
                <w:rFonts w:ascii="Arial Narrow" w:hAnsi="Arial Narrow"/>
                <w:strike/>
                <w:sz w:val="20"/>
                <w:szCs w:val="20"/>
              </w:rPr>
            </w:pPr>
            <w:r w:rsidRPr="00310F46">
              <w:rPr>
                <w:rFonts w:ascii="Arial Narrow" w:hAnsi="Arial Narrow"/>
                <w:strike/>
                <w:sz w:val="20"/>
                <w:szCs w:val="20"/>
              </w:rPr>
              <w:t xml:space="preserve">local treatment guidelines recommend initiation of this drug  product prior to a beta-blocker </w:t>
            </w:r>
            <w:r w:rsidRPr="00310F46">
              <w:rPr>
                <w:rFonts w:ascii="Arial Narrow" w:hAnsi="Arial Narrow"/>
                <w:i/>
                <w:iCs/>
                <w:strike/>
                <w:sz w:val="20"/>
                <w:szCs w:val="20"/>
              </w:rPr>
              <w:t>therapy</w:t>
            </w:r>
            <w:r w:rsidRPr="00310F46">
              <w:rPr>
                <w:rFonts w:ascii="Arial Narrow" w:hAnsi="Arial Narrow"/>
                <w:strike/>
                <w:sz w:val="20"/>
                <w:szCs w:val="20"/>
              </w:rPr>
              <w:t>.</w:t>
            </w:r>
          </w:p>
        </w:tc>
      </w:tr>
      <w:tr w:rsidR="00460CF0" w:rsidRPr="00460CF0" w14:paraId="52B3B155"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2D9887"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3B4149A9" w14:textId="77777777" w:rsidR="00460CF0" w:rsidRPr="00310F46" w:rsidRDefault="00460CF0" w:rsidP="008E0CD7">
            <w:pPr>
              <w:rPr>
                <w:rFonts w:ascii="Arial Narrow" w:hAnsi="Arial Narrow"/>
                <w:sz w:val="20"/>
                <w:szCs w:val="20"/>
              </w:rPr>
            </w:pPr>
            <w:r w:rsidRPr="00310F46">
              <w:rPr>
                <w:rFonts w:ascii="Arial Narrow" w:hAnsi="Arial Narrow"/>
                <w:b/>
                <w:bCs/>
                <w:sz w:val="20"/>
                <w:szCs w:val="20"/>
              </w:rPr>
              <w:t>AND</w:t>
            </w:r>
          </w:p>
        </w:tc>
      </w:tr>
      <w:tr w:rsidR="00460CF0" w:rsidRPr="00460CF0" w14:paraId="66CED456"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A6FB05" w14:textId="64727307" w:rsidR="00460CF0" w:rsidRPr="00460CF0" w:rsidRDefault="00460CF0" w:rsidP="008E0CD7">
            <w:pPr>
              <w:jc w:val="center"/>
              <w:rPr>
                <w:rFonts w:ascii="Arial Narrow" w:hAnsi="Arial Narrow"/>
                <w:sz w:val="20"/>
                <w:szCs w:val="20"/>
              </w:rPr>
            </w:pPr>
          </w:p>
        </w:tc>
        <w:tc>
          <w:tcPr>
            <w:tcW w:w="7796" w:type="dxa"/>
            <w:gridSpan w:val="6"/>
            <w:vAlign w:val="center"/>
          </w:tcPr>
          <w:p w14:paraId="6AF8D34B" w14:textId="77777777" w:rsidR="00460CF0" w:rsidRPr="00310F46" w:rsidRDefault="00460CF0" w:rsidP="008E0CD7">
            <w:pPr>
              <w:rPr>
                <w:rFonts w:ascii="Arial Narrow" w:hAnsi="Arial Narrow"/>
                <w:sz w:val="20"/>
                <w:szCs w:val="20"/>
              </w:rPr>
            </w:pPr>
            <w:r w:rsidRPr="00310F46">
              <w:rPr>
                <w:rFonts w:ascii="Arial Narrow" w:hAnsi="Arial Narrow"/>
                <w:b/>
                <w:bCs/>
                <w:sz w:val="20"/>
                <w:szCs w:val="20"/>
              </w:rPr>
              <w:t>Clinical criteria:</w:t>
            </w:r>
          </w:p>
        </w:tc>
      </w:tr>
      <w:tr w:rsidR="00460CF0" w:rsidRPr="00460CF0" w14:paraId="64632E40"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B4DD42" w14:textId="15B3CB82" w:rsidR="00460CF0" w:rsidRPr="00460CF0" w:rsidRDefault="00460CF0" w:rsidP="008E0CD7">
            <w:pPr>
              <w:jc w:val="center"/>
              <w:rPr>
                <w:rFonts w:ascii="Arial Narrow" w:hAnsi="Arial Narrow"/>
                <w:sz w:val="20"/>
                <w:szCs w:val="20"/>
              </w:rPr>
            </w:pPr>
          </w:p>
        </w:tc>
        <w:tc>
          <w:tcPr>
            <w:tcW w:w="7796" w:type="dxa"/>
            <w:gridSpan w:val="6"/>
            <w:vAlign w:val="center"/>
          </w:tcPr>
          <w:p w14:paraId="6098E3AC" w14:textId="77777777" w:rsidR="00460CF0" w:rsidRPr="00310F46" w:rsidRDefault="00460CF0" w:rsidP="008E0CD7">
            <w:pPr>
              <w:rPr>
                <w:rFonts w:ascii="Arial Narrow" w:hAnsi="Arial Narrow"/>
                <w:sz w:val="20"/>
                <w:szCs w:val="20"/>
              </w:rPr>
            </w:pPr>
            <w:r w:rsidRPr="00310F46">
              <w:rPr>
                <w:rFonts w:ascii="Arial Narrow" w:hAnsi="Arial Narrow"/>
                <w:sz w:val="20"/>
                <w:szCs w:val="20"/>
              </w:rPr>
              <w:t>Patient must be symptomatic with NYHA classes II or III.</w:t>
            </w:r>
          </w:p>
        </w:tc>
      </w:tr>
      <w:tr w:rsidR="00460CF0" w:rsidRPr="00460CF0" w14:paraId="44F66645"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F23540"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25F1B696" w14:textId="77777777" w:rsidR="00460CF0" w:rsidRPr="00310F46" w:rsidRDefault="00460CF0" w:rsidP="008E0CD7">
            <w:pPr>
              <w:rPr>
                <w:rFonts w:ascii="Arial Narrow" w:hAnsi="Arial Narrow"/>
                <w:sz w:val="20"/>
                <w:szCs w:val="20"/>
              </w:rPr>
            </w:pPr>
            <w:r w:rsidRPr="00310F46">
              <w:rPr>
                <w:rFonts w:ascii="Arial Narrow" w:hAnsi="Arial Narrow"/>
                <w:b/>
                <w:bCs/>
                <w:sz w:val="20"/>
                <w:szCs w:val="20"/>
              </w:rPr>
              <w:t>AND</w:t>
            </w:r>
          </w:p>
        </w:tc>
      </w:tr>
      <w:tr w:rsidR="00460CF0" w:rsidRPr="00460CF0" w14:paraId="5D606E9D"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BE2D5F"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09DF7A38" w14:textId="77777777" w:rsidR="00460CF0" w:rsidRPr="00310F46" w:rsidRDefault="00460CF0" w:rsidP="008E0CD7">
            <w:pPr>
              <w:rPr>
                <w:rFonts w:ascii="Arial Narrow" w:hAnsi="Arial Narrow"/>
                <w:sz w:val="20"/>
                <w:szCs w:val="20"/>
              </w:rPr>
            </w:pPr>
            <w:r w:rsidRPr="00310F46">
              <w:rPr>
                <w:rFonts w:ascii="Arial Narrow" w:hAnsi="Arial Narrow"/>
                <w:b/>
                <w:bCs/>
                <w:sz w:val="20"/>
                <w:szCs w:val="20"/>
              </w:rPr>
              <w:t>Clinical criteria:</w:t>
            </w:r>
          </w:p>
        </w:tc>
      </w:tr>
      <w:tr w:rsidR="00460CF0" w:rsidRPr="00460CF0" w14:paraId="5EE569AD"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8066AF" w14:textId="2D92E649" w:rsidR="00460CF0" w:rsidRPr="00460CF0" w:rsidRDefault="00460CF0" w:rsidP="008E0CD7">
            <w:pPr>
              <w:jc w:val="center"/>
              <w:rPr>
                <w:rFonts w:ascii="Arial Narrow" w:hAnsi="Arial Narrow"/>
                <w:sz w:val="20"/>
                <w:szCs w:val="20"/>
              </w:rPr>
            </w:pPr>
          </w:p>
        </w:tc>
        <w:tc>
          <w:tcPr>
            <w:tcW w:w="7796" w:type="dxa"/>
            <w:gridSpan w:val="6"/>
            <w:vAlign w:val="center"/>
          </w:tcPr>
          <w:p w14:paraId="73F025C2" w14:textId="77777777" w:rsidR="00460CF0" w:rsidRPr="00310F46" w:rsidRDefault="00460CF0" w:rsidP="008E0CD7">
            <w:pPr>
              <w:rPr>
                <w:rFonts w:ascii="Arial Narrow" w:hAnsi="Arial Narrow"/>
                <w:sz w:val="20"/>
                <w:szCs w:val="20"/>
              </w:rPr>
            </w:pPr>
            <w:r w:rsidRPr="00310F46">
              <w:rPr>
                <w:rFonts w:ascii="Arial Narrow" w:hAnsi="Arial Narrow"/>
                <w:sz w:val="20"/>
                <w:szCs w:val="20"/>
              </w:rPr>
              <w:t xml:space="preserve">The treatment must not be </w:t>
            </w:r>
            <w:r w:rsidRPr="00310F46">
              <w:rPr>
                <w:rFonts w:ascii="Arial Narrow" w:hAnsi="Arial Narrow"/>
                <w:i/>
                <w:iCs/>
                <w:sz w:val="20"/>
                <w:szCs w:val="20"/>
              </w:rPr>
              <w:t>in combination</w:t>
            </w:r>
            <w:r w:rsidRPr="00310F46">
              <w:rPr>
                <w:rFonts w:ascii="Arial Narrow" w:hAnsi="Arial Narrow"/>
                <w:sz w:val="20"/>
                <w:szCs w:val="20"/>
              </w:rPr>
              <w:t xml:space="preserve"> </w:t>
            </w:r>
            <w:r w:rsidRPr="00310F46">
              <w:rPr>
                <w:rFonts w:ascii="Arial Narrow" w:hAnsi="Arial Narrow"/>
                <w:strike/>
                <w:sz w:val="20"/>
                <w:szCs w:val="20"/>
              </w:rPr>
              <w:t>co-administered</w:t>
            </w:r>
            <w:r w:rsidRPr="00310F46">
              <w:rPr>
                <w:rFonts w:ascii="Arial Narrow" w:hAnsi="Arial Narrow"/>
                <w:sz w:val="20"/>
                <w:szCs w:val="20"/>
              </w:rPr>
              <w:t xml:space="preserve"> with disopyramide.</w:t>
            </w:r>
          </w:p>
        </w:tc>
      </w:tr>
      <w:tr w:rsidR="00DD0B48" w:rsidRPr="00460CF0" w14:paraId="0B38968D"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1C03C7" w14:textId="77777777" w:rsidR="00DD0B48" w:rsidRPr="00460CF0" w:rsidRDefault="00DD0B48" w:rsidP="0072461A">
            <w:pPr>
              <w:jc w:val="center"/>
              <w:rPr>
                <w:rFonts w:ascii="Arial Narrow" w:hAnsi="Arial Narrow"/>
                <w:sz w:val="20"/>
                <w:szCs w:val="20"/>
              </w:rPr>
            </w:pPr>
          </w:p>
        </w:tc>
        <w:tc>
          <w:tcPr>
            <w:tcW w:w="7796" w:type="dxa"/>
            <w:gridSpan w:val="6"/>
            <w:vAlign w:val="center"/>
          </w:tcPr>
          <w:p w14:paraId="4FC9C933" w14:textId="77777777" w:rsidR="00DD0B48" w:rsidRPr="00310F46" w:rsidRDefault="00DD0B48" w:rsidP="0072461A">
            <w:pPr>
              <w:rPr>
                <w:rFonts w:ascii="Arial Narrow" w:hAnsi="Arial Narrow"/>
                <w:i/>
                <w:iCs/>
                <w:sz w:val="20"/>
                <w:szCs w:val="20"/>
              </w:rPr>
            </w:pPr>
            <w:r w:rsidRPr="00310F46">
              <w:rPr>
                <w:rFonts w:ascii="Arial Narrow" w:hAnsi="Arial Narrow"/>
                <w:i/>
                <w:iCs/>
                <w:sz w:val="20"/>
                <w:szCs w:val="20"/>
              </w:rPr>
              <w:t>AND</w:t>
            </w:r>
          </w:p>
        </w:tc>
      </w:tr>
      <w:tr w:rsidR="00DD0B48" w:rsidRPr="00460CF0" w14:paraId="2FB37058"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F45DB7" w14:textId="77777777" w:rsidR="00DD0B48" w:rsidRPr="00460CF0" w:rsidRDefault="00DD0B48" w:rsidP="0072461A">
            <w:pPr>
              <w:jc w:val="center"/>
              <w:rPr>
                <w:rFonts w:ascii="Arial Narrow" w:hAnsi="Arial Narrow"/>
                <w:sz w:val="20"/>
                <w:szCs w:val="20"/>
              </w:rPr>
            </w:pPr>
          </w:p>
        </w:tc>
        <w:tc>
          <w:tcPr>
            <w:tcW w:w="7796" w:type="dxa"/>
            <w:gridSpan w:val="6"/>
            <w:vAlign w:val="center"/>
          </w:tcPr>
          <w:p w14:paraId="7DBBFBAF" w14:textId="77777777" w:rsidR="00DD0B48" w:rsidRPr="00310F46" w:rsidRDefault="00DD0B48" w:rsidP="0072461A">
            <w:pPr>
              <w:rPr>
                <w:rFonts w:ascii="Arial Narrow" w:hAnsi="Arial Narrow"/>
                <w:i/>
                <w:iCs/>
                <w:sz w:val="20"/>
                <w:szCs w:val="20"/>
              </w:rPr>
            </w:pPr>
            <w:r w:rsidRPr="00310F46">
              <w:rPr>
                <w:rFonts w:ascii="Arial Narrow" w:hAnsi="Arial Narrow"/>
                <w:i/>
                <w:iCs/>
                <w:sz w:val="20"/>
                <w:szCs w:val="20"/>
              </w:rPr>
              <w:t>The treatment must be administered in combination with either a beta blocker or a non-dihydropyridine CCB unless intolerant or contra-indicated.</w:t>
            </w:r>
          </w:p>
        </w:tc>
      </w:tr>
      <w:tr w:rsidR="00460CF0" w:rsidRPr="00460CF0" w14:paraId="378207A4"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1408C3"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75A0DE6E" w14:textId="77777777" w:rsidR="00460CF0" w:rsidRPr="00460CF0" w:rsidRDefault="00460CF0" w:rsidP="008E0CD7">
            <w:pPr>
              <w:rPr>
                <w:rFonts w:ascii="Arial Narrow" w:hAnsi="Arial Narrow"/>
                <w:sz w:val="20"/>
                <w:szCs w:val="20"/>
              </w:rPr>
            </w:pPr>
          </w:p>
        </w:tc>
      </w:tr>
      <w:tr w:rsidR="00460CF0" w:rsidRPr="00460CF0" w14:paraId="15C63889"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6BE4CA" w14:textId="77777777" w:rsidR="00460CF0" w:rsidRPr="00460CF0" w:rsidRDefault="00460CF0" w:rsidP="008E0CD7">
            <w:pPr>
              <w:keepNext/>
              <w:jc w:val="center"/>
              <w:rPr>
                <w:rFonts w:ascii="Arial Narrow" w:hAnsi="Arial Narrow"/>
                <w:sz w:val="20"/>
                <w:szCs w:val="20"/>
              </w:rPr>
            </w:pPr>
          </w:p>
        </w:tc>
        <w:tc>
          <w:tcPr>
            <w:tcW w:w="7796" w:type="dxa"/>
            <w:gridSpan w:val="6"/>
            <w:vAlign w:val="center"/>
            <w:hideMark/>
          </w:tcPr>
          <w:p w14:paraId="5034D46D" w14:textId="77777777" w:rsidR="00460CF0" w:rsidRPr="00460CF0" w:rsidRDefault="00460CF0" w:rsidP="008E0CD7">
            <w:pPr>
              <w:keepNext/>
              <w:rPr>
                <w:rFonts w:ascii="Arial Narrow" w:hAnsi="Arial Narrow"/>
                <w:sz w:val="20"/>
                <w:szCs w:val="20"/>
              </w:rPr>
            </w:pPr>
            <w:r w:rsidRPr="00460CF0">
              <w:rPr>
                <w:rFonts w:ascii="Arial Narrow" w:hAnsi="Arial Narrow"/>
                <w:b/>
                <w:bCs/>
                <w:sz w:val="20"/>
                <w:szCs w:val="20"/>
              </w:rPr>
              <w:t>Treatment criteria:</w:t>
            </w:r>
          </w:p>
        </w:tc>
      </w:tr>
      <w:tr w:rsidR="00460CF0" w:rsidRPr="00460CF0" w14:paraId="20D10AA7"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739890" w14:textId="779950DD" w:rsidR="00460CF0" w:rsidRPr="00460CF0" w:rsidRDefault="00460CF0" w:rsidP="008E0CD7">
            <w:pPr>
              <w:jc w:val="center"/>
              <w:rPr>
                <w:rFonts w:ascii="Arial Narrow" w:hAnsi="Arial Narrow"/>
                <w:sz w:val="20"/>
                <w:szCs w:val="20"/>
              </w:rPr>
            </w:pPr>
          </w:p>
        </w:tc>
        <w:tc>
          <w:tcPr>
            <w:tcW w:w="7796" w:type="dxa"/>
            <w:gridSpan w:val="6"/>
            <w:vAlign w:val="center"/>
            <w:hideMark/>
          </w:tcPr>
          <w:p w14:paraId="1DB0C061" w14:textId="77777777" w:rsidR="00460CF0" w:rsidRPr="00460CF0" w:rsidRDefault="00460CF0" w:rsidP="008E0CD7">
            <w:pPr>
              <w:rPr>
                <w:rFonts w:ascii="Arial Narrow" w:hAnsi="Arial Narrow"/>
                <w:sz w:val="20"/>
                <w:szCs w:val="20"/>
              </w:rPr>
            </w:pPr>
            <w:r w:rsidRPr="00460CF0">
              <w:rPr>
                <w:rFonts w:ascii="Arial Narrow" w:hAnsi="Arial Narrow"/>
                <w:sz w:val="20"/>
                <w:szCs w:val="20"/>
              </w:rPr>
              <w:t>Must be treated by a cardiologist</w:t>
            </w:r>
            <w:r w:rsidRPr="00460CF0">
              <w:rPr>
                <w:rFonts w:ascii="Arial Narrow" w:hAnsi="Arial Narrow"/>
                <w:strike/>
                <w:sz w:val="20"/>
                <w:szCs w:val="20"/>
              </w:rPr>
              <w:t xml:space="preserve">; </w:t>
            </w:r>
          </w:p>
        </w:tc>
      </w:tr>
      <w:tr w:rsidR="00460CF0" w:rsidRPr="00460CF0" w14:paraId="03F868E5"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92721A"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23300339" w14:textId="77777777" w:rsidR="00460CF0" w:rsidRPr="00460CF0" w:rsidRDefault="00460CF0" w:rsidP="008E0CD7">
            <w:pPr>
              <w:rPr>
                <w:rFonts w:ascii="Arial Narrow" w:hAnsi="Arial Narrow" w:cs="Arial Narrow"/>
                <w:i/>
                <w:iCs/>
                <w:sz w:val="20"/>
                <w:szCs w:val="20"/>
              </w:rPr>
            </w:pPr>
            <w:r w:rsidRPr="00460CF0">
              <w:rPr>
                <w:rFonts w:ascii="Arial Narrow" w:hAnsi="Arial Narrow"/>
                <w:b/>
                <w:bCs/>
                <w:sz w:val="20"/>
                <w:szCs w:val="20"/>
              </w:rPr>
              <w:t>OR</w:t>
            </w:r>
          </w:p>
        </w:tc>
      </w:tr>
      <w:tr w:rsidR="00460CF0" w:rsidRPr="00460CF0" w14:paraId="39B702D9"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BDCBBBB" w14:textId="4FC02007" w:rsidR="00460CF0" w:rsidRPr="00460CF0" w:rsidRDefault="00460CF0" w:rsidP="008E0CD7">
            <w:pPr>
              <w:jc w:val="center"/>
              <w:rPr>
                <w:rFonts w:ascii="Arial Narrow" w:hAnsi="Arial Narrow"/>
                <w:sz w:val="20"/>
                <w:szCs w:val="20"/>
              </w:rPr>
            </w:pPr>
          </w:p>
        </w:tc>
        <w:tc>
          <w:tcPr>
            <w:tcW w:w="7796" w:type="dxa"/>
            <w:gridSpan w:val="6"/>
            <w:vAlign w:val="center"/>
          </w:tcPr>
          <w:p w14:paraId="0E1AEB06" w14:textId="77777777" w:rsidR="00460CF0" w:rsidRPr="00460CF0" w:rsidRDefault="00460CF0" w:rsidP="008E0CD7">
            <w:pPr>
              <w:rPr>
                <w:rFonts w:ascii="Arial Narrow" w:hAnsi="Arial Narrow"/>
                <w:b/>
                <w:bCs/>
                <w:sz w:val="20"/>
                <w:szCs w:val="20"/>
              </w:rPr>
            </w:pPr>
            <w:r w:rsidRPr="00460CF0">
              <w:rPr>
                <w:rFonts w:ascii="Arial Narrow" w:hAnsi="Arial Narrow"/>
                <w:sz w:val="20"/>
                <w:szCs w:val="20"/>
              </w:rPr>
              <w:t>Must be treated by a consultant physician with experience in the management of</w:t>
            </w:r>
            <w:r w:rsidRPr="00460CF0">
              <w:rPr>
                <w:rFonts w:ascii="Arial Narrow" w:hAnsi="Arial Narrow"/>
                <w:i/>
                <w:iCs/>
                <w:sz w:val="20"/>
                <w:szCs w:val="20"/>
              </w:rPr>
              <w:t xml:space="preserve"> hypertrophic</w:t>
            </w:r>
            <w:r w:rsidRPr="00460CF0">
              <w:rPr>
                <w:rFonts w:ascii="Arial Narrow" w:hAnsi="Arial Narrow"/>
                <w:sz w:val="20"/>
                <w:szCs w:val="20"/>
              </w:rPr>
              <w:t xml:space="preserve"> cardiomyopathy.</w:t>
            </w:r>
          </w:p>
        </w:tc>
      </w:tr>
      <w:tr w:rsidR="00460CF0" w:rsidRPr="00460CF0" w14:paraId="7C05F274"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F5051E"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1ED211EA" w14:textId="77777777" w:rsidR="00460CF0" w:rsidRPr="00460CF0" w:rsidRDefault="00460CF0" w:rsidP="008E0CD7">
            <w:pPr>
              <w:rPr>
                <w:rFonts w:ascii="Arial Narrow" w:hAnsi="Arial Narrow"/>
                <w:sz w:val="20"/>
                <w:szCs w:val="20"/>
              </w:rPr>
            </w:pPr>
          </w:p>
        </w:tc>
      </w:tr>
      <w:tr w:rsidR="00460CF0" w:rsidRPr="00460CF0" w14:paraId="6B0AC587"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33520B" w14:textId="77777777" w:rsidR="00460CF0" w:rsidRPr="00460CF0" w:rsidRDefault="00460CF0" w:rsidP="008E0CD7">
            <w:pPr>
              <w:jc w:val="center"/>
              <w:rPr>
                <w:rFonts w:ascii="Arial Narrow" w:hAnsi="Arial Narrow"/>
                <w:sz w:val="20"/>
                <w:szCs w:val="20"/>
              </w:rPr>
            </w:pPr>
          </w:p>
        </w:tc>
        <w:tc>
          <w:tcPr>
            <w:tcW w:w="7796" w:type="dxa"/>
            <w:gridSpan w:val="6"/>
            <w:vAlign w:val="center"/>
            <w:hideMark/>
          </w:tcPr>
          <w:p w14:paraId="4ADF13E3"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Population criteria:</w:t>
            </w:r>
          </w:p>
        </w:tc>
      </w:tr>
      <w:tr w:rsidR="00460CF0" w:rsidRPr="00460CF0" w14:paraId="28B9D69B" w14:textId="77777777" w:rsidTr="00303F4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48B29F" w14:textId="18997C32" w:rsidR="00460CF0" w:rsidRPr="00460CF0" w:rsidRDefault="00460CF0" w:rsidP="008E0CD7">
            <w:pPr>
              <w:jc w:val="center"/>
              <w:rPr>
                <w:rFonts w:ascii="Arial Narrow" w:hAnsi="Arial Narrow"/>
                <w:sz w:val="20"/>
                <w:szCs w:val="20"/>
              </w:rPr>
            </w:pPr>
          </w:p>
        </w:tc>
        <w:tc>
          <w:tcPr>
            <w:tcW w:w="7796" w:type="dxa"/>
            <w:gridSpan w:val="6"/>
            <w:vAlign w:val="center"/>
            <w:hideMark/>
          </w:tcPr>
          <w:p w14:paraId="5AF94ADD" w14:textId="77777777" w:rsidR="00460CF0" w:rsidRPr="00460CF0" w:rsidRDefault="00460CF0" w:rsidP="008E0CD7">
            <w:pPr>
              <w:rPr>
                <w:rFonts w:ascii="Arial Narrow" w:hAnsi="Arial Narrow"/>
                <w:sz w:val="20"/>
                <w:szCs w:val="20"/>
              </w:rPr>
            </w:pPr>
            <w:r w:rsidRPr="00460CF0">
              <w:rPr>
                <w:rFonts w:ascii="Arial Narrow" w:hAnsi="Arial Narrow"/>
                <w:sz w:val="20"/>
                <w:szCs w:val="20"/>
              </w:rPr>
              <w:t xml:space="preserve">Patient must be </w:t>
            </w:r>
            <w:r w:rsidRPr="00460CF0">
              <w:rPr>
                <w:rFonts w:ascii="Arial Narrow" w:hAnsi="Arial Narrow"/>
                <w:i/>
                <w:iCs/>
                <w:sz w:val="20"/>
                <w:szCs w:val="20"/>
              </w:rPr>
              <w:t xml:space="preserve">at least </w:t>
            </w:r>
            <w:r w:rsidRPr="00460CF0">
              <w:rPr>
                <w:rFonts w:ascii="Arial Narrow" w:hAnsi="Arial Narrow"/>
                <w:strike/>
                <w:sz w:val="20"/>
                <w:szCs w:val="20"/>
              </w:rPr>
              <w:t>aged</w:t>
            </w:r>
            <w:r w:rsidRPr="00460CF0">
              <w:rPr>
                <w:rFonts w:ascii="Arial Narrow" w:hAnsi="Arial Narrow"/>
                <w:sz w:val="20"/>
                <w:szCs w:val="20"/>
              </w:rPr>
              <w:t xml:space="preserve"> 18 years </w:t>
            </w:r>
            <w:r w:rsidRPr="00460CF0">
              <w:rPr>
                <w:rFonts w:ascii="Arial Narrow" w:hAnsi="Arial Narrow"/>
                <w:i/>
                <w:iCs/>
                <w:sz w:val="20"/>
                <w:szCs w:val="20"/>
              </w:rPr>
              <w:t xml:space="preserve">of age </w:t>
            </w:r>
            <w:r w:rsidRPr="00460CF0">
              <w:rPr>
                <w:rFonts w:ascii="Arial Narrow" w:hAnsi="Arial Narrow"/>
                <w:strike/>
                <w:sz w:val="20"/>
                <w:szCs w:val="20"/>
              </w:rPr>
              <w:t>or older</w:t>
            </w:r>
            <w:r w:rsidRPr="00460CF0">
              <w:rPr>
                <w:rFonts w:ascii="Arial Narrow" w:hAnsi="Arial Narrow"/>
                <w:sz w:val="20"/>
                <w:szCs w:val="20"/>
              </w:rPr>
              <w:t>.</w:t>
            </w:r>
          </w:p>
        </w:tc>
      </w:tr>
      <w:tr w:rsidR="00460CF0" w:rsidRPr="00460CF0" w14:paraId="0194C4D9"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C6AB55F" w14:textId="77777777" w:rsidR="00460CF0" w:rsidRPr="00460CF0" w:rsidRDefault="00460CF0" w:rsidP="008E0CD7">
            <w:pPr>
              <w:jc w:val="center"/>
              <w:rPr>
                <w:rFonts w:ascii="Arial Narrow" w:hAnsi="Arial Narrow"/>
                <w:sz w:val="20"/>
                <w:szCs w:val="20"/>
              </w:rPr>
            </w:pPr>
          </w:p>
        </w:tc>
        <w:tc>
          <w:tcPr>
            <w:tcW w:w="7796" w:type="dxa"/>
            <w:gridSpan w:val="6"/>
            <w:vAlign w:val="center"/>
          </w:tcPr>
          <w:p w14:paraId="24BCFF24" w14:textId="77777777" w:rsidR="00460CF0" w:rsidRPr="00460CF0" w:rsidRDefault="00460CF0" w:rsidP="008E0CD7">
            <w:pPr>
              <w:rPr>
                <w:rFonts w:ascii="Arial Narrow" w:hAnsi="Arial Narrow"/>
                <w:sz w:val="20"/>
                <w:szCs w:val="20"/>
              </w:rPr>
            </w:pPr>
          </w:p>
        </w:tc>
      </w:tr>
      <w:tr w:rsidR="00460CF0" w:rsidRPr="00A3210F" w14:paraId="0297AD9A" w14:textId="77777777" w:rsidTr="00A9788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3507839" w14:textId="533E40DC" w:rsidR="00460CF0" w:rsidRPr="00460CF0" w:rsidRDefault="00460CF0" w:rsidP="008E0CD7">
            <w:pPr>
              <w:jc w:val="center"/>
              <w:rPr>
                <w:rFonts w:ascii="Arial Narrow" w:hAnsi="Arial Narrow"/>
                <w:sz w:val="20"/>
                <w:szCs w:val="20"/>
              </w:rPr>
            </w:pPr>
          </w:p>
        </w:tc>
        <w:tc>
          <w:tcPr>
            <w:tcW w:w="7796" w:type="dxa"/>
            <w:gridSpan w:val="6"/>
            <w:vAlign w:val="center"/>
          </w:tcPr>
          <w:p w14:paraId="0120EFD0" w14:textId="77777777" w:rsidR="00460CF0" w:rsidRPr="00460CF0" w:rsidRDefault="00460CF0" w:rsidP="008E0CD7">
            <w:pPr>
              <w:rPr>
                <w:rFonts w:ascii="Arial Narrow" w:hAnsi="Arial Narrow"/>
                <w:b/>
                <w:bCs/>
                <w:sz w:val="20"/>
                <w:szCs w:val="20"/>
              </w:rPr>
            </w:pPr>
            <w:r w:rsidRPr="00460CF0">
              <w:rPr>
                <w:rFonts w:ascii="Arial Narrow" w:hAnsi="Arial Narrow"/>
                <w:b/>
                <w:bCs/>
                <w:sz w:val="20"/>
                <w:szCs w:val="20"/>
              </w:rPr>
              <w:t xml:space="preserve">Administrative Advice: </w:t>
            </w:r>
          </w:p>
          <w:p w14:paraId="679CB9FB" w14:textId="77777777" w:rsidR="00460CF0" w:rsidRPr="00460CF0" w:rsidRDefault="00460CF0" w:rsidP="008E0CD7">
            <w:pPr>
              <w:rPr>
                <w:rFonts w:ascii="Arial Narrow" w:hAnsi="Arial Narrow"/>
                <w:sz w:val="20"/>
                <w:szCs w:val="20"/>
              </w:rPr>
            </w:pPr>
            <w:r w:rsidRPr="00460CF0">
              <w:rPr>
                <w:rFonts w:ascii="Arial Narrow" w:hAnsi="Arial Narrow" w:cs="Arial Narrow"/>
                <w:i/>
                <w:iCs/>
                <w:sz w:val="20"/>
                <w:szCs w:val="20"/>
              </w:rPr>
              <w:t>Confirmation of eligibility for treatment with diagnostic reports must be documented in the patient's medical records.</w:t>
            </w:r>
          </w:p>
        </w:tc>
      </w:tr>
    </w:tbl>
    <w:p w14:paraId="0FEB9C9A" w14:textId="77777777" w:rsidR="00460CF0" w:rsidRPr="00A3210F" w:rsidRDefault="00460CF0" w:rsidP="00460CF0">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636"/>
        <w:gridCol w:w="2668"/>
        <w:gridCol w:w="811"/>
        <w:gridCol w:w="812"/>
        <w:gridCol w:w="811"/>
        <w:gridCol w:w="812"/>
        <w:gridCol w:w="1831"/>
      </w:tblGrid>
      <w:tr w:rsidR="00460CF0" w:rsidRPr="00460CF0" w14:paraId="7C12838E" w14:textId="77777777" w:rsidTr="0003492E">
        <w:trPr>
          <w:cantSplit/>
          <w:trHeight w:val="20"/>
        </w:trPr>
        <w:tc>
          <w:tcPr>
            <w:tcW w:w="3940" w:type="dxa"/>
            <w:gridSpan w:val="3"/>
            <w:vAlign w:val="center"/>
          </w:tcPr>
          <w:p w14:paraId="5CE38781" w14:textId="77777777" w:rsidR="00460CF0" w:rsidRPr="00460CF0" w:rsidRDefault="00460CF0" w:rsidP="008E0CD7">
            <w:pPr>
              <w:keepLines/>
              <w:rPr>
                <w:rFonts w:ascii="Arial Narrow" w:hAnsi="Arial Narrow"/>
                <w:b/>
                <w:bCs/>
                <w:sz w:val="20"/>
                <w:szCs w:val="20"/>
              </w:rPr>
            </w:pPr>
            <w:r w:rsidRPr="00460CF0">
              <w:rPr>
                <w:rFonts w:ascii="Arial Narrow" w:hAnsi="Arial Narrow"/>
                <w:b/>
                <w:bCs/>
                <w:sz w:val="20"/>
                <w:szCs w:val="20"/>
              </w:rPr>
              <w:t>MEDICINAL PRODUCT</w:t>
            </w:r>
          </w:p>
          <w:p w14:paraId="1FD23C41" w14:textId="77777777" w:rsidR="00460CF0" w:rsidRPr="00460CF0" w:rsidRDefault="00460CF0" w:rsidP="008E0CD7">
            <w:pPr>
              <w:keepLines/>
              <w:rPr>
                <w:rFonts w:ascii="Arial Narrow" w:hAnsi="Arial Narrow"/>
                <w:b/>
                <w:sz w:val="20"/>
                <w:szCs w:val="20"/>
              </w:rPr>
            </w:pPr>
            <w:r w:rsidRPr="00460CF0">
              <w:rPr>
                <w:rFonts w:ascii="Arial Narrow" w:hAnsi="Arial Narrow"/>
                <w:b/>
                <w:bCs/>
                <w:sz w:val="20"/>
                <w:szCs w:val="20"/>
              </w:rPr>
              <w:t>medicinal product pack</w:t>
            </w:r>
          </w:p>
        </w:tc>
        <w:tc>
          <w:tcPr>
            <w:tcW w:w="811" w:type="dxa"/>
            <w:vAlign w:val="center"/>
          </w:tcPr>
          <w:p w14:paraId="5F5E3BAA" w14:textId="77777777" w:rsidR="00460CF0" w:rsidRPr="00460CF0" w:rsidRDefault="00460CF0" w:rsidP="008E0CD7">
            <w:pPr>
              <w:keepLines/>
              <w:jc w:val="center"/>
              <w:rPr>
                <w:rFonts w:ascii="Arial Narrow" w:hAnsi="Arial Narrow"/>
                <w:b/>
                <w:sz w:val="20"/>
                <w:szCs w:val="20"/>
              </w:rPr>
            </w:pPr>
            <w:r w:rsidRPr="00460CF0">
              <w:rPr>
                <w:rFonts w:ascii="Arial Narrow" w:hAnsi="Arial Narrow"/>
                <w:b/>
                <w:sz w:val="20"/>
                <w:szCs w:val="20"/>
              </w:rPr>
              <w:t>PBS item code</w:t>
            </w:r>
          </w:p>
        </w:tc>
        <w:tc>
          <w:tcPr>
            <w:tcW w:w="812" w:type="dxa"/>
            <w:vAlign w:val="center"/>
          </w:tcPr>
          <w:p w14:paraId="3D23CF7C" w14:textId="77777777" w:rsidR="00460CF0" w:rsidRPr="00460CF0" w:rsidRDefault="00460CF0" w:rsidP="008E0CD7">
            <w:pPr>
              <w:keepLines/>
              <w:jc w:val="center"/>
              <w:rPr>
                <w:rFonts w:ascii="Arial Narrow" w:hAnsi="Arial Narrow"/>
                <w:b/>
                <w:sz w:val="20"/>
                <w:szCs w:val="20"/>
              </w:rPr>
            </w:pPr>
            <w:r w:rsidRPr="00460CF0">
              <w:rPr>
                <w:rFonts w:ascii="Arial Narrow" w:hAnsi="Arial Narrow"/>
                <w:b/>
                <w:sz w:val="20"/>
                <w:szCs w:val="20"/>
              </w:rPr>
              <w:t>Max. qty packs</w:t>
            </w:r>
          </w:p>
        </w:tc>
        <w:tc>
          <w:tcPr>
            <w:tcW w:w="811" w:type="dxa"/>
            <w:vAlign w:val="center"/>
          </w:tcPr>
          <w:p w14:paraId="21DBA303" w14:textId="77777777" w:rsidR="00460CF0" w:rsidRPr="00460CF0" w:rsidRDefault="00460CF0" w:rsidP="008E0CD7">
            <w:pPr>
              <w:keepLines/>
              <w:jc w:val="center"/>
              <w:rPr>
                <w:rFonts w:ascii="Arial Narrow" w:hAnsi="Arial Narrow"/>
                <w:b/>
                <w:sz w:val="20"/>
                <w:szCs w:val="20"/>
              </w:rPr>
            </w:pPr>
            <w:r w:rsidRPr="00460CF0">
              <w:rPr>
                <w:rFonts w:ascii="Arial Narrow" w:hAnsi="Arial Narrow"/>
                <w:b/>
                <w:sz w:val="20"/>
                <w:szCs w:val="20"/>
              </w:rPr>
              <w:t>Max. qty units</w:t>
            </w:r>
          </w:p>
        </w:tc>
        <w:tc>
          <w:tcPr>
            <w:tcW w:w="812" w:type="dxa"/>
            <w:vAlign w:val="center"/>
          </w:tcPr>
          <w:p w14:paraId="02097133" w14:textId="77777777" w:rsidR="00460CF0" w:rsidRPr="00460CF0" w:rsidRDefault="00460CF0" w:rsidP="008E0CD7">
            <w:pPr>
              <w:keepLines/>
              <w:jc w:val="center"/>
              <w:rPr>
                <w:rFonts w:ascii="Arial Narrow" w:hAnsi="Arial Narrow"/>
                <w:b/>
                <w:sz w:val="20"/>
                <w:szCs w:val="20"/>
              </w:rPr>
            </w:pPr>
            <w:r w:rsidRPr="00460CF0">
              <w:rPr>
                <w:rFonts w:ascii="Arial Narrow" w:hAnsi="Arial Narrow"/>
                <w:b/>
                <w:sz w:val="20"/>
                <w:szCs w:val="20"/>
              </w:rPr>
              <w:t>№.of</w:t>
            </w:r>
          </w:p>
          <w:p w14:paraId="3F487377" w14:textId="77777777" w:rsidR="00460CF0" w:rsidRPr="00460CF0" w:rsidRDefault="00460CF0" w:rsidP="008E0CD7">
            <w:pPr>
              <w:keepLines/>
              <w:jc w:val="center"/>
              <w:rPr>
                <w:rFonts w:ascii="Arial Narrow" w:hAnsi="Arial Narrow"/>
                <w:b/>
                <w:sz w:val="20"/>
                <w:szCs w:val="20"/>
              </w:rPr>
            </w:pPr>
            <w:r w:rsidRPr="00460CF0">
              <w:rPr>
                <w:rFonts w:ascii="Arial Narrow" w:hAnsi="Arial Narrow"/>
                <w:b/>
                <w:sz w:val="20"/>
                <w:szCs w:val="20"/>
              </w:rPr>
              <w:t>Rpts</w:t>
            </w:r>
          </w:p>
        </w:tc>
        <w:tc>
          <w:tcPr>
            <w:tcW w:w="1831" w:type="dxa"/>
            <w:vAlign w:val="center"/>
          </w:tcPr>
          <w:p w14:paraId="59827014" w14:textId="77777777" w:rsidR="00460CF0" w:rsidRPr="00460CF0" w:rsidRDefault="00460CF0" w:rsidP="008E0CD7">
            <w:pPr>
              <w:keepLines/>
              <w:rPr>
                <w:rFonts w:ascii="Arial Narrow" w:hAnsi="Arial Narrow"/>
                <w:b/>
                <w:sz w:val="20"/>
                <w:szCs w:val="20"/>
                <w:lang w:val="fr-FR"/>
              </w:rPr>
            </w:pPr>
            <w:r w:rsidRPr="00460CF0">
              <w:rPr>
                <w:rFonts w:ascii="Arial Narrow" w:hAnsi="Arial Narrow"/>
                <w:b/>
                <w:sz w:val="20"/>
                <w:szCs w:val="20"/>
              </w:rPr>
              <w:t>Available brands</w:t>
            </w:r>
          </w:p>
        </w:tc>
      </w:tr>
      <w:tr w:rsidR="00460CF0" w:rsidRPr="00460CF0" w14:paraId="6165862A" w14:textId="77777777" w:rsidTr="0003492E">
        <w:trPr>
          <w:cantSplit/>
          <w:trHeight w:val="20"/>
        </w:trPr>
        <w:tc>
          <w:tcPr>
            <w:tcW w:w="9017" w:type="dxa"/>
            <w:gridSpan w:val="8"/>
            <w:vAlign w:val="center"/>
          </w:tcPr>
          <w:p w14:paraId="6D4DEC0C"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MAVACAMTEN</w:t>
            </w:r>
          </w:p>
        </w:tc>
      </w:tr>
      <w:tr w:rsidR="00460CF0" w:rsidRPr="00460CF0" w14:paraId="1D87F3FC" w14:textId="77777777" w:rsidTr="0003492E">
        <w:trPr>
          <w:cantSplit/>
          <w:trHeight w:val="20"/>
        </w:trPr>
        <w:tc>
          <w:tcPr>
            <w:tcW w:w="3940" w:type="dxa"/>
            <w:gridSpan w:val="3"/>
            <w:vAlign w:val="center"/>
          </w:tcPr>
          <w:p w14:paraId="0ED8D233"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 xml:space="preserve">mavacamten 2.5 mg capsule, 28 </w:t>
            </w:r>
          </w:p>
        </w:tc>
        <w:tc>
          <w:tcPr>
            <w:tcW w:w="811" w:type="dxa"/>
            <w:vAlign w:val="center"/>
          </w:tcPr>
          <w:p w14:paraId="2F04B94F"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NEW</w:t>
            </w:r>
          </w:p>
        </w:tc>
        <w:tc>
          <w:tcPr>
            <w:tcW w:w="812" w:type="dxa"/>
            <w:vAlign w:val="center"/>
          </w:tcPr>
          <w:p w14:paraId="6345C9D0"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1</w:t>
            </w:r>
          </w:p>
        </w:tc>
        <w:tc>
          <w:tcPr>
            <w:tcW w:w="811" w:type="dxa"/>
            <w:vAlign w:val="center"/>
          </w:tcPr>
          <w:p w14:paraId="075C20A9"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28</w:t>
            </w:r>
          </w:p>
        </w:tc>
        <w:tc>
          <w:tcPr>
            <w:tcW w:w="812" w:type="dxa"/>
            <w:vAlign w:val="center"/>
          </w:tcPr>
          <w:p w14:paraId="745D9CAD"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5</w:t>
            </w:r>
          </w:p>
        </w:tc>
        <w:tc>
          <w:tcPr>
            <w:tcW w:w="1831" w:type="dxa"/>
            <w:vAlign w:val="center"/>
          </w:tcPr>
          <w:p w14:paraId="46509C46"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Camzyos®</w:t>
            </w:r>
          </w:p>
        </w:tc>
      </w:tr>
      <w:tr w:rsidR="00460CF0" w:rsidRPr="00460CF0" w14:paraId="0C635AA6" w14:textId="77777777" w:rsidTr="0003492E">
        <w:trPr>
          <w:cantSplit/>
          <w:trHeight w:val="20"/>
        </w:trPr>
        <w:tc>
          <w:tcPr>
            <w:tcW w:w="3940" w:type="dxa"/>
            <w:gridSpan w:val="3"/>
            <w:vAlign w:val="center"/>
          </w:tcPr>
          <w:p w14:paraId="03A7DA20"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mavacamten 5 mg capsule, 28</w:t>
            </w:r>
          </w:p>
        </w:tc>
        <w:tc>
          <w:tcPr>
            <w:tcW w:w="811" w:type="dxa"/>
            <w:vAlign w:val="center"/>
          </w:tcPr>
          <w:p w14:paraId="5967AD5A"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NEW</w:t>
            </w:r>
          </w:p>
        </w:tc>
        <w:tc>
          <w:tcPr>
            <w:tcW w:w="812" w:type="dxa"/>
            <w:vAlign w:val="center"/>
          </w:tcPr>
          <w:p w14:paraId="79724A95"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1</w:t>
            </w:r>
          </w:p>
        </w:tc>
        <w:tc>
          <w:tcPr>
            <w:tcW w:w="811" w:type="dxa"/>
            <w:vAlign w:val="center"/>
          </w:tcPr>
          <w:p w14:paraId="30A41DC2"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28</w:t>
            </w:r>
          </w:p>
        </w:tc>
        <w:tc>
          <w:tcPr>
            <w:tcW w:w="812" w:type="dxa"/>
            <w:vAlign w:val="center"/>
          </w:tcPr>
          <w:p w14:paraId="2316570C"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5</w:t>
            </w:r>
          </w:p>
        </w:tc>
        <w:tc>
          <w:tcPr>
            <w:tcW w:w="1831" w:type="dxa"/>
            <w:vAlign w:val="center"/>
          </w:tcPr>
          <w:p w14:paraId="2B162A59"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Camzyos®</w:t>
            </w:r>
          </w:p>
        </w:tc>
      </w:tr>
      <w:tr w:rsidR="00460CF0" w:rsidRPr="00460CF0" w14:paraId="1F1A052A" w14:textId="77777777" w:rsidTr="0003492E">
        <w:trPr>
          <w:cantSplit/>
          <w:trHeight w:val="20"/>
        </w:trPr>
        <w:tc>
          <w:tcPr>
            <w:tcW w:w="3940" w:type="dxa"/>
            <w:gridSpan w:val="3"/>
            <w:vAlign w:val="center"/>
          </w:tcPr>
          <w:p w14:paraId="5A993C43"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mavacamten 10 mg capsule, 28</w:t>
            </w:r>
          </w:p>
        </w:tc>
        <w:tc>
          <w:tcPr>
            <w:tcW w:w="811" w:type="dxa"/>
            <w:vAlign w:val="center"/>
          </w:tcPr>
          <w:p w14:paraId="43A9CBC1"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NEW</w:t>
            </w:r>
          </w:p>
        </w:tc>
        <w:tc>
          <w:tcPr>
            <w:tcW w:w="812" w:type="dxa"/>
            <w:vAlign w:val="center"/>
          </w:tcPr>
          <w:p w14:paraId="63FA76CA"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1</w:t>
            </w:r>
          </w:p>
        </w:tc>
        <w:tc>
          <w:tcPr>
            <w:tcW w:w="811" w:type="dxa"/>
            <w:vAlign w:val="center"/>
          </w:tcPr>
          <w:p w14:paraId="1AAC0EC2"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28</w:t>
            </w:r>
          </w:p>
        </w:tc>
        <w:tc>
          <w:tcPr>
            <w:tcW w:w="812" w:type="dxa"/>
            <w:vAlign w:val="center"/>
          </w:tcPr>
          <w:p w14:paraId="55BEE71E"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5</w:t>
            </w:r>
          </w:p>
        </w:tc>
        <w:tc>
          <w:tcPr>
            <w:tcW w:w="1831" w:type="dxa"/>
            <w:vAlign w:val="center"/>
          </w:tcPr>
          <w:p w14:paraId="17B53E0C"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Camzyos®</w:t>
            </w:r>
          </w:p>
        </w:tc>
      </w:tr>
      <w:tr w:rsidR="00460CF0" w:rsidRPr="00460CF0" w14:paraId="58E2514E" w14:textId="77777777" w:rsidTr="0003492E">
        <w:trPr>
          <w:cantSplit/>
          <w:trHeight w:val="20"/>
        </w:trPr>
        <w:tc>
          <w:tcPr>
            <w:tcW w:w="3940" w:type="dxa"/>
            <w:gridSpan w:val="3"/>
            <w:vAlign w:val="center"/>
          </w:tcPr>
          <w:p w14:paraId="4444D594"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Mavacamten 15 mg capsule, 28</w:t>
            </w:r>
          </w:p>
        </w:tc>
        <w:tc>
          <w:tcPr>
            <w:tcW w:w="811" w:type="dxa"/>
            <w:vAlign w:val="center"/>
          </w:tcPr>
          <w:p w14:paraId="1FC266E2"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NEW</w:t>
            </w:r>
          </w:p>
        </w:tc>
        <w:tc>
          <w:tcPr>
            <w:tcW w:w="812" w:type="dxa"/>
            <w:vAlign w:val="center"/>
          </w:tcPr>
          <w:p w14:paraId="7FF1B6F4"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1</w:t>
            </w:r>
          </w:p>
        </w:tc>
        <w:tc>
          <w:tcPr>
            <w:tcW w:w="811" w:type="dxa"/>
            <w:vAlign w:val="center"/>
          </w:tcPr>
          <w:p w14:paraId="77049A16"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28</w:t>
            </w:r>
          </w:p>
        </w:tc>
        <w:tc>
          <w:tcPr>
            <w:tcW w:w="812" w:type="dxa"/>
            <w:vAlign w:val="center"/>
          </w:tcPr>
          <w:p w14:paraId="06982A1E" w14:textId="77777777" w:rsidR="00460CF0" w:rsidRPr="00460CF0" w:rsidRDefault="00460CF0" w:rsidP="008E0CD7">
            <w:pPr>
              <w:keepLines/>
              <w:jc w:val="center"/>
              <w:rPr>
                <w:rFonts w:ascii="Arial Narrow" w:hAnsi="Arial Narrow"/>
                <w:sz w:val="20"/>
                <w:szCs w:val="20"/>
              </w:rPr>
            </w:pPr>
            <w:r w:rsidRPr="00460CF0">
              <w:rPr>
                <w:rFonts w:ascii="Arial Narrow" w:hAnsi="Arial Narrow"/>
                <w:sz w:val="20"/>
                <w:szCs w:val="20"/>
              </w:rPr>
              <w:t>5</w:t>
            </w:r>
          </w:p>
        </w:tc>
        <w:tc>
          <w:tcPr>
            <w:tcW w:w="1831" w:type="dxa"/>
            <w:vAlign w:val="center"/>
          </w:tcPr>
          <w:p w14:paraId="16947893" w14:textId="77777777" w:rsidR="00460CF0" w:rsidRPr="00460CF0" w:rsidRDefault="00460CF0" w:rsidP="008E0CD7">
            <w:pPr>
              <w:keepLines/>
              <w:rPr>
                <w:rFonts w:ascii="Arial Narrow" w:hAnsi="Arial Narrow"/>
                <w:sz w:val="20"/>
                <w:szCs w:val="20"/>
              </w:rPr>
            </w:pPr>
            <w:r w:rsidRPr="00460CF0">
              <w:rPr>
                <w:rFonts w:ascii="Arial Narrow" w:hAnsi="Arial Narrow"/>
                <w:sz w:val="20"/>
                <w:szCs w:val="20"/>
              </w:rPr>
              <w:t>Camzyos®</w:t>
            </w:r>
          </w:p>
        </w:tc>
      </w:tr>
      <w:tr w:rsidR="00460CF0" w:rsidRPr="00460CF0" w14:paraId="65D00CD4" w14:textId="77777777" w:rsidTr="0003492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D55F61F" w14:textId="77777777" w:rsidR="00460CF0" w:rsidRPr="00460CF0" w:rsidRDefault="00460CF0" w:rsidP="008E0CD7">
            <w:pPr>
              <w:rPr>
                <w:rFonts w:ascii="Arial Narrow" w:hAnsi="Arial Narrow"/>
                <w:sz w:val="20"/>
                <w:szCs w:val="20"/>
              </w:rPr>
            </w:pPr>
          </w:p>
        </w:tc>
      </w:tr>
      <w:tr w:rsidR="00460CF0" w:rsidRPr="00460CF0" w14:paraId="19E0D4A5" w14:textId="77777777" w:rsidTr="0003492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9890DBC" w14:textId="77777777" w:rsidR="00460CF0" w:rsidRPr="00460CF0" w:rsidRDefault="00460CF0" w:rsidP="008E0CD7">
            <w:pPr>
              <w:keepLines/>
              <w:rPr>
                <w:rFonts w:ascii="Arial Narrow" w:hAnsi="Arial Narrow"/>
                <w:b/>
                <w:sz w:val="20"/>
                <w:szCs w:val="20"/>
              </w:rPr>
            </w:pPr>
            <w:r w:rsidRPr="00460CF0">
              <w:rPr>
                <w:rFonts w:ascii="Arial Narrow" w:hAnsi="Arial Narrow"/>
                <w:b/>
                <w:sz w:val="20"/>
                <w:szCs w:val="20"/>
              </w:rPr>
              <w:t xml:space="preserve">Restriction Summary [new 3] / Treatment of </w:t>
            </w:r>
            <w:r w:rsidRPr="00414250">
              <w:rPr>
                <w:rFonts w:ascii="Arial Narrow" w:hAnsi="Arial Narrow"/>
                <w:b/>
                <w:sz w:val="20"/>
                <w:szCs w:val="20"/>
              </w:rPr>
              <w:t>Concept: [new 4]</w:t>
            </w:r>
            <w:r w:rsidRPr="00460CF0">
              <w:rPr>
                <w:rFonts w:ascii="Arial Narrow" w:hAnsi="Arial Narrow"/>
                <w:b/>
                <w:sz w:val="20"/>
                <w:szCs w:val="20"/>
              </w:rPr>
              <w:t xml:space="preserve"> </w:t>
            </w:r>
          </w:p>
        </w:tc>
      </w:tr>
      <w:tr w:rsidR="00460CF0" w:rsidRPr="00460CF0" w14:paraId="29D80D43" w14:textId="77777777" w:rsidTr="0003492E">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614A6E6B" w14:textId="164B28B1" w:rsidR="00460CF0" w:rsidRPr="00460CF0" w:rsidRDefault="00460CF0" w:rsidP="008E0CD7">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7AECB6" w14:textId="77777777" w:rsidR="00460CF0" w:rsidRPr="00460CF0" w:rsidRDefault="00460CF0" w:rsidP="008E0CD7">
            <w:pPr>
              <w:keepLines/>
              <w:rPr>
                <w:rFonts w:ascii="Arial Narrow" w:hAnsi="Arial Narrow"/>
                <w:sz w:val="20"/>
                <w:szCs w:val="20"/>
              </w:rPr>
            </w:pPr>
            <w:r w:rsidRPr="00460CF0">
              <w:rPr>
                <w:rFonts w:ascii="Arial Narrow" w:hAnsi="Arial Narrow"/>
                <w:b/>
                <w:sz w:val="20"/>
                <w:szCs w:val="20"/>
              </w:rPr>
              <w:t xml:space="preserve">Category / Program: </w:t>
            </w:r>
            <w:r w:rsidRPr="00460CF0">
              <w:rPr>
                <w:rFonts w:ascii="Arial Narrow" w:hAnsi="Arial Narrow"/>
                <w:sz w:val="20"/>
                <w:szCs w:val="20"/>
              </w:rPr>
              <w:t xml:space="preserve">GENERAL – General Schedule (Code GE) </w:t>
            </w:r>
          </w:p>
        </w:tc>
      </w:tr>
      <w:tr w:rsidR="00460CF0" w:rsidRPr="00460CF0" w14:paraId="7A977EB1" w14:textId="77777777" w:rsidTr="0003492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608182A7" w14:textId="77777777" w:rsidR="00460CF0" w:rsidRPr="00460CF0" w:rsidRDefault="00460CF0" w:rsidP="008E0CD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7E2D2A" w14:textId="3CC1177C" w:rsidR="000E7F47" w:rsidRPr="000E7F47" w:rsidRDefault="00460CF0" w:rsidP="008E0CD7">
            <w:pPr>
              <w:keepLines/>
              <w:rPr>
                <w:rFonts w:ascii="Arial Narrow" w:hAnsi="Arial Narrow"/>
                <w:sz w:val="20"/>
                <w:szCs w:val="20"/>
              </w:rPr>
            </w:pPr>
            <w:r w:rsidRPr="00460CF0">
              <w:rPr>
                <w:rFonts w:ascii="Arial Narrow" w:hAnsi="Arial Narrow"/>
                <w:b/>
                <w:sz w:val="20"/>
                <w:szCs w:val="20"/>
              </w:rPr>
              <w:t xml:space="preserve">Prescriber type: </w:t>
            </w:r>
            <w:r w:rsidRPr="00460CF0">
              <w:rPr>
                <w:rFonts w:ascii="Arial Narrow" w:hAnsi="Arial Narrow"/>
                <w:sz w:val="20"/>
                <w:szCs w:val="20"/>
              </w:rPr>
              <w:fldChar w:fldCharType="begin">
                <w:ffData>
                  <w:name w:val=""/>
                  <w:enabled/>
                  <w:calcOnExit w:val="0"/>
                  <w:checkBox>
                    <w:sizeAuto/>
                    <w:default w:val="1"/>
                  </w:checkBox>
                </w:ffData>
              </w:fldChar>
            </w:r>
            <w:r w:rsidRPr="00460CF0">
              <w:rPr>
                <w:rFonts w:ascii="Arial Narrow" w:hAnsi="Arial Narrow"/>
                <w:sz w:val="20"/>
                <w:szCs w:val="20"/>
              </w:rPr>
              <w:instrText xml:space="preserve"> FORMCHECKBOX </w:instrText>
            </w:r>
            <w:r w:rsidR="00645E50">
              <w:rPr>
                <w:rFonts w:ascii="Arial Narrow" w:hAnsi="Arial Narrow"/>
                <w:sz w:val="20"/>
                <w:szCs w:val="20"/>
              </w:rPr>
            </w:r>
            <w:r w:rsidR="00645E50">
              <w:rPr>
                <w:rFonts w:ascii="Arial Narrow" w:hAnsi="Arial Narrow"/>
                <w:sz w:val="20"/>
                <w:szCs w:val="20"/>
              </w:rPr>
              <w:fldChar w:fldCharType="separate"/>
            </w:r>
            <w:r w:rsidRPr="00460CF0">
              <w:rPr>
                <w:rFonts w:ascii="Arial Narrow" w:hAnsi="Arial Narrow"/>
                <w:sz w:val="20"/>
                <w:szCs w:val="20"/>
              </w:rPr>
              <w:fldChar w:fldCharType="end"/>
            </w:r>
            <w:r w:rsidRPr="00460CF0">
              <w:rPr>
                <w:rFonts w:ascii="Arial Narrow" w:hAnsi="Arial Narrow"/>
                <w:sz w:val="20"/>
                <w:szCs w:val="20"/>
              </w:rPr>
              <w:t xml:space="preserve">Medical Practitioners </w:t>
            </w:r>
          </w:p>
        </w:tc>
      </w:tr>
      <w:tr w:rsidR="00460CF0" w:rsidRPr="00460CF0" w14:paraId="4AA97B74" w14:textId="77777777" w:rsidTr="0003492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20E455B9" w14:textId="77777777" w:rsidR="00460CF0" w:rsidRPr="00460CF0" w:rsidRDefault="00460CF0" w:rsidP="008E0CD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B952C6" w14:textId="77777777" w:rsidR="00460CF0" w:rsidRPr="00460CF0" w:rsidRDefault="00460CF0" w:rsidP="008E0CD7">
            <w:pPr>
              <w:keepLines/>
              <w:rPr>
                <w:rFonts w:ascii="Arial Narrow" w:hAnsi="Arial Narrow"/>
                <w:b/>
                <w:sz w:val="20"/>
                <w:szCs w:val="20"/>
              </w:rPr>
            </w:pPr>
            <w:r w:rsidRPr="00460CF0">
              <w:rPr>
                <w:rFonts w:ascii="Arial Narrow" w:hAnsi="Arial Narrow"/>
                <w:b/>
                <w:sz w:val="20"/>
                <w:szCs w:val="20"/>
              </w:rPr>
              <w:t xml:space="preserve">Restriction type: </w:t>
            </w:r>
            <w:r w:rsidRPr="00460CF0">
              <w:rPr>
                <w:rFonts w:ascii="Arial Narrow" w:eastAsia="Calibri" w:hAnsi="Arial Narrow"/>
                <w:sz w:val="20"/>
                <w:szCs w:val="20"/>
              </w:rPr>
              <w:fldChar w:fldCharType="begin">
                <w:ffData>
                  <w:name w:val=""/>
                  <w:enabled/>
                  <w:calcOnExit w:val="0"/>
                  <w:checkBox>
                    <w:sizeAuto/>
                    <w:default w:val="1"/>
                  </w:checkBox>
                </w:ffData>
              </w:fldChar>
            </w:r>
            <w:r w:rsidRPr="00460CF0">
              <w:rPr>
                <w:rFonts w:ascii="Arial Narrow" w:eastAsia="Calibri" w:hAnsi="Arial Narrow"/>
                <w:sz w:val="20"/>
                <w:szCs w:val="20"/>
              </w:rPr>
              <w:instrText xml:space="preserve"> FORMCHECKBOX </w:instrText>
            </w:r>
            <w:r w:rsidR="00645E50">
              <w:rPr>
                <w:rFonts w:ascii="Arial Narrow" w:eastAsia="Calibri" w:hAnsi="Arial Narrow"/>
                <w:sz w:val="20"/>
                <w:szCs w:val="20"/>
              </w:rPr>
            </w:r>
            <w:r w:rsidR="00645E50">
              <w:rPr>
                <w:rFonts w:ascii="Arial Narrow" w:eastAsia="Calibri" w:hAnsi="Arial Narrow"/>
                <w:sz w:val="20"/>
                <w:szCs w:val="20"/>
              </w:rPr>
              <w:fldChar w:fldCharType="separate"/>
            </w:r>
            <w:r w:rsidRPr="00460CF0">
              <w:rPr>
                <w:rFonts w:ascii="Arial Narrow" w:eastAsia="Calibri" w:hAnsi="Arial Narrow"/>
                <w:sz w:val="20"/>
                <w:szCs w:val="20"/>
              </w:rPr>
              <w:fldChar w:fldCharType="end"/>
            </w:r>
            <w:r w:rsidRPr="00460CF0">
              <w:rPr>
                <w:rFonts w:ascii="Arial Narrow" w:eastAsia="Calibri" w:hAnsi="Arial Narrow"/>
                <w:sz w:val="20"/>
                <w:szCs w:val="20"/>
              </w:rPr>
              <w:t xml:space="preserve">Authority Required </w:t>
            </w:r>
            <w:r w:rsidRPr="00460CF0">
              <w:rPr>
                <w:rFonts w:ascii="Arial Narrow" w:eastAsia="Calibri" w:hAnsi="Arial Narrow"/>
                <w:strike/>
                <w:sz w:val="20"/>
                <w:szCs w:val="20"/>
              </w:rPr>
              <w:t>(Streamlined)</w:t>
            </w:r>
            <w:r w:rsidRPr="00460CF0">
              <w:rPr>
                <w:rFonts w:ascii="Arial Narrow" w:eastAsia="Calibri" w:hAnsi="Arial Narrow"/>
                <w:sz w:val="20"/>
                <w:szCs w:val="20"/>
              </w:rPr>
              <w:t xml:space="preserve"> </w:t>
            </w:r>
            <w:r w:rsidRPr="00460CF0">
              <w:rPr>
                <w:rFonts w:ascii="Arial Narrow" w:eastAsia="Calibri" w:hAnsi="Arial Narrow"/>
                <w:i/>
                <w:iCs/>
                <w:sz w:val="20"/>
                <w:szCs w:val="20"/>
              </w:rPr>
              <w:t>(telephone/online PBS Authorities system)</w:t>
            </w:r>
            <w:r w:rsidRPr="00460CF0">
              <w:rPr>
                <w:rFonts w:ascii="Arial Narrow" w:eastAsia="Calibri" w:hAnsi="Arial Narrow"/>
                <w:sz w:val="20"/>
                <w:szCs w:val="20"/>
              </w:rPr>
              <w:t xml:space="preserve"> [new code 4] </w:t>
            </w:r>
          </w:p>
        </w:tc>
      </w:tr>
      <w:tr w:rsidR="00460CF0" w:rsidRPr="00460CF0" w14:paraId="7DBC6785" w14:textId="77777777" w:rsidTr="0003492E">
        <w:tblPrEx>
          <w:tblCellMar>
            <w:top w:w="15" w:type="dxa"/>
            <w:bottom w:w="15" w:type="dxa"/>
          </w:tblCellMar>
          <w:tblLook w:val="04A0" w:firstRow="1" w:lastRow="0" w:firstColumn="1" w:lastColumn="0" w:noHBand="0" w:noVBand="1"/>
        </w:tblPrEx>
        <w:trPr>
          <w:trHeight w:val="20"/>
        </w:trPr>
        <w:tc>
          <w:tcPr>
            <w:tcW w:w="636" w:type="dxa"/>
            <w:vMerge w:val="restart"/>
            <w:tcBorders>
              <w:left w:val="single" w:sz="4" w:space="0" w:color="auto"/>
              <w:right w:val="single" w:sz="4" w:space="0" w:color="auto"/>
            </w:tcBorders>
          </w:tcPr>
          <w:p w14:paraId="62F1DEFD" w14:textId="1E427E94" w:rsidR="00460CF0" w:rsidRPr="00460CF0" w:rsidRDefault="00460CF0" w:rsidP="008E0CD7">
            <w:pPr>
              <w:jc w:val="center"/>
              <w:rPr>
                <w:rFonts w:ascii="Arial Narrow" w:hAnsi="Arial Narrow"/>
                <w:sz w:val="20"/>
                <w:szCs w:val="20"/>
              </w:rPr>
            </w:pPr>
          </w:p>
        </w:tc>
        <w:tc>
          <w:tcPr>
            <w:tcW w:w="636" w:type="dxa"/>
            <w:tcBorders>
              <w:left w:val="single" w:sz="4" w:space="0" w:color="auto"/>
              <w:right w:val="single" w:sz="4" w:space="0" w:color="auto"/>
            </w:tcBorders>
          </w:tcPr>
          <w:p w14:paraId="7404858B" w14:textId="5C64CFF0" w:rsidR="00460CF0" w:rsidRPr="00460CF0" w:rsidRDefault="00460CF0" w:rsidP="008E0CD7">
            <w:pPr>
              <w:jc w:val="righ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842C71"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Administrative Advice</w:t>
            </w:r>
            <w:r w:rsidRPr="00460CF0">
              <w:rPr>
                <w:rFonts w:ascii="Arial Narrow" w:hAnsi="Arial Narrow"/>
                <w:sz w:val="20"/>
                <w:szCs w:val="20"/>
              </w:rPr>
              <w:t>:</w:t>
            </w:r>
          </w:p>
          <w:p w14:paraId="25A9CA23" w14:textId="77777777" w:rsidR="00460CF0" w:rsidRPr="00460CF0" w:rsidRDefault="00460CF0" w:rsidP="008E0CD7">
            <w:pPr>
              <w:keepLines/>
              <w:rPr>
                <w:rFonts w:ascii="Arial Narrow" w:hAnsi="Arial Narrow"/>
                <w:b/>
                <w:sz w:val="20"/>
                <w:szCs w:val="20"/>
              </w:rPr>
            </w:pPr>
            <w:r w:rsidRPr="00460CF0">
              <w:rPr>
                <w:rFonts w:ascii="Arial Narrow" w:hAnsi="Arial Narrow"/>
                <w:sz w:val="20"/>
                <w:szCs w:val="20"/>
              </w:rPr>
              <w:t>No increase in the maximum number of repeats may be authorised.</w:t>
            </w:r>
          </w:p>
        </w:tc>
      </w:tr>
      <w:tr w:rsidR="00460CF0" w:rsidRPr="00460CF0" w14:paraId="33E75BD8" w14:textId="77777777" w:rsidTr="0003492E">
        <w:tblPrEx>
          <w:tblCellMar>
            <w:top w:w="15" w:type="dxa"/>
            <w:bottom w:w="15" w:type="dxa"/>
          </w:tblCellMar>
          <w:tblLook w:val="04A0" w:firstRow="1" w:lastRow="0" w:firstColumn="1" w:lastColumn="0" w:noHBand="0" w:noVBand="1"/>
        </w:tblPrEx>
        <w:trPr>
          <w:trHeight w:val="20"/>
        </w:trPr>
        <w:tc>
          <w:tcPr>
            <w:tcW w:w="636" w:type="dxa"/>
            <w:vMerge/>
            <w:tcBorders>
              <w:left w:val="single" w:sz="4" w:space="0" w:color="auto"/>
              <w:bottom w:val="single" w:sz="4" w:space="0" w:color="auto"/>
              <w:right w:val="single" w:sz="4" w:space="0" w:color="auto"/>
            </w:tcBorders>
          </w:tcPr>
          <w:p w14:paraId="3FDC4C1B" w14:textId="77777777" w:rsidR="00460CF0" w:rsidRPr="00460CF0" w:rsidRDefault="00460CF0" w:rsidP="008E0CD7">
            <w:pPr>
              <w:jc w:val="right"/>
              <w:rPr>
                <w:rFonts w:ascii="Arial Narrow" w:hAnsi="Arial Narrow"/>
                <w:sz w:val="20"/>
                <w:szCs w:val="20"/>
              </w:rPr>
            </w:pPr>
          </w:p>
        </w:tc>
        <w:tc>
          <w:tcPr>
            <w:tcW w:w="636" w:type="dxa"/>
            <w:tcBorders>
              <w:left w:val="single" w:sz="4" w:space="0" w:color="auto"/>
              <w:bottom w:val="single" w:sz="4" w:space="0" w:color="auto"/>
              <w:right w:val="single" w:sz="4" w:space="0" w:color="auto"/>
            </w:tcBorders>
          </w:tcPr>
          <w:p w14:paraId="01608C24" w14:textId="228A0886" w:rsidR="00460CF0" w:rsidRPr="00460CF0" w:rsidRDefault="00460CF0" w:rsidP="008E0CD7">
            <w:pPr>
              <w:jc w:val="righ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ECFCDE" w14:textId="77777777" w:rsidR="00460CF0" w:rsidRPr="00460CF0" w:rsidRDefault="00460CF0" w:rsidP="008E0CD7">
            <w:pPr>
              <w:rPr>
                <w:rFonts w:ascii="Arial Narrow" w:hAnsi="Arial Narrow"/>
                <w:b/>
                <w:bCs/>
                <w:sz w:val="20"/>
                <w:szCs w:val="20"/>
              </w:rPr>
            </w:pPr>
            <w:r w:rsidRPr="00460CF0">
              <w:rPr>
                <w:rFonts w:ascii="Arial Narrow" w:hAnsi="Arial Narrow"/>
                <w:b/>
                <w:bCs/>
                <w:sz w:val="20"/>
                <w:szCs w:val="20"/>
              </w:rPr>
              <w:t>Administrative Advice:</w:t>
            </w:r>
          </w:p>
          <w:p w14:paraId="71ADCEE7" w14:textId="77777777" w:rsidR="00460CF0" w:rsidRPr="00460CF0" w:rsidRDefault="00460CF0" w:rsidP="008E0CD7">
            <w:pPr>
              <w:keepLines/>
              <w:rPr>
                <w:rFonts w:ascii="Arial Narrow" w:hAnsi="Arial Narrow"/>
                <w:b/>
                <w:sz w:val="20"/>
                <w:szCs w:val="20"/>
              </w:rPr>
            </w:pPr>
            <w:r w:rsidRPr="00460CF0">
              <w:rPr>
                <w:rFonts w:ascii="Arial Narrow" w:hAnsi="Arial Narrow"/>
                <w:sz w:val="20"/>
                <w:szCs w:val="20"/>
              </w:rPr>
              <w:t>Special Pricing Arrangements apply.</w:t>
            </w:r>
          </w:p>
        </w:tc>
      </w:tr>
      <w:tr w:rsidR="00460CF0" w:rsidRPr="00460CF0" w14:paraId="17A8A067" w14:textId="77777777" w:rsidTr="0003492E">
        <w:tblPrEx>
          <w:tblCellMar>
            <w:top w:w="15" w:type="dxa"/>
            <w:bottom w:w="15" w:type="dxa"/>
          </w:tblCellMar>
          <w:tblLook w:val="04A0" w:firstRow="1" w:lastRow="0" w:firstColumn="1" w:lastColumn="0" w:noHBand="0" w:noVBand="1"/>
        </w:tblPrEx>
        <w:trPr>
          <w:trHeight w:val="20"/>
        </w:trPr>
        <w:tc>
          <w:tcPr>
            <w:tcW w:w="1272" w:type="dxa"/>
            <w:gridSpan w:val="2"/>
            <w:tcBorders>
              <w:left w:val="single" w:sz="4" w:space="0" w:color="auto"/>
              <w:bottom w:val="single" w:sz="4" w:space="0" w:color="auto"/>
              <w:right w:val="single" w:sz="4" w:space="0" w:color="auto"/>
            </w:tcBorders>
          </w:tcPr>
          <w:p w14:paraId="4DBB44E9" w14:textId="77777777" w:rsidR="00460CF0" w:rsidRPr="00460CF0" w:rsidRDefault="00460CF0" w:rsidP="008E0CD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4F7783" w14:textId="77777777" w:rsidR="00460CF0" w:rsidRPr="00460CF0" w:rsidRDefault="00460CF0" w:rsidP="008E0CD7">
            <w:pPr>
              <w:keepLines/>
              <w:rPr>
                <w:rFonts w:ascii="Arial Narrow" w:hAnsi="Arial Narrow"/>
                <w:b/>
                <w:sz w:val="20"/>
                <w:szCs w:val="20"/>
              </w:rPr>
            </w:pPr>
          </w:p>
        </w:tc>
      </w:tr>
      <w:tr w:rsidR="00460CF0" w:rsidRPr="00460CF0" w14:paraId="5604A022" w14:textId="77777777" w:rsidTr="0003492E">
        <w:tblPrEx>
          <w:tblCellMar>
            <w:top w:w="15" w:type="dxa"/>
            <w:bottom w:w="15" w:type="dxa"/>
          </w:tblCellMar>
          <w:tblLook w:val="04A0" w:firstRow="1" w:lastRow="0" w:firstColumn="1" w:lastColumn="0" w:noHBand="0" w:noVBand="1"/>
        </w:tblPrEx>
        <w:trPr>
          <w:cantSplit/>
          <w:trHeight w:val="102"/>
        </w:trPr>
        <w:tc>
          <w:tcPr>
            <w:tcW w:w="1272" w:type="dxa"/>
            <w:gridSpan w:val="2"/>
            <w:vAlign w:val="center"/>
          </w:tcPr>
          <w:p w14:paraId="3B1E51A8" w14:textId="77777777" w:rsidR="00460CF0" w:rsidRPr="00460CF0" w:rsidRDefault="00460CF0" w:rsidP="008E0CD7">
            <w:pPr>
              <w:keepLines/>
              <w:jc w:val="center"/>
              <w:rPr>
                <w:rFonts w:ascii="Arial Narrow" w:hAnsi="Arial Narrow"/>
                <w:sz w:val="20"/>
                <w:szCs w:val="20"/>
              </w:rPr>
            </w:pPr>
          </w:p>
        </w:tc>
        <w:tc>
          <w:tcPr>
            <w:tcW w:w="7745" w:type="dxa"/>
            <w:gridSpan w:val="6"/>
            <w:vAlign w:val="center"/>
          </w:tcPr>
          <w:p w14:paraId="152F6364" w14:textId="77777777" w:rsidR="00460CF0" w:rsidRPr="00460CF0" w:rsidRDefault="00460CF0" w:rsidP="008E0CD7">
            <w:pPr>
              <w:keepLines/>
              <w:rPr>
                <w:rFonts w:ascii="Arial Narrow" w:hAnsi="Arial Narrow"/>
                <w:bCs/>
                <w:sz w:val="20"/>
                <w:szCs w:val="20"/>
              </w:rPr>
            </w:pPr>
            <w:r w:rsidRPr="00460CF0">
              <w:rPr>
                <w:rFonts w:ascii="Arial Narrow" w:hAnsi="Arial Narrow"/>
                <w:b/>
                <w:bCs/>
                <w:sz w:val="20"/>
                <w:szCs w:val="20"/>
              </w:rPr>
              <w:t xml:space="preserve">Condition: </w:t>
            </w:r>
            <w:r w:rsidRPr="00460CF0">
              <w:rPr>
                <w:rFonts w:ascii="Arial Narrow" w:hAnsi="Arial Narrow"/>
                <w:sz w:val="20"/>
                <w:szCs w:val="20"/>
              </w:rPr>
              <w:t>Symptomatic obstructive hypertrophic cardiomyopathy</w:t>
            </w:r>
          </w:p>
        </w:tc>
      </w:tr>
      <w:tr w:rsidR="00460CF0" w:rsidRPr="00460CF0" w14:paraId="24D78B94" w14:textId="77777777" w:rsidTr="00303F4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802A05" w14:textId="2475CA75" w:rsidR="00460CF0" w:rsidRPr="00460CF0" w:rsidRDefault="00460CF0" w:rsidP="008E0CD7">
            <w:pPr>
              <w:keepLines/>
              <w:jc w:val="center"/>
              <w:rPr>
                <w:rFonts w:ascii="Arial Narrow" w:hAnsi="Arial Narrow"/>
                <w:sz w:val="20"/>
                <w:szCs w:val="20"/>
              </w:rPr>
            </w:pPr>
          </w:p>
        </w:tc>
        <w:tc>
          <w:tcPr>
            <w:tcW w:w="7745" w:type="dxa"/>
            <w:gridSpan w:val="6"/>
            <w:vAlign w:val="center"/>
            <w:hideMark/>
          </w:tcPr>
          <w:p w14:paraId="71D8CA58" w14:textId="77777777" w:rsidR="00460CF0" w:rsidRPr="00460CF0" w:rsidRDefault="00460CF0" w:rsidP="008E0CD7">
            <w:pPr>
              <w:keepLines/>
              <w:rPr>
                <w:rFonts w:ascii="Arial Narrow" w:hAnsi="Arial Narrow"/>
                <w:sz w:val="20"/>
                <w:szCs w:val="20"/>
              </w:rPr>
            </w:pPr>
            <w:r w:rsidRPr="00460CF0">
              <w:rPr>
                <w:rFonts w:ascii="Arial Narrow" w:hAnsi="Arial Narrow"/>
                <w:b/>
                <w:bCs/>
                <w:sz w:val="20"/>
                <w:szCs w:val="20"/>
              </w:rPr>
              <w:t>Indication:</w:t>
            </w:r>
            <w:r w:rsidRPr="00460CF0">
              <w:rPr>
                <w:rFonts w:ascii="Arial Narrow" w:hAnsi="Arial Narrow"/>
                <w:sz w:val="20"/>
                <w:szCs w:val="20"/>
              </w:rPr>
              <w:t xml:space="preserve"> Symptomatic obstructive hypertrophic cardiomyopathy</w:t>
            </w:r>
          </w:p>
        </w:tc>
      </w:tr>
      <w:tr w:rsidR="00460CF0" w:rsidRPr="00460CF0" w14:paraId="4EE44EA8" w14:textId="77777777" w:rsidTr="00303F4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127F1C" w14:textId="77777777" w:rsidR="00460CF0" w:rsidRPr="00460CF0" w:rsidRDefault="00460CF0" w:rsidP="008E0CD7">
            <w:pPr>
              <w:jc w:val="center"/>
              <w:rPr>
                <w:rFonts w:ascii="Arial Narrow" w:hAnsi="Arial Narrow"/>
                <w:sz w:val="20"/>
                <w:szCs w:val="20"/>
              </w:rPr>
            </w:pPr>
          </w:p>
        </w:tc>
        <w:tc>
          <w:tcPr>
            <w:tcW w:w="7745" w:type="dxa"/>
            <w:gridSpan w:val="6"/>
            <w:vAlign w:val="center"/>
            <w:hideMark/>
          </w:tcPr>
          <w:p w14:paraId="6CA346E9"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Treatment Phase:</w:t>
            </w:r>
            <w:r w:rsidRPr="00460CF0">
              <w:rPr>
                <w:rFonts w:ascii="Arial Narrow" w:hAnsi="Arial Narrow"/>
                <w:sz w:val="20"/>
                <w:szCs w:val="20"/>
              </w:rPr>
              <w:t xml:space="preserve"> Continuing treatment</w:t>
            </w:r>
          </w:p>
        </w:tc>
      </w:tr>
      <w:tr w:rsidR="00460CF0" w:rsidRPr="00460CF0" w14:paraId="5AA34E27"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AA602B"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4E3822FE" w14:textId="77777777" w:rsidR="00460CF0" w:rsidRPr="00460CF0" w:rsidRDefault="00460CF0" w:rsidP="008E0CD7">
            <w:pPr>
              <w:rPr>
                <w:rFonts w:ascii="Arial Narrow" w:hAnsi="Arial Narrow"/>
                <w:b/>
                <w:bCs/>
                <w:sz w:val="20"/>
                <w:szCs w:val="20"/>
              </w:rPr>
            </w:pPr>
          </w:p>
        </w:tc>
      </w:tr>
      <w:tr w:rsidR="00460CF0" w:rsidRPr="00460CF0" w14:paraId="626D3356" w14:textId="77777777" w:rsidTr="00303F4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FA0CE1" w14:textId="77777777" w:rsidR="00460CF0" w:rsidRPr="00460CF0" w:rsidRDefault="00460CF0" w:rsidP="008E0CD7">
            <w:pPr>
              <w:jc w:val="center"/>
              <w:rPr>
                <w:rFonts w:ascii="Arial Narrow" w:hAnsi="Arial Narrow"/>
                <w:sz w:val="20"/>
                <w:szCs w:val="20"/>
              </w:rPr>
            </w:pPr>
          </w:p>
        </w:tc>
        <w:tc>
          <w:tcPr>
            <w:tcW w:w="7745" w:type="dxa"/>
            <w:gridSpan w:val="6"/>
            <w:vAlign w:val="center"/>
            <w:hideMark/>
          </w:tcPr>
          <w:p w14:paraId="24CCDDFF"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 xml:space="preserve">Clinical criteria: </w:t>
            </w:r>
          </w:p>
        </w:tc>
      </w:tr>
      <w:tr w:rsidR="00460CF0" w:rsidRPr="00460CF0" w14:paraId="1909D3C7"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5750D2" w14:textId="55E4B2CF" w:rsidR="00460CF0" w:rsidRPr="00460CF0" w:rsidRDefault="00460CF0" w:rsidP="008E0CD7">
            <w:pPr>
              <w:jc w:val="center"/>
              <w:rPr>
                <w:rFonts w:ascii="Arial Narrow" w:hAnsi="Arial Narrow"/>
                <w:sz w:val="20"/>
                <w:szCs w:val="20"/>
              </w:rPr>
            </w:pPr>
          </w:p>
        </w:tc>
        <w:tc>
          <w:tcPr>
            <w:tcW w:w="7745" w:type="dxa"/>
            <w:gridSpan w:val="6"/>
            <w:vAlign w:val="center"/>
          </w:tcPr>
          <w:p w14:paraId="3AC45551" w14:textId="77777777" w:rsidR="00460CF0" w:rsidRPr="00460CF0" w:rsidRDefault="00460CF0" w:rsidP="008E0CD7">
            <w:pPr>
              <w:rPr>
                <w:rFonts w:ascii="Arial Narrow" w:hAnsi="Arial Narrow"/>
                <w:i/>
                <w:iCs/>
                <w:sz w:val="20"/>
                <w:szCs w:val="20"/>
              </w:rPr>
            </w:pPr>
            <w:r w:rsidRPr="00460CF0">
              <w:rPr>
                <w:rFonts w:ascii="Arial Narrow" w:hAnsi="Arial Narrow"/>
                <w:sz w:val="20"/>
                <w:szCs w:val="20"/>
              </w:rPr>
              <w:t xml:space="preserve">Patient must have previously received PBS-subsidised treatment with this drug for this condition </w:t>
            </w:r>
          </w:p>
        </w:tc>
      </w:tr>
      <w:tr w:rsidR="00460CF0" w:rsidRPr="00460CF0" w14:paraId="1D53D68B" w14:textId="77777777" w:rsidTr="00303F4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0E3A7B" w14:textId="77777777" w:rsidR="00460CF0" w:rsidRPr="00460CF0" w:rsidRDefault="00460CF0" w:rsidP="008E0CD7">
            <w:pPr>
              <w:jc w:val="center"/>
              <w:rPr>
                <w:rFonts w:ascii="Arial Narrow" w:hAnsi="Arial Narrow"/>
                <w:sz w:val="20"/>
                <w:szCs w:val="20"/>
              </w:rPr>
            </w:pPr>
          </w:p>
        </w:tc>
        <w:tc>
          <w:tcPr>
            <w:tcW w:w="7745" w:type="dxa"/>
            <w:gridSpan w:val="6"/>
            <w:vAlign w:val="center"/>
            <w:hideMark/>
          </w:tcPr>
          <w:p w14:paraId="21E65B93"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AND</w:t>
            </w:r>
          </w:p>
        </w:tc>
      </w:tr>
      <w:tr w:rsidR="00460CF0" w:rsidRPr="00460CF0" w14:paraId="7C5BE742"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5A588E"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0904130F"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Clinical criteria:</w:t>
            </w:r>
          </w:p>
        </w:tc>
      </w:tr>
      <w:tr w:rsidR="00460CF0" w:rsidRPr="00460CF0" w14:paraId="0BA06966"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CC3D3BF" w14:textId="41AC93E7" w:rsidR="00460CF0" w:rsidRPr="00460CF0" w:rsidRDefault="00460CF0" w:rsidP="008E0CD7">
            <w:pPr>
              <w:jc w:val="center"/>
              <w:rPr>
                <w:rFonts w:ascii="Arial Narrow" w:hAnsi="Arial Narrow"/>
                <w:sz w:val="20"/>
                <w:szCs w:val="20"/>
              </w:rPr>
            </w:pPr>
          </w:p>
        </w:tc>
        <w:tc>
          <w:tcPr>
            <w:tcW w:w="7745" w:type="dxa"/>
            <w:gridSpan w:val="6"/>
            <w:vAlign w:val="center"/>
          </w:tcPr>
          <w:p w14:paraId="2F9F417F" w14:textId="77777777" w:rsidR="00460CF0" w:rsidRPr="00460CF0" w:rsidRDefault="00460CF0" w:rsidP="008E0CD7">
            <w:pPr>
              <w:rPr>
                <w:rFonts w:ascii="Arial Narrow" w:hAnsi="Arial Narrow"/>
                <w:sz w:val="20"/>
                <w:szCs w:val="20"/>
              </w:rPr>
            </w:pPr>
            <w:r w:rsidRPr="00460CF0">
              <w:rPr>
                <w:rFonts w:ascii="Arial Narrow" w:hAnsi="Arial Narrow"/>
                <w:sz w:val="20"/>
                <w:szCs w:val="20"/>
              </w:rPr>
              <w:t xml:space="preserve">The treatment must not be </w:t>
            </w:r>
            <w:r w:rsidRPr="00460CF0">
              <w:rPr>
                <w:rFonts w:ascii="Arial Narrow" w:hAnsi="Arial Narrow"/>
                <w:strike/>
                <w:sz w:val="20"/>
                <w:szCs w:val="20"/>
              </w:rPr>
              <w:t>co-administered</w:t>
            </w:r>
            <w:r w:rsidRPr="00460CF0">
              <w:rPr>
                <w:rFonts w:ascii="Arial Narrow" w:hAnsi="Arial Narrow"/>
                <w:sz w:val="20"/>
                <w:szCs w:val="20"/>
              </w:rPr>
              <w:t xml:space="preserve">  </w:t>
            </w:r>
            <w:r w:rsidRPr="00460CF0">
              <w:rPr>
                <w:rFonts w:ascii="Arial Narrow" w:hAnsi="Arial Narrow"/>
                <w:i/>
                <w:iCs/>
                <w:sz w:val="20"/>
                <w:szCs w:val="20"/>
              </w:rPr>
              <w:t>in combination</w:t>
            </w:r>
            <w:r w:rsidRPr="00460CF0">
              <w:rPr>
                <w:rFonts w:ascii="Arial Narrow" w:hAnsi="Arial Narrow"/>
                <w:sz w:val="20"/>
                <w:szCs w:val="20"/>
              </w:rPr>
              <w:t xml:space="preserve"> with disopyramide.</w:t>
            </w:r>
          </w:p>
        </w:tc>
      </w:tr>
      <w:tr w:rsidR="00460CF0" w:rsidRPr="00460CF0" w14:paraId="1DB6CC17"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F833BD"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03E5B0A8" w14:textId="77777777" w:rsidR="00460CF0" w:rsidRPr="00460CF0" w:rsidRDefault="00460CF0" w:rsidP="008E0CD7">
            <w:pPr>
              <w:rPr>
                <w:rFonts w:ascii="Arial Narrow" w:hAnsi="Arial Narrow"/>
                <w:i/>
                <w:iCs/>
                <w:sz w:val="20"/>
                <w:szCs w:val="20"/>
              </w:rPr>
            </w:pPr>
            <w:r w:rsidRPr="00460CF0">
              <w:rPr>
                <w:rFonts w:ascii="Arial Narrow" w:hAnsi="Arial Narrow"/>
                <w:i/>
                <w:iCs/>
                <w:sz w:val="20"/>
                <w:szCs w:val="20"/>
              </w:rPr>
              <w:t>AND</w:t>
            </w:r>
          </w:p>
        </w:tc>
      </w:tr>
      <w:tr w:rsidR="00460CF0" w:rsidRPr="00460CF0" w14:paraId="6E34622C"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C04488"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5311D565" w14:textId="77777777" w:rsidR="00460CF0" w:rsidRPr="00460CF0" w:rsidRDefault="00460CF0" w:rsidP="008E0CD7">
            <w:pPr>
              <w:rPr>
                <w:rFonts w:ascii="Arial Narrow" w:hAnsi="Arial Narrow"/>
                <w:i/>
                <w:iCs/>
                <w:sz w:val="20"/>
                <w:szCs w:val="20"/>
              </w:rPr>
            </w:pPr>
            <w:r w:rsidRPr="00460CF0">
              <w:rPr>
                <w:rFonts w:ascii="Arial Narrow" w:hAnsi="Arial Narrow"/>
                <w:i/>
                <w:iCs/>
                <w:sz w:val="20"/>
                <w:szCs w:val="20"/>
              </w:rPr>
              <w:t xml:space="preserve">The treatment must be administered in combination with either a beta blocker </w:t>
            </w:r>
            <w:r w:rsidRPr="00310F46">
              <w:rPr>
                <w:rFonts w:ascii="Arial Narrow" w:hAnsi="Arial Narrow"/>
                <w:i/>
                <w:iCs/>
                <w:sz w:val="20"/>
                <w:szCs w:val="20"/>
              </w:rPr>
              <w:t>or a non-dihydropyridine</w:t>
            </w:r>
            <w:r w:rsidRPr="00460CF0">
              <w:rPr>
                <w:rFonts w:ascii="Arial Narrow" w:hAnsi="Arial Narrow"/>
                <w:i/>
                <w:iCs/>
                <w:sz w:val="20"/>
                <w:szCs w:val="20"/>
              </w:rPr>
              <w:t xml:space="preserve"> CCB unless intolerant or contra-indicated.</w:t>
            </w:r>
          </w:p>
        </w:tc>
      </w:tr>
      <w:tr w:rsidR="00460CF0" w:rsidRPr="00460CF0" w14:paraId="29D8BBD4"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A7340F" w14:textId="77777777" w:rsidR="00460CF0" w:rsidRPr="00460CF0" w:rsidRDefault="00460CF0" w:rsidP="008E0CD7">
            <w:pPr>
              <w:keepNext/>
              <w:jc w:val="center"/>
              <w:rPr>
                <w:rFonts w:ascii="Arial Narrow" w:hAnsi="Arial Narrow"/>
                <w:sz w:val="20"/>
                <w:szCs w:val="20"/>
              </w:rPr>
            </w:pPr>
          </w:p>
        </w:tc>
        <w:tc>
          <w:tcPr>
            <w:tcW w:w="7745" w:type="dxa"/>
            <w:gridSpan w:val="6"/>
            <w:vAlign w:val="center"/>
            <w:hideMark/>
          </w:tcPr>
          <w:p w14:paraId="2B8509E1" w14:textId="77777777" w:rsidR="00460CF0" w:rsidRPr="00460CF0" w:rsidRDefault="00460CF0" w:rsidP="008E0CD7">
            <w:pPr>
              <w:keepNext/>
              <w:rPr>
                <w:rFonts w:ascii="Arial Narrow" w:hAnsi="Arial Narrow"/>
                <w:sz w:val="20"/>
                <w:szCs w:val="20"/>
              </w:rPr>
            </w:pPr>
            <w:r w:rsidRPr="00460CF0">
              <w:rPr>
                <w:rFonts w:ascii="Arial Narrow" w:hAnsi="Arial Narrow"/>
                <w:b/>
                <w:bCs/>
                <w:sz w:val="20"/>
                <w:szCs w:val="20"/>
              </w:rPr>
              <w:t>Treatment criteria:</w:t>
            </w:r>
          </w:p>
        </w:tc>
      </w:tr>
      <w:tr w:rsidR="00460CF0" w:rsidRPr="00460CF0" w14:paraId="419D341A"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AA8B9B" w14:textId="14B2E38E" w:rsidR="00460CF0" w:rsidRPr="00460CF0" w:rsidRDefault="00460CF0" w:rsidP="008E0CD7">
            <w:pPr>
              <w:jc w:val="center"/>
              <w:rPr>
                <w:rFonts w:ascii="Arial Narrow" w:hAnsi="Arial Narrow"/>
                <w:sz w:val="20"/>
                <w:szCs w:val="20"/>
              </w:rPr>
            </w:pPr>
          </w:p>
        </w:tc>
        <w:tc>
          <w:tcPr>
            <w:tcW w:w="7745" w:type="dxa"/>
            <w:gridSpan w:val="6"/>
            <w:vAlign w:val="center"/>
            <w:hideMark/>
          </w:tcPr>
          <w:p w14:paraId="7BBAA01B" w14:textId="77777777" w:rsidR="00460CF0" w:rsidRPr="00460CF0" w:rsidRDefault="00460CF0" w:rsidP="008E0CD7">
            <w:pPr>
              <w:rPr>
                <w:rFonts w:ascii="Arial Narrow" w:hAnsi="Arial Narrow"/>
                <w:sz w:val="20"/>
                <w:szCs w:val="20"/>
              </w:rPr>
            </w:pPr>
            <w:r w:rsidRPr="00460CF0">
              <w:rPr>
                <w:rFonts w:ascii="Arial Narrow" w:hAnsi="Arial Narrow"/>
                <w:sz w:val="20"/>
                <w:szCs w:val="20"/>
              </w:rPr>
              <w:t>Must be treated by a cardiologist</w:t>
            </w:r>
            <w:r w:rsidRPr="00460CF0">
              <w:rPr>
                <w:rFonts w:ascii="Arial Narrow" w:hAnsi="Arial Narrow"/>
                <w:strike/>
                <w:sz w:val="20"/>
                <w:szCs w:val="20"/>
              </w:rPr>
              <w:t xml:space="preserve">; </w:t>
            </w:r>
          </w:p>
        </w:tc>
      </w:tr>
      <w:tr w:rsidR="00460CF0" w:rsidRPr="00460CF0" w14:paraId="2592AF73"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E4B2DF"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4EAEDE4B" w14:textId="77777777" w:rsidR="00460CF0" w:rsidRPr="00460CF0" w:rsidRDefault="00460CF0" w:rsidP="008E0CD7">
            <w:pPr>
              <w:rPr>
                <w:rFonts w:ascii="Arial Narrow" w:hAnsi="Arial Narrow" w:cs="Arial Narrow"/>
                <w:i/>
                <w:iCs/>
                <w:sz w:val="20"/>
                <w:szCs w:val="20"/>
              </w:rPr>
            </w:pPr>
            <w:r w:rsidRPr="00460CF0">
              <w:rPr>
                <w:rFonts w:ascii="Arial Narrow" w:hAnsi="Arial Narrow"/>
                <w:b/>
                <w:bCs/>
                <w:sz w:val="20"/>
                <w:szCs w:val="20"/>
              </w:rPr>
              <w:t>OR</w:t>
            </w:r>
          </w:p>
        </w:tc>
      </w:tr>
      <w:tr w:rsidR="00460CF0" w:rsidRPr="00460CF0" w14:paraId="3EA51820"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619E35" w14:textId="2DD081DF" w:rsidR="00460CF0" w:rsidRPr="00460CF0" w:rsidRDefault="00460CF0" w:rsidP="008E0CD7">
            <w:pPr>
              <w:jc w:val="center"/>
              <w:rPr>
                <w:rFonts w:ascii="Arial Narrow" w:hAnsi="Arial Narrow"/>
                <w:sz w:val="20"/>
                <w:szCs w:val="20"/>
              </w:rPr>
            </w:pPr>
          </w:p>
        </w:tc>
        <w:tc>
          <w:tcPr>
            <w:tcW w:w="7745" w:type="dxa"/>
            <w:gridSpan w:val="6"/>
            <w:vAlign w:val="center"/>
          </w:tcPr>
          <w:p w14:paraId="46FEF90C" w14:textId="77777777" w:rsidR="00460CF0" w:rsidRPr="00460CF0" w:rsidRDefault="00460CF0" w:rsidP="008E0CD7">
            <w:pPr>
              <w:rPr>
                <w:rFonts w:ascii="Arial Narrow" w:hAnsi="Arial Narrow"/>
                <w:b/>
                <w:bCs/>
                <w:sz w:val="20"/>
                <w:szCs w:val="20"/>
              </w:rPr>
            </w:pPr>
            <w:r w:rsidRPr="00460CF0">
              <w:rPr>
                <w:rFonts w:ascii="Arial Narrow" w:hAnsi="Arial Narrow"/>
                <w:sz w:val="20"/>
                <w:szCs w:val="20"/>
              </w:rPr>
              <w:t xml:space="preserve">Must be treated by a consultant physician with experience in the management of </w:t>
            </w:r>
            <w:r w:rsidRPr="00460CF0">
              <w:rPr>
                <w:rFonts w:ascii="Arial Narrow" w:hAnsi="Arial Narrow"/>
                <w:i/>
                <w:iCs/>
                <w:sz w:val="20"/>
                <w:szCs w:val="20"/>
              </w:rPr>
              <w:t xml:space="preserve">hypertrophic </w:t>
            </w:r>
            <w:r w:rsidRPr="00460CF0">
              <w:rPr>
                <w:rFonts w:ascii="Arial Narrow" w:hAnsi="Arial Narrow"/>
                <w:sz w:val="20"/>
                <w:szCs w:val="20"/>
              </w:rPr>
              <w:t>cardiomyopathy.</w:t>
            </w:r>
          </w:p>
        </w:tc>
      </w:tr>
      <w:tr w:rsidR="0003492E" w:rsidRPr="0003492E" w14:paraId="2A23D692"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3499CFF6" w14:textId="33132633" w:rsidR="0003492E" w:rsidRPr="0003492E" w:rsidRDefault="0003492E" w:rsidP="00B0163B">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CBF287" w14:textId="77777777" w:rsidR="0003492E" w:rsidRPr="0003492E" w:rsidRDefault="0003492E" w:rsidP="00B0163B">
            <w:pPr>
              <w:rPr>
                <w:rFonts w:ascii="Arial Narrow" w:hAnsi="Arial Narrow"/>
                <w:i/>
                <w:iCs/>
                <w:sz w:val="20"/>
                <w:szCs w:val="20"/>
              </w:rPr>
            </w:pPr>
            <w:r w:rsidRPr="0003492E">
              <w:rPr>
                <w:rFonts w:ascii="Arial Narrow" w:hAnsi="Arial Narrow"/>
                <w:i/>
                <w:iCs/>
                <w:sz w:val="20"/>
                <w:szCs w:val="20"/>
              </w:rPr>
              <w:t xml:space="preserve">Patient must have a documented left ventricular ejection fraction (LVEF) of greater than or equal to 55%. </w:t>
            </w:r>
          </w:p>
        </w:tc>
      </w:tr>
      <w:tr w:rsidR="00460CF0" w:rsidRPr="00460CF0" w14:paraId="5476C348"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E9B6A80"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0B519967" w14:textId="77777777" w:rsidR="00460CF0" w:rsidRPr="00460CF0" w:rsidRDefault="00460CF0" w:rsidP="008E0CD7">
            <w:pPr>
              <w:rPr>
                <w:rFonts w:ascii="Arial Narrow" w:hAnsi="Arial Narrow"/>
                <w:sz w:val="20"/>
                <w:szCs w:val="20"/>
              </w:rPr>
            </w:pPr>
          </w:p>
        </w:tc>
      </w:tr>
      <w:tr w:rsidR="00460CF0" w:rsidRPr="00460CF0" w14:paraId="7F3859F7"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2E8A34" w14:textId="77777777" w:rsidR="00460CF0" w:rsidRPr="00460CF0" w:rsidRDefault="00460CF0" w:rsidP="008E0CD7">
            <w:pPr>
              <w:jc w:val="center"/>
              <w:rPr>
                <w:rFonts w:ascii="Arial Narrow" w:hAnsi="Arial Narrow"/>
                <w:sz w:val="20"/>
                <w:szCs w:val="20"/>
              </w:rPr>
            </w:pPr>
          </w:p>
        </w:tc>
        <w:tc>
          <w:tcPr>
            <w:tcW w:w="7745" w:type="dxa"/>
            <w:gridSpan w:val="6"/>
            <w:vAlign w:val="center"/>
            <w:hideMark/>
          </w:tcPr>
          <w:p w14:paraId="7378E00D" w14:textId="77777777" w:rsidR="00460CF0" w:rsidRPr="00460CF0" w:rsidRDefault="00460CF0" w:rsidP="008E0CD7">
            <w:pPr>
              <w:rPr>
                <w:rFonts w:ascii="Arial Narrow" w:hAnsi="Arial Narrow"/>
                <w:sz w:val="20"/>
                <w:szCs w:val="20"/>
              </w:rPr>
            </w:pPr>
            <w:r w:rsidRPr="00460CF0">
              <w:rPr>
                <w:rFonts w:ascii="Arial Narrow" w:hAnsi="Arial Narrow"/>
                <w:b/>
                <w:bCs/>
                <w:sz w:val="20"/>
                <w:szCs w:val="20"/>
              </w:rPr>
              <w:t>Population criteria:</w:t>
            </w:r>
          </w:p>
        </w:tc>
      </w:tr>
      <w:tr w:rsidR="00460CF0" w:rsidRPr="00460CF0" w14:paraId="6CB5BF0C" w14:textId="77777777" w:rsidTr="00303F4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E053B0" w14:textId="00AD325F" w:rsidR="00460CF0" w:rsidRPr="00460CF0" w:rsidRDefault="00460CF0" w:rsidP="008E0CD7">
            <w:pPr>
              <w:jc w:val="center"/>
              <w:rPr>
                <w:rFonts w:ascii="Arial Narrow" w:hAnsi="Arial Narrow"/>
                <w:sz w:val="20"/>
                <w:szCs w:val="20"/>
              </w:rPr>
            </w:pPr>
          </w:p>
        </w:tc>
        <w:tc>
          <w:tcPr>
            <w:tcW w:w="7745" w:type="dxa"/>
            <w:gridSpan w:val="6"/>
            <w:vAlign w:val="center"/>
            <w:hideMark/>
          </w:tcPr>
          <w:p w14:paraId="4BF763A0" w14:textId="77777777" w:rsidR="00460CF0" w:rsidRPr="00460CF0" w:rsidRDefault="00460CF0" w:rsidP="008E0CD7">
            <w:pPr>
              <w:rPr>
                <w:rFonts w:ascii="Arial Narrow" w:hAnsi="Arial Narrow"/>
                <w:sz w:val="20"/>
                <w:szCs w:val="20"/>
              </w:rPr>
            </w:pPr>
            <w:r w:rsidRPr="00460CF0">
              <w:rPr>
                <w:rFonts w:ascii="Arial Narrow" w:hAnsi="Arial Narrow"/>
                <w:sz w:val="20"/>
                <w:szCs w:val="20"/>
              </w:rPr>
              <w:t xml:space="preserve">Patient must be </w:t>
            </w:r>
            <w:r w:rsidRPr="00460CF0">
              <w:rPr>
                <w:rFonts w:ascii="Arial Narrow" w:hAnsi="Arial Narrow"/>
                <w:i/>
                <w:iCs/>
                <w:sz w:val="20"/>
                <w:szCs w:val="20"/>
              </w:rPr>
              <w:t xml:space="preserve">at least </w:t>
            </w:r>
            <w:r w:rsidRPr="00460CF0">
              <w:rPr>
                <w:rFonts w:ascii="Arial Narrow" w:hAnsi="Arial Narrow"/>
                <w:strike/>
                <w:sz w:val="20"/>
                <w:szCs w:val="20"/>
              </w:rPr>
              <w:t>aged</w:t>
            </w:r>
            <w:r w:rsidRPr="00460CF0">
              <w:rPr>
                <w:rFonts w:ascii="Arial Narrow" w:hAnsi="Arial Narrow"/>
                <w:sz w:val="20"/>
                <w:szCs w:val="20"/>
              </w:rPr>
              <w:t xml:space="preserve"> 18 years </w:t>
            </w:r>
            <w:r w:rsidRPr="00460CF0">
              <w:rPr>
                <w:rFonts w:ascii="Arial Narrow" w:hAnsi="Arial Narrow"/>
                <w:i/>
                <w:iCs/>
                <w:sz w:val="20"/>
                <w:szCs w:val="20"/>
              </w:rPr>
              <w:t xml:space="preserve">of age </w:t>
            </w:r>
            <w:r w:rsidRPr="00460CF0">
              <w:rPr>
                <w:rFonts w:ascii="Arial Narrow" w:hAnsi="Arial Narrow"/>
                <w:strike/>
                <w:sz w:val="20"/>
                <w:szCs w:val="20"/>
              </w:rPr>
              <w:t>or older</w:t>
            </w:r>
            <w:r w:rsidRPr="00460CF0">
              <w:rPr>
                <w:rFonts w:ascii="Arial Narrow" w:hAnsi="Arial Narrow"/>
                <w:sz w:val="20"/>
                <w:szCs w:val="20"/>
              </w:rPr>
              <w:t>.</w:t>
            </w:r>
          </w:p>
        </w:tc>
      </w:tr>
      <w:tr w:rsidR="00460CF0" w:rsidRPr="00460CF0" w14:paraId="4D7D3A0E"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6F2BF8" w14:textId="77777777" w:rsidR="00460CF0" w:rsidRPr="00460CF0" w:rsidRDefault="00460CF0" w:rsidP="008E0CD7">
            <w:pPr>
              <w:jc w:val="center"/>
              <w:rPr>
                <w:rFonts w:ascii="Arial Narrow" w:hAnsi="Arial Narrow"/>
                <w:sz w:val="20"/>
                <w:szCs w:val="20"/>
              </w:rPr>
            </w:pPr>
          </w:p>
        </w:tc>
        <w:tc>
          <w:tcPr>
            <w:tcW w:w="7745" w:type="dxa"/>
            <w:gridSpan w:val="6"/>
            <w:vAlign w:val="center"/>
          </w:tcPr>
          <w:p w14:paraId="2AF67F45" w14:textId="77777777" w:rsidR="00460CF0" w:rsidRPr="00460CF0" w:rsidRDefault="00460CF0" w:rsidP="008E0CD7">
            <w:pPr>
              <w:rPr>
                <w:rFonts w:ascii="Arial Narrow" w:hAnsi="Arial Narrow"/>
                <w:sz w:val="20"/>
                <w:szCs w:val="20"/>
              </w:rPr>
            </w:pPr>
          </w:p>
        </w:tc>
      </w:tr>
      <w:tr w:rsidR="00460CF0" w:rsidRPr="00460CF0" w14:paraId="12A5E8CE" w14:textId="77777777" w:rsidTr="0003492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290992" w14:textId="0F7210B3" w:rsidR="00460CF0" w:rsidRPr="00460CF0" w:rsidRDefault="00460CF0" w:rsidP="008E0CD7">
            <w:pPr>
              <w:jc w:val="center"/>
              <w:rPr>
                <w:rFonts w:ascii="Arial Narrow" w:hAnsi="Arial Narrow"/>
                <w:sz w:val="20"/>
                <w:szCs w:val="20"/>
              </w:rPr>
            </w:pPr>
          </w:p>
        </w:tc>
        <w:tc>
          <w:tcPr>
            <w:tcW w:w="7745" w:type="dxa"/>
            <w:gridSpan w:val="6"/>
            <w:vAlign w:val="center"/>
          </w:tcPr>
          <w:p w14:paraId="396101C1" w14:textId="77777777" w:rsidR="00460CF0" w:rsidRPr="00460CF0" w:rsidRDefault="00460CF0" w:rsidP="008E0CD7">
            <w:pPr>
              <w:rPr>
                <w:rFonts w:ascii="Arial Narrow" w:hAnsi="Arial Narrow"/>
                <w:b/>
                <w:bCs/>
                <w:sz w:val="20"/>
                <w:szCs w:val="20"/>
              </w:rPr>
            </w:pPr>
            <w:r w:rsidRPr="00460CF0">
              <w:rPr>
                <w:rFonts w:ascii="Arial Narrow" w:hAnsi="Arial Narrow"/>
                <w:b/>
                <w:bCs/>
                <w:sz w:val="20"/>
                <w:szCs w:val="20"/>
              </w:rPr>
              <w:t xml:space="preserve">Administrative Advice: </w:t>
            </w:r>
          </w:p>
          <w:p w14:paraId="598D092D" w14:textId="77777777" w:rsidR="00460CF0" w:rsidRPr="00460CF0" w:rsidRDefault="00460CF0" w:rsidP="008E0CD7">
            <w:pPr>
              <w:rPr>
                <w:rFonts w:ascii="Arial Narrow" w:hAnsi="Arial Narrow"/>
                <w:sz w:val="20"/>
                <w:szCs w:val="20"/>
              </w:rPr>
            </w:pPr>
            <w:r w:rsidRPr="00460CF0">
              <w:rPr>
                <w:rFonts w:ascii="Arial Narrow" w:hAnsi="Arial Narrow" w:cs="Arial Narrow"/>
                <w:i/>
                <w:iCs/>
                <w:sz w:val="20"/>
                <w:szCs w:val="20"/>
              </w:rPr>
              <w:t>Confirmation of eligibility for treatment with diagnostic reports must be documented in the patient's medical records.</w:t>
            </w:r>
          </w:p>
        </w:tc>
      </w:tr>
      <w:tr w:rsidR="00460CF0" w:rsidRPr="008E1303" w14:paraId="55FC9CF8" w14:textId="77777777" w:rsidTr="00303F41">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01E0D811" w14:textId="25F7609F" w:rsidR="00460CF0" w:rsidRPr="006A2EA6" w:rsidRDefault="00460CF0" w:rsidP="008E0CD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hideMark/>
          </w:tcPr>
          <w:p w14:paraId="29CDC49E" w14:textId="77777777" w:rsidR="00460CF0" w:rsidRPr="006A2EA6" w:rsidRDefault="00460CF0" w:rsidP="008E0CD7">
            <w:pPr>
              <w:rPr>
                <w:rFonts w:ascii="Arial Narrow" w:hAnsi="Arial Narrow"/>
                <w:sz w:val="20"/>
                <w:szCs w:val="20"/>
              </w:rPr>
            </w:pPr>
            <w:r w:rsidRPr="006A2EA6">
              <w:rPr>
                <w:rFonts w:ascii="Arial Narrow" w:hAnsi="Arial Narrow"/>
                <w:sz w:val="20"/>
                <w:szCs w:val="20"/>
              </w:rPr>
              <w:t>Authority approval for sufficient therapy to complete the balance of supply may be requested by telephone by contacting the Department of Human Services on 1800 700 270 (hours of operation 8 a.m. to 5 p.m. EST Monday to Friday).</w:t>
            </w:r>
          </w:p>
        </w:tc>
      </w:tr>
    </w:tbl>
    <w:p w14:paraId="00F1C001" w14:textId="1AFECF94" w:rsidR="00395DAC" w:rsidRPr="009273FA" w:rsidRDefault="00827D07" w:rsidP="00A9788D">
      <w:pPr>
        <w:pStyle w:val="3-BodyText"/>
        <w:spacing w:before="240"/>
        <w:rPr>
          <w:color w:val="000000" w:themeColor="text1"/>
        </w:rPr>
      </w:pPr>
      <w:r>
        <w:rPr>
          <w:color w:val="000000" w:themeColor="text1"/>
        </w:rPr>
        <w:t xml:space="preserve">The submission proposed initial and continuing treatment criteria. </w:t>
      </w:r>
      <w:r w:rsidR="00212606">
        <w:rPr>
          <w:color w:val="000000" w:themeColor="text1"/>
        </w:rPr>
        <w:t xml:space="preserve">The </w:t>
      </w:r>
      <w:r w:rsidR="001364B6">
        <w:rPr>
          <w:color w:val="000000" w:themeColor="text1"/>
        </w:rPr>
        <w:t xml:space="preserve">submission proposed </w:t>
      </w:r>
      <w:r w:rsidR="00212606">
        <w:rPr>
          <w:color w:val="000000" w:themeColor="text1"/>
        </w:rPr>
        <w:t xml:space="preserve">a </w:t>
      </w:r>
      <w:r>
        <w:rPr>
          <w:color w:val="000000" w:themeColor="text1"/>
        </w:rPr>
        <w:t>special pricing arrangement</w:t>
      </w:r>
      <w:r w:rsidR="00212606">
        <w:rPr>
          <w:color w:val="000000" w:themeColor="text1"/>
        </w:rPr>
        <w:t xml:space="preserve"> </w:t>
      </w:r>
      <w:r w:rsidR="001364B6">
        <w:rPr>
          <w:color w:val="000000" w:themeColor="text1"/>
        </w:rPr>
        <w:t xml:space="preserve">(SPA) </w:t>
      </w:r>
      <w:r w:rsidR="00212606">
        <w:rPr>
          <w:color w:val="000000" w:themeColor="text1"/>
        </w:rPr>
        <w:t xml:space="preserve">with </w:t>
      </w:r>
      <w:r w:rsidR="001364B6">
        <w:rPr>
          <w:color w:val="000000" w:themeColor="text1"/>
        </w:rPr>
        <w:t xml:space="preserve">an </w:t>
      </w:r>
      <w:r w:rsidR="001364B6" w:rsidRPr="00CC45AF">
        <w:rPr>
          <w:color w:val="000000" w:themeColor="text1"/>
        </w:rPr>
        <w:t>effective</w:t>
      </w:r>
      <w:r w:rsidR="001364B6" w:rsidRPr="00F72968">
        <w:rPr>
          <w:iCs/>
          <w:color w:val="000000" w:themeColor="text1"/>
        </w:rPr>
        <w:t xml:space="preserve"> </w:t>
      </w:r>
      <w:r w:rsidR="00CC45AF" w:rsidRPr="00ED0301">
        <w:rPr>
          <w:color w:val="000000" w:themeColor="text1"/>
        </w:rPr>
        <w:t>dispensed price for maximum quantity</w:t>
      </w:r>
      <w:r w:rsidR="00CC45AF">
        <w:rPr>
          <w:color w:val="000000" w:themeColor="text1"/>
        </w:rPr>
        <w:t xml:space="preserve"> (</w:t>
      </w:r>
      <w:r w:rsidR="0016392D">
        <w:rPr>
          <w:color w:val="000000" w:themeColor="text1"/>
        </w:rPr>
        <w:t>DPMQ</w:t>
      </w:r>
      <w:r w:rsidR="00CC45AF">
        <w:rPr>
          <w:color w:val="000000" w:themeColor="text1"/>
        </w:rPr>
        <w:t>)</w:t>
      </w:r>
      <w:r w:rsidR="001364B6">
        <w:rPr>
          <w:color w:val="000000" w:themeColor="text1"/>
        </w:rPr>
        <w:t xml:space="preserve"> of $</w:t>
      </w:r>
      <w:r w:rsidR="00414250" w:rsidRPr="00645E50">
        <w:rPr>
          <w:color w:val="000000" w:themeColor="text1"/>
          <w:w w:val="15"/>
          <w:shd w:val="solid" w:color="000000" w:fill="000000"/>
          <w:fitText w:val="-20" w:id="-1305208576"/>
          <w14:textFill>
            <w14:solidFill>
              <w14:schemeClr w14:val="tx1">
                <w14:alpha w14:val="100000"/>
              </w14:schemeClr>
            </w14:solidFill>
          </w14:textFill>
        </w:rPr>
        <w:t xml:space="preserve">|  </w:t>
      </w:r>
      <w:r w:rsidR="00414250" w:rsidRPr="00645E50">
        <w:rPr>
          <w:color w:val="000000" w:themeColor="text1"/>
          <w:spacing w:val="-69"/>
          <w:w w:val="15"/>
          <w:shd w:val="solid" w:color="000000" w:fill="000000"/>
          <w:fitText w:val="-20" w:id="-1305208576"/>
          <w14:textFill>
            <w14:solidFill>
              <w14:schemeClr w14:val="tx1">
                <w14:alpha w14:val="100000"/>
              </w14:schemeClr>
            </w14:solidFill>
          </w14:textFill>
        </w:rPr>
        <w:t>|</w:t>
      </w:r>
      <w:r w:rsidR="001364B6">
        <w:rPr>
          <w:color w:val="000000" w:themeColor="text1"/>
        </w:rPr>
        <w:t xml:space="preserve"> </w:t>
      </w:r>
      <w:r w:rsidR="009656F3">
        <w:rPr>
          <w:color w:val="000000" w:themeColor="text1"/>
        </w:rPr>
        <w:t xml:space="preserve">and a </w:t>
      </w:r>
      <w:r w:rsidR="001364B6">
        <w:rPr>
          <w:color w:val="000000" w:themeColor="text1"/>
        </w:rPr>
        <w:t xml:space="preserve">published </w:t>
      </w:r>
      <w:r w:rsidR="0016392D">
        <w:rPr>
          <w:color w:val="000000" w:themeColor="text1"/>
        </w:rPr>
        <w:t>DPMQ</w:t>
      </w:r>
      <w:r w:rsidR="001364B6">
        <w:rPr>
          <w:color w:val="000000" w:themeColor="text1"/>
        </w:rPr>
        <w:t xml:space="preserve"> </w:t>
      </w:r>
      <w:r w:rsidR="009656F3">
        <w:rPr>
          <w:color w:val="000000" w:themeColor="text1"/>
        </w:rPr>
        <w:t xml:space="preserve">of </w:t>
      </w:r>
      <w:r w:rsidR="001364B6">
        <w:rPr>
          <w:color w:val="000000" w:themeColor="text1"/>
        </w:rPr>
        <w:t>$</w:t>
      </w:r>
      <w:r w:rsidR="001364B6" w:rsidRPr="005D54C9">
        <w:rPr>
          <w:color w:val="000000" w:themeColor="text1"/>
        </w:rPr>
        <w:t>2,321.92</w:t>
      </w:r>
      <w:r w:rsidR="001364B6">
        <w:rPr>
          <w:color w:val="000000" w:themeColor="text1"/>
        </w:rPr>
        <w:t>.</w:t>
      </w:r>
      <w:r>
        <w:rPr>
          <w:color w:val="000000" w:themeColor="text1"/>
        </w:rPr>
        <w:t xml:space="preserve"> </w:t>
      </w:r>
    </w:p>
    <w:p w14:paraId="303F5C11" w14:textId="3AB15A01" w:rsidR="003807CC" w:rsidRPr="00C25218" w:rsidRDefault="00C1688D" w:rsidP="00F24234">
      <w:pPr>
        <w:pStyle w:val="3-BodyText"/>
      </w:pPr>
      <w:bookmarkStart w:id="11" w:name="_Ref116115246"/>
      <w:r w:rsidRPr="00885192">
        <w:rPr>
          <w:color w:val="000000" w:themeColor="text1"/>
        </w:rPr>
        <w:t xml:space="preserve">The proposed </w:t>
      </w:r>
      <w:r w:rsidR="00266D1A" w:rsidRPr="00885192">
        <w:rPr>
          <w:color w:val="000000" w:themeColor="text1"/>
        </w:rPr>
        <w:t xml:space="preserve">PBS </w:t>
      </w:r>
      <w:r w:rsidRPr="00885192">
        <w:rPr>
          <w:color w:val="000000" w:themeColor="text1"/>
        </w:rPr>
        <w:t>restriction</w:t>
      </w:r>
      <w:r w:rsidR="0010658F" w:rsidRPr="00885192">
        <w:rPr>
          <w:color w:val="000000" w:themeColor="text1"/>
        </w:rPr>
        <w:t xml:space="preserve"> for mavacamten</w:t>
      </w:r>
      <w:r w:rsidRPr="00885192">
        <w:rPr>
          <w:color w:val="000000" w:themeColor="text1"/>
        </w:rPr>
        <w:t xml:space="preserve"> is broader than the inclusion criteria in the </w:t>
      </w:r>
      <w:r w:rsidRPr="008D7B88">
        <w:t xml:space="preserve">key clinical trial (EXPLORER-HCM). The </w:t>
      </w:r>
      <w:r w:rsidR="00BC1A7F" w:rsidRPr="008D7B88">
        <w:t xml:space="preserve">proposed </w:t>
      </w:r>
      <w:r w:rsidRPr="008D7B88">
        <w:t xml:space="preserve">restriction </w:t>
      </w:r>
      <w:r w:rsidR="00BC1A7F" w:rsidRPr="008D7B88">
        <w:t>limits eligibility to</w:t>
      </w:r>
      <w:r w:rsidRPr="008D7B88">
        <w:t xml:space="preserve"> patients with a peak LVOT gradient of ≥</w:t>
      </w:r>
      <w:r w:rsidR="009554BD">
        <w:t> </w:t>
      </w:r>
      <w:r w:rsidRPr="008D7B88">
        <w:t>30</w:t>
      </w:r>
      <w:r w:rsidR="009554BD">
        <w:t> </w:t>
      </w:r>
      <w:r w:rsidRPr="008D7B88">
        <w:t>mmHg at rest,</w:t>
      </w:r>
      <w:r w:rsidR="00D362DE" w:rsidRPr="008D7B88">
        <w:t xml:space="preserve"> </w:t>
      </w:r>
      <w:r w:rsidR="00D362DE" w:rsidRPr="008D7B88">
        <w:rPr>
          <w:iCs/>
        </w:rPr>
        <w:t xml:space="preserve">after Valsalva </w:t>
      </w:r>
      <w:r w:rsidR="0029036B" w:rsidRPr="008D7B88">
        <w:rPr>
          <w:iCs/>
        </w:rPr>
        <w:t>manoeuvre</w:t>
      </w:r>
      <w:r w:rsidR="0029036B" w:rsidRPr="008D7B88">
        <w:t xml:space="preserve"> </w:t>
      </w:r>
      <w:r w:rsidR="00D362DE" w:rsidRPr="008D7B88">
        <w:rPr>
          <w:iCs/>
        </w:rPr>
        <w:t>or exercise,</w:t>
      </w:r>
      <w:r w:rsidRPr="008D7B88">
        <w:t xml:space="preserve"> whereas </w:t>
      </w:r>
      <w:r w:rsidR="00E24D0D" w:rsidRPr="008D7B88">
        <w:t xml:space="preserve">patients in </w:t>
      </w:r>
      <w:r w:rsidRPr="008D7B88">
        <w:t xml:space="preserve">the trial </w:t>
      </w:r>
      <w:r w:rsidR="00E24D0D" w:rsidRPr="008D7B88">
        <w:t>had</w:t>
      </w:r>
      <w:r w:rsidRPr="008D7B88">
        <w:t xml:space="preserve"> a peak LVOT of ≥</w:t>
      </w:r>
      <w:r w:rsidR="009554BD">
        <w:t> </w:t>
      </w:r>
      <w:r w:rsidRPr="008D7B88">
        <w:t>50</w:t>
      </w:r>
      <w:r w:rsidR="009554BD">
        <w:t> </w:t>
      </w:r>
      <w:r w:rsidRPr="008D7B88">
        <w:t>mmHg at rest</w:t>
      </w:r>
      <w:r w:rsidR="00D362DE" w:rsidRPr="008D7B88">
        <w:t>,</w:t>
      </w:r>
      <w:r w:rsidR="00D362DE" w:rsidRPr="008D7B88">
        <w:rPr>
          <w:iCs/>
        </w:rPr>
        <w:t xml:space="preserve"> after Valsalva </w:t>
      </w:r>
      <w:r w:rsidR="0029036B" w:rsidRPr="008D7B88">
        <w:rPr>
          <w:iCs/>
        </w:rPr>
        <w:t>manoeuvre</w:t>
      </w:r>
      <w:r w:rsidR="0029036B" w:rsidRPr="008D7B88">
        <w:t xml:space="preserve"> </w:t>
      </w:r>
      <w:r w:rsidR="00D362DE" w:rsidRPr="008D7B88">
        <w:rPr>
          <w:iCs/>
        </w:rPr>
        <w:t>or exercise</w:t>
      </w:r>
      <w:r w:rsidRPr="008D7B88">
        <w:t>.</w:t>
      </w:r>
      <w:r w:rsidR="001F6BFB" w:rsidRPr="008D7B88">
        <w:t xml:space="preserve"> </w:t>
      </w:r>
      <w:r w:rsidR="00E24D0D" w:rsidRPr="00907988">
        <w:t xml:space="preserve">The former population includes those with milder disease; the latter </w:t>
      </w:r>
      <w:r w:rsidR="00ED0301" w:rsidRPr="00907988">
        <w:rPr>
          <w:iCs/>
        </w:rPr>
        <w:t>may be</w:t>
      </w:r>
      <w:r w:rsidR="00ED0301" w:rsidRPr="00907988">
        <w:t xml:space="preserve"> </w:t>
      </w:r>
      <w:r w:rsidR="00E24D0D" w:rsidRPr="00907988">
        <w:t xml:space="preserve">indicated for </w:t>
      </w:r>
      <w:r w:rsidR="00ED0301" w:rsidRPr="00907988">
        <w:rPr>
          <w:iCs/>
        </w:rPr>
        <w:t>a surgical or percutaneous procedure, septal reduction therapy (SRT)</w:t>
      </w:r>
      <w:r w:rsidR="00E24D0D" w:rsidRPr="00907988">
        <w:t xml:space="preserve">. </w:t>
      </w:r>
      <w:r w:rsidR="001F6BFB" w:rsidRPr="008D7B88">
        <w:t xml:space="preserve">It is unclear </w:t>
      </w:r>
      <w:r w:rsidR="001F6BFB" w:rsidRPr="00885192">
        <w:rPr>
          <w:color w:val="000000" w:themeColor="text1"/>
        </w:rPr>
        <w:t>what proportion of patients</w:t>
      </w:r>
      <w:r w:rsidR="00DB3F05" w:rsidRPr="00885192">
        <w:rPr>
          <w:color w:val="000000" w:themeColor="text1"/>
        </w:rPr>
        <w:t xml:space="preserve"> in Australia</w:t>
      </w:r>
      <w:r w:rsidR="001F6BFB" w:rsidRPr="00885192">
        <w:rPr>
          <w:color w:val="000000" w:themeColor="text1"/>
        </w:rPr>
        <w:t xml:space="preserve"> </w:t>
      </w:r>
      <w:r w:rsidR="00DB3F05" w:rsidRPr="00885192">
        <w:rPr>
          <w:color w:val="000000" w:themeColor="text1"/>
        </w:rPr>
        <w:t>ha</w:t>
      </w:r>
      <w:r w:rsidR="00CE6B8B" w:rsidRPr="00885192">
        <w:rPr>
          <w:color w:val="000000" w:themeColor="text1"/>
        </w:rPr>
        <w:t>ve</w:t>
      </w:r>
      <w:r w:rsidR="001F6BFB" w:rsidRPr="00885192">
        <w:rPr>
          <w:color w:val="000000" w:themeColor="text1"/>
        </w:rPr>
        <w:t xml:space="preserve"> a peak LVOT</w:t>
      </w:r>
      <w:r w:rsidR="00CC45AF">
        <w:rPr>
          <w:color w:val="000000" w:themeColor="text1"/>
        </w:rPr>
        <w:t xml:space="preserve"> </w:t>
      </w:r>
      <w:r w:rsidR="00CC45AF" w:rsidRPr="00F72968">
        <w:rPr>
          <w:iCs/>
          <w:color w:val="000000" w:themeColor="text1"/>
        </w:rPr>
        <w:t>gradient</w:t>
      </w:r>
      <w:r w:rsidR="001F6BFB" w:rsidRPr="00885192">
        <w:rPr>
          <w:color w:val="000000" w:themeColor="text1"/>
        </w:rPr>
        <w:t xml:space="preserve"> </w:t>
      </w:r>
      <w:r w:rsidR="00CE5FDE" w:rsidRPr="00885192">
        <w:rPr>
          <w:color w:val="000000" w:themeColor="text1"/>
        </w:rPr>
        <w:t xml:space="preserve">of </w:t>
      </w:r>
      <w:r w:rsidR="001F6BFB" w:rsidRPr="00885192">
        <w:rPr>
          <w:color w:val="000000" w:themeColor="text1"/>
        </w:rPr>
        <w:t>30</w:t>
      </w:r>
      <w:r w:rsidR="00BC1A7F" w:rsidRPr="00885192">
        <w:rPr>
          <w:rFonts w:cstheme="minorHAnsi"/>
          <w:color w:val="000000" w:themeColor="text1"/>
        </w:rPr>
        <w:t>−</w:t>
      </w:r>
      <w:r w:rsidR="00CE5FDE" w:rsidRPr="00885192">
        <w:rPr>
          <w:color w:val="000000" w:themeColor="text1"/>
        </w:rPr>
        <w:t>49</w:t>
      </w:r>
      <w:r w:rsidR="009554BD">
        <w:rPr>
          <w:color w:val="000000" w:themeColor="text1"/>
        </w:rPr>
        <w:t> </w:t>
      </w:r>
      <w:r w:rsidR="001F6BFB" w:rsidRPr="00885192">
        <w:rPr>
          <w:color w:val="000000" w:themeColor="text1"/>
        </w:rPr>
        <w:t>mmHg at rest.</w:t>
      </w:r>
      <w:r w:rsidR="00633D55" w:rsidRPr="00F72968">
        <w:rPr>
          <w:iCs/>
        </w:rPr>
        <w:t xml:space="preserve"> The </w:t>
      </w:r>
      <w:r w:rsidR="00DE2F85">
        <w:rPr>
          <w:iCs/>
        </w:rPr>
        <w:t>Pre-Sub-Committee Response (</w:t>
      </w:r>
      <w:r w:rsidR="00633D55" w:rsidRPr="00F72968">
        <w:rPr>
          <w:iCs/>
        </w:rPr>
        <w:t>PSCR</w:t>
      </w:r>
      <w:r w:rsidR="00DE2F85">
        <w:rPr>
          <w:iCs/>
        </w:rPr>
        <w:t>)</w:t>
      </w:r>
      <w:r w:rsidR="00633D55" w:rsidRPr="00F72968">
        <w:rPr>
          <w:iCs/>
        </w:rPr>
        <w:t xml:space="preserve"> </w:t>
      </w:r>
      <w:r w:rsidR="009D6CCE" w:rsidRPr="00F72968">
        <w:rPr>
          <w:iCs/>
        </w:rPr>
        <w:lastRenderedPageBreak/>
        <w:t xml:space="preserve">maintained </w:t>
      </w:r>
      <w:r w:rsidR="00063B0A" w:rsidRPr="00F72968">
        <w:rPr>
          <w:iCs/>
        </w:rPr>
        <w:t xml:space="preserve">that a </w:t>
      </w:r>
      <w:r w:rsidR="009D6CCE" w:rsidRPr="00F72968">
        <w:rPr>
          <w:rFonts w:ascii="Calibri" w:hAnsi="Calibri"/>
          <w:iCs/>
          <w:snapToGrid/>
        </w:rPr>
        <w:t xml:space="preserve">peak LVOT gradient </w:t>
      </w:r>
      <w:r w:rsidR="009554BD" w:rsidRPr="00F72968">
        <w:rPr>
          <w:rFonts w:ascii="Calibri" w:hAnsi="Calibri"/>
          <w:iCs/>
          <w:snapToGrid/>
        </w:rPr>
        <w:t>≥</w:t>
      </w:r>
      <w:r w:rsidR="009554BD">
        <w:rPr>
          <w:rFonts w:ascii="Calibri" w:hAnsi="Calibri"/>
          <w:iCs/>
          <w:snapToGrid/>
        </w:rPr>
        <w:t> </w:t>
      </w:r>
      <w:r w:rsidR="009D6CCE" w:rsidRPr="00F72968">
        <w:rPr>
          <w:rFonts w:ascii="Calibri" w:hAnsi="Calibri"/>
          <w:iCs/>
          <w:snapToGrid/>
        </w:rPr>
        <w:t>30</w:t>
      </w:r>
      <w:r w:rsidR="009554BD">
        <w:rPr>
          <w:rFonts w:ascii="Calibri" w:hAnsi="Calibri"/>
          <w:iCs/>
          <w:snapToGrid/>
        </w:rPr>
        <w:t> </w:t>
      </w:r>
      <w:r w:rsidR="009D6CCE" w:rsidRPr="00F72968">
        <w:rPr>
          <w:rFonts w:ascii="Calibri" w:hAnsi="Calibri"/>
          <w:iCs/>
          <w:snapToGrid/>
        </w:rPr>
        <w:t xml:space="preserve">mmHg </w:t>
      </w:r>
      <w:r w:rsidR="00063B0A" w:rsidRPr="00F72968">
        <w:rPr>
          <w:rFonts w:ascii="Calibri" w:hAnsi="Calibri"/>
          <w:iCs/>
          <w:snapToGrid/>
        </w:rPr>
        <w:t>(</w:t>
      </w:r>
      <w:r w:rsidR="009D6CCE" w:rsidRPr="00F72968">
        <w:rPr>
          <w:rFonts w:ascii="Calibri" w:hAnsi="Calibri"/>
          <w:iCs/>
          <w:snapToGrid/>
        </w:rPr>
        <w:t xml:space="preserve">rest, after Valsalva </w:t>
      </w:r>
      <w:r w:rsidR="0029036B" w:rsidRPr="00F72968">
        <w:rPr>
          <w:iCs/>
          <w:color w:val="333333"/>
        </w:rPr>
        <w:t>manoeuvre</w:t>
      </w:r>
      <w:r w:rsidR="0029036B" w:rsidRPr="00975D61">
        <w:rPr>
          <w:color w:val="333333"/>
        </w:rPr>
        <w:t xml:space="preserve"> </w:t>
      </w:r>
      <w:r w:rsidR="009D6CCE" w:rsidRPr="00F72968">
        <w:rPr>
          <w:rFonts w:ascii="Calibri" w:hAnsi="Calibri"/>
          <w:iCs/>
          <w:snapToGrid/>
        </w:rPr>
        <w:t>or post-exercise</w:t>
      </w:r>
      <w:r w:rsidR="00063B0A" w:rsidRPr="00F72968">
        <w:rPr>
          <w:rFonts w:ascii="Calibri" w:hAnsi="Calibri"/>
          <w:iCs/>
          <w:snapToGrid/>
        </w:rPr>
        <w:t>)</w:t>
      </w:r>
      <w:r w:rsidR="009D6CCE" w:rsidRPr="00F72968">
        <w:rPr>
          <w:rFonts w:ascii="Calibri" w:hAnsi="Calibri"/>
          <w:iCs/>
          <w:snapToGrid/>
        </w:rPr>
        <w:t xml:space="preserve"> </w:t>
      </w:r>
      <w:r w:rsidR="009D6CCE" w:rsidRPr="00F72968">
        <w:rPr>
          <w:iCs/>
        </w:rPr>
        <w:t xml:space="preserve">is </w:t>
      </w:r>
      <w:r w:rsidR="00C6690C" w:rsidRPr="00F72968">
        <w:rPr>
          <w:iCs/>
        </w:rPr>
        <w:t>an</w:t>
      </w:r>
      <w:r w:rsidR="009D6CCE" w:rsidRPr="00F72968">
        <w:rPr>
          <w:iCs/>
        </w:rPr>
        <w:t xml:space="preserve"> appropriate </w:t>
      </w:r>
      <w:r w:rsidR="00C6690C" w:rsidRPr="00F72968">
        <w:rPr>
          <w:iCs/>
        </w:rPr>
        <w:t>threshold</w:t>
      </w:r>
      <w:r w:rsidR="009D6CCE" w:rsidRPr="00F72968">
        <w:rPr>
          <w:iCs/>
        </w:rPr>
        <w:t xml:space="preserve"> for determining </w:t>
      </w:r>
      <w:r w:rsidR="005E2A00" w:rsidRPr="00F72968">
        <w:rPr>
          <w:iCs/>
        </w:rPr>
        <w:t xml:space="preserve">treatment </w:t>
      </w:r>
      <w:r w:rsidR="009D6CCE" w:rsidRPr="00F72968">
        <w:rPr>
          <w:iCs/>
        </w:rPr>
        <w:t xml:space="preserve">eligibility and </w:t>
      </w:r>
      <w:r w:rsidR="004E0261" w:rsidRPr="00F72968">
        <w:rPr>
          <w:iCs/>
        </w:rPr>
        <w:t>considered</w:t>
      </w:r>
      <w:r w:rsidR="009D6CCE" w:rsidRPr="00F72968">
        <w:rPr>
          <w:iCs/>
        </w:rPr>
        <w:t xml:space="preserve"> </w:t>
      </w:r>
      <w:r w:rsidR="00894640" w:rsidRPr="00F72968">
        <w:rPr>
          <w:iCs/>
        </w:rPr>
        <w:t>th</w:t>
      </w:r>
      <w:r w:rsidR="004E0261" w:rsidRPr="00F72968">
        <w:rPr>
          <w:iCs/>
        </w:rPr>
        <w:t>is</w:t>
      </w:r>
      <w:r w:rsidR="00894640" w:rsidRPr="00F72968">
        <w:rPr>
          <w:iCs/>
        </w:rPr>
        <w:t xml:space="preserve"> threshold in</w:t>
      </w:r>
      <w:r w:rsidR="00C6690C" w:rsidRPr="00F72968">
        <w:rPr>
          <w:iCs/>
        </w:rPr>
        <w:t xml:space="preserve"> keeping</w:t>
      </w:r>
      <w:r w:rsidR="009D6CCE" w:rsidRPr="00F72968">
        <w:rPr>
          <w:iCs/>
        </w:rPr>
        <w:t xml:space="preserve"> with international clinical practice guidelines</w:t>
      </w:r>
      <w:r w:rsidR="009D6CCE" w:rsidRPr="00F72968">
        <w:rPr>
          <w:rStyle w:val="FootnoteReference"/>
          <w:iCs/>
          <w:color w:val="000000" w:themeColor="text1"/>
        </w:rPr>
        <w:footnoteReference w:id="1"/>
      </w:r>
      <w:r w:rsidR="009D6CCE" w:rsidRPr="00F72968">
        <w:rPr>
          <w:iCs/>
        </w:rPr>
        <w:t xml:space="preserve"> and Australian clinical practice.</w:t>
      </w:r>
      <w:r w:rsidR="00C6690C" w:rsidRPr="00F72968">
        <w:rPr>
          <w:iCs/>
        </w:rPr>
        <w:t xml:space="preserve"> </w:t>
      </w:r>
      <w:r w:rsidR="005E2A00" w:rsidRPr="00F72968">
        <w:rPr>
          <w:iCs/>
        </w:rPr>
        <w:t xml:space="preserve">The PSCR </w:t>
      </w:r>
      <w:r w:rsidR="00894640" w:rsidRPr="00F72968">
        <w:rPr>
          <w:iCs/>
        </w:rPr>
        <w:t>highlighted the</w:t>
      </w:r>
      <w:r w:rsidR="005E2A00" w:rsidRPr="00F72968">
        <w:rPr>
          <w:iCs/>
        </w:rPr>
        <w:t xml:space="preserve"> variability in peak </w:t>
      </w:r>
      <w:r w:rsidR="00602BF4" w:rsidRPr="00F72968">
        <w:rPr>
          <w:iCs/>
        </w:rPr>
        <w:t xml:space="preserve">LVOT </w:t>
      </w:r>
      <w:r w:rsidR="005E2A00" w:rsidRPr="00F72968">
        <w:rPr>
          <w:iCs/>
        </w:rPr>
        <w:t xml:space="preserve">gradients observed </w:t>
      </w:r>
      <w:r w:rsidR="00066BDD" w:rsidRPr="00F72968">
        <w:rPr>
          <w:iCs/>
        </w:rPr>
        <w:t>across the three</w:t>
      </w:r>
      <w:r w:rsidR="005E2A00" w:rsidRPr="00F72968">
        <w:rPr>
          <w:iCs/>
        </w:rPr>
        <w:t xml:space="preserve"> </w:t>
      </w:r>
      <w:r w:rsidR="00066BDD" w:rsidRPr="00F72968">
        <w:rPr>
          <w:iCs/>
        </w:rPr>
        <w:t xml:space="preserve">measurements taken at baseline of the EXPLORER-HCM trial </w:t>
      </w:r>
      <w:r w:rsidR="00063B0A" w:rsidRPr="00F72968">
        <w:rPr>
          <w:iCs/>
        </w:rPr>
        <w:t>and that</w:t>
      </w:r>
      <w:r w:rsidR="00066BDD" w:rsidRPr="00F72968">
        <w:rPr>
          <w:iCs/>
        </w:rPr>
        <w:t xml:space="preserve"> a </w:t>
      </w:r>
      <w:r w:rsidR="005E2A00" w:rsidRPr="00F72968">
        <w:rPr>
          <w:iCs/>
        </w:rPr>
        <w:t xml:space="preserve">proportion of patients had a peak LVOT gradient </w:t>
      </w:r>
      <w:r w:rsidR="001D5C3D" w:rsidRPr="00F72968">
        <w:rPr>
          <w:iCs/>
        </w:rPr>
        <w:t>&lt;</w:t>
      </w:r>
      <w:r w:rsidR="001D5C3D">
        <w:rPr>
          <w:iCs/>
        </w:rPr>
        <w:t> </w:t>
      </w:r>
      <w:r w:rsidR="001D5C3D" w:rsidRPr="00F72968">
        <w:rPr>
          <w:iCs/>
        </w:rPr>
        <w:t>50</w:t>
      </w:r>
      <w:r w:rsidR="001D5C3D">
        <w:rPr>
          <w:iCs/>
        </w:rPr>
        <w:t> </w:t>
      </w:r>
      <w:r w:rsidR="001D5C3D" w:rsidRPr="00F72968">
        <w:rPr>
          <w:iCs/>
        </w:rPr>
        <w:t>mm</w:t>
      </w:r>
      <w:r w:rsidR="001D5C3D">
        <w:rPr>
          <w:iCs/>
        </w:rPr>
        <w:t> </w:t>
      </w:r>
      <w:r w:rsidR="005E2A00" w:rsidRPr="00F72968">
        <w:rPr>
          <w:iCs/>
        </w:rPr>
        <w:t>Hg</w:t>
      </w:r>
      <w:r w:rsidR="00257BF3" w:rsidRPr="00F72968">
        <w:rPr>
          <w:iCs/>
        </w:rPr>
        <w:t xml:space="preserve"> (Valsalva </w:t>
      </w:r>
      <w:r w:rsidR="00257BF3" w:rsidRPr="00F72968">
        <w:rPr>
          <w:iCs/>
          <w:color w:val="333333"/>
        </w:rPr>
        <w:t>manoeuvre)</w:t>
      </w:r>
      <w:r w:rsidR="005E2A00" w:rsidRPr="00F72968">
        <w:rPr>
          <w:iCs/>
        </w:rPr>
        <w:t xml:space="preserve"> at baseline.</w:t>
      </w:r>
      <w:r w:rsidR="00894640" w:rsidRPr="00F72968">
        <w:rPr>
          <w:iCs/>
        </w:rPr>
        <w:t xml:space="preserve"> </w:t>
      </w:r>
      <w:bookmarkEnd w:id="11"/>
      <w:r w:rsidR="00C25218" w:rsidRPr="00F72968">
        <w:rPr>
          <w:iCs/>
          <w:color w:val="000000" w:themeColor="text1"/>
        </w:rPr>
        <w:t xml:space="preserve">The ESC agreed </w:t>
      </w:r>
      <w:r w:rsidR="003807CC" w:rsidRPr="00F72968">
        <w:rPr>
          <w:iCs/>
          <w:color w:val="000000" w:themeColor="text1"/>
        </w:rPr>
        <w:t xml:space="preserve">that peak LVOT gradient is a highly variable measure of </w:t>
      </w:r>
      <w:r w:rsidR="00C25218" w:rsidRPr="00F72968">
        <w:rPr>
          <w:iCs/>
          <w:color w:val="000000" w:themeColor="text1"/>
        </w:rPr>
        <w:t xml:space="preserve">disease severity and </w:t>
      </w:r>
      <w:r w:rsidR="004E0261" w:rsidRPr="00F72968">
        <w:rPr>
          <w:iCs/>
          <w:color w:val="000000" w:themeColor="text1"/>
        </w:rPr>
        <w:t>considered</w:t>
      </w:r>
      <w:r w:rsidR="00C25218" w:rsidRPr="00F72968">
        <w:rPr>
          <w:iCs/>
          <w:color w:val="000000" w:themeColor="text1"/>
        </w:rPr>
        <w:t xml:space="preserve"> that different readings can be obtained from the same patient </w:t>
      </w:r>
      <w:r w:rsidR="00602BF4" w:rsidRPr="00F72968">
        <w:rPr>
          <w:iCs/>
          <w:color w:val="000000" w:themeColor="text1"/>
        </w:rPr>
        <w:t xml:space="preserve">over </w:t>
      </w:r>
      <w:r w:rsidR="00C25218" w:rsidRPr="00F72968">
        <w:rPr>
          <w:iCs/>
          <w:color w:val="000000" w:themeColor="text1"/>
        </w:rPr>
        <w:t xml:space="preserve">a </w:t>
      </w:r>
      <w:r w:rsidR="00602BF4" w:rsidRPr="00F72968">
        <w:rPr>
          <w:iCs/>
          <w:color w:val="000000" w:themeColor="text1"/>
        </w:rPr>
        <w:t xml:space="preserve">relatively </w:t>
      </w:r>
      <w:r w:rsidR="00C25218" w:rsidRPr="00F72968">
        <w:rPr>
          <w:iCs/>
          <w:color w:val="000000" w:themeColor="text1"/>
        </w:rPr>
        <w:t xml:space="preserve">short period of time. Therefore, the ESC considered </w:t>
      </w:r>
      <w:r w:rsidR="00B13091" w:rsidRPr="00F72968">
        <w:rPr>
          <w:iCs/>
          <w:color w:val="000000" w:themeColor="text1"/>
        </w:rPr>
        <w:t>there was a high risk of</w:t>
      </w:r>
      <w:r w:rsidR="00C25218" w:rsidRPr="00F72968">
        <w:rPr>
          <w:iCs/>
          <w:color w:val="000000" w:themeColor="text1"/>
        </w:rPr>
        <w:t xml:space="preserve"> </w:t>
      </w:r>
      <w:r w:rsidR="00CE28AA" w:rsidRPr="00F72968">
        <w:rPr>
          <w:iCs/>
          <w:color w:val="000000" w:themeColor="text1"/>
        </w:rPr>
        <w:t>use in</w:t>
      </w:r>
      <w:r w:rsidR="00C25218" w:rsidRPr="00F72968">
        <w:rPr>
          <w:iCs/>
          <w:color w:val="000000" w:themeColor="text1"/>
        </w:rPr>
        <w:t xml:space="preserve"> </w:t>
      </w:r>
      <w:r w:rsidR="00C25218" w:rsidRPr="00F72968">
        <w:rPr>
          <w:iCs/>
        </w:rPr>
        <w:t>patients with less severe disease</w:t>
      </w:r>
      <w:r w:rsidR="00B13091" w:rsidRPr="00F72968">
        <w:rPr>
          <w:iCs/>
        </w:rPr>
        <w:t xml:space="preserve"> not reflected in the key trial. </w:t>
      </w:r>
      <w:r w:rsidR="00F24234">
        <w:rPr>
          <w:iCs/>
        </w:rPr>
        <w:t xml:space="preserve">The pre-PBAC response maintained </w:t>
      </w:r>
      <w:r w:rsidR="00F24234" w:rsidRPr="009149CB">
        <w:rPr>
          <w:iCs/>
        </w:rPr>
        <w:t xml:space="preserve">that </w:t>
      </w:r>
      <w:r w:rsidR="00F24234">
        <w:rPr>
          <w:iCs/>
        </w:rPr>
        <w:t>the</w:t>
      </w:r>
      <w:r w:rsidR="00F24234" w:rsidRPr="009149CB">
        <w:rPr>
          <w:iCs/>
        </w:rPr>
        <w:t xml:space="preserve"> cut-off value of </w:t>
      </w:r>
      <w:r w:rsidR="009554BD" w:rsidRPr="009149CB">
        <w:rPr>
          <w:iCs/>
        </w:rPr>
        <w:t>≥</w:t>
      </w:r>
      <w:r w:rsidR="009554BD">
        <w:rPr>
          <w:iCs/>
        </w:rPr>
        <w:t> </w:t>
      </w:r>
      <w:r w:rsidR="00F24234" w:rsidRPr="009149CB">
        <w:rPr>
          <w:iCs/>
        </w:rPr>
        <w:t>30</w:t>
      </w:r>
      <w:r w:rsidR="009554BD">
        <w:rPr>
          <w:iCs/>
        </w:rPr>
        <w:t> </w:t>
      </w:r>
      <w:r w:rsidR="00F24234" w:rsidRPr="009149CB">
        <w:rPr>
          <w:iCs/>
        </w:rPr>
        <w:t>mm</w:t>
      </w:r>
      <w:r w:rsidR="009554BD">
        <w:rPr>
          <w:iCs/>
        </w:rPr>
        <w:t> </w:t>
      </w:r>
      <w:r w:rsidR="00F24234" w:rsidRPr="009149CB">
        <w:rPr>
          <w:iCs/>
        </w:rPr>
        <w:t>Hg is the most appropriate for determining eligibility on the PBS.</w:t>
      </w:r>
      <w:r w:rsidR="00F24234">
        <w:rPr>
          <w:iCs/>
        </w:rPr>
        <w:t xml:space="preserve"> T</w:t>
      </w:r>
      <w:r w:rsidR="00C25218" w:rsidRPr="00F72968">
        <w:rPr>
          <w:iCs/>
        </w:rPr>
        <w:t xml:space="preserve">he </w:t>
      </w:r>
      <w:r w:rsidR="00F24234">
        <w:rPr>
          <w:iCs/>
        </w:rPr>
        <w:t xml:space="preserve">PBAC agreed with the </w:t>
      </w:r>
      <w:r w:rsidR="00C25218" w:rsidRPr="00F72968">
        <w:rPr>
          <w:iCs/>
        </w:rPr>
        <w:t>ESC that the restriction</w:t>
      </w:r>
      <w:r w:rsidR="004E0261" w:rsidRPr="00F72968">
        <w:rPr>
          <w:iCs/>
        </w:rPr>
        <w:t xml:space="preserve"> should</w:t>
      </w:r>
      <w:r w:rsidR="00B13091" w:rsidRPr="00F72968">
        <w:rPr>
          <w:iCs/>
        </w:rPr>
        <w:t xml:space="preserve"> reflect </w:t>
      </w:r>
      <w:r w:rsidR="00C25218" w:rsidRPr="00F72968">
        <w:rPr>
          <w:iCs/>
        </w:rPr>
        <w:t>the</w:t>
      </w:r>
      <w:r w:rsidR="00B13091" w:rsidRPr="00F72968">
        <w:rPr>
          <w:iCs/>
        </w:rPr>
        <w:t xml:space="preserve"> </w:t>
      </w:r>
      <w:r w:rsidR="004E0261" w:rsidRPr="00F72968">
        <w:rPr>
          <w:iCs/>
        </w:rPr>
        <w:t xml:space="preserve">higher </w:t>
      </w:r>
      <w:r w:rsidR="00B13091" w:rsidRPr="00F72968">
        <w:rPr>
          <w:iCs/>
        </w:rPr>
        <w:t xml:space="preserve">peak LVOT gradient from the </w:t>
      </w:r>
      <w:r w:rsidR="00C25218" w:rsidRPr="00F72968">
        <w:rPr>
          <w:iCs/>
        </w:rPr>
        <w:t xml:space="preserve">EXPLORER-HCM </w:t>
      </w:r>
      <w:r w:rsidR="00B13091" w:rsidRPr="00F72968">
        <w:rPr>
          <w:iCs/>
        </w:rPr>
        <w:t xml:space="preserve">trial </w:t>
      </w:r>
      <w:r w:rsidR="00F861F1">
        <w:rPr>
          <w:iCs/>
        </w:rPr>
        <w:t xml:space="preserve">i.e. </w:t>
      </w:r>
      <w:r w:rsidR="00F861F1" w:rsidRPr="00F72968">
        <w:rPr>
          <w:iCs/>
        </w:rPr>
        <w:t>peak LVOT gradient &lt;</w:t>
      </w:r>
      <w:r w:rsidR="009554BD">
        <w:rPr>
          <w:iCs/>
        </w:rPr>
        <w:t> </w:t>
      </w:r>
      <w:r w:rsidR="00F861F1" w:rsidRPr="00F72968">
        <w:rPr>
          <w:iCs/>
        </w:rPr>
        <w:t>50</w:t>
      </w:r>
      <w:r w:rsidR="009554BD">
        <w:rPr>
          <w:iCs/>
        </w:rPr>
        <w:t> </w:t>
      </w:r>
      <w:r w:rsidR="00F861F1" w:rsidRPr="00F72968">
        <w:rPr>
          <w:iCs/>
        </w:rPr>
        <w:t>mm</w:t>
      </w:r>
      <w:r w:rsidR="009554BD">
        <w:rPr>
          <w:iCs/>
        </w:rPr>
        <w:t> </w:t>
      </w:r>
      <w:r w:rsidR="00F861F1" w:rsidRPr="00F72968">
        <w:rPr>
          <w:iCs/>
        </w:rPr>
        <w:t xml:space="preserve">Hg </w:t>
      </w:r>
      <w:r w:rsidR="00B13091" w:rsidRPr="00F72968">
        <w:rPr>
          <w:iCs/>
        </w:rPr>
        <w:t>and</w:t>
      </w:r>
      <w:r w:rsidR="00602BF4" w:rsidRPr="00F72968">
        <w:rPr>
          <w:iCs/>
        </w:rPr>
        <w:t>,</w:t>
      </w:r>
      <w:r w:rsidR="00B13091" w:rsidRPr="00F72968">
        <w:rPr>
          <w:iCs/>
        </w:rPr>
        <w:t xml:space="preserve"> due to the high variability associated with the measure</w:t>
      </w:r>
      <w:r w:rsidR="00602BF4" w:rsidRPr="00F72968">
        <w:rPr>
          <w:iCs/>
        </w:rPr>
        <w:t>,</w:t>
      </w:r>
      <w:r w:rsidR="00B13091" w:rsidRPr="00F72968">
        <w:rPr>
          <w:iCs/>
        </w:rPr>
        <w:t xml:space="preserve"> a risk shar</w:t>
      </w:r>
      <w:r w:rsidR="00133603">
        <w:rPr>
          <w:iCs/>
        </w:rPr>
        <w:t>ing</w:t>
      </w:r>
      <w:r w:rsidR="00B13091" w:rsidRPr="00F72968">
        <w:rPr>
          <w:iCs/>
        </w:rPr>
        <w:t xml:space="preserve"> arrangement (RSA) also be considered.</w:t>
      </w:r>
      <w:r w:rsidR="009149CB">
        <w:rPr>
          <w:iCs/>
        </w:rPr>
        <w:t xml:space="preserve"> </w:t>
      </w:r>
    </w:p>
    <w:p w14:paraId="703652E9" w14:textId="3BEB7B5A" w:rsidR="00284405" w:rsidRPr="00C6690C" w:rsidRDefault="00803F90" w:rsidP="00C3206B">
      <w:pPr>
        <w:pStyle w:val="3-BodyText"/>
      </w:pPr>
      <w:bookmarkStart w:id="12" w:name="_Ref116116685"/>
      <w:r w:rsidRPr="00C6690C">
        <w:t xml:space="preserve">Mavacamten monotherapy </w:t>
      </w:r>
      <w:r w:rsidR="00E24D0D" w:rsidRPr="00C6690C">
        <w:t>may be an option</w:t>
      </w:r>
      <w:r w:rsidRPr="00C6690C">
        <w:t xml:space="preserve"> for a proportion of patients (i.e. patients contraindicated </w:t>
      </w:r>
      <w:r w:rsidR="004F3800" w:rsidRPr="00C6690C">
        <w:t xml:space="preserve">or intolerant </w:t>
      </w:r>
      <w:r w:rsidRPr="00C6690C">
        <w:t xml:space="preserve">to </w:t>
      </w:r>
      <w:r w:rsidR="007C2E14" w:rsidRPr="00C6690C">
        <w:t xml:space="preserve">beta-blockers </w:t>
      </w:r>
      <w:r w:rsidR="007A71C9">
        <w:t>(</w:t>
      </w:r>
      <w:r w:rsidRPr="00C6690C">
        <w:t>BB</w:t>
      </w:r>
      <w:r w:rsidR="007A71C9">
        <w:t>)</w:t>
      </w:r>
      <w:r w:rsidRPr="00C6690C">
        <w:t xml:space="preserve"> or </w:t>
      </w:r>
      <w:r w:rsidR="005D1059">
        <w:t xml:space="preserve">non-dihydropyridine </w:t>
      </w:r>
      <w:r w:rsidR="007C2E14" w:rsidRPr="00C6690C">
        <w:t>calcium-channel blockers</w:t>
      </w:r>
      <w:r w:rsidR="00CC45AF" w:rsidRPr="00C6690C">
        <w:t xml:space="preserve"> </w:t>
      </w:r>
      <w:r w:rsidR="007A71C9">
        <w:t>(</w:t>
      </w:r>
      <w:r w:rsidRPr="00C6690C">
        <w:t>CCB</w:t>
      </w:r>
      <w:r w:rsidR="007A71C9">
        <w:t>)</w:t>
      </w:r>
      <w:r w:rsidRPr="00C6690C">
        <w:t>).</w:t>
      </w:r>
      <w:r w:rsidR="00C373C7" w:rsidRPr="00C6690C">
        <w:t xml:space="preserve"> In the EXPLORER-HCM trial, 3.3% and 12.5% of the patients in the mavacamten arm and placebo arm</w:t>
      </w:r>
      <w:r w:rsidR="007A266F" w:rsidRPr="00C6690C">
        <w:t>,</w:t>
      </w:r>
      <w:r w:rsidR="00C373C7" w:rsidRPr="00C6690C">
        <w:t xml:space="preserve"> respectively</w:t>
      </w:r>
      <w:r w:rsidR="007A266F" w:rsidRPr="00C6690C">
        <w:t>,</w:t>
      </w:r>
      <w:r w:rsidR="00C373C7" w:rsidRPr="00C6690C">
        <w:t xml:space="preserve"> were not on CCB or BB treatment at baseline.</w:t>
      </w:r>
      <w:r w:rsidR="0050659C" w:rsidRPr="00C6690C">
        <w:t xml:space="preserve"> However, it is unknown whether or not these patients had </w:t>
      </w:r>
      <w:r w:rsidR="004F3800" w:rsidRPr="00C6690C">
        <w:t xml:space="preserve">previously </w:t>
      </w:r>
      <w:r w:rsidR="0050659C" w:rsidRPr="00C6690C">
        <w:t>received BB or CCB but discontinued treatment before the trial</w:t>
      </w:r>
      <w:r w:rsidR="00C373C7" w:rsidRPr="00C6690C">
        <w:t xml:space="preserve">. </w:t>
      </w:r>
      <w:r w:rsidR="006B4B2B" w:rsidRPr="00F72968">
        <w:rPr>
          <w:iCs/>
        </w:rPr>
        <w:t>T</w:t>
      </w:r>
      <w:r w:rsidR="00D03A0A" w:rsidRPr="00F72968">
        <w:rPr>
          <w:iCs/>
        </w:rPr>
        <w:t xml:space="preserve">he ESC considered </w:t>
      </w:r>
      <w:r w:rsidR="006B4B2B" w:rsidRPr="00F72968">
        <w:rPr>
          <w:iCs/>
        </w:rPr>
        <w:t xml:space="preserve">that </w:t>
      </w:r>
      <w:r w:rsidR="00D03A0A" w:rsidRPr="00F72968">
        <w:rPr>
          <w:iCs/>
        </w:rPr>
        <w:t xml:space="preserve">mavacamten </w:t>
      </w:r>
      <w:r w:rsidR="006B4B2B" w:rsidRPr="00F72968">
        <w:rPr>
          <w:iCs/>
        </w:rPr>
        <w:t>monotherapy may</w:t>
      </w:r>
      <w:r w:rsidR="00D03A0A" w:rsidRPr="00F72968">
        <w:rPr>
          <w:iCs/>
        </w:rPr>
        <w:t xml:space="preserve"> replace </w:t>
      </w:r>
      <w:r w:rsidR="003807CC" w:rsidRPr="00F72968">
        <w:rPr>
          <w:iCs/>
        </w:rPr>
        <w:t>SOC</w:t>
      </w:r>
      <w:r w:rsidR="00D03A0A" w:rsidRPr="00F72968">
        <w:rPr>
          <w:iCs/>
        </w:rPr>
        <w:t xml:space="preserve"> treatment </w:t>
      </w:r>
      <w:r w:rsidR="006B4B2B" w:rsidRPr="00F72968">
        <w:rPr>
          <w:iCs/>
        </w:rPr>
        <w:t>for many patients</w:t>
      </w:r>
      <w:r w:rsidR="00C614C5" w:rsidRPr="00F72968">
        <w:rPr>
          <w:iCs/>
        </w:rPr>
        <w:t>,</w:t>
      </w:r>
      <w:r w:rsidR="006B4B2B" w:rsidRPr="00F72968">
        <w:rPr>
          <w:iCs/>
        </w:rPr>
        <w:t xml:space="preserve"> </w:t>
      </w:r>
      <w:r w:rsidR="00D03A0A" w:rsidRPr="00F72968">
        <w:rPr>
          <w:iCs/>
        </w:rPr>
        <w:t xml:space="preserve">rather than </w:t>
      </w:r>
      <w:r w:rsidR="00602BF4" w:rsidRPr="00F72968">
        <w:rPr>
          <w:iCs/>
        </w:rPr>
        <w:t>being</w:t>
      </w:r>
      <w:r w:rsidR="00D03A0A" w:rsidRPr="00F72968">
        <w:rPr>
          <w:iCs/>
        </w:rPr>
        <w:t xml:space="preserve"> used as an add-on therapy in clinical practice</w:t>
      </w:r>
      <w:r w:rsidR="00F61D4B" w:rsidRPr="00F72968">
        <w:rPr>
          <w:iCs/>
        </w:rPr>
        <w:t xml:space="preserve">, due to </w:t>
      </w:r>
      <w:r w:rsidR="005D1059">
        <w:rPr>
          <w:iCs/>
        </w:rPr>
        <w:t xml:space="preserve">poor </w:t>
      </w:r>
      <w:r w:rsidR="005D1059" w:rsidRPr="00F72968">
        <w:rPr>
          <w:iCs/>
        </w:rPr>
        <w:t xml:space="preserve">tolerability </w:t>
      </w:r>
      <w:r w:rsidR="00F61D4B" w:rsidRPr="00F72968">
        <w:rPr>
          <w:iCs/>
        </w:rPr>
        <w:t>of BB or CCB</w:t>
      </w:r>
      <w:r w:rsidR="00602BF4" w:rsidRPr="00F72968">
        <w:rPr>
          <w:iCs/>
        </w:rPr>
        <w:t xml:space="preserve"> or patient preference</w:t>
      </w:r>
      <w:r w:rsidR="00D03A0A" w:rsidRPr="00F72968">
        <w:rPr>
          <w:iCs/>
        </w:rPr>
        <w:t>.</w:t>
      </w:r>
      <w:bookmarkEnd w:id="12"/>
      <w:r w:rsidR="00D03A0A" w:rsidRPr="00F72968">
        <w:rPr>
          <w:iCs/>
        </w:rPr>
        <w:t xml:space="preserve"> </w:t>
      </w:r>
    </w:p>
    <w:p w14:paraId="752EB141" w14:textId="40D69BB9" w:rsidR="00284405" w:rsidRPr="00F14FD5" w:rsidRDefault="00284405" w:rsidP="00CE1256">
      <w:pPr>
        <w:pStyle w:val="3-BodyText"/>
        <w:rPr>
          <w:color w:val="000000" w:themeColor="text1"/>
        </w:rPr>
      </w:pPr>
      <w:bookmarkStart w:id="13" w:name="_Ref116115292"/>
      <w:r>
        <w:rPr>
          <w:color w:val="000000" w:themeColor="text1"/>
        </w:rPr>
        <w:t xml:space="preserve">The submission positioned mavacamten </w:t>
      </w:r>
      <w:r>
        <w:t>as a second line add on treatment where patients remain symptomatic despite treatment with</w:t>
      </w:r>
      <w:r w:rsidR="00CC45AF">
        <w:t xml:space="preserve"> </w:t>
      </w:r>
      <w:r w:rsidR="00CC45AF" w:rsidRPr="00D94C43">
        <w:t>a</w:t>
      </w:r>
      <w:r>
        <w:t xml:space="preserve"> CCB or BB</w:t>
      </w:r>
      <w:r w:rsidR="00CE1256">
        <w:t>.</w:t>
      </w:r>
      <w:r w:rsidDel="006478A6">
        <w:rPr>
          <w:color w:val="000000" w:themeColor="text1"/>
        </w:rPr>
        <w:t xml:space="preserve"> </w:t>
      </w:r>
      <w:r w:rsidRPr="00885192">
        <w:rPr>
          <w:color w:val="000000" w:themeColor="text1"/>
        </w:rPr>
        <w:t>As mavacamten is proposed for those who do not respond to, lose response, or are unable to tolerate BB</w:t>
      </w:r>
      <w:r w:rsidR="00CE1256" w:rsidRPr="00885192">
        <w:rPr>
          <w:color w:val="000000" w:themeColor="text1"/>
        </w:rPr>
        <w:t xml:space="preserve"> or CCB treatment</w:t>
      </w:r>
      <w:r w:rsidRPr="00885192">
        <w:rPr>
          <w:color w:val="000000" w:themeColor="text1"/>
        </w:rPr>
        <w:t xml:space="preserve">, it would be considered a second-line treatment for obstructive HCM. However, the submission also </w:t>
      </w:r>
      <w:r w:rsidR="002E081A" w:rsidRPr="00885192">
        <w:rPr>
          <w:color w:val="000000" w:themeColor="text1"/>
        </w:rPr>
        <w:t>propose</w:t>
      </w:r>
      <w:r w:rsidR="002E081A">
        <w:rPr>
          <w:color w:val="000000" w:themeColor="text1"/>
        </w:rPr>
        <w:t>d</w:t>
      </w:r>
      <w:r w:rsidR="002E081A" w:rsidRPr="00885192">
        <w:rPr>
          <w:color w:val="000000" w:themeColor="text1"/>
        </w:rPr>
        <w:t xml:space="preserve"> </w:t>
      </w:r>
      <w:r w:rsidRPr="00885192">
        <w:rPr>
          <w:color w:val="000000" w:themeColor="text1"/>
        </w:rPr>
        <w:t xml:space="preserve">mavacamten </w:t>
      </w:r>
      <w:r w:rsidR="008F33EE" w:rsidRPr="00885192">
        <w:rPr>
          <w:color w:val="000000" w:themeColor="text1"/>
        </w:rPr>
        <w:t>use prior to BB treatment</w:t>
      </w:r>
      <w:r w:rsidRPr="00885192">
        <w:rPr>
          <w:color w:val="000000" w:themeColor="text1"/>
        </w:rPr>
        <w:t xml:space="preserve"> where local guidelines recommend its use. </w:t>
      </w:r>
      <w:r w:rsidR="002E081A">
        <w:rPr>
          <w:color w:val="000000" w:themeColor="text1"/>
        </w:rPr>
        <w:t>T</w:t>
      </w:r>
      <w:r w:rsidRPr="00885192">
        <w:rPr>
          <w:color w:val="000000" w:themeColor="text1"/>
        </w:rPr>
        <w:t xml:space="preserve">here </w:t>
      </w:r>
      <w:r w:rsidR="002E081A">
        <w:rPr>
          <w:color w:val="000000" w:themeColor="text1"/>
        </w:rPr>
        <w:t>wa</w:t>
      </w:r>
      <w:r w:rsidRPr="00885192">
        <w:rPr>
          <w:color w:val="000000" w:themeColor="text1"/>
        </w:rPr>
        <w:t>s no evidence available which support</w:t>
      </w:r>
      <w:r w:rsidR="002E081A">
        <w:rPr>
          <w:color w:val="000000" w:themeColor="text1"/>
        </w:rPr>
        <w:t>ed</w:t>
      </w:r>
      <w:r w:rsidRPr="00885192">
        <w:rPr>
          <w:color w:val="000000" w:themeColor="text1"/>
        </w:rPr>
        <w:t xml:space="preserve"> mavacamten as a first-line treatment. </w:t>
      </w:r>
      <w:r w:rsidR="00CE1256" w:rsidRPr="00885192">
        <w:rPr>
          <w:color w:val="000000" w:themeColor="text1"/>
        </w:rPr>
        <w:t>In the key trial 75.3% of the patients were receiving BB treatment at baseline</w:t>
      </w:r>
      <w:r w:rsidR="008F33EE" w:rsidRPr="00885192">
        <w:rPr>
          <w:color w:val="000000" w:themeColor="text1"/>
        </w:rPr>
        <w:t xml:space="preserve">. </w:t>
      </w:r>
      <w:r w:rsidR="00C614C5" w:rsidRPr="00F72968">
        <w:rPr>
          <w:iCs/>
          <w:color w:val="000000" w:themeColor="text1"/>
        </w:rPr>
        <w:t xml:space="preserve">The ESC considered that potentially positioning mavacamten before BB therapy was inappropriate and not justified by the clinical evidence. </w:t>
      </w:r>
      <w:bookmarkEnd w:id="13"/>
      <w:r w:rsidR="003451FF">
        <w:rPr>
          <w:iCs/>
          <w:color w:val="000000" w:themeColor="text1"/>
        </w:rPr>
        <w:t xml:space="preserve">The pre-PBAC response </w:t>
      </w:r>
      <w:r w:rsidR="00BB295C">
        <w:rPr>
          <w:iCs/>
          <w:color w:val="000000" w:themeColor="text1"/>
        </w:rPr>
        <w:t>stated</w:t>
      </w:r>
      <w:r w:rsidR="00BD3F97">
        <w:rPr>
          <w:iCs/>
          <w:color w:val="000000" w:themeColor="text1"/>
        </w:rPr>
        <w:t xml:space="preserve"> that</w:t>
      </w:r>
      <w:r w:rsidR="00BB295C">
        <w:rPr>
          <w:iCs/>
          <w:color w:val="000000" w:themeColor="text1"/>
        </w:rPr>
        <w:t xml:space="preserve"> the sponsor was amendable to </w:t>
      </w:r>
      <w:r w:rsidR="00BD3F97">
        <w:rPr>
          <w:iCs/>
          <w:color w:val="000000" w:themeColor="text1"/>
        </w:rPr>
        <w:t>removing</w:t>
      </w:r>
      <w:r w:rsidR="00297BCB">
        <w:rPr>
          <w:iCs/>
          <w:color w:val="000000" w:themeColor="text1"/>
        </w:rPr>
        <w:t xml:space="preserve"> the proposed statement allowing</w:t>
      </w:r>
      <w:r w:rsidR="003451FF">
        <w:rPr>
          <w:iCs/>
          <w:color w:val="000000" w:themeColor="text1"/>
        </w:rPr>
        <w:t xml:space="preserve"> </w:t>
      </w:r>
      <w:r w:rsidR="003451FF" w:rsidRPr="00885192">
        <w:rPr>
          <w:color w:val="000000" w:themeColor="text1"/>
        </w:rPr>
        <w:t>mavacamten use prior to BB treatment where local guidelines recommend its use</w:t>
      </w:r>
      <w:r w:rsidR="00297BCB">
        <w:rPr>
          <w:color w:val="000000" w:themeColor="text1"/>
        </w:rPr>
        <w:t>,</w:t>
      </w:r>
      <w:r w:rsidR="003451FF">
        <w:rPr>
          <w:color w:val="000000" w:themeColor="text1"/>
        </w:rPr>
        <w:t xml:space="preserve"> </w:t>
      </w:r>
      <w:r w:rsidR="008A3029">
        <w:rPr>
          <w:color w:val="000000" w:themeColor="text1"/>
        </w:rPr>
        <w:t xml:space="preserve">and </w:t>
      </w:r>
      <w:r w:rsidR="00297BCB">
        <w:rPr>
          <w:color w:val="000000" w:themeColor="text1"/>
        </w:rPr>
        <w:t xml:space="preserve">the PBAC </w:t>
      </w:r>
      <w:r w:rsidR="008A3029">
        <w:rPr>
          <w:color w:val="000000" w:themeColor="text1"/>
        </w:rPr>
        <w:t xml:space="preserve">considered </w:t>
      </w:r>
      <w:r w:rsidR="002E081A">
        <w:rPr>
          <w:color w:val="000000" w:themeColor="text1"/>
        </w:rPr>
        <w:t xml:space="preserve">removing the statement </w:t>
      </w:r>
      <w:r w:rsidR="008A3029">
        <w:rPr>
          <w:color w:val="000000" w:themeColor="text1"/>
        </w:rPr>
        <w:t>was appropriate.</w:t>
      </w:r>
    </w:p>
    <w:p w14:paraId="31C1B317" w14:textId="024837D3" w:rsidR="00EF00C8" w:rsidRDefault="00EF00C8" w:rsidP="00CE1256">
      <w:pPr>
        <w:pStyle w:val="3-BodyText"/>
        <w:rPr>
          <w:color w:val="000000" w:themeColor="text1"/>
        </w:rPr>
      </w:pPr>
      <w:r w:rsidRPr="00F72968">
        <w:rPr>
          <w:iCs/>
          <w:color w:val="000000" w:themeColor="text1"/>
        </w:rPr>
        <w:lastRenderedPageBreak/>
        <w:t xml:space="preserve">The ESC noted that </w:t>
      </w:r>
      <w:r w:rsidR="00602BF4" w:rsidRPr="00F72968">
        <w:rPr>
          <w:iCs/>
          <w:color w:val="000000" w:themeColor="text1"/>
        </w:rPr>
        <w:t>cardiomyopathy refers to a diverse group of diseases with variable clinical and pathological features and prognosis. I</w:t>
      </w:r>
      <w:r w:rsidR="00C614C5" w:rsidRPr="00F72968">
        <w:rPr>
          <w:iCs/>
          <w:color w:val="000000" w:themeColor="text1"/>
        </w:rPr>
        <w:t xml:space="preserve">schaemic/nonischaemic cardiomyopathy is very different to HCM and </w:t>
      </w:r>
      <w:r w:rsidRPr="00F72968">
        <w:rPr>
          <w:iCs/>
          <w:color w:val="000000" w:themeColor="text1"/>
        </w:rPr>
        <w:t xml:space="preserve">the proposed restriction </w:t>
      </w:r>
      <w:r w:rsidR="00416120" w:rsidRPr="00F72968">
        <w:rPr>
          <w:iCs/>
          <w:color w:val="000000" w:themeColor="text1"/>
        </w:rPr>
        <w:t>should be</w:t>
      </w:r>
      <w:r w:rsidRPr="00F72968">
        <w:rPr>
          <w:iCs/>
          <w:color w:val="000000" w:themeColor="text1"/>
        </w:rPr>
        <w:t xml:space="preserve"> amended to include the </w:t>
      </w:r>
      <w:r w:rsidR="00E2638A" w:rsidRPr="00F72968">
        <w:rPr>
          <w:iCs/>
          <w:color w:val="000000" w:themeColor="text1"/>
        </w:rPr>
        <w:t>word ‘hypertrophic’ to identify the eligible</w:t>
      </w:r>
      <w:r w:rsidRPr="00F72968">
        <w:rPr>
          <w:iCs/>
          <w:color w:val="000000" w:themeColor="text1"/>
        </w:rPr>
        <w:t xml:space="preserve"> population</w:t>
      </w:r>
      <w:r>
        <w:rPr>
          <w:color w:val="000000" w:themeColor="text1"/>
        </w:rPr>
        <w:t>.</w:t>
      </w:r>
    </w:p>
    <w:p w14:paraId="5B958F86" w14:textId="34C2245A" w:rsidR="00EB29ED" w:rsidRPr="00081889" w:rsidRDefault="00EB29ED" w:rsidP="00EB29ED">
      <w:pPr>
        <w:pStyle w:val="3-BodyText"/>
        <w:rPr>
          <w:iCs/>
          <w:lang w:eastAsia="en-US"/>
        </w:rPr>
      </w:pPr>
      <w:r w:rsidRPr="00745D07">
        <w:rPr>
          <w:iCs/>
          <w:lang w:eastAsia="en-US"/>
        </w:rPr>
        <w:t xml:space="preserve">The proposed restriction excludes </w:t>
      </w:r>
      <w:r w:rsidR="00297BCB">
        <w:rPr>
          <w:iCs/>
          <w:lang w:eastAsia="en-US"/>
        </w:rPr>
        <w:t>concomitant treatment</w:t>
      </w:r>
      <w:r w:rsidRPr="00745D07">
        <w:rPr>
          <w:iCs/>
          <w:lang w:eastAsia="en-US"/>
        </w:rPr>
        <w:t xml:space="preserve"> with disopyramide. This is consistent with the exclusion criteria of the pivotal clinical trial. The clinical trial also excluded </w:t>
      </w:r>
      <w:r w:rsidR="007D407C">
        <w:rPr>
          <w:iCs/>
          <w:lang w:eastAsia="en-US"/>
        </w:rPr>
        <w:t>concomitant treatment</w:t>
      </w:r>
      <w:r w:rsidRPr="00745D07">
        <w:rPr>
          <w:iCs/>
          <w:lang w:eastAsia="en-US"/>
        </w:rPr>
        <w:t xml:space="preserve"> with ranolazine.</w:t>
      </w:r>
      <w:r>
        <w:rPr>
          <w:iCs/>
          <w:lang w:eastAsia="en-US"/>
        </w:rPr>
        <w:t xml:space="preserve"> It may also be appropriate to exclude patients </w:t>
      </w:r>
      <w:r w:rsidR="0037001E">
        <w:rPr>
          <w:iCs/>
          <w:lang w:eastAsia="en-US"/>
        </w:rPr>
        <w:t xml:space="preserve">being </w:t>
      </w:r>
      <w:r>
        <w:rPr>
          <w:iCs/>
          <w:lang w:eastAsia="en-US"/>
        </w:rPr>
        <w:t>treated with ranolazine</w:t>
      </w:r>
      <w:r w:rsidR="00081889">
        <w:rPr>
          <w:iCs/>
          <w:lang w:eastAsia="en-US"/>
        </w:rPr>
        <w:t xml:space="preserve"> in the proposed restriction</w:t>
      </w:r>
      <w:r>
        <w:rPr>
          <w:iCs/>
          <w:lang w:eastAsia="en-US"/>
        </w:rPr>
        <w:t>.</w:t>
      </w:r>
      <w:r w:rsidRPr="00745D07">
        <w:rPr>
          <w:iCs/>
          <w:lang w:eastAsia="en-US"/>
        </w:rPr>
        <w:t xml:space="preserve"> </w:t>
      </w:r>
    </w:p>
    <w:p w14:paraId="10211AB1" w14:textId="2AC00030" w:rsidR="00081889" w:rsidRPr="00081889" w:rsidRDefault="00081889" w:rsidP="00081889">
      <w:pPr>
        <w:pStyle w:val="3-BodyText"/>
        <w:rPr>
          <w:color w:val="000000" w:themeColor="text1"/>
        </w:rPr>
      </w:pPr>
      <w:r w:rsidRPr="00081889">
        <w:rPr>
          <w:color w:val="000000" w:themeColor="text1"/>
        </w:rPr>
        <w:t xml:space="preserve">The proposed restriction does not include a treatment discontinuation criterion. The ESC considered treatment discontinuation may be appropriate although it would be difficult to devise a meaningful and at least partially objective criterion. As per the </w:t>
      </w:r>
      <w:r>
        <w:rPr>
          <w:color w:val="000000" w:themeColor="text1"/>
        </w:rPr>
        <w:t xml:space="preserve">pivotal clinical </w:t>
      </w:r>
      <w:r w:rsidRPr="00081889">
        <w:rPr>
          <w:color w:val="000000" w:themeColor="text1"/>
        </w:rPr>
        <w:t xml:space="preserve">trial, the outcome that was considered as an adequate response was: </w:t>
      </w:r>
    </w:p>
    <w:p w14:paraId="6109C39A" w14:textId="0420ED5D" w:rsidR="00081889" w:rsidRPr="00081889" w:rsidRDefault="00081889" w:rsidP="00D161E3">
      <w:pPr>
        <w:pStyle w:val="3-BodyText"/>
        <w:numPr>
          <w:ilvl w:val="1"/>
          <w:numId w:val="17"/>
        </w:numPr>
        <w:ind w:left="1134" w:hanging="425"/>
        <w:rPr>
          <w:color w:val="000000" w:themeColor="text1"/>
        </w:rPr>
      </w:pPr>
      <w:r w:rsidRPr="00081889">
        <w:rPr>
          <w:color w:val="000000" w:themeColor="text1"/>
        </w:rPr>
        <w:t xml:space="preserve"> An improvement of ≥1.5</w:t>
      </w:r>
      <w:r w:rsidR="009554BD">
        <w:rPr>
          <w:color w:val="000000" w:themeColor="text1"/>
        </w:rPr>
        <w:t> </w:t>
      </w:r>
      <w:r w:rsidRPr="00081889">
        <w:rPr>
          <w:color w:val="000000" w:themeColor="text1"/>
        </w:rPr>
        <w:t>mL/kg/min maximal oxygen consumption (pVO2) and a reduction of ≥1 class in New York Heart Association (NYHA) Functional Class (Composite 1) OR;</w:t>
      </w:r>
    </w:p>
    <w:p w14:paraId="4EA1D9D7" w14:textId="7E3EC480" w:rsidR="00081889" w:rsidRPr="00081889" w:rsidRDefault="00081889" w:rsidP="00D161E3">
      <w:pPr>
        <w:pStyle w:val="3-BodyText"/>
        <w:numPr>
          <w:ilvl w:val="1"/>
          <w:numId w:val="17"/>
        </w:numPr>
        <w:ind w:left="1134" w:hanging="425"/>
        <w:rPr>
          <w:color w:val="000000" w:themeColor="text1"/>
        </w:rPr>
      </w:pPr>
      <w:r w:rsidRPr="00081889">
        <w:rPr>
          <w:color w:val="000000" w:themeColor="text1"/>
        </w:rPr>
        <w:t xml:space="preserve"> An improvement of ≥3.0</w:t>
      </w:r>
      <w:r w:rsidR="009554BD">
        <w:rPr>
          <w:color w:val="000000" w:themeColor="text1"/>
        </w:rPr>
        <w:t> </w:t>
      </w:r>
      <w:r w:rsidRPr="00081889">
        <w:rPr>
          <w:color w:val="000000" w:themeColor="text1"/>
        </w:rPr>
        <w:t>mL/kg/min in pVO2 with no worsening in NYHA Functional Class (Composite 2).</w:t>
      </w:r>
    </w:p>
    <w:p w14:paraId="2ED76EC5" w14:textId="490559C9" w:rsidR="00081889" w:rsidRDefault="00081889" w:rsidP="0071779D">
      <w:pPr>
        <w:pStyle w:val="3-BodyText"/>
        <w:numPr>
          <w:ilvl w:val="0"/>
          <w:numId w:val="0"/>
        </w:numPr>
        <w:ind w:left="720"/>
        <w:rPr>
          <w:color w:val="000000" w:themeColor="text1"/>
        </w:rPr>
      </w:pPr>
      <w:r w:rsidRPr="00081889">
        <w:rPr>
          <w:color w:val="000000" w:themeColor="text1"/>
        </w:rPr>
        <w:t xml:space="preserve">The ESC advised that the cardiopulmonary exercise tests required to measure pVO2 are not widely accessible and are very infrequently performed. </w:t>
      </w:r>
      <w:r w:rsidR="005D1059">
        <w:rPr>
          <w:color w:val="000000" w:themeColor="text1"/>
        </w:rPr>
        <w:t xml:space="preserve">Use of cardiopulmonary exercise tests to determine ongoing eligibility for treatment would require a separate MSAC submission. </w:t>
      </w:r>
      <w:r w:rsidRPr="00081889">
        <w:rPr>
          <w:color w:val="000000" w:themeColor="text1"/>
        </w:rPr>
        <w:t xml:space="preserve">The ESC considered criteria based on NYHA or </w:t>
      </w:r>
      <w:r w:rsidR="0037001E" w:rsidRPr="004B5317">
        <w:rPr>
          <w:rFonts w:cs="Times New Roman"/>
          <w:szCs w:val="20"/>
        </w:rPr>
        <w:t xml:space="preserve">the </w:t>
      </w:r>
      <w:r w:rsidR="0037001E">
        <w:t>Kansas City Cardiomyopathy Questionnaire (</w:t>
      </w:r>
      <w:r w:rsidRPr="00081889">
        <w:rPr>
          <w:color w:val="000000" w:themeColor="text1"/>
        </w:rPr>
        <w:t>KCCQ</w:t>
      </w:r>
      <w:r w:rsidR="0037001E">
        <w:rPr>
          <w:color w:val="000000" w:themeColor="text1"/>
        </w:rPr>
        <w:t>)</w:t>
      </w:r>
      <w:r w:rsidRPr="00081889">
        <w:rPr>
          <w:color w:val="000000" w:themeColor="text1"/>
        </w:rPr>
        <w:t xml:space="preserve"> and potentially LVOT gradient could</w:t>
      </w:r>
      <w:r w:rsidR="0037001E">
        <w:rPr>
          <w:color w:val="000000" w:themeColor="text1"/>
        </w:rPr>
        <w:t xml:space="preserve"> also</w:t>
      </w:r>
      <w:r w:rsidRPr="00081889">
        <w:rPr>
          <w:color w:val="000000" w:themeColor="text1"/>
        </w:rPr>
        <w:t xml:space="preserve"> be considered.</w:t>
      </w:r>
    </w:p>
    <w:p w14:paraId="008B1FF4" w14:textId="30EDF2CB" w:rsidR="00F75502" w:rsidRPr="00B6064D" w:rsidRDefault="00F75502" w:rsidP="00F75502">
      <w:pPr>
        <w:pStyle w:val="3-BodyText"/>
        <w:rPr>
          <w:color w:val="0066FF"/>
        </w:rPr>
      </w:pPr>
      <w:r>
        <w:rPr>
          <w:iCs/>
        </w:rPr>
        <w:t>The pre-PBAC response argued that the continuation</w:t>
      </w:r>
      <w:r w:rsidRPr="00667704">
        <w:rPr>
          <w:iCs/>
        </w:rPr>
        <w:t xml:space="preserve"> or cessation of mavacamten treatment should remain a clinical decision made by the treating clinician</w:t>
      </w:r>
      <w:r>
        <w:rPr>
          <w:iCs/>
        </w:rPr>
        <w:t>. However, the PBAC considered a stopping rule remained an important consideration, especially given that almost half (49%) of patients treated with mavacamten remained symptomatic after 30 weeks of treatment (NYHA II/III) (</w:t>
      </w:r>
      <w:r>
        <w:rPr>
          <w:iCs/>
        </w:rPr>
        <w:fldChar w:fldCharType="begin"/>
      </w:r>
      <w:r>
        <w:rPr>
          <w:iCs/>
        </w:rPr>
        <w:instrText xml:space="preserve"> REF _Ref116978216 \h </w:instrText>
      </w:r>
      <w:r>
        <w:rPr>
          <w:iCs/>
        </w:rPr>
      </w:r>
      <w:r>
        <w:rPr>
          <w:iCs/>
        </w:rPr>
        <w:fldChar w:fldCharType="separate"/>
      </w:r>
      <w:r w:rsidR="00645E50">
        <w:t xml:space="preserve">Table </w:t>
      </w:r>
      <w:r w:rsidR="00645E50">
        <w:rPr>
          <w:noProof/>
        </w:rPr>
        <w:t>9</w:t>
      </w:r>
      <w:r>
        <w:rPr>
          <w:iCs/>
        </w:rPr>
        <w:fldChar w:fldCharType="end"/>
      </w:r>
      <w:r>
        <w:rPr>
          <w:iCs/>
        </w:rPr>
        <w:t>).</w:t>
      </w:r>
    </w:p>
    <w:p w14:paraId="76EF6C8D" w14:textId="1D7E7056" w:rsidR="00EF762F" w:rsidRPr="00EF762F" w:rsidRDefault="00EF762F" w:rsidP="003F0675">
      <w:pPr>
        <w:pStyle w:val="3-BodyText"/>
        <w:numPr>
          <w:ilvl w:val="0"/>
          <w:numId w:val="0"/>
        </w:numPr>
        <w:ind w:firstLine="720"/>
        <w:rPr>
          <w:i/>
          <w:iCs/>
          <w:color w:val="000000" w:themeColor="text1"/>
        </w:rPr>
      </w:pPr>
      <w:r w:rsidRPr="00EF762F">
        <w:rPr>
          <w:i/>
          <w:iCs/>
          <w:color w:val="000000" w:themeColor="text1"/>
        </w:rPr>
        <w:t>For more detail on PBAC’s view, see section 7 PBAC outcome.</w:t>
      </w:r>
    </w:p>
    <w:p w14:paraId="7075B85C" w14:textId="27323886" w:rsidR="00B50DB8" w:rsidRPr="00407F2D" w:rsidDel="00195452" w:rsidRDefault="00203181" w:rsidP="004E18E9">
      <w:pPr>
        <w:pStyle w:val="2-SectionHeading"/>
      </w:pPr>
      <w:bookmarkStart w:id="14" w:name="_Toc113979737"/>
      <w:r w:rsidDel="00195452">
        <w:t xml:space="preserve">Population and </w:t>
      </w:r>
      <w:r w:rsidR="008E0D3C" w:rsidDel="00195452">
        <w:t>d</w:t>
      </w:r>
      <w:r w:rsidDel="00195452">
        <w:t>isease</w:t>
      </w:r>
      <w:bookmarkEnd w:id="14"/>
    </w:p>
    <w:p w14:paraId="788B24C9" w14:textId="0A7EB737" w:rsidR="00256A15" w:rsidRPr="00256A15" w:rsidRDefault="00256A15" w:rsidP="004E18E9">
      <w:pPr>
        <w:pStyle w:val="3-BodyText"/>
        <w:rPr>
          <w:color w:val="000000" w:themeColor="text1"/>
        </w:rPr>
      </w:pPr>
      <w:r w:rsidRPr="00256A15">
        <w:rPr>
          <w:color w:val="000000" w:themeColor="text1"/>
        </w:rPr>
        <w:t>HCM</w:t>
      </w:r>
      <w:r w:rsidR="009656F3">
        <w:rPr>
          <w:color w:val="000000" w:themeColor="text1"/>
        </w:rPr>
        <w:t xml:space="preserve"> </w:t>
      </w:r>
      <w:r w:rsidR="00E6552C">
        <w:rPr>
          <w:color w:val="000000" w:themeColor="text1"/>
        </w:rPr>
        <w:t xml:space="preserve">is </w:t>
      </w:r>
      <w:r w:rsidR="00F23E66" w:rsidRPr="00F72968">
        <w:rPr>
          <w:iCs/>
          <w:color w:val="000000" w:themeColor="text1"/>
        </w:rPr>
        <w:t xml:space="preserve">a relatively common (1/300-400) genetic disorder that, in most studies, is </w:t>
      </w:r>
      <w:r w:rsidRPr="00256A15">
        <w:rPr>
          <w:color w:val="000000" w:themeColor="text1"/>
        </w:rPr>
        <w:t>the most common cause of sudden cardiac death in young</w:t>
      </w:r>
      <w:r w:rsidR="009656F3">
        <w:rPr>
          <w:color w:val="000000" w:themeColor="text1"/>
        </w:rPr>
        <w:t xml:space="preserve"> adults</w:t>
      </w:r>
      <w:r w:rsidRPr="00256A15">
        <w:rPr>
          <w:color w:val="000000" w:themeColor="text1"/>
        </w:rPr>
        <w:t xml:space="preserve"> (including athletes</w:t>
      </w:r>
      <w:r w:rsidR="007913FF">
        <w:rPr>
          <w:color w:val="000000" w:themeColor="text1"/>
        </w:rPr>
        <w:t>)</w:t>
      </w:r>
      <w:r w:rsidRPr="00256A15">
        <w:rPr>
          <w:color w:val="000000" w:themeColor="text1"/>
        </w:rPr>
        <w:t xml:space="preserve">. It is characterised by </w:t>
      </w:r>
      <w:r w:rsidR="00F23E66" w:rsidRPr="00F72968">
        <w:rPr>
          <w:iCs/>
          <w:color w:val="000000" w:themeColor="text1"/>
        </w:rPr>
        <w:t>(usually asymmetric)</w:t>
      </w:r>
      <w:r w:rsidR="00F23E66">
        <w:rPr>
          <w:color w:val="000000" w:themeColor="text1"/>
        </w:rPr>
        <w:t xml:space="preserve"> </w:t>
      </w:r>
      <w:r w:rsidRPr="00256A15">
        <w:rPr>
          <w:color w:val="000000" w:themeColor="text1"/>
        </w:rPr>
        <w:t xml:space="preserve">hypertrophy of the heart muscle (often the left ventricle </w:t>
      </w:r>
      <w:r w:rsidR="007A71C9">
        <w:rPr>
          <w:color w:val="000000" w:themeColor="text1"/>
        </w:rPr>
        <w:t>(</w:t>
      </w:r>
      <w:r w:rsidRPr="00256A15">
        <w:rPr>
          <w:color w:val="000000" w:themeColor="text1"/>
        </w:rPr>
        <w:t>LV</w:t>
      </w:r>
      <w:r w:rsidR="007A71C9">
        <w:rPr>
          <w:color w:val="000000" w:themeColor="text1"/>
        </w:rPr>
        <w:t>)</w:t>
      </w:r>
      <w:r w:rsidRPr="00256A15">
        <w:rPr>
          <w:color w:val="000000" w:themeColor="text1"/>
        </w:rPr>
        <w:t>)</w:t>
      </w:r>
      <w:r w:rsidR="00F23E66">
        <w:rPr>
          <w:color w:val="000000" w:themeColor="text1"/>
        </w:rPr>
        <w:t>,</w:t>
      </w:r>
      <w:r w:rsidRPr="00256A15">
        <w:rPr>
          <w:color w:val="000000" w:themeColor="text1"/>
        </w:rPr>
        <w:t xml:space="preserve"> </w:t>
      </w:r>
      <w:r w:rsidR="00F23E66" w:rsidRPr="00F72968">
        <w:rPr>
          <w:iCs/>
          <w:color w:val="000000" w:themeColor="text1"/>
        </w:rPr>
        <w:t>with normal LVEF but</w:t>
      </w:r>
      <w:r w:rsidR="00F23E66">
        <w:rPr>
          <w:color w:val="000000" w:themeColor="text1"/>
        </w:rPr>
        <w:t xml:space="preserve"> </w:t>
      </w:r>
      <w:r w:rsidRPr="00256A15">
        <w:rPr>
          <w:color w:val="000000" w:themeColor="text1"/>
        </w:rPr>
        <w:t xml:space="preserve">impaired relaxation of </w:t>
      </w:r>
      <w:r w:rsidR="007913FF">
        <w:rPr>
          <w:color w:val="000000" w:themeColor="text1"/>
        </w:rPr>
        <w:t>the LV. HCM is predominantly caused by autosomal dominant pathogenic variants in the cardiac sarcomere, most commonly the beta myosin heavy chain 7 (</w:t>
      </w:r>
      <w:r w:rsidR="007913FF" w:rsidRPr="00885192">
        <w:rPr>
          <w:color w:val="000000" w:themeColor="text1"/>
        </w:rPr>
        <w:t>MYH7</w:t>
      </w:r>
      <w:r w:rsidR="007913FF">
        <w:rPr>
          <w:color w:val="000000" w:themeColor="text1"/>
        </w:rPr>
        <w:t>) or myosin-binding protein C3 (</w:t>
      </w:r>
      <w:r w:rsidR="007913FF" w:rsidRPr="00885192">
        <w:rPr>
          <w:color w:val="000000" w:themeColor="text1"/>
        </w:rPr>
        <w:t>MYBPC3</w:t>
      </w:r>
      <w:r w:rsidR="007913FF">
        <w:rPr>
          <w:color w:val="000000" w:themeColor="text1"/>
        </w:rPr>
        <w:t xml:space="preserve">) genes. Although some patients may have HCM without any identified pathogenic variants, the risk of adverse events (e.g. ventricular arrhythmia, heart failure, atrial fibrillation, mortality) is higher in those with pathogenic variants </w:t>
      </w:r>
      <w:r w:rsidR="007913FF">
        <w:rPr>
          <w:color w:val="000000" w:themeColor="text1"/>
        </w:rPr>
        <w:lastRenderedPageBreak/>
        <w:t>compared to those without any identified</w:t>
      </w:r>
      <w:r w:rsidR="00217E53">
        <w:rPr>
          <w:rStyle w:val="FootnoteReference"/>
          <w:color w:val="000000" w:themeColor="text1"/>
        </w:rPr>
        <w:footnoteReference w:id="2"/>
      </w:r>
      <w:r w:rsidR="007913FF">
        <w:rPr>
          <w:color w:val="000000" w:themeColor="text1"/>
        </w:rPr>
        <w:t xml:space="preserve">. Approximately two-thirds of </w:t>
      </w:r>
      <w:r w:rsidR="006478A6">
        <w:rPr>
          <w:color w:val="000000" w:themeColor="text1"/>
        </w:rPr>
        <w:t xml:space="preserve">individuals </w:t>
      </w:r>
      <w:r w:rsidR="007913FF">
        <w:rPr>
          <w:color w:val="000000" w:themeColor="text1"/>
        </w:rPr>
        <w:t xml:space="preserve">with HCM have LVOT obstruction </w:t>
      </w:r>
      <w:r w:rsidR="00F23E66" w:rsidRPr="00F72968">
        <w:rPr>
          <w:iCs/>
          <w:color w:val="000000" w:themeColor="text1"/>
        </w:rPr>
        <w:t>(at rest or on provocation)</w:t>
      </w:r>
      <w:r w:rsidR="00F23E66">
        <w:rPr>
          <w:color w:val="000000" w:themeColor="text1"/>
        </w:rPr>
        <w:t xml:space="preserve"> </w:t>
      </w:r>
      <w:r w:rsidR="007913FF">
        <w:rPr>
          <w:color w:val="000000" w:themeColor="text1"/>
        </w:rPr>
        <w:t xml:space="preserve">and </w:t>
      </w:r>
      <w:r w:rsidR="00F23E66" w:rsidRPr="00F72968">
        <w:rPr>
          <w:iCs/>
          <w:color w:val="000000" w:themeColor="text1"/>
        </w:rPr>
        <w:t xml:space="preserve">are said to </w:t>
      </w:r>
      <w:r w:rsidR="007913FF">
        <w:rPr>
          <w:color w:val="000000" w:themeColor="text1"/>
        </w:rPr>
        <w:t xml:space="preserve">have </w:t>
      </w:r>
      <w:r w:rsidR="00057C04">
        <w:rPr>
          <w:color w:val="000000" w:themeColor="text1"/>
        </w:rPr>
        <w:t>‘</w:t>
      </w:r>
      <w:r w:rsidR="007913FF">
        <w:rPr>
          <w:color w:val="000000" w:themeColor="text1"/>
        </w:rPr>
        <w:t>obstructive HCM</w:t>
      </w:r>
      <w:r w:rsidR="00057C04">
        <w:rPr>
          <w:color w:val="000000" w:themeColor="text1"/>
        </w:rPr>
        <w:t>’</w:t>
      </w:r>
      <w:r w:rsidR="007913FF">
        <w:rPr>
          <w:color w:val="000000" w:themeColor="text1"/>
        </w:rPr>
        <w:t xml:space="preserve">. </w:t>
      </w:r>
      <w:r w:rsidR="00F23E66" w:rsidRPr="00F72968">
        <w:rPr>
          <w:iCs/>
          <w:color w:val="000000" w:themeColor="text1"/>
        </w:rPr>
        <w:t>This gradient can show significant variability.</w:t>
      </w:r>
      <w:r w:rsidR="00F23E66">
        <w:rPr>
          <w:color w:val="000000" w:themeColor="text1"/>
        </w:rPr>
        <w:t xml:space="preserve"> </w:t>
      </w:r>
      <w:r w:rsidR="008C53F1">
        <w:rPr>
          <w:color w:val="000000" w:themeColor="text1"/>
        </w:rPr>
        <w:t xml:space="preserve">One of the hallmarks of HCM is an excess of actin-myosin </w:t>
      </w:r>
      <w:r w:rsidR="00F72FC9">
        <w:rPr>
          <w:color w:val="000000" w:themeColor="text1"/>
        </w:rPr>
        <w:t>cross bridges</w:t>
      </w:r>
      <w:r w:rsidR="008C53F1">
        <w:rPr>
          <w:color w:val="000000" w:themeColor="text1"/>
        </w:rPr>
        <w:t xml:space="preserve"> formed in the sarcomere.</w:t>
      </w:r>
    </w:p>
    <w:p w14:paraId="021FBCBD" w14:textId="685DF3B2" w:rsidR="006478A6" w:rsidRDefault="00204C00" w:rsidP="004E18E9">
      <w:pPr>
        <w:pStyle w:val="3-BodyText"/>
        <w:rPr>
          <w:color w:val="000000" w:themeColor="text1"/>
        </w:rPr>
      </w:pPr>
      <w:r w:rsidRPr="00204C00">
        <w:rPr>
          <w:color w:val="000000" w:themeColor="text1"/>
        </w:rPr>
        <w:t xml:space="preserve">The initial treatment of HCM is usually </w:t>
      </w:r>
      <w:r w:rsidR="00845872" w:rsidRPr="00D94C43">
        <w:rPr>
          <w:color w:val="000000" w:themeColor="text1"/>
        </w:rPr>
        <w:t>a</w:t>
      </w:r>
      <w:r w:rsidR="00845872" w:rsidRPr="00F72968">
        <w:rPr>
          <w:iCs/>
          <w:color w:val="000000" w:themeColor="text1"/>
        </w:rPr>
        <w:t xml:space="preserve"> </w:t>
      </w:r>
      <w:r w:rsidRPr="00204C00">
        <w:rPr>
          <w:color w:val="000000" w:themeColor="text1"/>
        </w:rPr>
        <w:t xml:space="preserve">non-vasodilating BB titrated to maximal tolerated dose. When BB are contraindicated or ineffective, </w:t>
      </w:r>
      <w:r w:rsidR="00845872" w:rsidRPr="00D94C43">
        <w:rPr>
          <w:color w:val="000000" w:themeColor="text1"/>
        </w:rPr>
        <w:t>a</w:t>
      </w:r>
      <w:r w:rsidR="00845872" w:rsidRPr="00F72968">
        <w:rPr>
          <w:iCs/>
          <w:color w:val="000000" w:themeColor="text1"/>
        </w:rPr>
        <w:t xml:space="preserve"> </w:t>
      </w:r>
      <w:r>
        <w:rPr>
          <w:color w:val="000000" w:themeColor="text1"/>
        </w:rPr>
        <w:t>non</w:t>
      </w:r>
      <w:r w:rsidR="007D407C">
        <w:rPr>
          <w:color w:val="000000" w:themeColor="text1"/>
        </w:rPr>
        <w:noBreakHyphen/>
      </w:r>
      <w:r>
        <w:rPr>
          <w:color w:val="000000" w:themeColor="text1"/>
        </w:rPr>
        <w:t>dihydrop</w:t>
      </w:r>
      <w:r w:rsidR="001F6BFB">
        <w:rPr>
          <w:color w:val="000000" w:themeColor="text1"/>
        </w:rPr>
        <w:t>y</w:t>
      </w:r>
      <w:r>
        <w:rPr>
          <w:color w:val="000000" w:themeColor="text1"/>
        </w:rPr>
        <w:t xml:space="preserve">ridine </w:t>
      </w:r>
      <w:r w:rsidRPr="00204C00">
        <w:rPr>
          <w:color w:val="000000" w:themeColor="text1"/>
        </w:rPr>
        <w:t>CCB, in particular verapamil, is used. These treatments are non</w:t>
      </w:r>
      <w:r w:rsidR="007D407C">
        <w:rPr>
          <w:color w:val="000000" w:themeColor="text1"/>
        </w:rPr>
        <w:noBreakHyphen/>
      </w:r>
      <w:r w:rsidRPr="00204C00">
        <w:rPr>
          <w:color w:val="000000" w:themeColor="text1"/>
        </w:rPr>
        <w:t xml:space="preserve">specific to HCM and are not effective in all patients. If symptoms persist, then disopyramide </w:t>
      </w:r>
      <w:r>
        <w:rPr>
          <w:color w:val="000000" w:themeColor="text1"/>
        </w:rPr>
        <w:t>or septal reduction therapy</w:t>
      </w:r>
      <w:r w:rsidRPr="00204C00">
        <w:rPr>
          <w:color w:val="000000" w:themeColor="text1"/>
        </w:rPr>
        <w:t xml:space="preserve"> </w:t>
      </w:r>
      <w:r>
        <w:rPr>
          <w:color w:val="000000" w:themeColor="text1"/>
        </w:rPr>
        <w:t xml:space="preserve">is considered. </w:t>
      </w:r>
    </w:p>
    <w:p w14:paraId="32BA6BDA" w14:textId="65378700" w:rsidR="007D407C" w:rsidRDefault="000D334B" w:rsidP="007D407C">
      <w:pPr>
        <w:pStyle w:val="3-BodyText"/>
        <w:rPr>
          <w:color w:val="000000" w:themeColor="text1"/>
        </w:rPr>
      </w:pPr>
      <w:r w:rsidRPr="007D407C">
        <w:rPr>
          <w:color w:val="000000" w:themeColor="text1"/>
        </w:rPr>
        <w:t>Mavacamten is a selective, allosteric, and reversible cardiac myosin inhibitor, developed to target the underlying pathophysiology of obstructive HCM (exaggerated myosin-actin interac</w:t>
      </w:r>
      <w:r w:rsidRPr="00A9788D">
        <w:rPr>
          <w:color w:val="000000" w:themeColor="text1"/>
        </w:rPr>
        <w:t xml:space="preserve">tion). It reduces the number of myosin heads that can enter power-generating states, normalising the systolic and diastolic </w:t>
      </w:r>
      <w:r w:rsidR="00F72FC9" w:rsidRPr="00A9788D">
        <w:rPr>
          <w:color w:val="000000" w:themeColor="text1"/>
        </w:rPr>
        <w:t>cross bridge</w:t>
      </w:r>
      <w:r w:rsidRPr="00A9788D">
        <w:rPr>
          <w:color w:val="000000" w:themeColor="text1"/>
        </w:rPr>
        <w:t xml:space="preserve"> formation. </w:t>
      </w:r>
    </w:p>
    <w:p w14:paraId="2B0A757E" w14:textId="4F560995" w:rsidR="00EF762F" w:rsidRPr="007D407C" w:rsidRDefault="00EF762F" w:rsidP="009F6A1C">
      <w:pPr>
        <w:pStyle w:val="3-BodyText"/>
        <w:numPr>
          <w:ilvl w:val="0"/>
          <w:numId w:val="0"/>
        </w:numPr>
        <w:ind w:left="720"/>
        <w:rPr>
          <w:color w:val="000000" w:themeColor="text1"/>
        </w:rPr>
      </w:pPr>
      <w:r w:rsidRPr="007D407C">
        <w:rPr>
          <w:i/>
          <w:iCs/>
          <w:color w:val="000000" w:themeColor="text1"/>
        </w:rPr>
        <w:t>For more detail on PBAC’s view, see section 7 PBAC outcome.</w:t>
      </w:r>
    </w:p>
    <w:p w14:paraId="51E5AE96" w14:textId="517CA75A" w:rsidR="00B50DB8" w:rsidRPr="00407F2D" w:rsidRDefault="00B50DB8" w:rsidP="004E18E9">
      <w:pPr>
        <w:pStyle w:val="2-SectionHeading"/>
      </w:pPr>
      <w:bookmarkStart w:id="15" w:name="_Toc113979738"/>
      <w:r w:rsidRPr="00407F2D">
        <w:t>Comparator</w:t>
      </w:r>
      <w:bookmarkEnd w:id="15"/>
    </w:p>
    <w:p w14:paraId="2950EFFF" w14:textId="0B0F12B7" w:rsidR="00402C22" w:rsidRPr="00402C22" w:rsidRDefault="009F50E4" w:rsidP="00402C22">
      <w:pPr>
        <w:pStyle w:val="3-BodyText"/>
        <w:rPr>
          <w:snapToGrid/>
          <w:lang w:val="en-US"/>
        </w:rPr>
      </w:pPr>
      <w:bookmarkStart w:id="16" w:name="_Toc22897640"/>
      <w:r>
        <w:rPr>
          <w:snapToGrid/>
          <w:lang w:val="en-US"/>
        </w:rPr>
        <w:t>The submission nominated the comparator as current standard of care</w:t>
      </w:r>
      <w:r w:rsidR="00C5079E">
        <w:rPr>
          <w:snapToGrid/>
          <w:lang w:val="en-US"/>
        </w:rPr>
        <w:t xml:space="preserve"> (S</w:t>
      </w:r>
      <w:r w:rsidR="00A27229">
        <w:rPr>
          <w:snapToGrid/>
          <w:lang w:val="en-US"/>
        </w:rPr>
        <w:t>O</w:t>
      </w:r>
      <w:r w:rsidR="00C5079E">
        <w:rPr>
          <w:snapToGrid/>
          <w:lang w:val="en-US"/>
        </w:rPr>
        <w:t>C)</w:t>
      </w:r>
      <w:r>
        <w:rPr>
          <w:snapToGrid/>
          <w:lang w:val="en-US"/>
        </w:rPr>
        <w:t xml:space="preserve">, which is BB or non-dihydropyridine CCB. This comparator was consistent with the key EXPLORER-HCM trial. </w:t>
      </w:r>
      <w:r w:rsidR="00402C22" w:rsidRPr="00402C22">
        <w:rPr>
          <w:snapToGrid/>
          <w:lang w:val="en-US"/>
        </w:rPr>
        <w:t>The submission proposed mavacamten as a second-line therapy</w:t>
      </w:r>
      <w:r w:rsidR="007D407C">
        <w:rPr>
          <w:snapToGrid/>
          <w:lang w:val="en-US"/>
        </w:rPr>
        <w:t xml:space="preserve">, </w:t>
      </w:r>
      <w:r w:rsidR="00402C22" w:rsidRPr="00402C22">
        <w:rPr>
          <w:snapToGrid/>
          <w:lang w:val="en-US"/>
        </w:rPr>
        <w:t xml:space="preserve">as an add-on to first-line therapy. </w:t>
      </w:r>
    </w:p>
    <w:p w14:paraId="0A5FBB8C" w14:textId="533D177F" w:rsidR="00402C22" w:rsidRPr="00EF762F" w:rsidRDefault="00402C22" w:rsidP="003D3F0F">
      <w:pPr>
        <w:pStyle w:val="3-BodyText"/>
        <w:rPr>
          <w:snapToGrid/>
          <w:lang w:val="en-US"/>
        </w:rPr>
      </w:pPr>
      <w:r w:rsidRPr="00F72968">
        <w:rPr>
          <w:iCs/>
          <w:snapToGrid/>
          <w:lang w:val="en-US"/>
        </w:rPr>
        <w:t>The ESC noted</w:t>
      </w:r>
      <w:r w:rsidR="001A44ED" w:rsidRPr="00F72968">
        <w:rPr>
          <w:iCs/>
          <w:snapToGrid/>
          <w:lang w:val="en-US"/>
        </w:rPr>
        <w:t xml:space="preserve"> that</w:t>
      </w:r>
      <w:r w:rsidR="00602BF4" w:rsidRPr="00F72968">
        <w:rPr>
          <w:iCs/>
          <w:snapToGrid/>
          <w:lang w:val="en-US"/>
        </w:rPr>
        <w:t>,</w:t>
      </w:r>
      <w:r w:rsidR="001A44ED" w:rsidRPr="00F72968">
        <w:rPr>
          <w:iCs/>
          <w:snapToGrid/>
          <w:lang w:val="en-US"/>
        </w:rPr>
        <w:t xml:space="preserve"> although </w:t>
      </w:r>
      <w:r w:rsidR="00602BF4" w:rsidRPr="00F72968">
        <w:rPr>
          <w:iCs/>
          <w:snapToGrid/>
          <w:lang w:val="en-US"/>
        </w:rPr>
        <w:t xml:space="preserve">disopyramide </w:t>
      </w:r>
      <w:r w:rsidR="001A44ED" w:rsidRPr="00F72968">
        <w:rPr>
          <w:iCs/>
          <w:snapToGrid/>
          <w:lang w:val="en-US"/>
        </w:rPr>
        <w:t>may be effective for some patients</w:t>
      </w:r>
      <w:r w:rsidR="00602BF4" w:rsidRPr="00F72968">
        <w:rPr>
          <w:iCs/>
          <w:snapToGrid/>
          <w:lang w:val="en-US"/>
        </w:rPr>
        <w:t>,</w:t>
      </w:r>
      <w:r w:rsidR="001A44ED" w:rsidRPr="00F72968">
        <w:rPr>
          <w:iCs/>
          <w:snapToGrid/>
          <w:lang w:val="en-US"/>
        </w:rPr>
        <w:t xml:space="preserve"> there was limited</w:t>
      </w:r>
      <w:r w:rsidRPr="00F72968">
        <w:rPr>
          <w:iCs/>
          <w:snapToGrid/>
          <w:lang w:val="en-US"/>
        </w:rPr>
        <w:t xml:space="preserve"> </w:t>
      </w:r>
      <w:r w:rsidR="001A44ED" w:rsidRPr="00F72968">
        <w:rPr>
          <w:iCs/>
          <w:snapToGrid/>
          <w:lang w:val="en-US"/>
        </w:rPr>
        <w:t xml:space="preserve">clinical efficacy data available for </w:t>
      </w:r>
      <w:r w:rsidR="00602BF4" w:rsidRPr="00F72968">
        <w:rPr>
          <w:iCs/>
          <w:snapToGrid/>
          <w:lang w:val="en-US"/>
        </w:rPr>
        <w:t>it</w:t>
      </w:r>
      <w:r w:rsidR="00892AA2" w:rsidRPr="00F72968">
        <w:rPr>
          <w:iCs/>
          <w:snapToGrid/>
          <w:lang w:val="en-US"/>
        </w:rPr>
        <w:t xml:space="preserve">, it </w:t>
      </w:r>
      <w:r w:rsidR="00602BF4" w:rsidRPr="00F72968">
        <w:rPr>
          <w:iCs/>
          <w:snapToGrid/>
          <w:lang w:val="en-US"/>
        </w:rPr>
        <w:t xml:space="preserve">is often </w:t>
      </w:r>
      <w:r w:rsidR="00892AA2" w:rsidRPr="00F72968">
        <w:rPr>
          <w:iCs/>
          <w:snapToGrid/>
          <w:lang w:val="en-US"/>
        </w:rPr>
        <w:t>poorly tolerated</w:t>
      </w:r>
      <w:r w:rsidR="00FB3718" w:rsidRPr="00F72968">
        <w:rPr>
          <w:iCs/>
          <w:snapToGrid/>
          <w:lang w:val="en-US"/>
        </w:rPr>
        <w:t>,</w:t>
      </w:r>
      <w:r w:rsidR="00892AA2" w:rsidRPr="00F72968">
        <w:rPr>
          <w:iCs/>
          <w:snapToGrid/>
          <w:lang w:val="en-US"/>
        </w:rPr>
        <w:t xml:space="preserve"> and has not been approved for this indication</w:t>
      </w:r>
      <w:r w:rsidR="0080685D" w:rsidRPr="00F72968">
        <w:rPr>
          <w:iCs/>
          <w:snapToGrid/>
          <w:lang w:val="en-US"/>
        </w:rPr>
        <w:t xml:space="preserve"> in Australia</w:t>
      </w:r>
      <w:r w:rsidR="001A44ED" w:rsidRPr="00F72968">
        <w:rPr>
          <w:iCs/>
          <w:snapToGrid/>
          <w:lang w:val="en-US"/>
        </w:rPr>
        <w:t xml:space="preserve">. </w:t>
      </w:r>
      <w:r w:rsidR="00892AA2" w:rsidRPr="00F72968">
        <w:rPr>
          <w:iCs/>
          <w:snapToGrid/>
          <w:lang w:val="en-US"/>
        </w:rPr>
        <w:t xml:space="preserve">It was also noted that </w:t>
      </w:r>
      <w:r w:rsidR="00892AA2" w:rsidRPr="00F72968">
        <w:rPr>
          <w:rFonts w:cs="Calibri"/>
          <w:iCs/>
        </w:rPr>
        <w:t>surgical or percutaneous septal reduction therapy (SRT)</w:t>
      </w:r>
      <w:r w:rsidR="00892AA2" w:rsidRPr="00885192">
        <w:rPr>
          <w:rFonts w:cs="Calibri"/>
        </w:rPr>
        <w:t xml:space="preserve"> </w:t>
      </w:r>
      <w:r w:rsidR="00892AA2" w:rsidRPr="00F72968">
        <w:rPr>
          <w:rFonts w:cs="Calibri"/>
          <w:iCs/>
        </w:rPr>
        <w:t xml:space="preserve">is reserved for the most symptomatic </w:t>
      </w:r>
      <w:r w:rsidR="00FB3718" w:rsidRPr="00F72968">
        <w:rPr>
          <w:rFonts w:cs="Calibri"/>
          <w:iCs/>
        </w:rPr>
        <w:t>patients</w:t>
      </w:r>
      <w:r w:rsidR="00892AA2" w:rsidRPr="00F72968">
        <w:rPr>
          <w:rFonts w:cs="Calibri"/>
          <w:iCs/>
        </w:rPr>
        <w:t xml:space="preserve"> in clinical practice. </w:t>
      </w:r>
      <w:r w:rsidR="00F302EC" w:rsidRPr="00F72968">
        <w:rPr>
          <w:iCs/>
          <w:snapToGrid/>
          <w:lang w:val="en-US"/>
        </w:rPr>
        <w:t>Th</w:t>
      </w:r>
      <w:r w:rsidR="001A44ED" w:rsidRPr="00F72968">
        <w:rPr>
          <w:iCs/>
          <w:snapToGrid/>
          <w:lang w:val="en-US"/>
        </w:rPr>
        <w:t xml:space="preserve">e ESC </w:t>
      </w:r>
      <w:r w:rsidR="00F302EC" w:rsidRPr="00F72968">
        <w:rPr>
          <w:iCs/>
          <w:snapToGrid/>
          <w:lang w:val="en-US"/>
        </w:rPr>
        <w:t xml:space="preserve">also </w:t>
      </w:r>
      <w:r w:rsidR="001A44ED" w:rsidRPr="00F72968">
        <w:rPr>
          <w:iCs/>
          <w:snapToGrid/>
          <w:lang w:val="en-US"/>
        </w:rPr>
        <w:t xml:space="preserve">noted </w:t>
      </w:r>
      <w:r w:rsidRPr="00F72968">
        <w:rPr>
          <w:iCs/>
          <w:snapToGrid/>
          <w:lang w:val="en-US"/>
        </w:rPr>
        <w:t xml:space="preserve">that </w:t>
      </w:r>
      <w:r w:rsidR="00C5079E" w:rsidRPr="00F72968">
        <w:rPr>
          <w:iCs/>
          <w:snapToGrid/>
          <w:lang w:val="en-US"/>
        </w:rPr>
        <w:t xml:space="preserve">from the relevant PBS and MBS data presented in the PSCR that there appears to be minimal clinical usage of </w:t>
      </w:r>
      <w:r w:rsidRPr="00F72968">
        <w:rPr>
          <w:iCs/>
          <w:snapToGrid/>
          <w:lang w:val="en-US"/>
        </w:rPr>
        <w:t xml:space="preserve">disopyramide and </w:t>
      </w:r>
      <w:r w:rsidRPr="00F72968">
        <w:rPr>
          <w:rFonts w:cs="Calibri"/>
          <w:iCs/>
        </w:rPr>
        <w:t>SRT</w:t>
      </w:r>
      <w:r w:rsidRPr="00885192">
        <w:rPr>
          <w:rFonts w:cs="Calibri"/>
        </w:rPr>
        <w:t xml:space="preserve"> </w:t>
      </w:r>
      <w:r w:rsidR="00C5079E" w:rsidRPr="00F72968">
        <w:rPr>
          <w:rFonts w:cs="Calibri"/>
          <w:iCs/>
        </w:rPr>
        <w:t xml:space="preserve">in this population and </w:t>
      </w:r>
      <w:r w:rsidR="00F302EC" w:rsidRPr="00F72968">
        <w:rPr>
          <w:rFonts w:cs="Calibri"/>
          <w:iCs/>
        </w:rPr>
        <w:t xml:space="preserve">it was considered </w:t>
      </w:r>
      <w:r w:rsidR="00C5079E" w:rsidRPr="00F72968">
        <w:rPr>
          <w:rFonts w:cs="Calibri"/>
          <w:iCs/>
        </w:rPr>
        <w:t>that listing of mavacamten would</w:t>
      </w:r>
      <w:r w:rsidR="001D2AA2" w:rsidRPr="00F72968">
        <w:rPr>
          <w:iCs/>
          <w:snapToGrid/>
          <w:lang w:val="en-US"/>
        </w:rPr>
        <w:t xml:space="preserve"> likely displace </w:t>
      </w:r>
      <w:r w:rsidR="00207676" w:rsidRPr="00F72968">
        <w:rPr>
          <w:iCs/>
          <w:snapToGrid/>
          <w:lang w:val="en-US"/>
        </w:rPr>
        <w:t xml:space="preserve">disopyramide and SRT </w:t>
      </w:r>
      <w:r w:rsidR="001D2AA2" w:rsidRPr="00F72968">
        <w:rPr>
          <w:iCs/>
          <w:snapToGrid/>
          <w:lang w:val="en-US"/>
        </w:rPr>
        <w:t xml:space="preserve">to third-line </w:t>
      </w:r>
      <w:r w:rsidR="00386877" w:rsidRPr="00F72968">
        <w:rPr>
          <w:iCs/>
          <w:snapToGrid/>
          <w:lang w:val="en-US"/>
        </w:rPr>
        <w:t>treatment options</w:t>
      </w:r>
      <w:r w:rsidR="001D2AA2" w:rsidRPr="00F72968">
        <w:rPr>
          <w:iCs/>
          <w:snapToGrid/>
          <w:lang w:val="en-US"/>
        </w:rPr>
        <w:t>.</w:t>
      </w:r>
      <w:r w:rsidR="00C5079E" w:rsidRPr="00F72968">
        <w:rPr>
          <w:iCs/>
          <w:snapToGrid/>
          <w:lang w:val="en-US"/>
        </w:rPr>
        <w:t xml:space="preserve"> The ESC therefore agreed with the submission that SOC was the appropriate comparator to inform comparative clinical and cost effectiveness.</w:t>
      </w:r>
    </w:p>
    <w:p w14:paraId="69BB41B2" w14:textId="784E7941" w:rsidR="00EF762F" w:rsidRPr="003D3F0F" w:rsidRDefault="00EF762F" w:rsidP="003F0675">
      <w:pPr>
        <w:pStyle w:val="3-BodyText"/>
        <w:numPr>
          <w:ilvl w:val="0"/>
          <w:numId w:val="0"/>
        </w:numPr>
        <w:ind w:firstLine="720"/>
        <w:rPr>
          <w:snapToGrid/>
          <w:lang w:val="en-US"/>
        </w:rPr>
      </w:pPr>
      <w:r w:rsidRPr="00EF762F">
        <w:rPr>
          <w:i/>
          <w:iCs/>
          <w:color w:val="000000" w:themeColor="text1"/>
        </w:rPr>
        <w:t>For more detail on PBAC’s view, see section 7 PBAC outcome.</w:t>
      </w:r>
    </w:p>
    <w:p w14:paraId="7F9C27C8" w14:textId="3DC7292A" w:rsidR="00223D5A" w:rsidRDefault="00223D5A" w:rsidP="00223D5A">
      <w:pPr>
        <w:pStyle w:val="2-SectionHeading"/>
      </w:pPr>
      <w:bookmarkStart w:id="17" w:name="_Toc113979739"/>
      <w:r>
        <w:t>C</w:t>
      </w:r>
      <w:r w:rsidRPr="00407F2D">
        <w:t>onsideration of the evidence</w:t>
      </w:r>
      <w:bookmarkEnd w:id="17"/>
    </w:p>
    <w:p w14:paraId="369DE565" w14:textId="48A43865" w:rsidR="00F64CC4" w:rsidRPr="006E1229" w:rsidRDefault="00F64CC4" w:rsidP="009F6A1C">
      <w:pPr>
        <w:pStyle w:val="4-SubsectionHeading"/>
      </w:pPr>
      <w:bookmarkStart w:id="18" w:name="_Hlk76375935"/>
      <w:r w:rsidRPr="006E1229">
        <w:t>Sponsor hearing</w:t>
      </w:r>
    </w:p>
    <w:p w14:paraId="66BB5A3F" w14:textId="538E657A" w:rsidR="00F64CC4" w:rsidRPr="00F91542" w:rsidRDefault="00F64CC4" w:rsidP="00F64CC4">
      <w:pPr>
        <w:widowControl w:val="0"/>
        <w:numPr>
          <w:ilvl w:val="1"/>
          <w:numId w:val="1"/>
        </w:numPr>
        <w:spacing w:after="120"/>
        <w:rPr>
          <w:rFonts w:cs="Calibri"/>
          <w:bCs/>
          <w:snapToGrid w:val="0"/>
        </w:rPr>
      </w:pPr>
      <w:r w:rsidRPr="00F91542">
        <w:rPr>
          <w:rFonts w:cs="Calibri"/>
          <w:bCs/>
          <w:snapToGrid w:val="0"/>
        </w:rPr>
        <w:t>There was no hearing for this item.</w:t>
      </w:r>
    </w:p>
    <w:p w14:paraId="63BA86DE" w14:textId="1EC06C4B" w:rsidR="00F64CC4" w:rsidRPr="006E1229" w:rsidRDefault="00F64CC4" w:rsidP="009F6A1C">
      <w:pPr>
        <w:pStyle w:val="4-SubsectionHeading"/>
      </w:pPr>
      <w:r w:rsidRPr="006E1229">
        <w:lastRenderedPageBreak/>
        <w:t>Consumer comments</w:t>
      </w:r>
    </w:p>
    <w:p w14:paraId="30F82C27" w14:textId="4CEFD9D7" w:rsidR="00266AF2" w:rsidRPr="00D24456" w:rsidRDefault="00266AF2" w:rsidP="00266AF2">
      <w:pPr>
        <w:widowControl w:val="0"/>
        <w:numPr>
          <w:ilvl w:val="1"/>
          <w:numId w:val="1"/>
        </w:numPr>
        <w:spacing w:after="120"/>
        <w:rPr>
          <w:b/>
          <w:bCs/>
          <w:i/>
          <w:iCs/>
          <w:snapToGrid w:val="0"/>
        </w:rPr>
      </w:pPr>
      <w:bookmarkStart w:id="19" w:name="_Toc113979740"/>
      <w:bookmarkEnd w:id="18"/>
      <w:r>
        <w:rPr>
          <w:snapToGrid w:val="0"/>
        </w:rPr>
        <w:t>The PBAC noted and welcomed the input from health care professionals</w:t>
      </w:r>
      <w:r w:rsidR="000751A1">
        <w:rPr>
          <w:snapToGrid w:val="0"/>
        </w:rPr>
        <w:t xml:space="preserve"> (HCPs)</w:t>
      </w:r>
      <w:r w:rsidR="008C4267">
        <w:rPr>
          <w:snapToGrid w:val="0"/>
        </w:rPr>
        <w:t xml:space="preserve"> (3)</w:t>
      </w:r>
      <w:r w:rsidR="003A3E8F">
        <w:rPr>
          <w:snapToGrid w:val="0"/>
        </w:rPr>
        <w:t xml:space="preserve">, </w:t>
      </w:r>
      <w:r w:rsidR="008C4267">
        <w:rPr>
          <w:snapToGrid w:val="0"/>
        </w:rPr>
        <w:t>an</w:t>
      </w:r>
      <w:r w:rsidR="003A3E8F">
        <w:rPr>
          <w:snapToGrid w:val="0"/>
        </w:rPr>
        <w:t xml:space="preserve"> individual</w:t>
      </w:r>
      <w:r>
        <w:rPr>
          <w:snapToGrid w:val="0"/>
        </w:rPr>
        <w:t xml:space="preserve"> and</w:t>
      </w:r>
      <w:r w:rsidR="008C4267">
        <w:rPr>
          <w:snapToGrid w:val="0"/>
        </w:rPr>
        <w:t xml:space="preserve"> a</w:t>
      </w:r>
      <w:r>
        <w:rPr>
          <w:snapToGrid w:val="0"/>
        </w:rPr>
        <w:t xml:space="preserve"> </w:t>
      </w:r>
      <w:r w:rsidR="003A3E8F">
        <w:rPr>
          <w:snapToGrid w:val="0"/>
        </w:rPr>
        <w:t xml:space="preserve">consumer </w:t>
      </w:r>
      <w:r>
        <w:rPr>
          <w:snapToGrid w:val="0"/>
        </w:rPr>
        <w:t>organisation (</w:t>
      </w:r>
      <w:r w:rsidR="003A3E8F">
        <w:rPr>
          <w:snapToGrid w:val="0"/>
        </w:rPr>
        <w:t>Hearts4heart</w:t>
      </w:r>
      <w:r>
        <w:rPr>
          <w:snapToGrid w:val="0"/>
        </w:rPr>
        <w:t>) via the Consumer Comments facility on the PBS website.</w:t>
      </w:r>
    </w:p>
    <w:p w14:paraId="06FFFEF4" w14:textId="77EF3B6F" w:rsidR="00A17927" w:rsidRDefault="00A17927" w:rsidP="00A1792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comments </w:t>
      </w:r>
      <w:r>
        <w:rPr>
          <w:rFonts w:asciiTheme="minorHAnsi" w:hAnsiTheme="minorHAnsi"/>
          <w:bCs/>
          <w:snapToGrid w:val="0"/>
        </w:rPr>
        <w:t>from HCPs noted that</w:t>
      </w:r>
      <w:r w:rsidRPr="00D24456">
        <w:rPr>
          <w:rFonts w:asciiTheme="minorHAnsi" w:hAnsiTheme="minorHAnsi"/>
          <w:bCs/>
          <w:snapToGrid w:val="0"/>
        </w:rPr>
        <w:t xml:space="preserve"> there are currently a number of therapeutic options for patients with obstructive HCM, including medical therapy (</w:t>
      </w:r>
      <w:r w:rsidR="00D24456" w:rsidRPr="00D24456">
        <w:rPr>
          <w:rFonts w:asciiTheme="minorHAnsi" w:hAnsiTheme="minorHAnsi"/>
          <w:bCs/>
          <w:snapToGrid w:val="0"/>
        </w:rPr>
        <w:t xml:space="preserve">i.e. </w:t>
      </w:r>
      <w:r w:rsidRPr="00D24456">
        <w:rPr>
          <w:rFonts w:asciiTheme="minorHAnsi" w:hAnsiTheme="minorHAnsi"/>
          <w:bCs/>
          <w:snapToGrid w:val="0"/>
        </w:rPr>
        <w:t>BBs</w:t>
      </w:r>
      <w:r w:rsidR="00D24456" w:rsidRPr="00D24456">
        <w:rPr>
          <w:rFonts w:asciiTheme="minorHAnsi" w:hAnsiTheme="minorHAnsi"/>
          <w:bCs/>
          <w:snapToGrid w:val="0"/>
        </w:rPr>
        <w:t>, CCB</w:t>
      </w:r>
      <w:r w:rsidRPr="00D24456">
        <w:rPr>
          <w:rFonts w:asciiTheme="minorHAnsi" w:hAnsiTheme="minorHAnsi"/>
          <w:bCs/>
          <w:snapToGrid w:val="0"/>
        </w:rPr>
        <w:t>s</w:t>
      </w:r>
      <w:r w:rsidR="00D24456" w:rsidRPr="00D24456">
        <w:rPr>
          <w:rFonts w:asciiTheme="minorHAnsi" w:hAnsiTheme="minorHAnsi"/>
          <w:bCs/>
          <w:snapToGrid w:val="0"/>
        </w:rPr>
        <w:t xml:space="preserve">, and </w:t>
      </w:r>
      <w:r w:rsidRPr="00D24456">
        <w:rPr>
          <w:rFonts w:asciiTheme="minorHAnsi" w:hAnsiTheme="minorHAnsi"/>
          <w:bCs/>
          <w:snapToGrid w:val="0"/>
        </w:rPr>
        <w:t>disopyramide) and</w:t>
      </w:r>
      <w:r w:rsidR="00D24456" w:rsidRPr="00D24456">
        <w:rPr>
          <w:rFonts w:asciiTheme="minorHAnsi" w:hAnsiTheme="minorHAnsi"/>
          <w:bCs/>
          <w:snapToGrid w:val="0"/>
        </w:rPr>
        <w:t xml:space="preserve"> </w:t>
      </w:r>
      <w:r w:rsidR="00985FEE">
        <w:rPr>
          <w:rFonts w:asciiTheme="minorHAnsi" w:hAnsiTheme="minorHAnsi"/>
          <w:bCs/>
          <w:snapToGrid w:val="0"/>
        </w:rPr>
        <w:t>invasive medical procedures</w:t>
      </w:r>
      <w:r w:rsidRPr="00D24456">
        <w:rPr>
          <w:rFonts w:asciiTheme="minorHAnsi" w:hAnsiTheme="minorHAnsi"/>
          <w:bCs/>
          <w:snapToGrid w:val="0"/>
        </w:rPr>
        <w:t xml:space="preserve"> </w:t>
      </w:r>
      <w:r w:rsidR="00985FEE">
        <w:rPr>
          <w:rFonts w:asciiTheme="minorHAnsi" w:hAnsiTheme="minorHAnsi"/>
          <w:bCs/>
          <w:snapToGrid w:val="0"/>
        </w:rPr>
        <w:t>(</w:t>
      </w:r>
      <w:r w:rsidRPr="00D24456">
        <w:rPr>
          <w:rFonts w:asciiTheme="minorHAnsi" w:hAnsiTheme="minorHAnsi"/>
          <w:bCs/>
          <w:snapToGrid w:val="0"/>
        </w:rPr>
        <w:t>alcohol septal ablation or surgical myectomy</w:t>
      </w:r>
      <w:r w:rsidR="00985FEE">
        <w:rPr>
          <w:rFonts w:asciiTheme="minorHAnsi" w:hAnsiTheme="minorHAnsi"/>
          <w:bCs/>
          <w:snapToGrid w:val="0"/>
        </w:rPr>
        <w:t>)</w:t>
      </w:r>
      <w:r w:rsidRPr="00D24456">
        <w:rPr>
          <w:rFonts w:asciiTheme="minorHAnsi" w:hAnsiTheme="minorHAnsi"/>
          <w:bCs/>
          <w:snapToGrid w:val="0"/>
        </w:rPr>
        <w:t xml:space="preserve">. </w:t>
      </w:r>
      <w:r w:rsidR="00D24456" w:rsidRPr="00D24456">
        <w:rPr>
          <w:rFonts w:asciiTheme="minorHAnsi" w:hAnsiTheme="minorHAnsi"/>
          <w:bCs/>
          <w:snapToGrid w:val="0"/>
        </w:rPr>
        <w:t>The HCPs described that despite the availability of these therapies,</w:t>
      </w:r>
      <w:r w:rsidRPr="00D24456">
        <w:rPr>
          <w:rFonts w:asciiTheme="minorHAnsi" w:hAnsiTheme="minorHAnsi"/>
          <w:bCs/>
          <w:snapToGrid w:val="0"/>
        </w:rPr>
        <w:t xml:space="preserve"> </w:t>
      </w:r>
      <w:r w:rsidR="00D24456" w:rsidRPr="00D24456">
        <w:rPr>
          <w:rFonts w:asciiTheme="minorHAnsi" w:hAnsiTheme="minorHAnsi"/>
          <w:bCs/>
          <w:snapToGrid w:val="0"/>
        </w:rPr>
        <w:t>there remain</w:t>
      </w:r>
      <w:r w:rsidR="00985FEE">
        <w:rPr>
          <w:rFonts w:asciiTheme="minorHAnsi" w:hAnsiTheme="minorHAnsi"/>
          <w:bCs/>
          <w:snapToGrid w:val="0"/>
        </w:rPr>
        <w:t>s</w:t>
      </w:r>
      <w:r w:rsidR="00D24456" w:rsidRPr="00D24456">
        <w:rPr>
          <w:rFonts w:asciiTheme="minorHAnsi" w:hAnsiTheme="minorHAnsi"/>
          <w:bCs/>
          <w:snapToGrid w:val="0"/>
        </w:rPr>
        <w:t xml:space="preserve"> a clinical need </w:t>
      </w:r>
      <w:r w:rsidR="00985FEE">
        <w:rPr>
          <w:rFonts w:asciiTheme="minorHAnsi" w:hAnsiTheme="minorHAnsi"/>
          <w:bCs/>
          <w:snapToGrid w:val="0"/>
        </w:rPr>
        <w:t>among</w:t>
      </w:r>
      <w:r w:rsidR="00D24456" w:rsidRPr="00D24456">
        <w:rPr>
          <w:rFonts w:asciiTheme="minorHAnsi" w:hAnsiTheme="minorHAnsi"/>
          <w:bCs/>
          <w:snapToGrid w:val="0"/>
        </w:rPr>
        <w:t xml:space="preserve"> </w:t>
      </w:r>
      <w:r w:rsidRPr="00D24456">
        <w:rPr>
          <w:rFonts w:asciiTheme="minorHAnsi" w:hAnsiTheme="minorHAnsi"/>
          <w:bCs/>
          <w:snapToGrid w:val="0"/>
        </w:rPr>
        <w:t xml:space="preserve">patients </w:t>
      </w:r>
      <w:r w:rsidR="00D24456" w:rsidRPr="00D24456">
        <w:rPr>
          <w:rFonts w:asciiTheme="minorHAnsi" w:hAnsiTheme="minorHAnsi"/>
          <w:bCs/>
          <w:snapToGrid w:val="0"/>
        </w:rPr>
        <w:t xml:space="preserve">not suitable for </w:t>
      </w:r>
      <w:r w:rsidRPr="00D24456">
        <w:rPr>
          <w:rFonts w:asciiTheme="minorHAnsi" w:hAnsiTheme="minorHAnsi"/>
          <w:bCs/>
          <w:snapToGrid w:val="0"/>
        </w:rPr>
        <w:t>procedures</w:t>
      </w:r>
      <w:r w:rsidR="00D24456" w:rsidRPr="00D24456">
        <w:rPr>
          <w:rFonts w:asciiTheme="minorHAnsi" w:hAnsiTheme="minorHAnsi"/>
          <w:bCs/>
          <w:snapToGrid w:val="0"/>
        </w:rPr>
        <w:t xml:space="preserve"> and/or non-respondent to current</w:t>
      </w:r>
      <w:r w:rsidR="00EA17BE">
        <w:rPr>
          <w:rFonts w:asciiTheme="minorHAnsi" w:hAnsiTheme="minorHAnsi"/>
          <w:bCs/>
          <w:snapToGrid w:val="0"/>
        </w:rPr>
        <w:t xml:space="preserve"> medical</w:t>
      </w:r>
      <w:r w:rsidR="00D24456" w:rsidRPr="00D24456">
        <w:rPr>
          <w:rFonts w:asciiTheme="minorHAnsi" w:hAnsiTheme="minorHAnsi"/>
          <w:bCs/>
          <w:snapToGrid w:val="0"/>
        </w:rPr>
        <w:t xml:space="preserve"> therapies.</w:t>
      </w:r>
      <w:r w:rsidR="00985FEE">
        <w:rPr>
          <w:rFonts w:asciiTheme="minorHAnsi" w:hAnsiTheme="minorHAnsi"/>
          <w:bCs/>
          <w:snapToGrid w:val="0"/>
        </w:rPr>
        <w:t xml:space="preserve"> HCPs also noted that </w:t>
      </w:r>
      <w:r w:rsidR="00985FEE" w:rsidRPr="00985FEE">
        <w:rPr>
          <w:rFonts w:asciiTheme="minorHAnsi" w:hAnsiTheme="minorHAnsi"/>
          <w:bCs/>
          <w:snapToGrid w:val="0"/>
        </w:rPr>
        <w:t>access to specialist invasive therapies remains limited across parts of Australia and outcomes from these procedures can be suboptimal.</w:t>
      </w:r>
      <w:r w:rsidR="00D24456" w:rsidRPr="00D24456">
        <w:rPr>
          <w:rFonts w:asciiTheme="minorHAnsi" w:hAnsiTheme="minorHAnsi"/>
          <w:bCs/>
          <w:snapToGrid w:val="0"/>
        </w:rPr>
        <w:t xml:space="preserve"> </w:t>
      </w:r>
      <w:r w:rsidR="00985FEE">
        <w:rPr>
          <w:rFonts w:asciiTheme="minorHAnsi" w:hAnsiTheme="minorHAnsi"/>
          <w:bCs/>
          <w:snapToGrid w:val="0"/>
        </w:rPr>
        <w:t>HCPs</w:t>
      </w:r>
      <w:r w:rsidR="005E4DA6">
        <w:rPr>
          <w:rFonts w:asciiTheme="minorHAnsi" w:hAnsiTheme="minorHAnsi"/>
          <w:bCs/>
          <w:snapToGrid w:val="0"/>
        </w:rPr>
        <w:t xml:space="preserve"> considered</w:t>
      </w:r>
      <w:r w:rsidR="00985FEE">
        <w:rPr>
          <w:rFonts w:asciiTheme="minorHAnsi" w:hAnsiTheme="minorHAnsi"/>
          <w:bCs/>
          <w:snapToGrid w:val="0"/>
        </w:rPr>
        <w:t xml:space="preserve"> that</w:t>
      </w:r>
      <w:r w:rsidR="00D24456" w:rsidRPr="00D24456">
        <w:rPr>
          <w:rFonts w:asciiTheme="minorHAnsi" w:hAnsiTheme="minorHAnsi"/>
          <w:bCs/>
          <w:snapToGrid w:val="0"/>
        </w:rPr>
        <w:t xml:space="preserve"> </w:t>
      </w:r>
      <w:r w:rsidR="00985FEE">
        <w:rPr>
          <w:rFonts w:asciiTheme="minorHAnsi" w:hAnsiTheme="minorHAnsi"/>
          <w:bCs/>
          <w:snapToGrid w:val="0"/>
        </w:rPr>
        <w:t>mavacamten represent</w:t>
      </w:r>
      <w:r w:rsidR="005E4DA6">
        <w:rPr>
          <w:rFonts w:asciiTheme="minorHAnsi" w:hAnsiTheme="minorHAnsi"/>
          <w:bCs/>
          <w:snapToGrid w:val="0"/>
        </w:rPr>
        <w:t>s</w:t>
      </w:r>
      <w:r w:rsidR="00985FEE">
        <w:rPr>
          <w:rFonts w:asciiTheme="minorHAnsi" w:hAnsiTheme="minorHAnsi"/>
          <w:bCs/>
          <w:snapToGrid w:val="0"/>
        </w:rPr>
        <w:t xml:space="preserve"> </w:t>
      </w:r>
      <w:r w:rsidR="00551683">
        <w:rPr>
          <w:rFonts w:asciiTheme="minorHAnsi" w:hAnsiTheme="minorHAnsi"/>
          <w:bCs/>
          <w:snapToGrid w:val="0"/>
        </w:rPr>
        <w:t xml:space="preserve">an alternative therapy that appears to provide </w:t>
      </w:r>
      <w:r w:rsidR="00551683" w:rsidRPr="00551683">
        <w:rPr>
          <w:rFonts w:asciiTheme="minorHAnsi" w:hAnsiTheme="minorHAnsi"/>
          <w:bCs/>
          <w:snapToGrid w:val="0"/>
        </w:rPr>
        <w:t>symptom relief and functional class improvement.</w:t>
      </w:r>
    </w:p>
    <w:p w14:paraId="32718574" w14:textId="77CF20CD" w:rsidR="00A17927" w:rsidRDefault="008C4267" w:rsidP="00266AF2">
      <w:pPr>
        <w:widowControl w:val="0"/>
        <w:numPr>
          <w:ilvl w:val="1"/>
          <w:numId w:val="1"/>
        </w:numPr>
        <w:spacing w:after="120"/>
        <w:rPr>
          <w:rFonts w:asciiTheme="minorHAnsi" w:hAnsiTheme="minorHAnsi"/>
          <w:bCs/>
          <w:snapToGrid w:val="0"/>
        </w:rPr>
      </w:pPr>
      <w:r w:rsidRPr="009777C6">
        <w:rPr>
          <w:rFonts w:asciiTheme="minorHAnsi" w:hAnsiTheme="minorHAnsi"/>
          <w:bCs/>
          <w:snapToGrid w:val="0"/>
        </w:rPr>
        <w:t>One individual</w:t>
      </w:r>
      <w:r w:rsidR="00F06391">
        <w:rPr>
          <w:rFonts w:asciiTheme="minorHAnsi" w:hAnsiTheme="minorHAnsi"/>
          <w:bCs/>
          <w:snapToGrid w:val="0"/>
        </w:rPr>
        <w:t>,</w:t>
      </w:r>
      <w:r>
        <w:rPr>
          <w:rFonts w:asciiTheme="minorHAnsi" w:hAnsiTheme="minorHAnsi"/>
          <w:bCs/>
          <w:snapToGrid w:val="0"/>
        </w:rPr>
        <w:t xml:space="preserve"> who </w:t>
      </w:r>
      <w:r w:rsidR="00F06391">
        <w:rPr>
          <w:rFonts w:asciiTheme="minorHAnsi" w:hAnsiTheme="minorHAnsi"/>
          <w:bCs/>
          <w:snapToGrid w:val="0"/>
        </w:rPr>
        <w:t xml:space="preserve">would like access to mavacamten, noted the limitations of BB therapy and the potential for mavacamten to provide an alternative therapy option. The individual noted that </w:t>
      </w:r>
      <w:r w:rsidR="005778EC">
        <w:rPr>
          <w:rFonts w:asciiTheme="minorHAnsi" w:hAnsiTheme="minorHAnsi"/>
          <w:bCs/>
          <w:snapToGrid w:val="0"/>
        </w:rPr>
        <w:t xml:space="preserve">the </w:t>
      </w:r>
      <w:r w:rsidR="00F06391">
        <w:rPr>
          <w:rFonts w:asciiTheme="minorHAnsi" w:hAnsiTheme="minorHAnsi"/>
          <w:bCs/>
          <w:snapToGrid w:val="0"/>
        </w:rPr>
        <w:t>routine monitoring</w:t>
      </w:r>
      <w:r w:rsidR="0037001E">
        <w:rPr>
          <w:rFonts w:asciiTheme="minorHAnsi" w:hAnsiTheme="minorHAnsi"/>
          <w:bCs/>
          <w:snapToGrid w:val="0"/>
        </w:rPr>
        <w:t xml:space="preserve"> required</w:t>
      </w:r>
      <w:r w:rsidR="00F06391">
        <w:rPr>
          <w:rFonts w:asciiTheme="minorHAnsi" w:hAnsiTheme="minorHAnsi"/>
          <w:bCs/>
          <w:snapToGrid w:val="0"/>
        </w:rPr>
        <w:t xml:space="preserve"> </w:t>
      </w:r>
      <w:r w:rsidR="005778EC">
        <w:rPr>
          <w:rFonts w:asciiTheme="minorHAnsi" w:hAnsiTheme="minorHAnsi"/>
          <w:bCs/>
          <w:snapToGrid w:val="0"/>
        </w:rPr>
        <w:t xml:space="preserve">of mavacamten treatment </w:t>
      </w:r>
      <w:r w:rsidR="009777C6">
        <w:rPr>
          <w:rFonts w:asciiTheme="minorHAnsi" w:hAnsiTheme="minorHAnsi"/>
          <w:bCs/>
          <w:snapToGrid w:val="0"/>
        </w:rPr>
        <w:t xml:space="preserve">was a potential disadvantage, however considered that the clinical benefits associated with </w:t>
      </w:r>
      <w:r w:rsidR="005778EC">
        <w:rPr>
          <w:rFonts w:asciiTheme="minorHAnsi" w:hAnsiTheme="minorHAnsi"/>
          <w:bCs/>
          <w:snapToGrid w:val="0"/>
        </w:rPr>
        <w:t>mavacamten</w:t>
      </w:r>
      <w:r w:rsidR="009777C6">
        <w:rPr>
          <w:rFonts w:asciiTheme="minorHAnsi" w:hAnsiTheme="minorHAnsi"/>
          <w:bCs/>
          <w:snapToGrid w:val="0"/>
        </w:rPr>
        <w:t xml:space="preserve"> outweighed the additional time required for monitoring.</w:t>
      </w:r>
      <w:r w:rsidR="00F06391">
        <w:rPr>
          <w:rFonts w:asciiTheme="minorHAnsi" w:hAnsiTheme="minorHAnsi"/>
          <w:bCs/>
          <w:snapToGrid w:val="0"/>
        </w:rPr>
        <w:t xml:space="preserve"> </w:t>
      </w:r>
    </w:p>
    <w:p w14:paraId="79B0F5F5" w14:textId="2FC80251" w:rsidR="005778EC" w:rsidRPr="009777C6" w:rsidRDefault="00A84CA1" w:rsidP="00266AF2">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the advice received from hearts4heart. Hearts4hearts </w:t>
      </w:r>
      <w:r w:rsidR="00B237E6">
        <w:rPr>
          <w:rFonts w:asciiTheme="minorHAnsi" w:hAnsiTheme="minorHAnsi"/>
          <w:bCs/>
          <w:snapToGrid w:val="0"/>
        </w:rPr>
        <w:t>considered that</w:t>
      </w:r>
      <w:r>
        <w:rPr>
          <w:rFonts w:asciiTheme="minorHAnsi" w:hAnsiTheme="minorHAnsi"/>
          <w:bCs/>
          <w:snapToGrid w:val="0"/>
        </w:rPr>
        <w:t xml:space="preserve"> mavacamten </w:t>
      </w:r>
      <w:r w:rsidR="00B237E6">
        <w:rPr>
          <w:rFonts w:asciiTheme="minorHAnsi" w:hAnsiTheme="minorHAnsi"/>
          <w:bCs/>
          <w:snapToGrid w:val="0"/>
        </w:rPr>
        <w:t>was</w:t>
      </w:r>
      <w:r>
        <w:rPr>
          <w:rFonts w:asciiTheme="minorHAnsi" w:hAnsiTheme="minorHAnsi"/>
          <w:bCs/>
          <w:snapToGrid w:val="0"/>
        </w:rPr>
        <w:t xml:space="preserve"> associated with significant improvements to quality of life and clinical outcomes for symptomatic patients living with HCM and was associated with minimal side effects. Hearts4heart emphasised that mavacamten had potential to </w:t>
      </w:r>
      <w:r w:rsidR="00B237E6">
        <w:rPr>
          <w:rFonts w:asciiTheme="minorHAnsi" w:hAnsiTheme="minorHAnsi"/>
          <w:bCs/>
          <w:snapToGrid w:val="0"/>
        </w:rPr>
        <w:t xml:space="preserve">significantly </w:t>
      </w:r>
      <w:r>
        <w:rPr>
          <w:rFonts w:asciiTheme="minorHAnsi" w:hAnsiTheme="minorHAnsi"/>
          <w:bCs/>
          <w:snapToGrid w:val="0"/>
        </w:rPr>
        <w:t>improve the daily lives of patients</w:t>
      </w:r>
      <w:r w:rsidR="00B237E6">
        <w:rPr>
          <w:rFonts w:asciiTheme="minorHAnsi" w:hAnsiTheme="minorHAnsi"/>
          <w:bCs/>
          <w:snapToGrid w:val="0"/>
        </w:rPr>
        <w:t xml:space="preserve">, </w:t>
      </w:r>
      <w:bookmarkStart w:id="20" w:name="_Hlk119672107"/>
      <w:r w:rsidR="00B237E6">
        <w:rPr>
          <w:rFonts w:asciiTheme="minorHAnsi" w:hAnsiTheme="minorHAnsi"/>
          <w:bCs/>
          <w:snapToGrid w:val="0"/>
        </w:rPr>
        <w:t>noting that patients describe feeling less fatigued and more able to engage in physical exercise when taking mavacamten.</w:t>
      </w:r>
    </w:p>
    <w:bookmarkEnd w:id="20"/>
    <w:p w14:paraId="609C0765" w14:textId="5AC0C952" w:rsidR="00B60939" w:rsidRPr="00C9624D" w:rsidRDefault="00B60939" w:rsidP="002E4F02">
      <w:pPr>
        <w:pStyle w:val="4-SubsectionHeading"/>
      </w:pPr>
      <w:r w:rsidRPr="00C9624D">
        <w:t xml:space="preserve">Clinical </w:t>
      </w:r>
      <w:bookmarkEnd w:id="16"/>
      <w:bookmarkEnd w:id="19"/>
      <w:r w:rsidR="008278AA">
        <w:t>trials</w:t>
      </w:r>
    </w:p>
    <w:p w14:paraId="37114DB3" w14:textId="6431F27B" w:rsidR="00912D3A" w:rsidRPr="002E4F02" w:rsidRDefault="00912D3A" w:rsidP="00912D3A">
      <w:pPr>
        <w:pStyle w:val="3-BodyText"/>
        <w:rPr>
          <w:color w:val="0066FF"/>
        </w:rPr>
      </w:pPr>
      <w:r>
        <w:rPr>
          <w:snapToGrid/>
          <w:lang w:val="en-US"/>
        </w:rPr>
        <w:t>The submission was primarily based on one head-to-head trial comparing mavacamten (</w:t>
      </w:r>
      <w:r>
        <w:t>+/- BB/CCB)</w:t>
      </w:r>
      <w:r w:rsidRPr="002E3F99">
        <w:rPr>
          <w:rFonts w:cs="Tahoma"/>
        </w:rPr>
        <w:t xml:space="preserve"> </w:t>
      </w:r>
      <w:r w:rsidR="00B251BF">
        <w:rPr>
          <w:snapToGrid/>
          <w:lang w:val="en-US"/>
        </w:rPr>
        <w:t xml:space="preserve">with </w:t>
      </w:r>
      <w:r>
        <w:rPr>
          <w:snapToGrid/>
          <w:lang w:val="en-US"/>
        </w:rPr>
        <w:t>placebo (</w:t>
      </w:r>
      <w:r>
        <w:t>+/- BB/CCB)</w:t>
      </w:r>
      <w:r>
        <w:rPr>
          <w:snapToGrid/>
          <w:lang w:val="en-US"/>
        </w:rPr>
        <w:t xml:space="preserve"> (n=251) (EXPLORER-HCM). Three additional non-comparative studies provided supporting evidence of longer-term safety/efficacy </w:t>
      </w:r>
      <w:r>
        <w:rPr>
          <w:rFonts w:cs="Tahoma"/>
        </w:rPr>
        <w:t>(</w:t>
      </w:r>
      <w:r w:rsidRPr="002E3F99">
        <w:rPr>
          <w:rFonts w:cs="Tahoma"/>
        </w:rPr>
        <w:t>PIONEER-HCM</w:t>
      </w:r>
      <w:r>
        <w:rPr>
          <w:rFonts w:cs="Tahoma"/>
        </w:rPr>
        <w:t xml:space="preserve">, </w:t>
      </w:r>
      <w:r w:rsidRPr="002E3F99">
        <w:rPr>
          <w:rFonts w:cs="Tahoma"/>
        </w:rPr>
        <w:t>PIONEER-OLE</w:t>
      </w:r>
      <w:r>
        <w:rPr>
          <w:rFonts w:cs="Tahoma"/>
        </w:rPr>
        <w:t xml:space="preserve"> and </w:t>
      </w:r>
      <w:r w:rsidRPr="002E3F99">
        <w:rPr>
          <w:rFonts w:cs="Tahoma"/>
        </w:rPr>
        <w:t>MAVA-LTE</w:t>
      </w:r>
      <w:r>
        <w:rPr>
          <w:rFonts w:cs="Tahoma"/>
        </w:rPr>
        <w:t>). One additional head-to-head trial was included</w:t>
      </w:r>
      <w:r w:rsidR="00F47F14">
        <w:rPr>
          <w:rFonts w:cs="Tahoma"/>
        </w:rPr>
        <w:t xml:space="preserve"> as supporting evidence</w:t>
      </w:r>
      <w:r>
        <w:rPr>
          <w:rFonts w:cs="Tahoma"/>
        </w:rPr>
        <w:t xml:space="preserve"> of mavacamten versus placebo in a severe symptomatic population, with NYHA class III/IV, who had been referred for SRT</w:t>
      </w:r>
      <w:r w:rsidR="00D86475">
        <w:rPr>
          <w:rFonts w:cs="Tahoma"/>
        </w:rPr>
        <w:t xml:space="preserve"> (VALOR-HCM)</w:t>
      </w:r>
      <w:r>
        <w:rPr>
          <w:rFonts w:cs="Tahoma"/>
        </w:rPr>
        <w:t xml:space="preserve">. </w:t>
      </w:r>
      <w:r w:rsidRPr="00885192">
        <w:rPr>
          <w:rFonts w:cs="Tahoma"/>
        </w:rPr>
        <w:t xml:space="preserve">This population was considered to be </w:t>
      </w:r>
      <w:r w:rsidR="00F302EC" w:rsidRPr="00F72968">
        <w:rPr>
          <w:rFonts w:cs="Tahoma"/>
          <w:iCs/>
        </w:rPr>
        <w:t>a more severe</w:t>
      </w:r>
      <w:r w:rsidR="00177E83" w:rsidRPr="00885192">
        <w:rPr>
          <w:rFonts w:cs="Tahoma"/>
        </w:rPr>
        <w:t xml:space="preserve"> disease</w:t>
      </w:r>
      <w:r w:rsidRPr="00885192">
        <w:rPr>
          <w:rFonts w:cs="Tahoma"/>
        </w:rPr>
        <w:t xml:space="preserve"> stage than the target population</w:t>
      </w:r>
      <w:r w:rsidR="00177E83" w:rsidRPr="00885192">
        <w:rPr>
          <w:rFonts w:cs="Tahoma"/>
        </w:rPr>
        <w:t>, as they were already being referred for SRT</w:t>
      </w:r>
      <w:r w:rsidRPr="00885192">
        <w:rPr>
          <w:rFonts w:cs="Tahoma"/>
        </w:rPr>
        <w:t>.</w:t>
      </w:r>
    </w:p>
    <w:p w14:paraId="2B59ABAC" w14:textId="13C3B89B" w:rsidR="00862502" w:rsidRPr="00B50DB8" w:rsidRDefault="00A73134" w:rsidP="002E4F02">
      <w:pPr>
        <w:pStyle w:val="3-BodyText"/>
      </w:pPr>
      <w:r>
        <w:rPr>
          <w:snapToGrid/>
          <w:lang w:val="en-US"/>
        </w:rPr>
        <w:t xml:space="preserve">Details of the </w:t>
      </w:r>
      <w:r w:rsidR="00803F90">
        <w:rPr>
          <w:snapToGrid/>
          <w:lang w:val="en-US"/>
        </w:rPr>
        <w:t xml:space="preserve">key trial </w:t>
      </w:r>
      <w:r>
        <w:rPr>
          <w:snapToGrid/>
          <w:lang w:val="en-US"/>
        </w:rPr>
        <w:t>presented in the submission are provided in</w:t>
      </w:r>
      <w:r w:rsidR="008218A6">
        <w:rPr>
          <w:snapToGrid/>
          <w:lang w:val="en-US"/>
        </w:rPr>
        <w:t xml:space="preserve"> </w:t>
      </w:r>
      <w:r w:rsidR="008218A6">
        <w:rPr>
          <w:snapToGrid/>
          <w:lang w:val="en-US"/>
        </w:rPr>
        <w:fldChar w:fldCharType="begin"/>
      </w:r>
      <w:r w:rsidR="008218A6">
        <w:rPr>
          <w:snapToGrid/>
          <w:lang w:val="en-US"/>
        </w:rPr>
        <w:instrText xml:space="preserve"> REF _Ref104803956 \h </w:instrText>
      </w:r>
      <w:r w:rsidR="008218A6">
        <w:rPr>
          <w:snapToGrid/>
          <w:lang w:val="en-US"/>
        </w:rPr>
      </w:r>
      <w:r w:rsidR="008218A6">
        <w:rPr>
          <w:snapToGrid/>
          <w:lang w:val="en-US"/>
        </w:rPr>
        <w:fldChar w:fldCharType="separate"/>
      </w:r>
      <w:r w:rsidR="00645E50">
        <w:t xml:space="preserve">Table </w:t>
      </w:r>
      <w:r w:rsidR="00645E50">
        <w:rPr>
          <w:noProof/>
        </w:rPr>
        <w:t>2</w:t>
      </w:r>
      <w:r w:rsidR="008218A6">
        <w:rPr>
          <w:snapToGrid/>
          <w:lang w:val="en-US"/>
        </w:rPr>
        <w:fldChar w:fldCharType="end"/>
      </w:r>
      <w:r>
        <w:rPr>
          <w:snapToGrid/>
          <w:lang w:val="en-US"/>
        </w:rPr>
        <w:t>.</w:t>
      </w:r>
      <w:r w:rsidR="00BC591F">
        <w:rPr>
          <w:snapToGrid/>
          <w:lang w:val="en-US"/>
        </w:rPr>
        <w:t xml:space="preserve"> </w:t>
      </w:r>
    </w:p>
    <w:p w14:paraId="7DE3A286" w14:textId="52250EFC" w:rsidR="008E0D3C" w:rsidRDefault="00696EF9" w:rsidP="002E4F02">
      <w:pPr>
        <w:pStyle w:val="TableFigureHeading"/>
        <w:rPr>
          <w:rStyle w:val="CommentReference"/>
          <w:b/>
          <w:szCs w:val="24"/>
        </w:rPr>
      </w:pPr>
      <w:bookmarkStart w:id="21" w:name="_Ref104803956"/>
      <w:r>
        <w:lastRenderedPageBreak/>
        <w:t xml:space="preserve">Table </w:t>
      </w:r>
      <w:r w:rsidR="00645E50">
        <w:fldChar w:fldCharType="begin"/>
      </w:r>
      <w:r w:rsidR="00645E50">
        <w:instrText xml:space="preserve"> SEQ Table \* ARABIC </w:instrText>
      </w:r>
      <w:r w:rsidR="00645E50">
        <w:fldChar w:fldCharType="separate"/>
      </w:r>
      <w:r w:rsidR="00645E50">
        <w:rPr>
          <w:noProof/>
        </w:rPr>
        <w:t>2</w:t>
      </w:r>
      <w:r w:rsidR="00645E50">
        <w:rPr>
          <w:noProof/>
        </w:rPr>
        <w:fldChar w:fldCharType="end"/>
      </w:r>
      <w:bookmarkEnd w:id="21"/>
      <w:r>
        <w:t>:</w:t>
      </w:r>
      <w:r w:rsidR="00BC591F" w:rsidRPr="002E4F02">
        <w:rPr>
          <w:rStyle w:val="CommentReference"/>
          <w:b/>
          <w:szCs w:val="24"/>
        </w:rPr>
        <w:t xml:space="preserve"> </w:t>
      </w:r>
      <w:r w:rsidR="00363074">
        <w:rPr>
          <w:rStyle w:val="CommentReference"/>
          <w:b/>
          <w:szCs w:val="24"/>
        </w:rPr>
        <w:t>Key t</w:t>
      </w:r>
      <w:r w:rsidR="00075BA9">
        <w:rPr>
          <w:rStyle w:val="CommentReference"/>
          <w:b/>
          <w:szCs w:val="24"/>
        </w:rPr>
        <w:t>rial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5340"/>
        <w:gridCol w:w="2123"/>
      </w:tblGrid>
      <w:tr w:rsidR="00F33051" w:rsidRPr="00B41614" w14:paraId="19F7ADAD" w14:textId="77777777" w:rsidTr="007278BA">
        <w:trPr>
          <w:tblHeader/>
        </w:trPr>
        <w:tc>
          <w:tcPr>
            <w:tcW w:w="862" w:type="pct"/>
            <w:vAlign w:val="center"/>
          </w:tcPr>
          <w:p w14:paraId="2B0796FE" w14:textId="77777777" w:rsidR="00F33051" w:rsidRPr="00B41614" w:rsidRDefault="00F33051" w:rsidP="007278BA">
            <w:pPr>
              <w:pStyle w:val="In-tableHeading"/>
            </w:pPr>
            <w:r w:rsidRPr="00B41614">
              <w:t>Trial ID</w:t>
            </w:r>
          </w:p>
        </w:tc>
        <w:tc>
          <w:tcPr>
            <w:tcW w:w="2961" w:type="pct"/>
            <w:vAlign w:val="center"/>
          </w:tcPr>
          <w:p w14:paraId="5D3864AA" w14:textId="77777777" w:rsidR="00F33051" w:rsidRPr="00B41614" w:rsidRDefault="00F33051" w:rsidP="007278BA">
            <w:pPr>
              <w:pStyle w:val="In-tableHeading"/>
            </w:pPr>
            <w:r w:rsidRPr="00B41614">
              <w:t>Protocol title/ Publication title</w:t>
            </w:r>
          </w:p>
        </w:tc>
        <w:tc>
          <w:tcPr>
            <w:tcW w:w="1177" w:type="pct"/>
            <w:vAlign w:val="center"/>
          </w:tcPr>
          <w:p w14:paraId="577AB828" w14:textId="77777777" w:rsidR="00F33051" w:rsidRPr="00B41614" w:rsidRDefault="00F33051" w:rsidP="007278BA">
            <w:pPr>
              <w:pStyle w:val="In-tableHeading"/>
            </w:pPr>
            <w:r w:rsidRPr="00B41614">
              <w:t>Publication citation</w:t>
            </w:r>
          </w:p>
        </w:tc>
      </w:tr>
      <w:tr w:rsidR="00F33051" w:rsidRPr="00CB38A8" w14:paraId="7AC06BF6" w14:textId="77777777" w:rsidTr="007278BA">
        <w:tc>
          <w:tcPr>
            <w:tcW w:w="862" w:type="pct"/>
            <w:vMerge w:val="restart"/>
            <w:vAlign w:val="center"/>
          </w:tcPr>
          <w:p w14:paraId="4DCE82D7" w14:textId="77777777" w:rsidR="00F33051" w:rsidRDefault="00F33051" w:rsidP="007278BA">
            <w:pPr>
              <w:pStyle w:val="TableText0"/>
            </w:pPr>
          </w:p>
          <w:p w14:paraId="396C33BE" w14:textId="77777777" w:rsidR="00F33051" w:rsidRDefault="00F33051" w:rsidP="007278BA">
            <w:pPr>
              <w:keepLines/>
              <w:spacing w:before="20" w:after="20"/>
              <w:rPr>
                <w:rFonts w:ascii="Arial Narrow" w:eastAsiaTheme="majorEastAsia" w:hAnsi="Arial Narrow" w:cstheme="majorBidi"/>
                <w:bCs/>
                <w:sz w:val="20"/>
              </w:rPr>
            </w:pPr>
            <w:r>
              <w:rPr>
                <w:rFonts w:ascii="Arial Narrow" w:eastAsiaTheme="majorEastAsia" w:hAnsi="Arial Narrow" w:cstheme="majorBidi"/>
                <w:bCs/>
                <w:sz w:val="20"/>
              </w:rPr>
              <w:t>EXPLORER-HCM</w:t>
            </w:r>
          </w:p>
          <w:p w14:paraId="067E4667" w14:textId="2E5078BD" w:rsidR="00075BA9" w:rsidRPr="00CB38A8" w:rsidRDefault="00645E50" w:rsidP="007278BA">
            <w:pPr>
              <w:keepLines/>
              <w:spacing w:before="20" w:after="20"/>
            </w:pPr>
            <w:hyperlink r:id="rId8" w:tooltip="Current version of study NCT03470545 on ClinicalTrials.gov" w:history="1">
              <w:r w:rsidR="00075BA9" w:rsidRPr="00075BA9">
                <w:rPr>
                  <w:rFonts w:ascii="Arial Narrow" w:eastAsiaTheme="majorEastAsia" w:hAnsi="Arial Narrow" w:cstheme="majorBidi"/>
                  <w:bCs/>
                  <w:sz w:val="20"/>
                </w:rPr>
                <w:t>NCT03470545</w:t>
              </w:r>
            </w:hyperlink>
          </w:p>
        </w:tc>
        <w:tc>
          <w:tcPr>
            <w:tcW w:w="2961" w:type="pct"/>
            <w:tcBorders>
              <w:bottom w:val="nil"/>
            </w:tcBorders>
            <w:vAlign w:val="center"/>
          </w:tcPr>
          <w:p w14:paraId="355F9E28" w14:textId="77777777" w:rsidR="00F33051" w:rsidRPr="00FE4939" w:rsidRDefault="00F33051" w:rsidP="007278BA">
            <w:pPr>
              <w:pStyle w:val="TableText0"/>
              <w:rPr>
                <w:rFonts w:eastAsia="Calibri" w:cs="Times New Roman"/>
                <w:szCs w:val="20"/>
                <w:lang w:val="en-US"/>
              </w:rPr>
            </w:pPr>
            <w:r w:rsidRPr="002E3F99">
              <w:rPr>
                <w:rFonts w:eastAsia="Calibri" w:cs="Times New Roman"/>
                <w:szCs w:val="20"/>
                <w:lang w:val="en-US"/>
              </w:rPr>
              <w:t xml:space="preserve">EXPLORER-HCM CSR. A Phase III, Randomised, Double-Blind, Placebo-Controlled Clinical Study to evaluate mavacamten in adults with symptomatic </w:t>
            </w:r>
            <w:r>
              <w:rPr>
                <w:rFonts w:eastAsia="Calibri" w:cs="Times New Roman"/>
                <w:szCs w:val="20"/>
                <w:lang w:val="en-US"/>
              </w:rPr>
              <w:t>obstructive HCM</w:t>
            </w:r>
            <w:r w:rsidRPr="002E3F99">
              <w:rPr>
                <w:rFonts w:eastAsia="Calibri" w:cs="Times New Roman"/>
                <w:szCs w:val="20"/>
                <w:lang w:val="en-US"/>
              </w:rPr>
              <w:t>.</w:t>
            </w:r>
          </w:p>
        </w:tc>
        <w:tc>
          <w:tcPr>
            <w:tcW w:w="1177" w:type="pct"/>
            <w:tcBorders>
              <w:bottom w:val="nil"/>
            </w:tcBorders>
            <w:vAlign w:val="center"/>
          </w:tcPr>
          <w:p w14:paraId="30433BF9" w14:textId="77777777" w:rsidR="00F33051" w:rsidRDefault="00F33051" w:rsidP="007278BA">
            <w:pPr>
              <w:pStyle w:val="TableText0"/>
              <w:rPr>
                <w:rFonts w:eastAsia="Calibri" w:cs="Times New Roman"/>
                <w:szCs w:val="20"/>
                <w:lang w:val="en-US"/>
              </w:rPr>
            </w:pPr>
            <w:r w:rsidRPr="002E3F99">
              <w:rPr>
                <w:rFonts w:eastAsia="Calibri" w:cs="Times New Roman"/>
                <w:szCs w:val="20"/>
                <w:lang w:val="en-US"/>
              </w:rPr>
              <w:t>2020</w:t>
            </w:r>
          </w:p>
          <w:p w14:paraId="1E609853" w14:textId="77777777" w:rsidR="00F33051" w:rsidRPr="00CB38A8" w:rsidRDefault="00F33051" w:rsidP="007278BA">
            <w:pPr>
              <w:pStyle w:val="TableText0"/>
            </w:pPr>
          </w:p>
        </w:tc>
      </w:tr>
      <w:tr w:rsidR="00F33051" w:rsidRPr="00CB38A8" w14:paraId="143DFEAA" w14:textId="77777777" w:rsidTr="007278BA">
        <w:tc>
          <w:tcPr>
            <w:tcW w:w="862" w:type="pct"/>
            <w:vMerge/>
            <w:vAlign w:val="center"/>
          </w:tcPr>
          <w:p w14:paraId="42FAA4F8" w14:textId="77777777" w:rsidR="00F33051" w:rsidRPr="00CB38A8" w:rsidRDefault="00F33051" w:rsidP="007278BA">
            <w:pPr>
              <w:pStyle w:val="TableText0"/>
            </w:pPr>
          </w:p>
        </w:tc>
        <w:tc>
          <w:tcPr>
            <w:tcW w:w="2961" w:type="pct"/>
            <w:tcBorders>
              <w:top w:val="nil"/>
              <w:bottom w:val="nil"/>
            </w:tcBorders>
            <w:vAlign w:val="center"/>
          </w:tcPr>
          <w:p w14:paraId="24978773" w14:textId="77777777" w:rsidR="00F33051" w:rsidRPr="00E34A35" w:rsidRDefault="00F33051" w:rsidP="007278BA">
            <w:pPr>
              <w:pStyle w:val="TableText0"/>
              <w:rPr>
                <w:szCs w:val="18"/>
              </w:rPr>
            </w:pPr>
            <w:r w:rsidRPr="002E3F99">
              <w:rPr>
                <w:rFonts w:eastAsia="Calibri" w:cs="Times New Roman"/>
                <w:szCs w:val="20"/>
                <w:lang w:val="en-US"/>
              </w:rPr>
              <w:t>Olivotto et al. Mavacamten for treatment of symptomatic obstructive hypertrophic cardiomyopathy (EXPLORER-HCM): a randomised, double-blind, placebo-controlled, phase 3 trial</w:t>
            </w:r>
          </w:p>
        </w:tc>
        <w:tc>
          <w:tcPr>
            <w:tcW w:w="1177" w:type="pct"/>
            <w:tcBorders>
              <w:top w:val="nil"/>
              <w:bottom w:val="nil"/>
            </w:tcBorders>
            <w:vAlign w:val="center"/>
          </w:tcPr>
          <w:p w14:paraId="643419F2" w14:textId="64309182" w:rsidR="00F33051" w:rsidRPr="00F47F14" w:rsidRDefault="00F33051" w:rsidP="007278BA">
            <w:pPr>
              <w:pStyle w:val="TableText0"/>
              <w:rPr>
                <w:rFonts w:eastAsia="Calibri" w:cs="Times New Roman"/>
                <w:i/>
                <w:szCs w:val="20"/>
                <w:lang w:val="en-US"/>
              </w:rPr>
            </w:pPr>
            <w:r w:rsidRPr="00F47F14">
              <w:rPr>
                <w:rFonts w:eastAsia="Calibri" w:cs="Times New Roman"/>
                <w:i/>
                <w:szCs w:val="20"/>
                <w:lang w:val="en-US"/>
              </w:rPr>
              <w:t xml:space="preserve">Lancet. </w:t>
            </w:r>
            <w:r w:rsidRPr="00F478BD">
              <w:rPr>
                <w:rFonts w:eastAsia="Calibri" w:cs="Times New Roman"/>
                <w:szCs w:val="20"/>
                <w:lang w:val="en-US"/>
              </w:rPr>
              <w:t>2020</w:t>
            </w:r>
            <w:r w:rsidR="00F478BD">
              <w:rPr>
                <w:rFonts w:eastAsia="Calibri" w:cs="Times New Roman"/>
                <w:szCs w:val="20"/>
                <w:lang w:val="en-US"/>
              </w:rPr>
              <w:t>;</w:t>
            </w:r>
            <w:r w:rsidR="007C4F98">
              <w:rPr>
                <w:rFonts w:eastAsia="Calibri" w:cs="Times New Roman"/>
                <w:szCs w:val="20"/>
                <w:lang w:val="en-US"/>
              </w:rPr>
              <w:t xml:space="preserve"> </w:t>
            </w:r>
            <w:r w:rsidRPr="00F478BD">
              <w:rPr>
                <w:rFonts w:eastAsia="Calibri" w:cs="Times New Roman"/>
                <w:szCs w:val="20"/>
                <w:lang w:val="en-US"/>
              </w:rPr>
              <w:t>396(10253):</w:t>
            </w:r>
            <w:r w:rsidR="007C4F98">
              <w:rPr>
                <w:rFonts w:eastAsia="Calibri" w:cs="Times New Roman"/>
                <w:szCs w:val="20"/>
                <w:lang w:val="en-US"/>
              </w:rPr>
              <w:t xml:space="preserve"> </w:t>
            </w:r>
            <w:r w:rsidRPr="00F478BD">
              <w:rPr>
                <w:rFonts w:eastAsia="Calibri" w:cs="Times New Roman"/>
                <w:szCs w:val="20"/>
                <w:lang w:val="en-US"/>
              </w:rPr>
              <w:t>759-769</w:t>
            </w:r>
            <w:r w:rsidRPr="00F47F14">
              <w:rPr>
                <w:rFonts w:eastAsia="Calibri" w:cs="Times New Roman"/>
                <w:i/>
                <w:szCs w:val="20"/>
                <w:lang w:val="en-US"/>
              </w:rPr>
              <w:t>.</w:t>
            </w:r>
          </w:p>
          <w:p w14:paraId="3DD44A95" w14:textId="77777777" w:rsidR="00F33051" w:rsidRPr="00E34A35" w:rsidRDefault="00F33051" w:rsidP="007278BA">
            <w:pPr>
              <w:pStyle w:val="TableText0"/>
              <w:rPr>
                <w:szCs w:val="18"/>
              </w:rPr>
            </w:pPr>
          </w:p>
        </w:tc>
      </w:tr>
      <w:tr w:rsidR="00F33051" w:rsidRPr="00CB38A8" w14:paraId="5F49C9ED" w14:textId="77777777" w:rsidTr="007278BA">
        <w:tc>
          <w:tcPr>
            <w:tcW w:w="862" w:type="pct"/>
            <w:vMerge/>
            <w:tcBorders>
              <w:bottom w:val="nil"/>
            </w:tcBorders>
            <w:vAlign w:val="center"/>
          </w:tcPr>
          <w:p w14:paraId="295F6CA4" w14:textId="77777777" w:rsidR="00F33051" w:rsidRPr="00CB38A8" w:rsidRDefault="00F33051" w:rsidP="007278BA">
            <w:pPr>
              <w:pStyle w:val="TableText0"/>
            </w:pPr>
          </w:p>
        </w:tc>
        <w:tc>
          <w:tcPr>
            <w:tcW w:w="2961" w:type="pct"/>
            <w:tcBorders>
              <w:top w:val="nil"/>
              <w:bottom w:val="nil"/>
            </w:tcBorders>
            <w:vAlign w:val="center"/>
          </w:tcPr>
          <w:p w14:paraId="4CD7A1D9" w14:textId="77777777" w:rsidR="00F33051" w:rsidRPr="00F20805" w:rsidRDefault="00F33051" w:rsidP="007278BA">
            <w:pPr>
              <w:pStyle w:val="TableText0"/>
              <w:rPr>
                <w:rFonts w:eastAsia="Calibri" w:cs="Times New Roman"/>
                <w:szCs w:val="20"/>
                <w:lang w:val="en-US"/>
              </w:rPr>
            </w:pPr>
            <w:r w:rsidRPr="002E3F99">
              <w:rPr>
                <w:rFonts w:eastAsia="Calibri" w:cs="Times New Roman"/>
                <w:szCs w:val="20"/>
                <w:lang w:val="en-US"/>
              </w:rPr>
              <w:t>Spertus et al. Mavacamten for treatment of symptomatic obstructive hypertrophic cardiomyopathy (EXPLORER-HCM): health status analysis of a randomised, double-blind, placebo-controlled, phase 3 trial</w:t>
            </w:r>
          </w:p>
        </w:tc>
        <w:tc>
          <w:tcPr>
            <w:tcW w:w="1177" w:type="pct"/>
            <w:tcBorders>
              <w:top w:val="nil"/>
              <w:bottom w:val="nil"/>
            </w:tcBorders>
            <w:vAlign w:val="center"/>
          </w:tcPr>
          <w:p w14:paraId="0768EC9C" w14:textId="7C84E583" w:rsidR="00F33051" w:rsidRPr="00F47F14" w:rsidRDefault="00F33051" w:rsidP="00F478BD">
            <w:pPr>
              <w:pStyle w:val="TableText0"/>
              <w:rPr>
                <w:i/>
                <w:szCs w:val="18"/>
                <w:lang w:val="en-US"/>
              </w:rPr>
            </w:pPr>
            <w:r w:rsidRPr="00F47F14">
              <w:rPr>
                <w:rFonts w:eastAsia="Calibri" w:cs="Times New Roman"/>
                <w:i/>
                <w:szCs w:val="20"/>
                <w:lang w:val="en-US"/>
              </w:rPr>
              <w:t>Lancet.</w:t>
            </w:r>
            <w:r w:rsidR="00075BA9">
              <w:rPr>
                <w:rFonts w:eastAsia="Calibri" w:cs="Times New Roman"/>
                <w:i/>
                <w:szCs w:val="20"/>
                <w:lang w:val="en-US"/>
              </w:rPr>
              <w:t xml:space="preserve"> </w:t>
            </w:r>
            <w:r w:rsidRPr="00F478BD">
              <w:rPr>
                <w:rFonts w:eastAsia="Calibri" w:cs="Times New Roman"/>
                <w:szCs w:val="20"/>
                <w:lang w:val="en-US"/>
              </w:rPr>
              <w:t>2021;</w:t>
            </w:r>
            <w:r w:rsidR="00075BA9">
              <w:rPr>
                <w:rFonts w:eastAsia="Calibri" w:cs="Times New Roman"/>
                <w:szCs w:val="20"/>
                <w:lang w:val="en-US"/>
              </w:rPr>
              <w:t xml:space="preserve"> </w:t>
            </w:r>
            <w:r w:rsidRPr="00F478BD">
              <w:rPr>
                <w:rFonts w:eastAsia="Calibri" w:cs="Times New Roman"/>
                <w:szCs w:val="20"/>
                <w:lang w:val="en-US"/>
              </w:rPr>
              <w:t>397(10293):</w:t>
            </w:r>
            <w:r w:rsidR="00075BA9">
              <w:rPr>
                <w:rFonts w:eastAsia="Calibri" w:cs="Times New Roman"/>
                <w:szCs w:val="20"/>
                <w:lang w:val="en-US"/>
              </w:rPr>
              <w:t xml:space="preserve"> </w:t>
            </w:r>
            <w:r w:rsidRPr="00F478BD">
              <w:rPr>
                <w:rFonts w:eastAsia="Calibri" w:cs="Times New Roman"/>
                <w:szCs w:val="20"/>
                <w:lang w:val="en-US"/>
              </w:rPr>
              <w:t>2467-2475</w:t>
            </w:r>
          </w:p>
        </w:tc>
      </w:tr>
      <w:tr w:rsidR="00F33051" w:rsidRPr="00CB38A8" w14:paraId="1FF0B42C" w14:textId="77777777" w:rsidTr="007278BA">
        <w:tc>
          <w:tcPr>
            <w:tcW w:w="862" w:type="pct"/>
            <w:tcBorders>
              <w:top w:val="nil"/>
              <w:bottom w:val="nil"/>
            </w:tcBorders>
            <w:vAlign w:val="center"/>
          </w:tcPr>
          <w:p w14:paraId="2CD47E36" w14:textId="77777777" w:rsidR="00F33051" w:rsidRPr="00CB38A8" w:rsidRDefault="00F33051" w:rsidP="007278BA">
            <w:pPr>
              <w:pStyle w:val="TableText0"/>
            </w:pPr>
          </w:p>
        </w:tc>
        <w:tc>
          <w:tcPr>
            <w:tcW w:w="2961" w:type="pct"/>
            <w:tcBorders>
              <w:top w:val="nil"/>
              <w:bottom w:val="nil"/>
            </w:tcBorders>
            <w:vAlign w:val="center"/>
          </w:tcPr>
          <w:p w14:paraId="6EFAB3C8" w14:textId="77777777" w:rsidR="00F33051" w:rsidRPr="002E3F99" w:rsidRDefault="00F33051" w:rsidP="007278BA">
            <w:pPr>
              <w:pStyle w:val="TableText0"/>
              <w:rPr>
                <w:rFonts w:eastAsia="Calibri" w:cs="Times New Roman"/>
                <w:szCs w:val="20"/>
                <w:lang w:val="en-US"/>
              </w:rPr>
            </w:pPr>
            <w:r w:rsidRPr="002E3F99">
              <w:rPr>
                <w:rFonts w:eastAsia="Calibri" w:cs="Times New Roman"/>
                <w:szCs w:val="20"/>
                <w:lang w:val="en-US"/>
              </w:rPr>
              <w:t>Elliott. The end of the beginning for drug therapy in obstructive hypertrophic cardiomyopathy with EXPLORER-HCM.</w:t>
            </w:r>
          </w:p>
        </w:tc>
        <w:tc>
          <w:tcPr>
            <w:tcW w:w="1177" w:type="pct"/>
            <w:tcBorders>
              <w:top w:val="nil"/>
              <w:bottom w:val="nil"/>
            </w:tcBorders>
            <w:vAlign w:val="center"/>
          </w:tcPr>
          <w:p w14:paraId="22CFFB84" w14:textId="4CC12E2C" w:rsidR="00F33051" w:rsidRPr="00F47F14" w:rsidRDefault="00F33051" w:rsidP="00F478BD">
            <w:pPr>
              <w:pStyle w:val="TableText0"/>
              <w:rPr>
                <w:rFonts w:eastAsia="Calibri" w:cs="Times New Roman"/>
                <w:i/>
                <w:szCs w:val="20"/>
                <w:lang w:val="en-US"/>
              </w:rPr>
            </w:pPr>
            <w:r w:rsidRPr="00F47F14">
              <w:rPr>
                <w:rFonts w:eastAsia="Calibri" w:cs="Times New Roman"/>
                <w:i/>
                <w:szCs w:val="20"/>
                <w:lang w:val="en-US"/>
              </w:rPr>
              <w:t>Cardiovasc Res.</w:t>
            </w:r>
            <w:r w:rsidR="00075BA9">
              <w:rPr>
                <w:rFonts w:eastAsia="Calibri" w:cs="Times New Roman"/>
                <w:i/>
                <w:szCs w:val="20"/>
                <w:lang w:val="en-US"/>
              </w:rPr>
              <w:t xml:space="preserve"> </w:t>
            </w:r>
            <w:r w:rsidRPr="00F478BD">
              <w:rPr>
                <w:rFonts w:eastAsia="Calibri" w:cs="Times New Roman"/>
                <w:szCs w:val="20"/>
                <w:lang w:val="en-US"/>
              </w:rPr>
              <w:t>2020;</w:t>
            </w:r>
            <w:r w:rsidR="00075BA9">
              <w:rPr>
                <w:rFonts w:eastAsia="Calibri" w:cs="Times New Roman"/>
                <w:szCs w:val="20"/>
                <w:lang w:val="en-US"/>
              </w:rPr>
              <w:t xml:space="preserve"> </w:t>
            </w:r>
            <w:r w:rsidRPr="00F478BD">
              <w:rPr>
                <w:rFonts w:eastAsia="Calibri" w:cs="Times New Roman"/>
                <w:szCs w:val="20"/>
                <w:lang w:val="en-US"/>
              </w:rPr>
              <w:t>116(13):</w:t>
            </w:r>
            <w:r w:rsidR="00075BA9">
              <w:rPr>
                <w:rFonts w:eastAsia="Calibri" w:cs="Times New Roman"/>
                <w:szCs w:val="20"/>
                <w:lang w:val="en-US"/>
              </w:rPr>
              <w:t xml:space="preserve"> </w:t>
            </w:r>
            <w:r w:rsidRPr="00F478BD">
              <w:rPr>
                <w:rFonts w:eastAsia="Calibri" w:cs="Times New Roman"/>
                <w:szCs w:val="20"/>
                <w:lang w:val="en-US"/>
              </w:rPr>
              <w:t>e175-e178.</w:t>
            </w:r>
          </w:p>
        </w:tc>
      </w:tr>
      <w:tr w:rsidR="00F33051" w:rsidRPr="00CB38A8" w14:paraId="3AD1F258" w14:textId="77777777" w:rsidTr="007278BA">
        <w:tc>
          <w:tcPr>
            <w:tcW w:w="862" w:type="pct"/>
            <w:tcBorders>
              <w:top w:val="nil"/>
              <w:bottom w:val="nil"/>
            </w:tcBorders>
            <w:vAlign w:val="center"/>
          </w:tcPr>
          <w:p w14:paraId="703CBED1" w14:textId="77777777" w:rsidR="00F33051" w:rsidRPr="00CB38A8" w:rsidRDefault="00F33051" w:rsidP="007278BA">
            <w:pPr>
              <w:pStyle w:val="TableText0"/>
            </w:pPr>
          </w:p>
        </w:tc>
        <w:tc>
          <w:tcPr>
            <w:tcW w:w="2961" w:type="pct"/>
            <w:tcBorders>
              <w:top w:val="nil"/>
              <w:bottom w:val="nil"/>
            </w:tcBorders>
            <w:vAlign w:val="center"/>
          </w:tcPr>
          <w:p w14:paraId="65715906" w14:textId="77777777" w:rsidR="00F33051" w:rsidRPr="002E3F99" w:rsidRDefault="00F33051" w:rsidP="007278BA">
            <w:pPr>
              <w:pStyle w:val="TableText0"/>
              <w:rPr>
                <w:rFonts w:eastAsia="Calibri" w:cs="Times New Roman"/>
                <w:szCs w:val="20"/>
                <w:lang w:val="en-US"/>
              </w:rPr>
            </w:pPr>
            <w:r w:rsidRPr="002E3F99">
              <w:rPr>
                <w:rFonts w:eastAsia="Calibri" w:cs="Times New Roman"/>
                <w:szCs w:val="20"/>
                <w:lang w:val="en-US"/>
              </w:rPr>
              <w:t>Burstein Waldman C, Owens A. A plain language summary of the EXPLORER-HCM study: mavacamten for obstructive hypertrophic cardiomyopathy.</w:t>
            </w:r>
          </w:p>
        </w:tc>
        <w:tc>
          <w:tcPr>
            <w:tcW w:w="1177" w:type="pct"/>
            <w:tcBorders>
              <w:top w:val="nil"/>
              <w:bottom w:val="nil"/>
            </w:tcBorders>
            <w:vAlign w:val="center"/>
          </w:tcPr>
          <w:p w14:paraId="48713A2F" w14:textId="20A22685" w:rsidR="00F33051" w:rsidRPr="00F47F14" w:rsidRDefault="00F33051" w:rsidP="00F478BD">
            <w:pPr>
              <w:pStyle w:val="TableText0"/>
              <w:rPr>
                <w:rFonts w:eastAsia="Calibri" w:cs="Times New Roman"/>
                <w:i/>
                <w:szCs w:val="20"/>
                <w:lang w:val="en-US"/>
              </w:rPr>
            </w:pPr>
            <w:r w:rsidRPr="00F47F14">
              <w:rPr>
                <w:rFonts w:eastAsia="Calibri" w:cs="Times New Roman"/>
                <w:i/>
                <w:szCs w:val="20"/>
                <w:lang w:val="en-US"/>
              </w:rPr>
              <w:t>Future Cardiol.</w:t>
            </w:r>
            <w:r w:rsidR="00075BA9">
              <w:rPr>
                <w:rFonts w:eastAsia="Calibri" w:cs="Times New Roman"/>
                <w:i/>
                <w:szCs w:val="20"/>
                <w:lang w:val="en-US"/>
              </w:rPr>
              <w:t xml:space="preserve"> </w:t>
            </w:r>
            <w:r w:rsidRPr="00F478BD">
              <w:rPr>
                <w:rFonts w:eastAsia="Calibri" w:cs="Times New Roman"/>
                <w:szCs w:val="20"/>
                <w:lang w:val="en-US"/>
              </w:rPr>
              <w:t>2021;17(7):</w:t>
            </w:r>
            <w:r w:rsidR="00075BA9">
              <w:rPr>
                <w:rFonts w:eastAsia="Calibri" w:cs="Times New Roman"/>
                <w:szCs w:val="20"/>
                <w:lang w:val="en-US"/>
              </w:rPr>
              <w:t xml:space="preserve"> </w:t>
            </w:r>
            <w:r w:rsidRPr="00F478BD">
              <w:rPr>
                <w:rFonts w:eastAsia="Calibri" w:cs="Times New Roman"/>
                <w:szCs w:val="20"/>
                <w:lang w:val="en-US"/>
              </w:rPr>
              <w:t>1269-1275</w:t>
            </w:r>
          </w:p>
        </w:tc>
      </w:tr>
      <w:tr w:rsidR="00F33051" w:rsidRPr="00CB38A8" w14:paraId="73A3BBFE" w14:textId="77777777" w:rsidTr="00B6559F">
        <w:tc>
          <w:tcPr>
            <w:tcW w:w="862" w:type="pct"/>
            <w:tcBorders>
              <w:top w:val="nil"/>
              <w:bottom w:val="nil"/>
            </w:tcBorders>
            <w:vAlign w:val="center"/>
          </w:tcPr>
          <w:p w14:paraId="7FBF7257" w14:textId="77777777" w:rsidR="00F33051" w:rsidRPr="00CB38A8" w:rsidRDefault="00F33051" w:rsidP="007278BA">
            <w:pPr>
              <w:pStyle w:val="TableText0"/>
            </w:pPr>
          </w:p>
        </w:tc>
        <w:tc>
          <w:tcPr>
            <w:tcW w:w="2961" w:type="pct"/>
            <w:tcBorders>
              <w:top w:val="nil"/>
              <w:bottom w:val="nil"/>
            </w:tcBorders>
            <w:vAlign w:val="center"/>
          </w:tcPr>
          <w:p w14:paraId="6E927BAC" w14:textId="77777777" w:rsidR="00F33051" w:rsidRPr="002E3F99" w:rsidRDefault="00F33051" w:rsidP="007278BA">
            <w:pPr>
              <w:pStyle w:val="TableText0"/>
              <w:rPr>
                <w:rFonts w:eastAsia="Calibri" w:cs="Times New Roman"/>
                <w:szCs w:val="20"/>
                <w:lang w:val="en-US"/>
              </w:rPr>
            </w:pPr>
            <w:r w:rsidRPr="002E3F99">
              <w:rPr>
                <w:rFonts w:eastAsia="Calibri" w:cs="Times New Roman"/>
                <w:szCs w:val="20"/>
                <w:lang w:val="en-US"/>
              </w:rPr>
              <w:t>Hedge et al. Effect of Mavacamten on Echocardiographic Features in Symptomatic Patients With Obstructive Hypertrophic Cardiomyopathy.</w:t>
            </w:r>
          </w:p>
        </w:tc>
        <w:tc>
          <w:tcPr>
            <w:tcW w:w="1177" w:type="pct"/>
            <w:tcBorders>
              <w:top w:val="nil"/>
              <w:bottom w:val="nil"/>
            </w:tcBorders>
            <w:vAlign w:val="center"/>
          </w:tcPr>
          <w:p w14:paraId="049F704C" w14:textId="4679CC64" w:rsidR="00F33051" w:rsidRPr="00F47F14" w:rsidRDefault="00F33051" w:rsidP="00F478BD">
            <w:pPr>
              <w:pStyle w:val="TableText0"/>
              <w:rPr>
                <w:rFonts w:eastAsia="Calibri" w:cs="Times New Roman"/>
                <w:i/>
                <w:szCs w:val="20"/>
                <w:lang w:val="en-US"/>
              </w:rPr>
            </w:pPr>
            <w:r w:rsidRPr="00F47F14">
              <w:rPr>
                <w:rFonts w:eastAsia="Calibri" w:cs="Times New Roman"/>
                <w:i/>
                <w:szCs w:val="20"/>
                <w:lang w:val="en-US"/>
              </w:rPr>
              <w:t>J Am Coll Cardiol.</w:t>
            </w:r>
            <w:r w:rsidR="00075BA9">
              <w:rPr>
                <w:rFonts w:eastAsia="Calibri" w:cs="Times New Roman"/>
                <w:i/>
                <w:szCs w:val="20"/>
                <w:lang w:val="en-US"/>
              </w:rPr>
              <w:t xml:space="preserve"> </w:t>
            </w:r>
            <w:r w:rsidRPr="00F478BD">
              <w:rPr>
                <w:rFonts w:eastAsia="Calibri" w:cs="Times New Roman"/>
                <w:szCs w:val="20"/>
                <w:lang w:val="en-US"/>
              </w:rPr>
              <w:t>2021;</w:t>
            </w:r>
            <w:r w:rsidR="00075BA9">
              <w:rPr>
                <w:rFonts w:eastAsia="Calibri" w:cs="Times New Roman"/>
                <w:szCs w:val="20"/>
                <w:lang w:val="en-US"/>
              </w:rPr>
              <w:t xml:space="preserve"> </w:t>
            </w:r>
            <w:r w:rsidRPr="00F478BD">
              <w:rPr>
                <w:rFonts w:eastAsia="Calibri" w:cs="Times New Roman"/>
                <w:szCs w:val="20"/>
                <w:lang w:val="en-US"/>
              </w:rPr>
              <w:t>78(25):</w:t>
            </w:r>
            <w:r w:rsidR="00075BA9">
              <w:rPr>
                <w:rFonts w:eastAsia="Calibri" w:cs="Times New Roman"/>
                <w:szCs w:val="20"/>
                <w:lang w:val="en-US"/>
              </w:rPr>
              <w:t xml:space="preserve"> </w:t>
            </w:r>
            <w:r w:rsidRPr="00F478BD">
              <w:rPr>
                <w:rFonts w:eastAsia="Calibri" w:cs="Times New Roman"/>
                <w:szCs w:val="20"/>
                <w:lang w:val="en-US"/>
              </w:rPr>
              <w:t>2518-2532.</w:t>
            </w:r>
          </w:p>
        </w:tc>
      </w:tr>
      <w:tr w:rsidR="00F33051" w:rsidRPr="00CB38A8" w14:paraId="7376E2B2" w14:textId="77777777" w:rsidTr="00B6559F">
        <w:tc>
          <w:tcPr>
            <w:tcW w:w="862" w:type="pct"/>
            <w:tcBorders>
              <w:top w:val="nil"/>
              <w:bottom w:val="single" w:sz="4" w:space="0" w:color="auto"/>
            </w:tcBorders>
            <w:vAlign w:val="center"/>
          </w:tcPr>
          <w:p w14:paraId="6B6FFBCD" w14:textId="77777777" w:rsidR="00F33051" w:rsidRPr="00CB38A8" w:rsidRDefault="00F33051" w:rsidP="007278BA">
            <w:pPr>
              <w:pStyle w:val="TableText0"/>
            </w:pPr>
          </w:p>
        </w:tc>
        <w:tc>
          <w:tcPr>
            <w:tcW w:w="2961" w:type="pct"/>
            <w:tcBorders>
              <w:top w:val="nil"/>
              <w:bottom w:val="single" w:sz="4" w:space="0" w:color="auto"/>
            </w:tcBorders>
            <w:vAlign w:val="center"/>
          </w:tcPr>
          <w:p w14:paraId="421BE37B" w14:textId="77777777" w:rsidR="00F33051" w:rsidRPr="002E3F99" w:rsidRDefault="00F33051" w:rsidP="007278BA">
            <w:pPr>
              <w:pStyle w:val="TableText0"/>
              <w:rPr>
                <w:rFonts w:eastAsia="Calibri" w:cs="Times New Roman"/>
                <w:szCs w:val="20"/>
                <w:lang w:val="en-US"/>
              </w:rPr>
            </w:pPr>
            <w:r w:rsidRPr="002E3F99">
              <w:rPr>
                <w:rFonts w:eastAsia="Calibri" w:cs="Times New Roman"/>
                <w:szCs w:val="20"/>
                <w:lang w:val="en-US"/>
              </w:rPr>
              <w:t>Xie et al. Assessing health-related quality-of-life in patients with symptomatic obstructive hypertrophic cardiomyopathy: EQ-5D-based utilities in the EXPLORER-HCM trial.</w:t>
            </w:r>
          </w:p>
        </w:tc>
        <w:tc>
          <w:tcPr>
            <w:tcW w:w="1177" w:type="pct"/>
            <w:tcBorders>
              <w:top w:val="nil"/>
              <w:bottom w:val="single" w:sz="4" w:space="0" w:color="auto"/>
            </w:tcBorders>
            <w:vAlign w:val="center"/>
          </w:tcPr>
          <w:p w14:paraId="42F2B0D6" w14:textId="6088AFE9" w:rsidR="00F33051" w:rsidRPr="00F47F14" w:rsidRDefault="00F33051" w:rsidP="00F478BD">
            <w:pPr>
              <w:pStyle w:val="TableText0"/>
              <w:rPr>
                <w:rFonts w:eastAsia="Calibri" w:cs="Times New Roman"/>
                <w:i/>
                <w:szCs w:val="20"/>
                <w:lang w:val="en-US"/>
              </w:rPr>
            </w:pPr>
            <w:r w:rsidRPr="00F47F14">
              <w:rPr>
                <w:rFonts w:eastAsia="Calibri" w:cs="Times New Roman"/>
                <w:i/>
                <w:szCs w:val="20"/>
                <w:lang w:val="en-US"/>
              </w:rPr>
              <w:t xml:space="preserve">J Med Econ. </w:t>
            </w:r>
            <w:r w:rsidRPr="00F478BD">
              <w:rPr>
                <w:rFonts w:eastAsia="Calibri" w:cs="Times New Roman"/>
                <w:szCs w:val="20"/>
                <w:lang w:val="en-US"/>
              </w:rPr>
              <w:t>2022;</w:t>
            </w:r>
            <w:r w:rsidR="00075BA9">
              <w:rPr>
                <w:rFonts w:eastAsia="Calibri" w:cs="Times New Roman"/>
                <w:szCs w:val="20"/>
                <w:lang w:val="en-US"/>
              </w:rPr>
              <w:t xml:space="preserve"> </w:t>
            </w:r>
            <w:r w:rsidRPr="00F478BD">
              <w:rPr>
                <w:rFonts w:eastAsia="Calibri" w:cs="Times New Roman"/>
                <w:szCs w:val="20"/>
                <w:lang w:val="en-US"/>
              </w:rPr>
              <w:t>25(1):</w:t>
            </w:r>
            <w:r w:rsidR="00075BA9">
              <w:rPr>
                <w:rFonts w:eastAsia="Calibri" w:cs="Times New Roman"/>
                <w:szCs w:val="20"/>
                <w:lang w:val="en-US"/>
              </w:rPr>
              <w:t xml:space="preserve"> </w:t>
            </w:r>
            <w:r w:rsidRPr="00F478BD">
              <w:rPr>
                <w:rFonts w:eastAsia="Calibri" w:cs="Times New Roman"/>
                <w:szCs w:val="20"/>
                <w:lang w:val="en-US"/>
              </w:rPr>
              <w:t>51-58.</w:t>
            </w:r>
          </w:p>
        </w:tc>
      </w:tr>
    </w:tbl>
    <w:p w14:paraId="5F7CDA70" w14:textId="77777777" w:rsidR="00F33051" w:rsidRPr="00B1011F" w:rsidRDefault="00F33051" w:rsidP="00F33051">
      <w:pPr>
        <w:pStyle w:val="FooterTableFigure"/>
        <w:rPr>
          <w:sz w:val="20"/>
        </w:rPr>
      </w:pPr>
      <w:r>
        <w:t xml:space="preserve">Source: Table 16, p47-49 </w:t>
      </w:r>
      <w:r w:rsidRPr="00D13A3E">
        <w:t xml:space="preserve">of the </w:t>
      </w:r>
      <w:r>
        <w:t>submission.</w:t>
      </w:r>
    </w:p>
    <w:p w14:paraId="1DD06D7D" w14:textId="6ADA25DA" w:rsidR="007F1017" w:rsidRPr="00EC5836" w:rsidRDefault="008F120A" w:rsidP="00EC5836">
      <w:pPr>
        <w:pStyle w:val="3-BodyText"/>
        <w:rPr>
          <w:color w:val="0066FF"/>
        </w:rPr>
      </w:pPr>
      <w:r w:rsidRPr="00B50DB8">
        <w:t>The key features of the direct randomised trial</w:t>
      </w:r>
      <w:r w:rsidR="00F16539">
        <w:t xml:space="preserve"> </w:t>
      </w:r>
      <w:r w:rsidRPr="00B50DB8">
        <w:t>are summarised in</w:t>
      </w:r>
      <w:r w:rsidR="00D6076E">
        <w:t xml:space="preserve"> </w:t>
      </w:r>
      <w:r w:rsidR="00D6076E">
        <w:fldChar w:fldCharType="begin"/>
      </w:r>
      <w:r w:rsidR="00D6076E">
        <w:instrText xml:space="preserve"> REF _Ref104804098 \h  \* MERGEFORMAT </w:instrText>
      </w:r>
      <w:r w:rsidR="00D6076E">
        <w:fldChar w:fldCharType="separate"/>
      </w:r>
      <w:r w:rsidR="00645E50" w:rsidRPr="00645E50">
        <w:t>Table 3</w:t>
      </w:r>
      <w:r w:rsidR="00D6076E">
        <w:fldChar w:fldCharType="end"/>
      </w:r>
      <w:r w:rsidRPr="00B50DB8">
        <w:t>.</w:t>
      </w:r>
      <w:r w:rsidR="00BC591F">
        <w:t xml:space="preserve"> </w:t>
      </w:r>
    </w:p>
    <w:p w14:paraId="355E2F15" w14:textId="41FB30BF" w:rsidR="007F1017" w:rsidRPr="00D6076E" w:rsidRDefault="00696EF9" w:rsidP="00D6076E">
      <w:pPr>
        <w:pStyle w:val="Caption"/>
        <w:rPr>
          <w:rStyle w:val="CommentReference"/>
          <w:rFonts w:eastAsiaTheme="majorEastAsia" w:cstheme="majorBidi"/>
          <w:b/>
          <w:szCs w:val="24"/>
        </w:rPr>
      </w:pPr>
      <w:bookmarkStart w:id="22"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645E50">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2"/>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9"/>
        <w:gridCol w:w="710"/>
        <w:gridCol w:w="1133"/>
        <w:gridCol w:w="709"/>
        <w:gridCol w:w="1982"/>
        <w:gridCol w:w="2343"/>
        <w:gridCol w:w="871"/>
      </w:tblGrid>
      <w:tr w:rsidR="00B41614" w:rsidRPr="00B41614" w14:paraId="53DD7CC6" w14:textId="77777777" w:rsidTr="0024739B">
        <w:trPr>
          <w:cantSplit/>
          <w:tblHeader/>
        </w:trPr>
        <w:tc>
          <w:tcPr>
            <w:tcW w:w="704" w:type="pct"/>
            <w:shd w:val="clear" w:color="auto" w:fill="auto"/>
            <w:vAlign w:val="center"/>
          </w:tcPr>
          <w:p w14:paraId="794116BC" w14:textId="77777777" w:rsidR="007F1017" w:rsidRPr="00B41614" w:rsidRDefault="007F1017" w:rsidP="001E34DF">
            <w:pPr>
              <w:pStyle w:val="In-tableHeading"/>
            </w:pPr>
            <w:r w:rsidRPr="00B41614">
              <w:t>Trial</w:t>
            </w:r>
          </w:p>
        </w:tc>
        <w:tc>
          <w:tcPr>
            <w:tcW w:w="394" w:type="pct"/>
            <w:shd w:val="clear" w:color="auto" w:fill="auto"/>
            <w:vAlign w:val="center"/>
          </w:tcPr>
          <w:p w14:paraId="51122FE5" w14:textId="77777777" w:rsidR="007F1017" w:rsidRPr="00B41614" w:rsidRDefault="007F1017" w:rsidP="00EC5836">
            <w:pPr>
              <w:pStyle w:val="In-tableHeading"/>
              <w:jc w:val="center"/>
            </w:pPr>
            <w:r w:rsidRPr="00B41614">
              <w:t>N</w:t>
            </w:r>
          </w:p>
        </w:tc>
        <w:tc>
          <w:tcPr>
            <w:tcW w:w="628" w:type="pct"/>
            <w:shd w:val="clear" w:color="auto" w:fill="auto"/>
            <w:vAlign w:val="center"/>
          </w:tcPr>
          <w:p w14:paraId="41C438EF" w14:textId="77777777" w:rsidR="007F1017" w:rsidRPr="00B41614" w:rsidRDefault="007F1017" w:rsidP="00EC5836">
            <w:pPr>
              <w:pStyle w:val="In-tableHeading"/>
              <w:jc w:val="center"/>
            </w:pPr>
            <w:r w:rsidRPr="00B41614">
              <w:t>Design/ duration</w:t>
            </w:r>
          </w:p>
        </w:tc>
        <w:tc>
          <w:tcPr>
            <w:tcW w:w="393" w:type="pct"/>
            <w:shd w:val="clear" w:color="auto" w:fill="auto"/>
            <w:vAlign w:val="center"/>
          </w:tcPr>
          <w:p w14:paraId="1FC91360" w14:textId="77777777" w:rsidR="007F1017" w:rsidRPr="00B41614" w:rsidRDefault="007F1017" w:rsidP="00EC5836">
            <w:pPr>
              <w:pStyle w:val="In-tableHeading"/>
              <w:jc w:val="center"/>
            </w:pPr>
            <w:r w:rsidRPr="00B41614">
              <w:t>Risk of bias</w:t>
            </w:r>
          </w:p>
        </w:tc>
        <w:tc>
          <w:tcPr>
            <w:tcW w:w="1099" w:type="pct"/>
            <w:shd w:val="clear" w:color="auto" w:fill="auto"/>
            <w:vAlign w:val="center"/>
          </w:tcPr>
          <w:p w14:paraId="7FF90896" w14:textId="77777777" w:rsidR="007F1017" w:rsidRPr="00B41614" w:rsidRDefault="007F1017" w:rsidP="00EC5836">
            <w:pPr>
              <w:pStyle w:val="In-tableHeading"/>
              <w:jc w:val="center"/>
            </w:pPr>
            <w:r w:rsidRPr="00B41614">
              <w:t>Patient population</w:t>
            </w:r>
          </w:p>
        </w:tc>
        <w:tc>
          <w:tcPr>
            <w:tcW w:w="1299" w:type="pct"/>
            <w:shd w:val="clear" w:color="auto" w:fill="auto"/>
            <w:vAlign w:val="center"/>
          </w:tcPr>
          <w:p w14:paraId="0FCB63F9" w14:textId="1AD77609" w:rsidR="007F1017" w:rsidRPr="00B41614" w:rsidRDefault="007F1017" w:rsidP="00EC5836">
            <w:pPr>
              <w:pStyle w:val="In-tableHeading"/>
              <w:jc w:val="center"/>
            </w:pPr>
            <w:r w:rsidRPr="00B41614">
              <w:t>Outcomes</w:t>
            </w:r>
          </w:p>
        </w:tc>
        <w:tc>
          <w:tcPr>
            <w:tcW w:w="483" w:type="pct"/>
            <w:shd w:val="clear" w:color="auto" w:fill="auto"/>
            <w:vAlign w:val="center"/>
          </w:tcPr>
          <w:p w14:paraId="08C6F624" w14:textId="77777777" w:rsidR="007F1017" w:rsidRPr="00B41614" w:rsidRDefault="007F1017" w:rsidP="00EC5836">
            <w:pPr>
              <w:pStyle w:val="In-tableHeading"/>
              <w:jc w:val="center"/>
            </w:pPr>
            <w:r w:rsidRPr="00B41614">
              <w:t>Use in modelled evaluation</w:t>
            </w:r>
          </w:p>
        </w:tc>
      </w:tr>
      <w:tr w:rsidR="007F1017" w:rsidRPr="00E2771E" w14:paraId="2A03CD4B" w14:textId="77777777" w:rsidTr="00682BA6">
        <w:trPr>
          <w:cantSplit/>
        </w:trPr>
        <w:tc>
          <w:tcPr>
            <w:tcW w:w="5000" w:type="pct"/>
            <w:gridSpan w:val="7"/>
            <w:shd w:val="clear" w:color="auto" w:fill="auto"/>
            <w:vAlign w:val="center"/>
          </w:tcPr>
          <w:p w14:paraId="73088C85" w14:textId="48404A3C" w:rsidR="007F1017" w:rsidRPr="00EC5836" w:rsidRDefault="007278BA" w:rsidP="009E4255">
            <w:pPr>
              <w:pStyle w:val="In-tableHeading"/>
            </w:pPr>
            <w:r>
              <w:t xml:space="preserve">Mavacamten </w:t>
            </w:r>
            <w:r w:rsidR="009E4255" w:rsidRPr="009E4255">
              <w:t xml:space="preserve">(+/- BB/CCB) </w:t>
            </w:r>
            <w:r>
              <w:t>vs placebo</w:t>
            </w:r>
            <w:r w:rsidR="009E4255">
              <w:t xml:space="preserve"> </w:t>
            </w:r>
            <w:r w:rsidR="009E4255" w:rsidRPr="009E4255">
              <w:t>(+/- BB/CCB)</w:t>
            </w:r>
          </w:p>
        </w:tc>
      </w:tr>
      <w:tr w:rsidR="00B41614" w:rsidRPr="00885192" w14:paraId="4EE88DCB" w14:textId="77777777" w:rsidTr="0024739B">
        <w:trPr>
          <w:cantSplit/>
        </w:trPr>
        <w:tc>
          <w:tcPr>
            <w:tcW w:w="704" w:type="pct"/>
            <w:shd w:val="clear" w:color="auto" w:fill="auto"/>
            <w:vAlign w:val="center"/>
          </w:tcPr>
          <w:p w14:paraId="6EE77D33" w14:textId="54033594" w:rsidR="007F1017" w:rsidRPr="00885192" w:rsidRDefault="007278BA" w:rsidP="00EC5836">
            <w:pPr>
              <w:pStyle w:val="TableText0"/>
              <w:rPr>
                <w:lang w:val="en-US"/>
              </w:rPr>
            </w:pPr>
            <w:r w:rsidRPr="00885192">
              <w:rPr>
                <w:lang w:val="en-US"/>
              </w:rPr>
              <w:t>EXPLORER-HCM</w:t>
            </w:r>
          </w:p>
        </w:tc>
        <w:tc>
          <w:tcPr>
            <w:tcW w:w="394" w:type="pct"/>
            <w:shd w:val="clear" w:color="auto" w:fill="auto"/>
            <w:vAlign w:val="center"/>
          </w:tcPr>
          <w:p w14:paraId="41BB0E41" w14:textId="54944E2C" w:rsidR="007F1017" w:rsidRPr="00885192" w:rsidRDefault="007278BA" w:rsidP="00EC5836">
            <w:pPr>
              <w:pStyle w:val="TableText0"/>
              <w:jc w:val="center"/>
              <w:rPr>
                <w:lang w:val="en-US"/>
              </w:rPr>
            </w:pPr>
            <w:r w:rsidRPr="00885192">
              <w:rPr>
                <w:lang w:val="en-US"/>
              </w:rPr>
              <w:t>251</w:t>
            </w:r>
          </w:p>
        </w:tc>
        <w:tc>
          <w:tcPr>
            <w:tcW w:w="628" w:type="pct"/>
            <w:shd w:val="clear" w:color="auto" w:fill="auto"/>
            <w:vAlign w:val="center"/>
          </w:tcPr>
          <w:p w14:paraId="401EAFDA" w14:textId="3BAB55E3" w:rsidR="007F1017" w:rsidRPr="00885192" w:rsidRDefault="00013147" w:rsidP="00EC5836">
            <w:pPr>
              <w:pStyle w:val="TableText0"/>
              <w:jc w:val="center"/>
              <w:rPr>
                <w:lang w:val="en-US"/>
              </w:rPr>
            </w:pPr>
            <w:r w:rsidRPr="00885192">
              <w:rPr>
                <w:lang w:val="en-US"/>
              </w:rPr>
              <w:t xml:space="preserve">MC, </w:t>
            </w:r>
            <w:r w:rsidR="007F1017" w:rsidRPr="00885192">
              <w:rPr>
                <w:lang w:val="en-US"/>
              </w:rPr>
              <w:t>R, DB</w:t>
            </w:r>
          </w:p>
          <w:p w14:paraId="744D08AC" w14:textId="54148AFE" w:rsidR="007F1017" w:rsidRPr="00885192" w:rsidRDefault="007278BA" w:rsidP="00EC5836">
            <w:pPr>
              <w:pStyle w:val="TableText0"/>
              <w:jc w:val="center"/>
              <w:rPr>
                <w:lang w:val="en-US"/>
              </w:rPr>
            </w:pPr>
            <w:r w:rsidRPr="00885192">
              <w:rPr>
                <w:lang w:val="en-US"/>
              </w:rPr>
              <w:t>38 weeks</w:t>
            </w:r>
          </w:p>
        </w:tc>
        <w:tc>
          <w:tcPr>
            <w:tcW w:w="393" w:type="pct"/>
            <w:shd w:val="clear" w:color="auto" w:fill="auto"/>
            <w:vAlign w:val="center"/>
          </w:tcPr>
          <w:p w14:paraId="4A529D74" w14:textId="77777777" w:rsidR="007F1017" w:rsidRPr="00885192" w:rsidRDefault="007F1017" w:rsidP="00EC5836">
            <w:pPr>
              <w:pStyle w:val="TableText0"/>
              <w:jc w:val="center"/>
              <w:rPr>
                <w:lang w:val="en-US"/>
              </w:rPr>
            </w:pPr>
            <w:r w:rsidRPr="00885192">
              <w:rPr>
                <w:lang w:val="en-US"/>
              </w:rPr>
              <w:t>Low</w:t>
            </w:r>
          </w:p>
        </w:tc>
        <w:tc>
          <w:tcPr>
            <w:tcW w:w="1099" w:type="pct"/>
            <w:shd w:val="clear" w:color="auto" w:fill="auto"/>
            <w:vAlign w:val="center"/>
          </w:tcPr>
          <w:p w14:paraId="5E6F456D" w14:textId="350339DA" w:rsidR="007F1017" w:rsidRPr="00885192" w:rsidRDefault="007278BA" w:rsidP="00EC5836">
            <w:pPr>
              <w:pStyle w:val="TableText0"/>
              <w:jc w:val="center"/>
              <w:rPr>
                <w:lang w:val="en-US"/>
              </w:rPr>
            </w:pPr>
            <w:r w:rsidRPr="00885192">
              <w:rPr>
                <w:lang w:val="en-US"/>
              </w:rPr>
              <w:t>Symptomatic obstructive HCM (NYHA II-III and LVOT ≥</w:t>
            </w:r>
            <w:r w:rsidR="009554BD">
              <w:rPr>
                <w:lang w:val="en-US"/>
              </w:rPr>
              <w:t> </w:t>
            </w:r>
            <w:r w:rsidRPr="00885192">
              <w:rPr>
                <w:lang w:val="en-US"/>
              </w:rPr>
              <w:t>50</w:t>
            </w:r>
            <w:r w:rsidR="009554BD">
              <w:rPr>
                <w:lang w:val="en-US"/>
              </w:rPr>
              <w:t> </w:t>
            </w:r>
            <w:r w:rsidRPr="00885192">
              <w:rPr>
                <w:lang w:val="en-US"/>
              </w:rPr>
              <w:t>mmHg)</w:t>
            </w:r>
          </w:p>
        </w:tc>
        <w:tc>
          <w:tcPr>
            <w:tcW w:w="1299" w:type="pct"/>
            <w:shd w:val="clear" w:color="auto" w:fill="auto"/>
            <w:vAlign w:val="center"/>
          </w:tcPr>
          <w:p w14:paraId="1C0CE103" w14:textId="40930977" w:rsidR="007F1017" w:rsidRPr="00885192" w:rsidRDefault="0024739B" w:rsidP="00EC5836">
            <w:pPr>
              <w:pStyle w:val="TableText0"/>
              <w:jc w:val="center"/>
            </w:pPr>
            <w:r w:rsidRPr="00885192">
              <w:rPr>
                <w:lang w:val="en-US"/>
              </w:rPr>
              <w:t>Primary composite effectiveness outcome</w:t>
            </w:r>
            <w:r w:rsidRPr="00885192">
              <w:rPr>
                <w:vertAlign w:val="superscript"/>
                <w:lang w:val="en-US"/>
              </w:rPr>
              <w:t>a</w:t>
            </w:r>
            <w:r w:rsidRPr="00885192">
              <w:rPr>
                <w:lang w:val="en-US"/>
              </w:rPr>
              <w:t xml:space="preserve"> </w:t>
            </w:r>
          </w:p>
          <w:p w14:paraId="32D1207D" w14:textId="77777777" w:rsidR="0024739B" w:rsidRPr="00885192" w:rsidRDefault="0024739B" w:rsidP="0024739B">
            <w:pPr>
              <w:pStyle w:val="TableText0"/>
              <w:jc w:val="center"/>
            </w:pPr>
            <w:r w:rsidRPr="00885192">
              <w:t>Secondary effectiveness outcomes</w:t>
            </w:r>
            <w:r w:rsidRPr="00885192">
              <w:rPr>
                <w:vertAlign w:val="superscript"/>
              </w:rPr>
              <w:t>b</w:t>
            </w:r>
            <w:r w:rsidRPr="00885192">
              <w:t xml:space="preserve"> </w:t>
            </w:r>
          </w:p>
          <w:p w14:paraId="6DC76214" w14:textId="3E28805C" w:rsidR="0024739B" w:rsidRPr="00885192" w:rsidRDefault="0024739B" w:rsidP="0024739B">
            <w:pPr>
              <w:pStyle w:val="TableText0"/>
              <w:jc w:val="center"/>
              <w:rPr>
                <w:lang w:val="en-US"/>
              </w:rPr>
            </w:pPr>
            <w:r w:rsidRPr="00885192">
              <w:rPr>
                <w:lang w:val="en-US"/>
              </w:rPr>
              <w:t>Safety (e.g. AEs, SAEs, deaths)</w:t>
            </w:r>
          </w:p>
        </w:tc>
        <w:tc>
          <w:tcPr>
            <w:tcW w:w="483" w:type="pct"/>
            <w:shd w:val="clear" w:color="auto" w:fill="auto"/>
            <w:vAlign w:val="center"/>
          </w:tcPr>
          <w:p w14:paraId="150A804C" w14:textId="6179FCB8" w:rsidR="007F1017" w:rsidRPr="00885192" w:rsidRDefault="00401F79" w:rsidP="009E4255">
            <w:pPr>
              <w:pStyle w:val="TableText0"/>
              <w:jc w:val="center"/>
              <w:rPr>
                <w:lang w:val="en-US"/>
              </w:rPr>
            </w:pPr>
            <w:r w:rsidRPr="00885192">
              <w:rPr>
                <w:lang w:val="en-US"/>
              </w:rPr>
              <w:t xml:space="preserve">NYHA </w:t>
            </w:r>
            <w:r w:rsidR="00A343E5" w:rsidRPr="00885192">
              <w:rPr>
                <w:lang w:val="en-US"/>
              </w:rPr>
              <w:t xml:space="preserve">class </w:t>
            </w:r>
          </w:p>
        </w:tc>
      </w:tr>
    </w:tbl>
    <w:p w14:paraId="1095487C" w14:textId="0616CF19" w:rsidR="00620C25" w:rsidRDefault="0024739B" w:rsidP="00EC5836">
      <w:pPr>
        <w:pStyle w:val="FooterTableFigure"/>
      </w:pPr>
      <w:r>
        <w:t xml:space="preserve">AE = adverse event; </w:t>
      </w:r>
      <w:r w:rsidR="00620C25" w:rsidRPr="0072416F">
        <w:t>DB</w:t>
      </w:r>
      <w:r w:rsidR="00620C25">
        <w:t xml:space="preserve"> </w:t>
      </w:r>
      <w:r w:rsidR="00620C25" w:rsidRPr="0072416F">
        <w:t>=</w:t>
      </w:r>
      <w:r w:rsidR="00620C25">
        <w:t xml:space="preserve"> </w:t>
      </w:r>
      <w:r w:rsidR="00620C25" w:rsidRPr="0072416F">
        <w:t xml:space="preserve">double blind; </w:t>
      </w:r>
      <w:r w:rsidR="00013147">
        <w:t xml:space="preserve">HCM = hypertrophic cardiomyopathy; LVOT = left ventricular outflow tract; </w:t>
      </w:r>
      <w:r w:rsidR="00620C25" w:rsidRPr="0072416F">
        <w:t>MC</w:t>
      </w:r>
      <w:r w:rsidR="00620C25">
        <w:t xml:space="preserve"> </w:t>
      </w:r>
      <w:r w:rsidR="00620C25" w:rsidRPr="0072416F">
        <w:t>=</w:t>
      </w:r>
      <w:r w:rsidR="00620C25">
        <w:t xml:space="preserve"> </w:t>
      </w:r>
      <w:r w:rsidR="00620C25" w:rsidRPr="0072416F">
        <w:t xml:space="preserve">multi-centre; </w:t>
      </w:r>
      <w:r w:rsidR="00013147">
        <w:t>NYHA = New York Health Association;</w:t>
      </w:r>
      <w:r w:rsidR="00620C25" w:rsidRPr="0072416F">
        <w:t xml:space="preserve"> R</w:t>
      </w:r>
      <w:r w:rsidR="00620C25">
        <w:t xml:space="preserve"> </w:t>
      </w:r>
      <w:r w:rsidR="00620C25" w:rsidRPr="0072416F">
        <w:t>=</w:t>
      </w:r>
      <w:r w:rsidR="00620C25">
        <w:t xml:space="preserve"> </w:t>
      </w:r>
      <w:r w:rsidR="00620C25" w:rsidRPr="0072416F">
        <w:t>randomised</w:t>
      </w:r>
      <w:r w:rsidR="007278BA">
        <w:t>;</w:t>
      </w:r>
      <w:r w:rsidR="005E060F">
        <w:t xml:space="preserve"> SAE = serious adverse event.</w:t>
      </w:r>
    </w:p>
    <w:p w14:paraId="0B165896" w14:textId="7C4D7234" w:rsidR="0024739B" w:rsidRDefault="0024739B" w:rsidP="00EC5836">
      <w:pPr>
        <w:pStyle w:val="FooterTableFigure"/>
      </w:pPr>
      <w:r>
        <w:rPr>
          <w:vertAlign w:val="superscript"/>
        </w:rPr>
        <w:t>a</w:t>
      </w:r>
      <w:r>
        <w:t xml:space="preserve"> proportion of patients who achieved either an improvement of </w:t>
      </w:r>
      <w:r w:rsidRPr="00BD466D">
        <w:t>≥1.5</w:t>
      </w:r>
      <w:r w:rsidR="009554BD">
        <w:t> </w:t>
      </w:r>
      <w:r w:rsidRPr="00BD466D">
        <w:t>mL/kg/min in pVO</w:t>
      </w:r>
      <w:r w:rsidRPr="004B5317">
        <w:rPr>
          <w:rFonts w:cs="Times New Roman"/>
          <w:szCs w:val="20"/>
          <w:vertAlign w:val="subscript"/>
        </w:rPr>
        <w:t>2</w:t>
      </w:r>
      <w:r>
        <w:t xml:space="preserve"> as determined by cardiopulmonary exercise testing</w:t>
      </w:r>
      <w:r w:rsidRPr="00BD466D">
        <w:t xml:space="preserve"> and a reduction ≥1 NYHA class </w:t>
      </w:r>
      <w:r w:rsidR="009E4255">
        <w:t>OR</w:t>
      </w:r>
      <w:r w:rsidR="009E4255" w:rsidRPr="00BD466D">
        <w:t xml:space="preserve"> </w:t>
      </w:r>
      <w:r w:rsidRPr="00BD466D">
        <w:t>an improvement of ≥3.0</w:t>
      </w:r>
      <w:r w:rsidR="009554BD">
        <w:t> </w:t>
      </w:r>
      <w:r w:rsidRPr="00BD466D">
        <w:t>mL/kg/in in pVO2 with no worsening in NYHA class</w:t>
      </w:r>
    </w:p>
    <w:p w14:paraId="668474C9" w14:textId="6784AEEA" w:rsidR="0024739B" w:rsidRDefault="0024739B" w:rsidP="00EC5836">
      <w:pPr>
        <w:pStyle w:val="FooterTableFigure"/>
        <w:rPr>
          <w:rFonts w:cs="Times New Roman"/>
          <w:szCs w:val="20"/>
        </w:rPr>
      </w:pPr>
      <w:r>
        <w:rPr>
          <w:rFonts w:cs="Times New Roman"/>
          <w:szCs w:val="20"/>
          <w:vertAlign w:val="superscript"/>
        </w:rPr>
        <w:t xml:space="preserve">b </w:t>
      </w:r>
      <w:r>
        <w:rPr>
          <w:rFonts w:cs="Times New Roman"/>
          <w:szCs w:val="20"/>
        </w:rPr>
        <w:t>p</w:t>
      </w:r>
      <w:r w:rsidRPr="004B5317">
        <w:rPr>
          <w:rFonts w:cs="Times New Roman"/>
          <w:szCs w:val="20"/>
        </w:rPr>
        <w:t>ost-exercise LVOT peak gradient</w:t>
      </w:r>
      <w:r>
        <w:rPr>
          <w:rFonts w:cs="Times New Roman"/>
          <w:szCs w:val="20"/>
        </w:rPr>
        <w:t xml:space="preserve">, </w:t>
      </w:r>
      <w:r w:rsidRPr="004B5317">
        <w:rPr>
          <w:rFonts w:cs="Times New Roman"/>
          <w:szCs w:val="20"/>
        </w:rPr>
        <w:t>pVO</w:t>
      </w:r>
      <w:r w:rsidRPr="004B5317">
        <w:rPr>
          <w:rFonts w:cs="Times New Roman"/>
          <w:szCs w:val="20"/>
          <w:vertAlign w:val="subscript"/>
        </w:rPr>
        <w:t>2</w:t>
      </w:r>
      <w:r>
        <w:rPr>
          <w:rFonts w:cs="Times New Roman"/>
          <w:szCs w:val="20"/>
        </w:rPr>
        <w:t>, t</w:t>
      </w:r>
      <w:r w:rsidRPr="004B5317">
        <w:rPr>
          <w:rFonts w:cs="Times New Roman"/>
          <w:szCs w:val="20"/>
        </w:rPr>
        <w:t xml:space="preserve">he proportion of patients who achieve a reduction ≥1 NYHA class and patient-reported outcomes as per the </w:t>
      </w:r>
      <w:r w:rsidR="005E060F">
        <w:t>Kansas City Cardiomyopathy Questionnaire 23-item Clinical Summary Score (</w:t>
      </w:r>
      <w:r w:rsidRPr="004B5317">
        <w:rPr>
          <w:rFonts w:cs="Times New Roman"/>
          <w:szCs w:val="20"/>
        </w:rPr>
        <w:t>KCCQ-23 CSS</w:t>
      </w:r>
      <w:r w:rsidR="005E060F">
        <w:rPr>
          <w:rFonts w:cs="Times New Roman"/>
          <w:szCs w:val="20"/>
        </w:rPr>
        <w:t>)</w:t>
      </w:r>
      <w:r w:rsidRPr="004B5317">
        <w:rPr>
          <w:rFonts w:cs="Times New Roman"/>
          <w:szCs w:val="20"/>
        </w:rPr>
        <w:t xml:space="preserve"> and</w:t>
      </w:r>
      <w:r w:rsidR="005E060F">
        <w:rPr>
          <w:rFonts w:cs="Times New Roman"/>
          <w:szCs w:val="20"/>
        </w:rPr>
        <w:t xml:space="preserve"> (</w:t>
      </w:r>
      <w:r w:rsidR="005E060F">
        <w:t>Hypertrophic Cardiomyopathy Symptom Questionnaire, shortness of breath)</w:t>
      </w:r>
      <w:r w:rsidRPr="004B5317">
        <w:rPr>
          <w:rFonts w:cs="Times New Roman"/>
          <w:szCs w:val="20"/>
        </w:rPr>
        <w:t xml:space="preserve"> HCMSQ SoB questionnaires</w:t>
      </w:r>
      <w:r w:rsidR="008D7691">
        <w:rPr>
          <w:rFonts w:cs="Times New Roman"/>
          <w:szCs w:val="20"/>
        </w:rPr>
        <w:t>.</w:t>
      </w:r>
    </w:p>
    <w:p w14:paraId="0FBF228C" w14:textId="58BE5093" w:rsidR="00292A5F" w:rsidRPr="00662FB3" w:rsidRDefault="00F80373" w:rsidP="00E71F64">
      <w:pPr>
        <w:pStyle w:val="3-BodyText"/>
        <w:spacing w:after="240"/>
        <w:rPr>
          <w:iCs/>
        </w:rPr>
      </w:pPr>
      <w:r w:rsidRPr="00C379F4">
        <w:rPr>
          <w:iCs/>
        </w:rPr>
        <w:t xml:space="preserve">The ESC highlighted </w:t>
      </w:r>
      <w:r>
        <w:t>o</w:t>
      </w:r>
      <w:r w:rsidR="008C7C1C">
        <w:t xml:space="preserve">ne </w:t>
      </w:r>
      <w:r w:rsidR="00602BF4">
        <w:t xml:space="preserve">potential </w:t>
      </w:r>
      <w:r w:rsidR="008C7C1C">
        <w:t xml:space="preserve">concern regarding bias in the EXPLORER-HCM study </w:t>
      </w:r>
      <w:r w:rsidR="005E4DA6">
        <w:t>due to</w:t>
      </w:r>
      <w:r w:rsidR="008C7C1C">
        <w:t xml:space="preserve"> </w:t>
      </w:r>
      <w:r w:rsidR="00492FD7">
        <w:t xml:space="preserve">SOC </w:t>
      </w:r>
      <w:r w:rsidR="008C7C1C">
        <w:t xml:space="preserve">treatment imbalances at baseline between study arms. </w:t>
      </w:r>
      <w:r w:rsidR="004937B0">
        <w:t xml:space="preserve">As shown in </w:t>
      </w:r>
      <w:r w:rsidR="004937B0">
        <w:fldChar w:fldCharType="begin"/>
      </w:r>
      <w:r w:rsidR="004937B0">
        <w:instrText xml:space="preserve"> REF _Ref120262140 \h  \* MERGEFORMAT </w:instrText>
      </w:r>
      <w:r w:rsidR="004937B0">
        <w:fldChar w:fldCharType="separate"/>
      </w:r>
      <w:r w:rsidR="00645E50" w:rsidRPr="00645E50">
        <w:t>Table 4</w:t>
      </w:r>
      <w:r w:rsidR="004937B0">
        <w:fldChar w:fldCharType="end"/>
      </w:r>
      <w:r w:rsidR="004937B0">
        <w:t>, t</w:t>
      </w:r>
      <w:r w:rsidR="004F5C37" w:rsidRPr="00B44554">
        <w:t>h</w:t>
      </w:r>
      <w:r w:rsidR="004F5C37" w:rsidRPr="00885192">
        <w:t xml:space="preserve">ere was an imbalance in CCB treatment in </w:t>
      </w:r>
      <w:r w:rsidR="004F5C37" w:rsidRPr="00885192">
        <w:lastRenderedPageBreak/>
        <w:t xml:space="preserve">the trial with more patients in the mavacamten arm on CCB treatment compared to the placebo arm. The placebo arm also had more patients </w:t>
      </w:r>
      <w:r w:rsidR="00445522">
        <w:t xml:space="preserve">who were not receiving either </w:t>
      </w:r>
      <w:r w:rsidR="004F5C37" w:rsidRPr="00885192">
        <w:t>BB or CCB treatment at baseline compared to the mavacamten arm</w:t>
      </w:r>
      <w:r w:rsidR="004F5C37" w:rsidRPr="00C379F4">
        <w:rPr>
          <w:rFonts w:eastAsia="Calibri"/>
        </w:rPr>
        <w:t xml:space="preserve">, meaning that 12.5% of </w:t>
      </w:r>
      <w:r w:rsidR="004F68BD" w:rsidRPr="00C379F4">
        <w:rPr>
          <w:rFonts w:eastAsia="Calibri"/>
        </w:rPr>
        <w:t>patients in the placebo ± BB/CCB</w:t>
      </w:r>
      <w:r w:rsidR="004F5C37" w:rsidRPr="00C379F4">
        <w:rPr>
          <w:rFonts w:eastAsia="Calibri"/>
        </w:rPr>
        <w:t xml:space="preserve"> arm were effectively untreated</w:t>
      </w:r>
      <w:r w:rsidR="004F5C37" w:rsidRPr="00885192">
        <w:t>. As a consequence, the benefit observed from mavacamten in the primary composite endpoint and other secondary outcomes may be</w:t>
      </w:r>
      <w:r w:rsidR="00602BF4">
        <w:t>, at least in part,</w:t>
      </w:r>
      <w:r w:rsidR="004F5C37" w:rsidRPr="00885192">
        <w:t xml:space="preserve"> driven by greater concomitant use of SOC treatment in the mavacamten trial arm (97%), compared to the placebo arm (87.5%). </w:t>
      </w:r>
      <w:r w:rsidR="0027680B">
        <w:t xml:space="preserve">The PBAC </w:t>
      </w:r>
      <w:r w:rsidR="00445522">
        <w:t xml:space="preserve">agreed with the </w:t>
      </w:r>
      <w:r w:rsidR="00EE0CC2">
        <w:t>ESC but</w:t>
      </w:r>
      <w:r w:rsidR="00445522">
        <w:t xml:space="preserve"> </w:t>
      </w:r>
      <w:r w:rsidR="0027680B">
        <w:t xml:space="preserve">considered </w:t>
      </w:r>
      <w:r w:rsidR="005E68F9">
        <w:t>th</w:t>
      </w:r>
      <w:r w:rsidR="004937B0">
        <w:t>e imbalance in baseline CCB treatment</w:t>
      </w:r>
      <w:r w:rsidR="0027680B">
        <w:t xml:space="preserve"> was</w:t>
      </w:r>
      <w:r w:rsidR="005E68F9">
        <w:t xml:space="preserve"> </w:t>
      </w:r>
      <w:r w:rsidR="004937B0">
        <w:t xml:space="preserve">small and </w:t>
      </w:r>
      <w:r w:rsidR="005E68F9">
        <w:t>not likely to be a key driver of the results.</w:t>
      </w:r>
      <w:r w:rsidR="0027680B">
        <w:t xml:space="preserve"> </w:t>
      </w:r>
    </w:p>
    <w:p w14:paraId="3EE01DEE" w14:textId="4446463F" w:rsidR="004F5C37" w:rsidRPr="00784281" w:rsidRDefault="004F5C37" w:rsidP="00784281">
      <w:pPr>
        <w:pStyle w:val="TableFigureHeading"/>
        <w:rPr>
          <w:rStyle w:val="CommentReference"/>
          <w:b/>
          <w:szCs w:val="24"/>
        </w:rPr>
      </w:pPr>
      <w:bookmarkStart w:id="23" w:name="_Ref120262140"/>
      <w:r w:rsidRPr="00784281">
        <w:rPr>
          <w:rStyle w:val="CommentReference"/>
          <w:b/>
          <w:szCs w:val="24"/>
        </w:rPr>
        <w:t xml:space="preserve">Table </w:t>
      </w:r>
      <w:r w:rsidR="00383802" w:rsidRPr="00784281">
        <w:rPr>
          <w:rStyle w:val="CommentReference"/>
          <w:b/>
          <w:szCs w:val="24"/>
        </w:rPr>
        <w:fldChar w:fldCharType="begin"/>
      </w:r>
      <w:r w:rsidR="00383802" w:rsidRPr="00784281">
        <w:rPr>
          <w:rStyle w:val="CommentReference"/>
          <w:b/>
          <w:szCs w:val="24"/>
        </w:rPr>
        <w:instrText xml:space="preserve"> SEQ Table \* ARABIC </w:instrText>
      </w:r>
      <w:r w:rsidR="00383802" w:rsidRPr="00784281">
        <w:rPr>
          <w:rStyle w:val="CommentReference"/>
          <w:b/>
          <w:szCs w:val="24"/>
        </w:rPr>
        <w:fldChar w:fldCharType="separate"/>
      </w:r>
      <w:r w:rsidR="00645E50">
        <w:rPr>
          <w:rStyle w:val="CommentReference"/>
          <w:b/>
          <w:noProof/>
          <w:szCs w:val="24"/>
        </w:rPr>
        <w:t>4</w:t>
      </w:r>
      <w:r w:rsidR="00383802" w:rsidRPr="00784281">
        <w:rPr>
          <w:rStyle w:val="CommentReference"/>
          <w:b/>
          <w:szCs w:val="24"/>
        </w:rPr>
        <w:fldChar w:fldCharType="end"/>
      </w:r>
      <w:bookmarkEnd w:id="23"/>
      <w:r w:rsidRPr="00784281">
        <w:rPr>
          <w:rStyle w:val="CommentReference"/>
          <w:b/>
          <w:szCs w:val="24"/>
        </w:rPr>
        <w:t>: BB</w:t>
      </w:r>
      <w:r w:rsidR="002628EB" w:rsidRPr="00784281">
        <w:rPr>
          <w:rStyle w:val="CommentReference"/>
          <w:b/>
          <w:szCs w:val="24"/>
        </w:rPr>
        <w:t>/</w:t>
      </w:r>
      <w:r w:rsidRPr="00784281">
        <w:rPr>
          <w:rStyle w:val="CommentReference"/>
          <w:b/>
          <w:szCs w:val="24"/>
        </w:rPr>
        <w:t>CCB treatment at baseline in the EXPLORER-HCM trial</w:t>
      </w:r>
    </w:p>
    <w:tbl>
      <w:tblPr>
        <w:tblStyle w:val="TableGrid"/>
        <w:tblW w:w="0" w:type="auto"/>
        <w:tblLook w:val="04A0" w:firstRow="1" w:lastRow="0" w:firstColumn="1" w:lastColumn="0" w:noHBand="0" w:noVBand="1"/>
      </w:tblPr>
      <w:tblGrid>
        <w:gridCol w:w="5240"/>
        <w:gridCol w:w="1985"/>
        <w:gridCol w:w="1792"/>
      </w:tblGrid>
      <w:tr w:rsidR="004F5C37" w:rsidRPr="00885192" w14:paraId="2D400055" w14:textId="77777777" w:rsidTr="00164624">
        <w:tc>
          <w:tcPr>
            <w:tcW w:w="5240" w:type="dxa"/>
          </w:tcPr>
          <w:p w14:paraId="36E8F938" w14:textId="77777777" w:rsidR="004F5C37" w:rsidRPr="00885192" w:rsidRDefault="004F5C37" w:rsidP="00164624">
            <w:pPr>
              <w:pStyle w:val="TableFigureHeading"/>
            </w:pPr>
          </w:p>
        </w:tc>
        <w:tc>
          <w:tcPr>
            <w:tcW w:w="1985" w:type="dxa"/>
          </w:tcPr>
          <w:p w14:paraId="22ADB74E" w14:textId="77777777" w:rsidR="004F5C37" w:rsidRPr="00885192" w:rsidRDefault="004F5C37" w:rsidP="00164624">
            <w:pPr>
              <w:pStyle w:val="TableFigureHeading"/>
            </w:pPr>
            <w:r w:rsidRPr="00885192">
              <w:t xml:space="preserve">Mavacamten arm </w:t>
            </w:r>
          </w:p>
          <w:p w14:paraId="7D5DFCA1" w14:textId="77777777" w:rsidR="004F5C37" w:rsidRPr="00885192" w:rsidRDefault="004F5C37" w:rsidP="00164624">
            <w:pPr>
              <w:pStyle w:val="TableFigureHeading"/>
            </w:pPr>
            <w:r w:rsidRPr="00885192">
              <w:t>N=123</w:t>
            </w:r>
          </w:p>
          <w:p w14:paraId="19B1AFC4" w14:textId="77777777" w:rsidR="004F5C37" w:rsidRPr="00885192" w:rsidRDefault="004F5C37" w:rsidP="00164624">
            <w:pPr>
              <w:pStyle w:val="TableFigureHeading"/>
            </w:pPr>
            <w:r w:rsidRPr="00885192">
              <w:t>n (%)</w:t>
            </w:r>
          </w:p>
        </w:tc>
        <w:tc>
          <w:tcPr>
            <w:tcW w:w="1792" w:type="dxa"/>
          </w:tcPr>
          <w:p w14:paraId="50B0AEAB" w14:textId="77777777" w:rsidR="004F5C37" w:rsidRPr="00885192" w:rsidRDefault="004F5C37" w:rsidP="00164624">
            <w:pPr>
              <w:pStyle w:val="TableFigureHeading"/>
            </w:pPr>
            <w:r w:rsidRPr="00885192">
              <w:t>Placebo arm</w:t>
            </w:r>
          </w:p>
          <w:p w14:paraId="2529C65E" w14:textId="77777777" w:rsidR="004F5C37" w:rsidRPr="00885192" w:rsidRDefault="004F5C37" w:rsidP="00164624">
            <w:pPr>
              <w:pStyle w:val="TableFigureHeading"/>
            </w:pPr>
            <w:r w:rsidRPr="00885192">
              <w:t>N=128</w:t>
            </w:r>
          </w:p>
          <w:p w14:paraId="4EABBB5F" w14:textId="77777777" w:rsidR="004F5C37" w:rsidRPr="00885192" w:rsidRDefault="004F5C37" w:rsidP="00164624">
            <w:pPr>
              <w:pStyle w:val="TableFigureHeading"/>
            </w:pPr>
            <w:r w:rsidRPr="00885192">
              <w:t>n (%)</w:t>
            </w:r>
          </w:p>
        </w:tc>
      </w:tr>
      <w:tr w:rsidR="004F5C37" w:rsidRPr="00885192" w14:paraId="5FE78573" w14:textId="77777777" w:rsidTr="00164624">
        <w:tc>
          <w:tcPr>
            <w:tcW w:w="5240" w:type="dxa"/>
          </w:tcPr>
          <w:p w14:paraId="0B598809" w14:textId="77777777" w:rsidR="004F5C37" w:rsidRPr="00885192" w:rsidRDefault="004F5C37" w:rsidP="00164624">
            <w:pPr>
              <w:pStyle w:val="Tabletext"/>
            </w:pPr>
            <w:r w:rsidRPr="00885192">
              <w:t xml:space="preserve">BB </w:t>
            </w:r>
          </w:p>
        </w:tc>
        <w:tc>
          <w:tcPr>
            <w:tcW w:w="1985" w:type="dxa"/>
          </w:tcPr>
          <w:p w14:paraId="04C47BDE" w14:textId="77777777" w:rsidR="004F5C37" w:rsidRPr="00885192" w:rsidRDefault="004F5C37" w:rsidP="00164624">
            <w:pPr>
              <w:pStyle w:val="Tabletext"/>
            </w:pPr>
            <w:r w:rsidRPr="00885192">
              <w:t>94 (76.4)</w:t>
            </w:r>
          </w:p>
        </w:tc>
        <w:tc>
          <w:tcPr>
            <w:tcW w:w="1792" w:type="dxa"/>
          </w:tcPr>
          <w:p w14:paraId="00D0A8C7" w14:textId="77777777" w:rsidR="004F5C37" w:rsidRPr="00885192" w:rsidRDefault="004F5C37" w:rsidP="00164624">
            <w:pPr>
              <w:pStyle w:val="Tabletext"/>
            </w:pPr>
            <w:r w:rsidRPr="00885192">
              <w:t>95 (74.2)</w:t>
            </w:r>
          </w:p>
        </w:tc>
      </w:tr>
      <w:tr w:rsidR="004F5C37" w:rsidRPr="00885192" w14:paraId="31E136D8" w14:textId="77777777" w:rsidTr="00164624">
        <w:tc>
          <w:tcPr>
            <w:tcW w:w="5240" w:type="dxa"/>
          </w:tcPr>
          <w:p w14:paraId="4FF77E98" w14:textId="77777777" w:rsidR="004F5C37" w:rsidRPr="00885192" w:rsidRDefault="004F5C37" w:rsidP="00164624">
            <w:pPr>
              <w:pStyle w:val="Tabletext"/>
            </w:pPr>
            <w:r w:rsidRPr="00885192">
              <w:t xml:space="preserve">CCB </w:t>
            </w:r>
          </w:p>
        </w:tc>
        <w:tc>
          <w:tcPr>
            <w:tcW w:w="1985" w:type="dxa"/>
          </w:tcPr>
          <w:p w14:paraId="64C06F26" w14:textId="77777777" w:rsidR="004F5C37" w:rsidRPr="00885192" w:rsidRDefault="004F5C37" w:rsidP="00164624">
            <w:pPr>
              <w:pStyle w:val="Tabletext"/>
            </w:pPr>
            <w:r w:rsidRPr="00885192">
              <w:t>25 (20.3)</w:t>
            </w:r>
          </w:p>
        </w:tc>
        <w:tc>
          <w:tcPr>
            <w:tcW w:w="1792" w:type="dxa"/>
          </w:tcPr>
          <w:p w14:paraId="4574EE27" w14:textId="77777777" w:rsidR="004F5C37" w:rsidRPr="00885192" w:rsidRDefault="004F5C37" w:rsidP="00164624">
            <w:pPr>
              <w:pStyle w:val="Tabletext"/>
            </w:pPr>
            <w:r w:rsidRPr="00885192">
              <w:t>17 (13.3)</w:t>
            </w:r>
          </w:p>
        </w:tc>
      </w:tr>
      <w:tr w:rsidR="004F5C37" w:rsidRPr="00885192" w14:paraId="41E55964" w14:textId="77777777" w:rsidTr="00164624">
        <w:tc>
          <w:tcPr>
            <w:tcW w:w="5240" w:type="dxa"/>
          </w:tcPr>
          <w:p w14:paraId="2801CCCB" w14:textId="77777777" w:rsidR="004F5C37" w:rsidRPr="00885192" w:rsidRDefault="004F5C37" w:rsidP="00164624">
            <w:pPr>
              <w:pStyle w:val="Tabletext"/>
            </w:pPr>
            <w:r w:rsidRPr="00885192">
              <w:t xml:space="preserve">No CCB or BB </w:t>
            </w:r>
          </w:p>
        </w:tc>
        <w:tc>
          <w:tcPr>
            <w:tcW w:w="1985" w:type="dxa"/>
          </w:tcPr>
          <w:p w14:paraId="681A56CB" w14:textId="77777777" w:rsidR="004F5C37" w:rsidRPr="00885192" w:rsidRDefault="004F5C37" w:rsidP="00164624">
            <w:pPr>
              <w:pStyle w:val="Tabletext"/>
            </w:pPr>
            <w:r w:rsidRPr="00885192">
              <w:t>4 (3.3)</w:t>
            </w:r>
          </w:p>
        </w:tc>
        <w:tc>
          <w:tcPr>
            <w:tcW w:w="1792" w:type="dxa"/>
          </w:tcPr>
          <w:p w14:paraId="55809BC9" w14:textId="77777777" w:rsidR="004F5C37" w:rsidRPr="00885192" w:rsidRDefault="004F5C37" w:rsidP="00164624">
            <w:pPr>
              <w:pStyle w:val="Tabletext"/>
            </w:pPr>
            <w:r w:rsidRPr="00885192">
              <w:t>16 (12.5)</w:t>
            </w:r>
          </w:p>
        </w:tc>
      </w:tr>
    </w:tbl>
    <w:p w14:paraId="16A33656" w14:textId="77777777" w:rsidR="004F5C37" w:rsidRDefault="004F5C37" w:rsidP="004F5C37">
      <w:pPr>
        <w:pStyle w:val="FooterTableFigure"/>
      </w:pPr>
      <w:r>
        <w:t>Source: data from text on p136 of the submission and table 67, p139 of the submission.</w:t>
      </w:r>
    </w:p>
    <w:p w14:paraId="26322DC8" w14:textId="5BA6D491" w:rsidR="00A9788D" w:rsidRPr="00FC5F0B" w:rsidRDefault="004F5C37" w:rsidP="004F5C37">
      <w:pPr>
        <w:pStyle w:val="FooterTableFigure"/>
      </w:pPr>
      <w:r>
        <w:t xml:space="preserve">BB = beta-blocker, CCB = calcium channel blocker.  </w:t>
      </w:r>
    </w:p>
    <w:p w14:paraId="4A4FE085" w14:textId="692DA949" w:rsidR="00B60939" w:rsidRPr="00C9624D" w:rsidRDefault="00B60939" w:rsidP="00A9788D">
      <w:pPr>
        <w:pStyle w:val="4-SubsectionHeading"/>
      </w:pPr>
      <w:bookmarkStart w:id="24" w:name="_Toc22897641"/>
      <w:bookmarkStart w:id="25" w:name="_Toc113979741"/>
      <w:r w:rsidRPr="00C9624D">
        <w:t>Comparative effectiveness</w:t>
      </w:r>
      <w:bookmarkEnd w:id="24"/>
      <w:bookmarkEnd w:id="25"/>
    </w:p>
    <w:p w14:paraId="1FB18EEE" w14:textId="5BB5CBAB" w:rsidR="00A32C6E" w:rsidRPr="00E71F64" w:rsidRDefault="008C726C" w:rsidP="006B63A1">
      <w:pPr>
        <w:pStyle w:val="3-BodyText"/>
        <w:rPr>
          <w:rFonts w:ascii="Arial Narrow" w:hAnsi="Arial Narrow"/>
          <w:sz w:val="18"/>
          <w:szCs w:val="22"/>
        </w:rPr>
      </w:pPr>
      <w:r w:rsidRPr="008C726C">
        <w:rPr>
          <w:snapToGrid/>
          <w:lang w:val="en-US"/>
        </w:rPr>
        <w:t xml:space="preserve">The primary outcome was a composite </w:t>
      </w:r>
      <w:r w:rsidR="00970AB5">
        <w:rPr>
          <w:snapToGrid/>
          <w:lang w:val="en-US"/>
        </w:rPr>
        <w:t xml:space="preserve">functional </w:t>
      </w:r>
      <w:r w:rsidRPr="008C726C">
        <w:rPr>
          <w:snapToGrid/>
          <w:lang w:val="en-US"/>
        </w:rPr>
        <w:t>endpoin</w:t>
      </w:r>
      <w:r w:rsidR="00970AB5">
        <w:rPr>
          <w:snapToGrid/>
          <w:lang w:val="en-US"/>
        </w:rPr>
        <w:t>t, that measured clinical response by 30 weeks,</w:t>
      </w:r>
      <w:r w:rsidR="009E4255">
        <w:rPr>
          <w:snapToGrid/>
          <w:lang w:val="en-US"/>
        </w:rPr>
        <w:t xml:space="preserve"> </w:t>
      </w:r>
      <w:r w:rsidRPr="008C726C">
        <w:rPr>
          <w:snapToGrid/>
          <w:lang w:val="en-US"/>
        </w:rPr>
        <w:t xml:space="preserve">defined as </w:t>
      </w:r>
      <w:r>
        <w:t>either (</w:t>
      </w:r>
      <w:r w:rsidRPr="003C17F3">
        <w:t>1) an improvement of at least 1.</w:t>
      </w:r>
      <w:r w:rsidR="009554BD" w:rsidRPr="003C17F3">
        <w:t>5</w:t>
      </w:r>
      <w:r w:rsidR="009554BD">
        <w:t> </w:t>
      </w:r>
      <w:r w:rsidRPr="003C17F3">
        <w:t xml:space="preserve">mL/kg/min in </w:t>
      </w:r>
      <w:r w:rsidR="0009649B" w:rsidRPr="00F14FD5">
        <w:rPr>
          <w:rFonts w:eastAsia="Calibri"/>
        </w:rPr>
        <w:t>peak oxygen consumption</w:t>
      </w:r>
      <w:r w:rsidR="0009649B">
        <w:rPr>
          <w:rFonts w:eastAsia="Calibri"/>
        </w:rPr>
        <w:t xml:space="preserve"> (</w:t>
      </w:r>
      <w:r w:rsidRPr="003C17F3">
        <w:t>pVO</w:t>
      </w:r>
      <w:r w:rsidRPr="003C17F3">
        <w:rPr>
          <w:vertAlign w:val="subscript"/>
        </w:rPr>
        <w:t>2</w:t>
      </w:r>
      <w:r w:rsidR="0009649B">
        <w:t xml:space="preserve">) </w:t>
      </w:r>
      <w:r w:rsidRPr="003C17F3">
        <w:t xml:space="preserve">and improvement of one or more NYHA class </w:t>
      </w:r>
      <w:r w:rsidR="006F0453" w:rsidRPr="00885192">
        <w:t xml:space="preserve">(component 1) </w:t>
      </w:r>
      <w:r w:rsidRPr="003C17F3">
        <w:t xml:space="preserve">or </w:t>
      </w:r>
      <w:r>
        <w:t>(2</w:t>
      </w:r>
      <w:r w:rsidRPr="003C17F3">
        <w:t>) an improvement of at least 3.0</w:t>
      </w:r>
      <w:r w:rsidR="009554BD">
        <w:t> </w:t>
      </w:r>
      <w:r w:rsidRPr="003C17F3">
        <w:t>mL/kg/min in pVO</w:t>
      </w:r>
      <w:r w:rsidRPr="003C17F3">
        <w:rPr>
          <w:vertAlign w:val="subscript"/>
        </w:rPr>
        <w:t>2</w:t>
      </w:r>
      <w:r w:rsidRPr="003C17F3">
        <w:t xml:space="preserve"> with no worsening in NYHA class, unless otherwise denoted</w:t>
      </w:r>
      <w:r w:rsidR="006F0453">
        <w:t xml:space="preserve"> </w:t>
      </w:r>
      <w:r w:rsidR="006F0453" w:rsidRPr="00885192">
        <w:t>(component 2)</w:t>
      </w:r>
      <w:r>
        <w:t xml:space="preserve">. </w:t>
      </w:r>
    </w:p>
    <w:p w14:paraId="408BD7E8" w14:textId="7514DC27" w:rsidR="00A32C6E" w:rsidRPr="00E71F64" w:rsidRDefault="00A32C6E" w:rsidP="006B63A1">
      <w:pPr>
        <w:pStyle w:val="3-BodyText"/>
        <w:rPr>
          <w:rFonts w:ascii="Arial Narrow" w:hAnsi="Arial Narrow"/>
          <w:sz w:val="18"/>
          <w:szCs w:val="22"/>
        </w:rPr>
      </w:pPr>
      <w:r>
        <w:rPr>
          <w:rFonts w:eastAsia="Calibri"/>
        </w:rPr>
        <w:t>T</w:t>
      </w:r>
      <w:r w:rsidRPr="00AB558E">
        <w:rPr>
          <w:rFonts w:eastAsia="Calibri"/>
        </w:rPr>
        <w:t>he NYHA function classification system</w:t>
      </w:r>
      <w:r w:rsidRPr="00A32C6E">
        <w:rPr>
          <w:rFonts w:eastAsia="Calibri"/>
        </w:rPr>
        <w:t xml:space="preserve"> </w:t>
      </w:r>
      <w:r>
        <w:rPr>
          <w:rFonts w:eastAsia="Calibri"/>
        </w:rPr>
        <w:t>is</w:t>
      </w:r>
      <w:r w:rsidRPr="00AB558E">
        <w:rPr>
          <w:rFonts w:eastAsia="Calibri"/>
        </w:rPr>
        <w:t xml:space="preserve"> </w:t>
      </w:r>
      <w:r>
        <w:rPr>
          <w:rFonts w:eastAsia="Calibri"/>
        </w:rPr>
        <w:t xml:space="preserve">a </w:t>
      </w:r>
      <w:r w:rsidRPr="00AB558E">
        <w:rPr>
          <w:rFonts w:eastAsia="Calibri"/>
        </w:rPr>
        <w:t>commonly used system to categorise patients with HCM and/or heart failure. A higher class represents more severe disease and worse symptoms. Class I means no limitation of physical activity, whereas class II and III represent slight and marked limitations of physical activity. Class IV would be assigned to those unable to carry on any physical activity without discomfort.</w:t>
      </w:r>
    </w:p>
    <w:p w14:paraId="0FB3FC8A" w14:textId="4158A777" w:rsidR="006E28AB" w:rsidRDefault="009E4255" w:rsidP="006B63A1">
      <w:pPr>
        <w:pStyle w:val="3-BodyText"/>
      </w:pPr>
      <w:r>
        <w:t>Over twice as many</w:t>
      </w:r>
      <w:r w:rsidR="008C726C">
        <w:t xml:space="preserve"> patients in the mavacamten arm of the EXPLORER-HCM trial met the primary endpoint </w:t>
      </w:r>
      <w:r w:rsidR="00B06CAB">
        <w:t xml:space="preserve">as </w:t>
      </w:r>
      <w:r w:rsidR="008C726C">
        <w:t>in the placebo arm (36.6% vs 17.2%, OR=2.74, 95%</w:t>
      </w:r>
      <w:r w:rsidR="00970AB5">
        <w:t xml:space="preserve"> </w:t>
      </w:r>
      <w:r w:rsidR="008C726C">
        <w:t xml:space="preserve">CI 1.51, 5.45). </w:t>
      </w:r>
    </w:p>
    <w:p w14:paraId="011D6922" w14:textId="77777777" w:rsidR="006E28AB" w:rsidRDefault="006E28AB">
      <w:pPr>
        <w:jc w:val="left"/>
        <w:rPr>
          <w:rFonts w:asciiTheme="minorHAnsi" w:hAnsiTheme="minorHAnsi"/>
          <w:snapToGrid w:val="0"/>
        </w:rPr>
      </w:pPr>
      <w:r>
        <w:br w:type="page"/>
      </w:r>
    </w:p>
    <w:p w14:paraId="15B925CA" w14:textId="0F16974F" w:rsidR="00DB56BF" w:rsidRPr="00EC5836" w:rsidRDefault="00DB56BF" w:rsidP="00DB56BF">
      <w:pPr>
        <w:pStyle w:val="TableFigureHeading"/>
        <w:rPr>
          <w:rStyle w:val="CommentReference"/>
          <w:b/>
          <w:szCs w:val="24"/>
        </w:rPr>
      </w:pPr>
      <w:r>
        <w:lastRenderedPageBreak/>
        <w:t xml:space="preserve">Table </w:t>
      </w:r>
      <w:r w:rsidR="00645E50">
        <w:fldChar w:fldCharType="begin"/>
      </w:r>
      <w:r w:rsidR="00645E50">
        <w:instrText xml:space="preserve"> SEQ Table</w:instrText>
      </w:r>
      <w:r w:rsidR="00645E50">
        <w:instrText xml:space="preserve"> \* ARABIC </w:instrText>
      </w:r>
      <w:r w:rsidR="00645E50">
        <w:fldChar w:fldCharType="separate"/>
      </w:r>
      <w:r w:rsidR="00645E50">
        <w:rPr>
          <w:noProof/>
        </w:rPr>
        <w:t>5</w:t>
      </w:r>
      <w:r w:rsidR="00645E50">
        <w:rPr>
          <w:noProof/>
        </w:rPr>
        <w:fldChar w:fldCharType="end"/>
      </w:r>
      <w:r>
        <w:t>:</w:t>
      </w:r>
      <w:r w:rsidRPr="00EC5836">
        <w:rPr>
          <w:rStyle w:val="CommentReference"/>
          <w:b/>
          <w:szCs w:val="24"/>
        </w:rPr>
        <w:t xml:space="preserve"> Results of </w:t>
      </w:r>
      <w:r>
        <w:rPr>
          <w:rStyle w:val="CommentReference"/>
          <w:b/>
          <w:szCs w:val="24"/>
        </w:rPr>
        <w:t>composite endpoint at week 30 in EXPLORER-HCM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219"/>
        <w:gridCol w:w="1244"/>
        <w:gridCol w:w="2509"/>
        <w:gridCol w:w="2218"/>
      </w:tblGrid>
      <w:tr w:rsidR="00DB56BF" w:rsidRPr="00B84117" w14:paraId="5C49D793" w14:textId="77777777" w:rsidTr="00B6064D">
        <w:trPr>
          <w:cantSplit/>
          <w:tblHeader/>
        </w:trPr>
        <w:tc>
          <w:tcPr>
            <w:tcW w:w="1013" w:type="pct"/>
            <w:vAlign w:val="center"/>
          </w:tcPr>
          <w:p w14:paraId="7AEB7458" w14:textId="77777777" w:rsidR="00DB56BF" w:rsidRPr="00B84117" w:rsidRDefault="00DB56BF" w:rsidP="00B6064D">
            <w:pPr>
              <w:pStyle w:val="In-tableHeading"/>
            </w:pPr>
            <w:r>
              <w:t>Outcome</w:t>
            </w:r>
          </w:p>
        </w:tc>
        <w:tc>
          <w:tcPr>
            <w:tcW w:w="676" w:type="pct"/>
            <w:vAlign w:val="center"/>
          </w:tcPr>
          <w:p w14:paraId="35DB5C7D" w14:textId="77777777" w:rsidR="00DB56BF" w:rsidRDefault="00DB56BF" w:rsidP="00B6064D">
            <w:pPr>
              <w:pStyle w:val="In-tableHeading"/>
              <w:jc w:val="center"/>
            </w:pPr>
            <w:r>
              <w:t>Mavacamten</w:t>
            </w:r>
          </w:p>
          <w:p w14:paraId="3B77FF74" w14:textId="77777777" w:rsidR="00DB56BF" w:rsidRPr="00B84117" w:rsidRDefault="00DB56BF" w:rsidP="00B6064D">
            <w:pPr>
              <w:pStyle w:val="In-tableHeading"/>
              <w:jc w:val="center"/>
            </w:pPr>
            <w:r>
              <w:t>n with event/N (%)</w:t>
            </w:r>
          </w:p>
        </w:tc>
        <w:tc>
          <w:tcPr>
            <w:tcW w:w="690" w:type="pct"/>
            <w:vAlign w:val="center"/>
          </w:tcPr>
          <w:p w14:paraId="058FC908" w14:textId="77777777" w:rsidR="00DB56BF" w:rsidRDefault="00DB56BF" w:rsidP="00B6064D">
            <w:pPr>
              <w:pStyle w:val="In-tableHeading"/>
              <w:jc w:val="center"/>
            </w:pPr>
            <w:r>
              <w:t>Placebo</w:t>
            </w:r>
          </w:p>
          <w:p w14:paraId="781FDABF" w14:textId="77777777" w:rsidR="00DB56BF" w:rsidRPr="00153ACD" w:rsidRDefault="00DB56BF" w:rsidP="00B6064D">
            <w:pPr>
              <w:pStyle w:val="In-tableHeading"/>
              <w:jc w:val="center"/>
              <w:rPr>
                <w:lang w:val="en-AU"/>
              </w:rPr>
            </w:pPr>
            <w:r>
              <w:t>n with event/N (%)</w:t>
            </w:r>
          </w:p>
        </w:tc>
        <w:tc>
          <w:tcPr>
            <w:tcW w:w="1391" w:type="pct"/>
            <w:vAlign w:val="center"/>
          </w:tcPr>
          <w:p w14:paraId="7917BCFB" w14:textId="77777777" w:rsidR="00DB56BF" w:rsidRPr="00B84117" w:rsidRDefault="00DB56BF" w:rsidP="00B6064D">
            <w:pPr>
              <w:pStyle w:val="In-tableHeading"/>
              <w:jc w:val="center"/>
            </w:pPr>
            <w:r w:rsidRPr="00B97DCD">
              <w:rPr>
                <w:szCs w:val="20"/>
              </w:rPr>
              <w:t xml:space="preserve">Odds </w:t>
            </w:r>
            <w:r>
              <w:rPr>
                <w:szCs w:val="20"/>
              </w:rPr>
              <w:t>r</w:t>
            </w:r>
            <w:r w:rsidRPr="00B97DCD">
              <w:rPr>
                <w:szCs w:val="20"/>
              </w:rPr>
              <w:t>atio (95% CI)</w:t>
            </w:r>
          </w:p>
        </w:tc>
        <w:tc>
          <w:tcPr>
            <w:tcW w:w="1230" w:type="pct"/>
            <w:vAlign w:val="center"/>
          </w:tcPr>
          <w:p w14:paraId="1EB9E318" w14:textId="77777777" w:rsidR="00DB56BF" w:rsidRPr="0023034D" w:rsidRDefault="00DB56BF" w:rsidP="00B6064D">
            <w:pPr>
              <w:pStyle w:val="In-tableHeading"/>
              <w:jc w:val="center"/>
              <w:rPr>
                <w:vertAlign w:val="superscript"/>
              </w:rPr>
            </w:pPr>
            <w:r w:rsidRPr="00B84117">
              <w:t>Risk difference (95% CI)</w:t>
            </w:r>
            <w:r>
              <w:rPr>
                <w:vertAlign w:val="superscript"/>
              </w:rPr>
              <w:t>a</w:t>
            </w:r>
          </w:p>
        </w:tc>
      </w:tr>
      <w:tr w:rsidR="00DB56BF" w:rsidRPr="00B1011F" w14:paraId="7EB0C606" w14:textId="77777777" w:rsidTr="00B6064D">
        <w:trPr>
          <w:cantSplit/>
          <w:trHeight w:val="852"/>
        </w:trPr>
        <w:tc>
          <w:tcPr>
            <w:tcW w:w="1013" w:type="pct"/>
          </w:tcPr>
          <w:p w14:paraId="17E003A9" w14:textId="77777777" w:rsidR="00DB56BF" w:rsidRPr="00B1011F" w:rsidRDefault="00DB56BF" w:rsidP="00B6064D">
            <w:pPr>
              <w:pStyle w:val="TableText0"/>
            </w:pPr>
            <w:r w:rsidRPr="004B5317">
              <w:rPr>
                <w:shd w:val="clear" w:color="auto" w:fill="FFFFFF"/>
                <w:lang w:val="en-US"/>
              </w:rPr>
              <w:t xml:space="preserve">Achieved </w:t>
            </w:r>
            <w:r>
              <w:rPr>
                <w:shd w:val="clear" w:color="auto" w:fill="FFFFFF"/>
                <w:lang w:val="en-US"/>
              </w:rPr>
              <w:t>c</w:t>
            </w:r>
            <w:r w:rsidRPr="004B5317">
              <w:rPr>
                <w:shd w:val="clear" w:color="auto" w:fill="FFFFFF"/>
                <w:lang w:val="en-US"/>
              </w:rPr>
              <w:t xml:space="preserve">omposite </w:t>
            </w:r>
            <w:r>
              <w:rPr>
                <w:shd w:val="clear" w:color="auto" w:fill="FFFFFF"/>
                <w:lang w:val="en-US"/>
              </w:rPr>
              <w:t>f</w:t>
            </w:r>
            <w:r w:rsidRPr="004B5317">
              <w:rPr>
                <w:shd w:val="clear" w:color="auto" w:fill="FFFFFF"/>
                <w:lang w:val="en-US"/>
              </w:rPr>
              <w:t xml:space="preserve">unctional </w:t>
            </w:r>
            <w:r>
              <w:rPr>
                <w:shd w:val="clear" w:color="auto" w:fill="FFFFFF"/>
                <w:lang w:val="en-US"/>
              </w:rPr>
              <w:t>e</w:t>
            </w:r>
            <w:r w:rsidRPr="004B5317">
              <w:rPr>
                <w:shd w:val="clear" w:color="auto" w:fill="FFFFFF"/>
                <w:lang w:val="en-US"/>
              </w:rPr>
              <w:t>ndpoint</w:t>
            </w:r>
            <w:r w:rsidRPr="004B5317">
              <w:rPr>
                <w:rFonts w:cs="Arial"/>
                <w:position w:val="-1"/>
                <w:vertAlign w:val="superscript"/>
                <w:lang w:val="en-US"/>
              </w:rPr>
              <w:t>b</w:t>
            </w:r>
            <w:r w:rsidRPr="004B5317">
              <w:rPr>
                <w:shd w:val="clear" w:color="auto" w:fill="FFFFFF"/>
                <w:lang w:val="en-US"/>
              </w:rPr>
              <w:t>, n (%)</w:t>
            </w:r>
          </w:p>
        </w:tc>
        <w:tc>
          <w:tcPr>
            <w:tcW w:w="676" w:type="pct"/>
            <w:vAlign w:val="center"/>
          </w:tcPr>
          <w:p w14:paraId="7F6852BA" w14:textId="66D1AC25" w:rsidR="00DB56BF" w:rsidRPr="00B1011F" w:rsidRDefault="00DB56BF" w:rsidP="00FB0844">
            <w:pPr>
              <w:pStyle w:val="TableText0"/>
              <w:jc w:val="center"/>
            </w:pPr>
            <w:r w:rsidRPr="004B5317">
              <w:rPr>
                <w:color w:val="000000"/>
                <w:lang w:val="en-US"/>
              </w:rPr>
              <w:t>45</w:t>
            </w:r>
            <w:r>
              <w:rPr>
                <w:color w:val="000000"/>
                <w:lang w:val="en-US"/>
              </w:rPr>
              <w:t>/123</w:t>
            </w:r>
            <w:r w:rsidRPr="004B5317">
              <w:rPr>
                <w:color w:val="000000"/>
                <w:lang w:val="en-US"/>
              </w:rPr>
              <w:t xml:space="preserve"> (36.6</w:t>
            </w:r>
            <w:r>
              <w:rPr>
                <w:color w:val="000000"/>
                <w:lang w:val="en-US"/>
              </w:rPr>
              <w:t>%</w:t>
            </w:r>
            <w:r w:rsidRPr="004B5317">
              <w:rPr>
                <w:color w:val="000000"/>
                <w:lang w:val="en-US"/>
              </w:rPr>
              <w:t>)</w:t>
            </w:r>
          </w:p>
        </w:tc>
        <w:tc>
          <w:tcPr>
            <w:tcW w:w="690" w:type="pct"/>
            <w:vAlign w:val="center"/>
          </w:tcPr>
          <w:p w14:paraId="43A178EC" w14:textId="756CB7BC" w:rsidR="00DB56BF" w:rsidRPr="00B1011F" w:rsidRDefault="00DB56BF" w:rsidP="00FB0844">
            <w:pPr>
              <w:pStyle w:val="TableText0"/>
              <w:jc w:val="center"/>
            </w:pPr>
            <w:r w:rsidRPr="004B5317">
              <w:rPr>
                <w:color w:val="000000"/>
                <w:lang w:val="en-US"/>
              </w:rPr>
              <w:t>22</w:t>
            </w:r>
            <w:r>
              <w:rPr>
                <w:color w:val="000000"/>
                <w:lang w:val="en-US"/>
              </w:rPr>
              <w:t>/128</w:t>
            </w:r>
            <w:r w:rsidRPr="004B5317">
              <w:rPr>
                <w:color w:val="000000"/>
                <w:lang w:val="en-US"/>
              </w:rPr>
              <w:t xml:space="preserve"> (17.2</w:t>
            </w:r>
            <w:r>
              <w:rPr>
                <w:color w:val="000000"/>
                <w:lang w:val="en-US"/>
              </w:rPr>
              <w:t>%</w:t>
            </w:r>
            <w:r w:rsidRPr="004B5317">
              <w:rPr>
                <w:color w:val="000000"/>
                <w:lang w:val="en-US"/>
              </w:rPr>
              <w:t>)</w:t>
            </w:r>
          </w:p>
        </w:tc>
        <w:tc>
          <w:tcPr>
            <w:tcW w:w="1391" w:type="pct"/>
            <w:vAlign w:val="center"/>
          </w:tcPr>
          <w:p w14:paraId="7927C37B" w14:textId="77777777" w:rsidR="00DB56BF" w:rsidRPr="000C12E5" w:rsidRDefault="00DB56BF" w:rsidP="00B6064D">
            <w:pPr>
              <w:pStyle w:val="Tabletext"/>
              <w:jc w:val="center"/>
              <w:rPr>
                <w:b/>
                <w:color w:val="000000"/>
                <w:vertAlign w:val="superscript"/>
                <w:lang w:val="en-US"/>
              </w:rPr>
            </w:pPr>
            <w:r w:rsidRPr="00A1674F">
              <w:rPr>
                <w:b/>
                <w:color w:val="000000"/>
                <w:lang w:val="en-US"/>
              </w:rPr>
              <w:t>2.74 (1</w:t>
            </w:r>
            <w:r>
              <w:rPr>
                <w:b/>
                <w:color w:val="000000"/>
                <w:lang w:val="en-US"/>
              </w:rPr>
              <w:t>.51</w:t>
            </w:r>
            <w:r w:rsidRPr="00A1674F">
              <w:rPr>
                <w:b/>
                <w:color w:val="000000"/>
                <w:lang w:val="en-US"/>
              </w:rPr>
              <w:t>, 5.4</w:t>
            </w:r>
            <w:r>
              <w:rPr>
                <w:b/>
                <w:color w:val="000000"/>
                <w:lang w:val="en-US"/>
              </w:rPr>
              <w:t>5</w:t>
            </w:r>
            <w:r w:rsidRPr="00A1674F">
              <w:rPr>
                <w:b/>
                <w:color w:val="000000"/>
                <w:lang w:val="en-US"/>
              </w:rPr>
              <w:t>)</w:t>
            </w:r>
            <w:r>
              <w:rPr>
                <w:b/>
                <w:color w:val="000000"/>
                <w:vertAlign w:val="superscript"/>
                <w:lang w:val="en-US"/>
              </w:rPr>
              <w:t>c</w:t>
            </w:r>
          </w:p>
          <w:p w14:paraId="05833016" w14:textId="77777777" w:rsidR="00DB56BF" w:rsidRPr="00A1674F" w:rsidRDefault="00DB56BF" w:rsidP="00B6064D">
            <w:pPr>
              <w:pStyle w:val="TableText0"/>
              <w:jc w:val="center"/>
            </w:pPr>
            <w:r w:rsidRPr="00A1674F">
              <w:rPr>
                <w:b/>
                <w:color w:val="000000"/>
                <w:lang w:val="en-US"/>
              </w:rPr>
              <w:t>p = 0.0005</w:t>
            </w:r>
          </w:p>
        </w:tc>
        <w:tc>
          <w:tcPr>
            <w:tcW w:w="1230" w:type="pct"/>
            <w:vAlign w:val="center"/>
          </w:tcPr>
          <w:p w14:paraId="4DD1A4EC" w14:textId="5678DABF" w:rsidR="00DB56BF" w:rsidRPr="00A1674F" w:rsidRDefault="00DB56BF" w:rsidP="00FB0844">
            <w:pPr>
              <w:pStyle w:val="TableText0"/>
              <w:jc w:val="center"/>
              <w:rPr>
                <w:b/>
              </w:rPr>
            </w:pPr>
            <w:r w:rsidRPr="00A1674F">
              <w:rPr>
                <w:b/>
                <w:color w:val="000000"/>
                <w:lang w:val="en-US"/>
              </w:rPr>
              <w:t>19.4 (8.67, 30.13)</w:t>
            </w:r>
          </w:p>
        </w:tc>
      </w:tr>
      <w:tr w:rsidR="00DB56BF" w:rsidRPr="00B1011F" w14:paraId="03DDCE2D" w14:textId="77777777" w:rsidTr="00B6064D">
        <w:trPr>
          <w:cantSplit/>
        </w:trPr>
        <w:tc>
          <w:tcPr>
            <w:tcW w:w="1013" w:type="pct"/>
          </w:tcPr>
          <w:p w14:paraId="5EA9E1A5" w14:textId="38671854" w:rsidR="00DB56BF" w:rsidRDefault="00DB56BF" w:rsidP="00B6064D">
            <w:pPr>
              <w:pStyle w:val="TableText0"/>
            </w:pPr>
            <w:r w:rsidRPr="004B5317">
              <w:rPr>
                <w:lang w:val="en-US"/>
              </w:rPr>
              <w:t>Proportion of patients with</w:t>
            </w:r>
            <w:r w:rsidRPr="004B5317">
              <w:rPr>
                <w:lang w:val="en-US"/>
              </w:rPr>
              <w:br/>
            </w:r>
            <w:r w:rsidR="009554BD" w:rsidRPr="004B5317">
              <w:rPr>
                <w:lang w:val="en-US"/>
              </w:rPr>
              <w:t>≥3</w:t>
            </w:r>
            <w:r w:rsidR="009554BD">
              <w:rPr>
                <w:lang w:val="en-US"/>
              </w:rPr>
              <w:t> </w:t>
            </w:r>
            <w:r w:rsidRPr="004B5317">
              <w:rPr>
                <w:lang w:val="en-US"/>
              </w:rPr>
              <w:t>mL/kg/min in pVO</w:t>
            </w:r>
            <w:r w:rsidRPr="004B5317">
              <w:rPr>
                <w:vertAlign w:val="subscript"/>
                <w:lang w:val="en-US"/>
              </w:rPr>
              <w:t>2</w:t>
            </w:r>
            <w:r w:rsidRPr="004B5317">
              <w:rPr>
                <w:lang w:val="en-US"/>
              </w:rPr>
              <w:t xml:space="preserve"> and improvement ≥1 NYHA class</w:t>
            </w:r>
            <w:r>
              <w:rPr>
                <w:rFonts w:cs="Arial"/>
                <w:position w:val="-1"/>
                <w:vertAlign w:val="superscript"/>
                <w:lang w:val="en-US"/>
              </w:rPr>
              <w:t>d</w:t>
            </w:r>
          </w:p>
        </w:tc>
        <w:tc>
          <w:tcPr>
            <w:tcW w:w="676" w:type="pct"/>
            <w:vAlign w:val="center"/>
          </w:tcPr>
          <w:p w14:paraId="36424E62" w14:textId="77777777" w:rsidR="00DB56BF" w:rsidRPr="004B5317" w:rsidRDefault="00DB56BF" w:rsidP="00B6064D">
            <w:pPr>
              <w:pStyle w:val="TableText0"/>
              <w:jc w:val="center"/>
              <w:rPr>
                <w:color w:val="000000"/>
                <w:lang w:val="en-US"/>
              </w:rPr>
            </w:pPr>
            <w:r w:rsidRPr="004B5317">
              <w:rPr>
                <w:lang w:val="en-US"/>
              </w:rPr>
              <w:t>25</w:t>
            </w:r>
            <w:r>
              <w:rPr>
                <w:lang w:val="en-US"/>
              </w:rPr>
              <w:t>/123</w:t>
            </w:r>
            <w:r w:rsidRPr="004B5317">
              <w:rPr>
                <w:lang w:val="en-US"/>
              </w:rPr>
              <w:t xml:space="preserve"> (20.3</w:t>
            </w:r>
            <w:r>
              <w:rPr>
                <w:lang w:val="en-US"/>
              </w:rPr>
              <w:t>%</w:t>
            </w:r>
            <w:r w:rsidRPr="004B5317">
              <w:rPr>
                <w:lang w:val="en-US"/>
              </w:rPr>
              <w:t>)</w:t>
            </w:r>
          </w:p>
        </w:tc>
        <w:tc>
          <w:tcPr>
            <w:tcW w:w="690" w:type="pct"/>
            <w:vAlign w:val="center"/>
          </w:tcPr>
          <w:p w14:paraId="28C5DE78" w14:textId="77777777" w:rsidR="00DB56BF" w:rsidRPr="004B5317" w:rsidRDefault="00DB56BF" w:rsidP="00B6064D">
            <w:pPr>
              <w:pStyle w:val="TableText0"/>
              <w:jc w:val="center"/>
              <w:rPr>
                <w:color w:val="000000"/>
                <w:lang w:val="en-US"/>
              </w:rPr>
            </w:pPr>
            <w:r w:rsidRPr="004B5317">
              <w:rPr>
                <w:lang w:val="en-US"/>
              </w:rPr>
              <w:t>10</w:t>
            </w:r>
            <w:r>
              <w:rPr>
                <w:lang w:val="en-US"/>
              </w:rPr>
              <w:t>/128</w:t>
            </w:r>
            <w:r w:rsidRPr="004B5317">
              <w:rPr>
                <w:lang w:val="en-US"/>
              </w:rPr>
              <w:t xml:space="preserve"> (7.8</w:t>
            </w:r>
            <w:r>
              <w:rPr>
                <w:lang w:val="en-US"/>
              </w:rPr>
              <w:t>%</w:t>
            </w:r>
            <w:r w:rsidRPr="004B5317">
              <w:rPr>
                <w:lang w:val="en-US"/>
              </w:rPr>
              <w:t>)</w:t>
            </w:r>
          </w:p>
        </w:tc>
        <w:tc>
          <w:tcPr>
            <w:tcW w:w="1391" w:type="pct"/>
            <w:vAlign w:val="center"/>
          </w:tcPr>
          <w:p w14:paraId="49F46567" w14:textId="77777777" w:rsidR="00DB56BF" w:rsidRPr="008A685A" w:rsidRDefault="00DB56BF" w:rsidP="00B6064D">
            <w:pPr>
              <w:pStyle w:val="Tabletext"/>
              <w:jc w:val="center"/>
              <w:rPr>
                <w:b/>
                <w:iCs/>
                <w:color w:val="000000"/>
                <w:vertAlign w:val="superscript"/>
                <w:lang w:val="en-US"/>
              </w:rPr>
            </w:pPr>
            <w:r w:rsidRPr="008A685A">
              <w:rPr>
                <w:b/>
                <w:iCs/>
                <w:color w:val="000000"/>
                <w:lang w:val="en-US"/>
              </w:rPr>
              <w:t>3.01 (1.38, 6.57)</w:t>
            </w:r>
            <w:r w:rsidRPr="008A685A">
              <w:rPr>
                <w:b/>
                <w:iCs/>
                <w:color w:val="000000"/>
                <w:vertAlign w:val="superscript"/>
                <w:lang w:val="en-US"/>
              </w:rPr>
              <w:t>e</w:t>
            </w:r>
          </w:p>
        </w:tc>
        <w:tc>
          <w:tcPr>
            <w:tcW w:w="1230" w:type="pct"/>
            <w:vAlign w:val="center"/>
          </w:tcPr>
          <w:p w14:paraId="3FE30905" w14:textId="77777777" w:rsidR="00DB56BF" w:rsidRPr="00722B89" w:rsidRDefault="00DB56BF" w:rsidP="00B6064D">
            <w:pPr>
              <w:pStyle w:val="TableText0"/>
              <w:jc w:val="center"/>
              <w:rPr>
                <w:b/>
                <w:color w:val="000000"/>
                <w:lang w:val="en-US"/>
              </w:rPr>
            </w:pPr>
            <w:r w:rsidRPr="00722B89">
              <w:rPr>
                <w:b/>
                <w:color w:val="000000"/>
                <w:lang w:val="en-US"/>
              </w:rPr>
              <w:t>12.5 (4.02, 21.01)</w:t>
            </w:r>
          </w:p>
        </w:tc>
      </w:tr>
    </w:tbl>
    <w:p w14:paraId="6F3B4127" w14:textId="77777777" w:rsidR="00DB56BF" w:rsidRDefault="00DB56BF" w:rsidP="00DB56BF">
      <w:pPr>
        <w:pStyle w:val="FooterTableFigure"/>
      </w:pPr>
      <w:r>
        <w:t xml:space="preserve">Source: </w:t>
      </w:r>
      <w:r w:rsidRPr="00A1674F">
        <w:t xml:space="preserve">Table 43, p101 of the submission. </w:t>
      </w:r>
    </w:p>
    <w:p w14:paraId="4F3F66D5" w14:textId="77777777" w:rsidR="00DB56BF" w:rsidRDefault="00DB56BF" w:rsidP="00DB56BF">
      <w:pPr>
        <w:pStyle w:val="FooterTableFigure"/>
        <w:rPr>
          <w:rFonts w:eastAsia="Calibri"/>
        </w:rPr>
      </w:pPr>
      <w:r>
        <w:rPr>
          <w:rFonts w:eastAsia="Calibri"/>
        </w:rPr>
        <w:t xml:space="preserve">BB = beta blocker; CCB = calcium channel blocker; </w:t>
      </w:r>
      <w:r w:rsidRPr="00B40358">
        <w:rPr>
          <w:rFonts w:eastAsia="Calibri"/>
        </w:rPr>
        <w:t>CI = confidence interval;</w:t>
      </w:r>
      <w:r>
        <w:rPr>
          <w:rFonts w:eastAsia="Calibri"/>
        </w:rPr>
        <w:t xml:space="preserve"> ITT = intention to treat;</w:t>
      </w:r>
      <w:r w:rsidRPr="00B40358">
        <w:rPr>
          <w:rFonts w:eastAsia="Calibri"/>
        </w:rPr>
        <w:t xml:space="preserve"> n = number of participants with event; N = total participants in group</w:t>
      </w:r>
      <w:r>
        <w:rPr>
          <w:rFonts w:eastAsia="Calibri"/>
        </w:rPr>
        <w:t xml:space="preserve">; </w:t>
      </w:r>
      <w:r w:rsidRPr="00A1674F">
        <w:rPr>
          <w:rFonts w:eastAsia="Calibri"/>
        </w:rPr>
        <w:t>NYHA = New York Heart Association</w:t>
      </w:r>
      <w:r>
        <w:rPr>
          <w:rFonts w:eastAsia="Calibri"/>
        </w:rPr>
        <w:t>; OR = odds ratio</w:t>
      </w:r>
      <w:r w:rsidRPr="00A1674F">
        <w:rPr>
          <w:rFonts w:eastAsia="Calibri"/>
        </w:rPr>
        <w:t xml:space="preserve"> pVO2 = peak oxygen consumption</w:t>
      </w:r>
      <w:r w:rsidDel="000C12E5">
        <w:rPr>
          <w:rFonts w:eastAsia="Calibri"/>
        </w:rPr>
        <w:t xml:space="preserve"> </w:t>
      </w:r>
    </w:p>
    <w:p w14:paraId="4E58E859" w14:textId="77777777" w:rsidR="00DB56BF" w:rsidRDefault="00DB56BF" w:rsidP="00DB56BF">
      <w:pPr>
        <w:pStyle w:val="FooterTableFigure"/>
        <w:rPr>
          <w:rFonts w:eastAsia="Calibri"/>
        </w:rPr>
      </w:pPr>
      <w:r w:rsidRPr="00DE7912">
        <w:rPr>
          <w:rFonts w:eastAsia="Calibri"/>
        </w:rPr>
        <w:t>Bold</w:t>
      </w:r>
      <w:r w:rsidRPr="00B83739">
        <w:rPr>
          <w:rFonts w:eastAsia="Calibri"/>
        </w:rPr>
        <w:t xml:space="preserve"> indicates statistically significant results.</w:t>
      </w:r>
    </w:p>
    <w:p w14:paraId="43D6788C" w14:textId="77777777" w:rsidR="00DB56BF" w:rsidRPr="00723461" w:rsidRDefault="00DB56BF" w:rsidP="00DB56BF">
      <w:pPr>
        <w:pStyle w:val="FooterTableFigure"/>
        <w:rPr>
          <w:rFonts w:eastAsia="Calibri"/>
        </w:rPr>
      </w:pPr>
      <w:r w:rsidRPr="00723461">
        <w:rPr>
          <w:rFonts w:eastAsia="Calibri"/>
        </w:rPr>
        <w:t>a The 95% CIs of the response differences between mavacamten and placebo groups are based on normal approximation.</w:t>
      </w:r>
    </w:p>
    <w:p w14:paraId="15DB6103" w14:textId="07967D40" w:rsidR="00DB56BF" w:rsidRPr="00723461" w:rsidRDefault="00DB56BF" w:rsidP="00DB56BF">
      <w:pPr>
        <w:pStyle w:val="FooterTableFigure"/>
        <w:rPr>
          <w:rFonts w:eastAsia="Calibri"/>
        </w:rPr>
      </w:pPr>
      <w:r w:rsidRPr="00723461">
        <w:rPr>
          <w:rFonts w:eastAsia="Calibri"/>
        </w:rPr>
        <w:t>b The composite functional endpoint was defined as either: Type 1) an improvement of at least 1.5</w:t>
      </w:r>
      <w:r w:rsidR="009554BD">
        <w:rPr>
          <w:rFonts w:eastAsia="Calibri"/>
        </w:rPr>
        <w:t> </w:t>
      </w:r>
      <w:r w:rsidRPr="00723461">
        <w:rPr>
          <w:rFonts w:eastAsia="Calibri"/>
        </w:rPr>
        <w:t>mL/kg/min in pVO2 and improvement of one or more NYHA class, or Type 2) an improvement of at least 3.0</w:t>
      </w:r>
      <w:r w:rsidR="009554BD">
        <w:rPr>
          <w:rFonts w:eastAsia="Calibri"/>
        </w:rPr>
        <w:t> </w:t>
      </w:r>
      <w:r w:rsidRPr="00723461">
        <w:rPr>
          <w:rFonts w:eastAsia="Calibri"/>
        </w:rPr>
        <w:t>mL/kg/min in pVO2 with no worsening in NYHA class, unless otherwise denoted. Missing NYHA class at Week 30 was imputed using available NYHA class at Week 26. After the imputation, the patients whose response status at Week 30 was still missing were classified as non-responders.</w:t>
      </w:r>
    </w:p>
    <w:p w14:paraId="1C2574E0" w14:textId="334FC3C3" w:rsidR="00DB56BF" w:rsidRPr="00723461" w:rsidRDefault="00DB56BF" w:rsidP="00DB56BF">
      <w:pPr>
        <w:pStyle w:val="FooterTableFigure"/>
        <w:rPr>
          <w:rFonts w:eastAsia="Calibri"/>
        </w:rPr>
      </w:pPr>
      <w:r w:rsidRPr="00723461">
        <w:rPr>
          <w:rFonts w:eastAsia="Calibri"/>
        </w:rPr>
        <w:t>c The analysis was stratified on NYHA class, beta-blocker use, and exercise type (based on an</w:t>
      </w:r>
      <w:r w:rsidRPr="00723461">
        <w:rPr>
          <w:rFonts w:cs="Tahoma"/>
        </w:rPr>
        <w:t xml:space="preserve"> Interactive Web/Voice Response System</w:t>
      </w:r>
      <w:r w:rsidRPr="00723461">
        <w:rPr>
          <w:rFonts w:eastAsia="Calibri"/>
        </w:rPr>
        <w:t xml:space="preserve"> (IXRS)). Odds ratio was estimated using Cochran-Mantel-Haenszel method. Odds ratio &gt;1 indicates better outcome when compared to placebo. P-value and 95% CI were derived using the exact method.</w:t>
      </w:r>
    </w:p>
    <w:p w14:paraId="64018579" w14:textId="77777777" w:rsidR="00DB56BF" w:rsidRDefault="00DB56BF" w:rsidP="00DB56BF">
      <w:pPr>
        <w:pStyle w:val="FooterTableFigure"/>
        <w:rPr>
          <w:rFonts w:eastAsia="Calibri"/>
        </w:rPr>
      </w:pPr>
      <w:r w:rsidRPr="00723461">
        <w:rPr>
          <w:rFonts w:eastAsia="Calibri"/>
        </w:rPr>
        <w:t>d These</w:t>
      </w:r>
      <w:r w:rsidRPr="005518CE">
        <w:rPr>
          <w:rFonts w:eastAsia="Calibri"/>
        </w:rPr>
        <w:t xml:space="preserve"> are the most stringent pVO2 and NYHA class components of the composite functional endpoint</w:t>
      </w:r>
      <w:r>
        <w:rPr>
          <w:rFonts w:eastAsia="Calibri"/>
        </w:rPr>
        <w:t xml:space="preserve"> combined, </w:t>
      </w:r>
      <w:r w:rsidRPr="00885192">
        <w:rPr>
          <w:rFonts w:eastAsia="Calibri"/>
        </w:rPr>
        <w:t>and do not reflect either component 1 or component 2 of the composite functional endpoint</w:t>
      </w:r>
      <w:r w:rsidRPr="005518CE">
        <w:rPr>
          <w:rFonts w:eastAsia="Calibri"/>
        </w:rPr>
        <w:t>.</w:t>
      </w:r>
    </w:p>
    <w:p w14:paraId="296A5377" w14:textId="77777777" w:rsidR="00DB56BF" w:rsidRDefault="00DB56BF" w:rsidP="00DB56BF">
      <w:pPr>
        <w:pStyle w:val="FooterTableFigure"/>
        <w:rPr>
          <w:rFonts w:eastAsia="Calibri"/>
        </w:rPr>
      </w:pPr>
      <w:r>
        <w:rPr>
          <w:rFonts w:eastAsia="Calibri"/>
        </w:rPr>
        <w:t xml:space="preserve">e Calculated during the evaluation, using Stata.  </w:t>
      </w:r>
    </w:p>
    <w:p w14:paraId="73AC4550" w14:textId="48C4EDC5" w:rsidR="00DB56BF" w:rsidRPr="00162723" w:rsidRDefault="00DB56BF" w:rsidP="00DB56BF">
      <w:pPr>
        <w:pStyle w:val="3-BodyText"/>
        <w:rPr>
          <w:color w:val="0066FF"/>
        </w:rPr>
      </w:pPr>
      <w:r w:rsidRPr="00F72968">
        <w:rPr>
          <w:iCs/>
          <w:lang w:val="en-US"/>
        </w:rPr>
        <w:t>The PSCR</w:t>
      </w:r>
      <w:r w:rsidR="00AD1E5D">
        <w:rPr>
          <w:iCs/>
          <w:lang w:val="en-US"/>
        </w:rPr>
        <w:t xml:space="preserve"> </w:t>
      </w:r>
      <w:r w:rsidRPr="00F72968">
        <w:rPr>
          <w:iCs/>
          <w:lang w:val="en-US"/>
        </w:rPr>
        <w:t>provided disaggregated data on the primary composite outcome (</w:t>
      </w:r>
      <w:r w:rsidRPr="00F72968">
        <w:rPr>
          <w:iCs/>
          <w:lang w:val="en-US"/>
        </w:rPr>
        <w:fldChar w:fldCharType="begin"/>
      </w:r>
      <w:r w:rsidRPr="00F72968">
        <w:rPr>
          <w:iCs/>
          <w:lang w:val="en-US"/>
        </w:rPr>
        <w:instrText xml:space="preserve"> REF _Ref115962386 \h  \* MERGEFORMAT </w:instrText>
      </w:r>
      <w:r w:rsidRPr="00F72968">
        <w:rPr>
          <w:iCs/>
          <w:lang w:val="en-US"/>
        </w:rPr>
      </w:r>
      <w:r w:rsidRPr="00F72968">
        <w:rPr>
          <w:iCs/>
          <w:lang w:val="en-US"/>
        </w:rPr>
        <w:fldChar w:fldCharType="separate"/>
      </w:r>
      <w:r w:rsidR="00645E50" w:rsidRPr="00F72968">
        <w:rPr>
          <w:iCs/>
        </w:rPr>
        <w:t xml:space="preserve">Table </w:t>
      </w:r>
      <w:r w:rsidR="00645E50">
        <w:rPr>
          <w:iCs/>
        </w:rPr>
        <w:t>6</w:t>
      </w:r>
      <w:r w:rsidRPr="00F72968">
        <w:rPr>
          <w:iCs/>
          <w:lang w:val="en-US"/>
        </w:rPr>
        <w:fldChar w:fldCharType="end"/>
      </w:r>
      <w:r w:rsidRPr="00162723">
        <w:rPr>
          <w:lang w:val="en-US"/>
        </w:rPr>
        <w:t xml:space="preserve">). </w:t>
      </w:r>
    </w:p>
    <w:p w14:paraId="32EBFDC8" w14:textId="2BFCB358" w:rsidR="00DB56BF" w:rsidRPr="00F72968" w:rsidRDefault="00DB56BF" w:rsidP="00DB56BF">
      <w:pPr>
        <w:pStyle w:val="Caption"/>
        <w:rPr>
          <w:iCs/>
        </w:rPr>
      </w:pPr>
      <w:bookmarkStart w:id="26" w:name="_Ref115962386"/>
      <w:r w:rsidRPr="00F72968">
        <w:rPr>
          <w:iCs/>
        </w:rPr>
        <w:t xml:space="preserve">Table </w:t>
      </w:r>
      <w:r w:rsidRPr="00F72968">
        <w:rPr>
          <w:iCs/>
        </w:rPr>
        <w:fldChar w:fldCharType="begin"/>
      </w:r>
      <w:r w:rsidRPr="00F72968">
        <w:rPr>
          <w:iCs/>
        </w:rPr>
        <w:instrText xml:space="preserve"> SEQ Table \* ARABIC </w:instrText>
      </w:r>
      <w:r w:rsidRPr="00F72968">
        <w:rPr>
          <w:iCs/>
        </w:rPr>
        <w:fldChar w:fldCharType="separate"/>
      </w:r>
      <w:r w:rsidR="00645E50">
        <w:rPr>
          <w:iCs/>
          <w:noProof/>
        </w:rPr>
        <w:t>6</w:t>
      </w:r>
      <w:r w:rsidRPr="00F72968">
        <w:rPr>
          <w:iCs/>
        </w:rPr>
        <w:fldChar w:fldCharType="end"/>
      </w:r>
      <w:bookmarkEnd w:id="26"/>
      <w:r w:rsidRPr="00F72968">
        <w:rPr>
          <w:iCs/>
        </w:rPr>
        <w:t>:</w:t>
      </w:r>
      <w:r w:rsidRPr="00F72968">
        <w:rPr>
          <w:rFonts w:ascii="Times New Roman" w:eastAsia="Calibri" w:hAnsi="Times New Roman" w:cs="Times New Roman"/>
          <w:iCs/>
        </w:rPr>
        <w:t xml:space="preserve"> </w:t>
      </w:r>
      <w:r w:rsidRPr="00F72968">
        <w:rPr>
          <w:iCs/>
        </w:rPr>
        <w:t>Disaggregated comparison between mavacamten and placebo groups for the primary composite outcome at Week 30 (ITT population)</w:t>
      </w:r>
    </w:p>
    <w:tbl>
      <w:tblPr>
        <w:tblStyle w:val="TableGrid"/>
        <w:tblW w:w="5000" w:type="pct"/>
        <w:tblLook w:val="04A0" w:firstRow="1" w:lastRow="0" w:firstColumn="1" w:lastColumn="0" w:noHBand="0" w:noVBand="1"/>
      </w:tblPr>
      <w:tblGrid>
        <w:gridCol w:w="2663"/>
        <w:gridCol w:w="2009"/>
        <w:gridCol w:w="2195"/>
        <w:gridCol w:w="2150"/>
      </w:tblGrid>
      <w:tr w:rsidR="00DB56BF" w:rsidRPr="00F72968" w14:paraId="215671E9" w14:textId="77777777" w:rsidTr="00B6064D">
        <w:trPr>
          <w:tblHeader/>
        </w:trPr>
        <w:tc>
          <w:tcPr>
            <w:tcW w:w="1477" w:type="pct"/>
          </w:tcPr>
          <w:p w14:paraId="2273B4E7" w14:textId="77777777" w:rsidR="00DB56BF" w:rsidRPr="00F72968" w:rsidRDefault="00DB56BF" w:rsidP="00B6064D">
            <w:pPr>
              <w:pStyle w:val="Tabletext"/>
              <w:rPr>
                <w:rStyle w:val="CommentReference"/>
                <w:rFonts w:eastAsia="Calibri"/>
                <w:iCs/>
              </w:rPr>
            </w:pPr>
            <w:r w:rsidRPr="00F72968">
              <w:rPr>
                <w:rStyle w:val="CommentReference"/>
                <w:rFonts w:eastAsia="Calibri"/>
                <w:iCs/>
              </w:rPr>
              <w:t>Parameters</w:t>
            </w:r>
          </w:p>
        </w:tc>
        <w:tc>
          <w:tcPr>
            <w:tcW w:w="1114" w:type="pct"/>
          </w:tcPr>
          <w:p w14:paraId="4BEFD430" w14:textId="77777777" w:rsidR="00DB56BF" w:rsidRPr="00F72968" w:rsidRDefault="00DB56BF" w:rsidP="00B6064D">
            <w:pPr>
              <w:pStyle w:val="Tabletext"/>
              <w:rPr>
                <w:rStyle w:val="CommentReference"/>
                <w:rFonts w:eastAsia="Calibri"/>
                <w:iCs/>
              </w:rPr>
            </w:pPr>
            <w:r w:rsidRPr="00F72968">
              <w:rPr>
                <w:rStyle w:val="CommentReference"/>
                <w:rFonts w:eastAsia="Calibri"/>
                <w:iCs/>
              </w:rPr>
              <w:t>Mavacamten (n=123), n (%)</w:t>
            </w:r>
          </w:p>
        </w:tc>
        <w:tc>
          <w:tcPr>
            <w:tcW w:w="1217" w:type="pct"/>
          </w:tcPr>
          <w:p w14:paraId="4AAC2036" w14:textId="77777777" w:rsidR="00DB56BF" w:rsidRPr="00F72968" w:rsidRDefault="00DB56BF" w:rsidP="00B6064D">
            <w:pPr>
              <w:pStyle w:val="Tabletext"/>
              <w:rPr>
                <w:rStyle w:val="CommentReference"/>
                <w:rFonts w:eastAsia="Calibri"/>
                <w:iCs/>
              </w:rPr>
            </w:pPr>
            <w:r w:rsidRPr="00F72968">
              <w:rPr>
                <w:rStyle w:val="CommentReference"/>
                <w:rFonts w:eastAsia="Calibri"/>
                <w:iCs/>
              </w:rPr>
              <w:t>Placebo (n=128), n (%)</w:t>
            </w:r>
          </w:p>
        </w:tc>
        <w:tc>
          <w:tcPr>
            <w:tcW w:w="1192" w:type="pct"/>
          </w:tcPr>
          <w:p w14:paraId="485C8B3D" w14:textId="77777777" w:rsidR="00DB56BF" w:rsidRPr="00F72968" w:rsidRDefault="00DB56BF" w:rsidP="00B6064D">
            <w:pPr>
              <w:pStyle w:val="Tabletext"/>
              <w:rPr>
                <w:rStyle w:val="CommentReference"/>
                <w:rFonts w:eastAsia="Calibri"/>
                <w:iCs/>
              </w:rPr>
            </w:pPr>
            <w:r w:rsidRPr="00F72968">
              <w:rPr>
                <w:rStyle w:val="CommentReference"/>
                <w:rFonts w:eastAsia="Calibri"/>
                <w:iCs/>
              </w:rPr>
              <w:t xml:space="preserve">Risk difference (95% CI) </w:t>
            </w:r>
            <w:r w:rsidRPr="00F72968">
              <w:rPr>
                <w:rStyle w:val="CommentReference"/>
                <w:rFonts w:eastAsia="Calibri"/>
                <w:iCs/>
                <w:vertAlign w:val="superscript"/>
              </w:rPr>
              <w:t>a</w:t>
            </w:r>
          </w:p>
        </w:tc>
      </w:tr>
      <w:tr w:rsidR="00DB56BF" w:rsidRPr="00F72968" w14:paraId="591AFFDA" w14:textId="77777777" w:rsidTr="00B6064D">
        <w:tc>
          <w:tcPr>
            <w:tcW w:w="1477" w:type="pct"/>
          </w:tcPr>
          <w:p w14:paraId="0C5CCDD1" w14:textId="77777777" w:rsidR="00DB56BF" w:rsidRPr="00F72968" w:rsidRDefault="00DB56BF" w:rsidP="00B6064D">
            <w:pPr>
              <w:pStyle w:val="Tabletext"/>
              <w:rPr>
                <w:rFonts w:eastAsia="Calibri"/>
                <w:iCs/>
                <w:lang w:eastAsia="en-US"/>
              </w:rPr>
            </w:pPr>
            <w:r w:rsidRPr="00F72968">
              <w:rPr>
                <w:rFonts w:eastAsia="Calibri"/>
                <w:iCs/>
                <w:lang w:eastAsia="en-US"/>
              </w:rPr>
              <w:t>Response 1 or response 2 (Composite functional endpoint)</w:t>
            </w:r>
          </w:p>
        </w:tc>
        <w:tc>
          <w:tcPr>
            <w:tcW w:w="1114" w:type="pct"/>
          </w:tcPr>
          <w:p w14:paraId="5F507A0E" w14:textId="77777777" w:rsidR="00DB56BF" w:rsidRPr="00F72968" w:rsidRDefault="00DB56BF" w:rsidP="00B6064D">
            <w:pPr>
              <w:pStyle w:val="Tabletext"/>
              <w:rPr>
                <w:rFonts w:eastAsia="Calibri"/>
                <w:iCs/>
                <w:lang w:eastAsia="en-US"/>
              </w:rPr>
            </w:pPr>
            <w:r w:rsidRPr="00F72968">
              <w:rPr>
                <w:rFonts w:eastAsia="Calibri"/>
                <w:iCs/>
                <w:lang w:eastAsia="en-US"/>
              </w:rPr>
              <w:t>45 (36.6)</w:t>
            </w:r>
          </w:p>
        </w:tc>
        <w:tc>
          <w:tcPr>
            <w:tcW w:w="1217" w:type="pct"/>
          </w:tcPr>
          <w:p w14:paraId="2D674E98" w14:textId="77777777" w:rsidR="00DB56BF" w:rsidRPr="00F72968" w:rsidRDefault="00DB56BF" w:rsidP="00B6064D">
            <w:pPr>
              <w:pStyle w:val="Tabletext"/>
              <w:rPr>
                <w:rFonts w:eastAsia="Calibri"/>
                <w:iCs/>
                <w:lang w:eastAsia="en-US"/>
              </w:rPr>
            </w:pPr>
            <w:r w:rsidRPr="00F72968">
              <w:rPr>
                <w:rFonts w:eastAsia="Calibri"/>
                <w:iCs/>
                <w:lang w:eastAsia="en-US"/>
              </w:rPr>
              <w:t>22 (17.2)</w:t>
            </w:r>
          </w:p>
        </w:tc>
        <w:tc>
          <w:tcPr>
            <w:tcW w:w="1192" w:type="pct"/>
          </w:tcPr>
          <w:p w14:paraId="6F3ED915" w14:textId="77777777" w:rsidR="00DB56BF" w:rsidRPr="00F72968" w:rsidRDefault="00DB56BF" w:rsidP="00B6064D">
            <w:pPr>
              <w:pStyle w:val="Tabletext"/>
              <w:rPr>
                <w:rFonts w:eastAsia="Calibri"/>
                <w:iCs/>
                <w:lang w:eastAsia="en-US"/>
              </w:rPr>
            </w:pPr>
            <w:r w:rsidRPr="00F72968">
              <w:rPr>
                <w:rFonts w:eastAsia="Calibri"/>
                <w:iCs/>
                <w:lang w:eastAsia="en-US"/>
              </w:rPr>
              <w:t>19.4 (8.67, 30.13)</w:t>
            </w:r>
          </w:p>
        </w:tc>
      </w:tr>
      <w:tr w:rsidR="00DB56BF" w:rsidRPr="00F72968" w14:paraId="19E29D73" w14:textId="77777777" w:rsidTr="00B6064D">
        <w:tc>
          <w:tcPr>
            <w:tcW w:w="1477" w:type="pct"/>
          </w:tcPr>
          <w:p w14:paraId="7BD62688" w14:textId="77777777" w:rsidR="00DB56BF" w:rsidRPr="00F72968" w:rsidRDefault="00DB56BF" w:rsidP="00B6064D">
            <w:pPr>
              <w:pStyle w:val="Tabletext"/>
              <w:rPr>
                <w:rFonts w:eastAsia="Calibri"/>
                <w:iCs/>
                <w:lang w:eastAsia="en-US"/>
              </w:rPr>
            </w:pPr>
            <w:r w:rsidRPr="00F72968">
              <w:rPr>
                <w:rFonts w:eastAsia="Calibri"/>
                <w:iCs/>
                <w:lang w:eastAsia="en-US"/>
              </w:rPr>
              <w:t xml:space="preserve">Response 1 </w:t>
            </w:r>
          </w:p>
        </w:tc>
        <w:tc>
          <w:tcPr>
            <w:tcW w:w="1114" w:type="pct"/>
          </w:tcPr>
          <w:p w14:paraId="61913587" w14:textId="77777777" w:rsidR="00DB56BF" w:rsidRPr="00F72968" w:rsidRDefault="00DB56BF" w:rsidP="00B6064D">
            <w:pPr>
              <w:pStyle w:val="Tabletext"/>
              <w:rPr>
                <w:rFonts w:eastAsia="Calibri"/>
                <w:iCs/>
                <w:lang w:eastAsia="en-US"/>
              </w:rPr>
            </w:pPr>
            <w:r w:rsidRPr="00F72968">
              <w:rPr>
                <w:rFonts w:eastAsia="Calibri"/>
                <w:iCs/>
                <w:lang w:eastAsia="en-US"/>
              </w:rPr>
              <w:t>41 (33.3)</w:t>
            </w:r>
          </w:p>
        </w:tc>
        <w:tc>
          <w:tcPr>
            <w:tcW w:w="1217" w:type="pct"/>
          </w:tcPr>
          <w:p w14:paraId="1ABF5B48" w14:textId="77777777" w:rsidR="00DB56BF" w:rsidRPr="00F72968" w:rsidRDefault="00DB56BF" w:rsidP="00B6064D">
            <w:pPr>
              <w:pStyle w:val="Tabletext"/>
              <w:rPr>
                <w:rFonts w:eastAsia="Calibri"/>
                <w:iCs/>
                <w:lang w:eastAsia="en-US"/>
              </w:rPr>
            </w:pPr>
            <w:r w:rsidRPr="00F72968">
              <w:rPr>
                <w:rFonts w:eastAsia="Calibri"/>
                <w:iCs/>
                <w:lang w:eastAsia="en-US"/>
              </w:rPr>
              <w:t>18 (14.1)</w:t>
            </w:r>
          </w:p>
        </w:tc>
        <w:tc>
          <w:tcPr>
            <w:tcW w:w="1192" w:type="pct"/>
          </w:tcPr>
          <w:p w14:paraId="3A1D8776" w14:textId="77777777" w:rsidR="00DB56BF" w:rsidRPr="00F72968" w:rsidRDefault="00DB56BF" w:rsidP="00B6064D">
            <w:pPr>
              <w:pStyle w:val="Tabletext"/>
              <w:rPr>
                <w:rFonts w:eastAsia="Calibri"/>
                <w:iCs/>
                <w:lang w:eastAsia="en-US"/>
              </w:rPr>
            </w:pPr>
            <w:r w:rsidRPr="00F72968">
              <w:rPr>
                <w:rFonts w:eastAsia="Calibri"/>
                <w:iCs/>
                <w:lang w:eastAsia="en-US"/>
              </w:rPr>
              <w:t>19.3 (8.99, 29.55)</w:t>
            </w:r>
          </w:p>
        </w:tc>
      </w:tr>
      <w:tr w:rsidR="00DB56BF" w:rsidRPr="00F72968" w14:paraId="568B9968" w14:textId="77777777" w:rsidTr="00B6064D">
        <w:tc>
          <w:tcPr>
            <w:tcW w:w="1477" w:type="pct"/>
          </w:tcPr>
          <w:p w14:paraId="25BF079E" w14:textId="77777777" w:rsidR="00DB56BF" w:rsidRPr="00F72968" w:rsidRDefault="00DB56BF" w:rsidP="00B6064D">
            <w:pPr>
              <w:pStyle w:val="Tabletext"/>
              <w:rPr>
                <w:rFonts w:eastAsia="Calibri"/>
                <w:iCs/>
                <w:lang w:eastAsia="en-US"/>
              </w:rPr>
            </w:pPr>
            <w:r w:rsidRPr="00F72968">
              <w:rPr>
                <w:rFonts w:eastAsia="Calibri"/>
                <w:iCs/>
                <w:lang w:eastAsia="en-US"/>
              </w:rPr>
              <w:t xml:space="preserve">Response 2 </w:t>
            </w:r>
          </w:p>
        </w:tc>
        <w:tc>
          <w:tcPr>
            <w:tcW w:w="1114" w:type="pct"/>
          </w:tcPr>
          <w:p w14:paraId="2C93ECC6" w14:textId="77777777" w:rsidR="00DB56BF" w:rsidRPr="00F72968" w:rsidRDefault="00DB56BF" w:rsidP="00B6064D">
            <w:pPr>
              <w:pStyle w:val="Tabletext"/>
              <w:rPr>
                <w:rFonts w:eastAsia="Calibri"/>
                <w:iCs/>
                <w:lang w:eastAsia="en-US"/>
              </w:rPr>
            </w:pPr>
            <w:r w:rsidRPr="00F72968">
              <w:rPr>
                <w:rFonts w:eastAsia="Calibri"/>
                <w:iCs/>
                <w:lang w:eastAsia="en-US"/>
              </w:rPr>
              <w:t>29 (23.6)</w:t>
            </w:r>
          </w:p>
        </w:tc>
        <w:tc>
          <w:tcPr>
            <w:tcW w:w="1217" w:type="pct"/>
          </w:tcPr>
          <w:p w14:paraId="41EF407F" w14:textId="77777777" w:rsidR="00DB56BF" w:rsidRPr="00F72968" w:rsidRDefault="00DB56BF" w:rsidP="00B6064D">
            <w:pPr>
              <w:pStyle w:val="Tabletext"/>
              <w:rPr>
                <w:rFonts w:eastAsia="Calibri"/>
                <w:iCs/>
                <w:lang w:eastAsia="en-US"/>
              </w:rPr>
            </w:pPr>
            <w:r w:rsidRPr="00F72968">
              <w:rPr>
                <w:rFonts w:eastAsia="Calibri"/>
                <w:iCs/>
                <w:lang w:eastAsia="en-US"/>
              </w:rPr>
              <w:t>14 (10.9)</w:t>
            </w:r>
          </w:p>
        </w:tc>
        <w:tc>
          <w:tcPr>
            <w:tcW w:w="1192" w:type="pct"/>
          </w:tcPr>
          <w:p w14:paraId="128A1671" w14:textId="77777777" w:rsidR="00DB56BF" w:rsidRPr="00F72968" w:rsidRDefault="00DB56BF" w:rsidP="00B6064D">
            <w:pPr>
              <w:pStyle w:val="Tabletext"/>
              <w:rPr>
                <w:rFonts w:eastAsia="Calibri"/>
                <w:iCs/>
                <w:lang w:eastAsia="en-US"/>
              </w:rPr>
            </w:pPr>
            <w:r w:rsidRPr="00F72968">
              <w:rPr>
                <w:rFonts w:eastAsia="Calibri"/>
                <w:iCs/>
                <w:lang w:eastAsia="en-US"/>
              </w:rPr>
              <w:t>12.6 (3.39, 21.89)</w:t>
            </w:r>
          </w:p>
        </w:tc>
      </w:tr>
      <w:tr w:rsidR="00DB56BF" w:rsidRPr="00F72968" w14:paraId="0B51E1E0" w14:textId="77777777" w:rsidTr="00B6064D">
        <w:tc>
          <w:tcPr>
            <w:tcW w:w="1477" w:type="pct"/>
          </w:tcPr>
          <w:p w14:paraId="44891900" w14:textId="77777777" w:rsidR="00DB56BF" w:rsidRPr="00F72968" w:rsidRDefault="00DB56BF" w:rsidP="00B6064D">
            <w:pPr>
              <w:pStyle w:val="Tabletext"/>
              <w:rPr>
                <w:rFonts w:eastAsia="Calibri"/>
                <w:iCs/>
                <w:lang w:eastAsia="en-US"/>
              </w:rPr>
            </w:pPr>
            <w:r w:rsidRPr="00F72968">
              <w:rPr>
                <w:rFonts w:eastAsia="Calibri"/>
                <w:iCs/>
                <w:lang w:eastAsia="en-US"/>
              </w:rPr>
              <w:t>Response 1, not response 2</w:t>
            </w:r>
          </w:p>
        </w:tc>
        <w:tc>
          <w:tcPr>
            <w:tcW w:w="1114" w:type="pct"/>
          </w:tcPr>
          <w:p w14:paraId="5A90F641" w14:textId="77777777" w:rsidR="00DB56BF" w:rsidRPr="00F72968" w:rsidRDefault="00DB56BF" w:rsidP="00B6064D">
            <w:pPr>
              <w:pStyle w:val="Tabletext"/>
              <w:rPr>
                <w:rFonts w:eastAsia="Calibri"/>
                <w:iCs/>
                <w:lang w:eastAsia="en-US"/>
              </w:rPr>
            </w:pPr>
            <w:r w:rsidRPr="00F72968">
              <w:rPr>
                <w:rFonts w:eastAsia="Calibri"/>
                <w:iCs/>
                <w:lang w:eastAsia="en-US"/>
              </w:rPr>
              <w:t>16 (13.0)</w:t>
            </w:r>
          </w:p>
        </w:tc>
        <w:tc>
          <w:tcPr>
            <w:tcW w:w="1217" w:type="pct"/>
          </w:tcPr>
          <w:p w14:paraId="064412FA" w14:textId="77777777" w:rsidR="00DB56BF" w:rsidRPr="00F72968" w:rsidRDefault="00DB56BF" w:rsidP="00B6064D">
            <w:pPr>
              <w:pStyle w:val="Tabletext"/>
              <w:rPr>
                <w:rFonts w:eastAsia="Calibri"/>
                <w:iCs/>
                <w:lang w:eastAsia="en-US"/>
              </w:rPr>
            </w:pPr>
            <w:r w:rsidRPr="00F72968">
              <w:rPr>
                <w:rFonts w:eastAsia="Calibri"/>
                <w:iCs/>
                <w:lang w:eastAsia="en-US"/>
              </w:rPr>
              <w:t>8 (6.3)</w:t>
            </w:r>
          </w:p>
        </w:tc>
        <w:tc>
          <w:tcPr>
            <w:tcW w:w="1192" w:type="pct"/>
          </w:tcPr>
          <w:p w14:paraId="7C98C1DB" w14:textId="77777777" w:rsidR="00DB56BF" w:rsidRPr="00F72968" w:rsidRDefault="00DB56BF" w:rsidP="00B6064D">
            <w:pPr>
              <w:pStyle w:val="Tabletext"/>
              <w:rPr>
                <w:rFonts w:eastAsia="Calibri"/>
                <w:iCs/>
                <w:lang w:eastAsia="en-US"/>
              </w:rPr>
            </w:pPr>
            <w:r w:rsidRPr="00F72968">
              <w:rPr>
                <w:rFonts w:eastAsia="Calibri"/>
                <w:iCs/>
                <w:lang w:eastAsia="en-US"/>
              </w:rPr>
              <w:t>6.8 (-0.52, 14.03)</w:t>
            </w:r>
          </w:p>
        </w:tc>
      </w:tr>
      <w:tr w:rsidR="00DB56BF" w:rsidRPr="00F72968" w14:paraId="310316FF" w14:textId="77777777" w:rsidTr="00B6064D">
        <w:tc>
          <w:tcPr>
            <w:tcW w:w="1477" w:type="pct"/>
          </w:tcPr>
          <w:p w14:paraId="5F5316D4" w14:textId="77777777" w:rsidR="00DB56BF" w:rsidRPr="00F72968" w:rsidRDefault="00DB56BF" w:rsidP="00B6064D">
            <w:pPr>
              <w:pStyle w:val="Tabletext"/>
              <w:rPr>
                <w:rFonts w:eastAsia="Calibri"/>
                <w:iCs/>
                <w:lang w:eastAsia="en-US"/>
              </w:rPr>
            </w:pPr>
            <w:r w:rsidRPr="00F72968">
              <w:rPr>
                <w:rFonts w:eastAsia="Calibri"/>
                <w:iCs/>
                <w:lang w:eastAsia="en-US"/>
              </w:rPr>
              <w:t>Response 2, not response 1</w:t>
            </w:r>
          </w:p>
        </w:tc>
        <w:tc>
          <w:tcPr>
            <w:tcW w:w="1114" w:type="pct"/>
          </w:tcPr>
          <w:p w14:paraId="119FB5A9" w14:textId="77777777" w:rsidR="00DB56BF" w:rsidRPr="00F72968" w:rsidRDefault="00DB56BF" w:rsidP="00B6064D">
            <w:pPr>
              <w:pStyle w:val="Tabletext"/>
              <w:rPr>
                <w:rFonts w:eastAsia="Calibri"/>
                <w:iCs/>
                <w:lang w:eastAsia="en-US"/>
              </w:rPr>
            </w:pPr>
            <w:r w:rsidRPr="00F72968">
              <w:rPr>
                <w:rFonts w:eastAsia="Calibri"/>
                <w:iCs/>
                <w:lang w:eastAsia="en-US"/>
              </w:rPr>
              <w:t>4 (3.3)</w:t>
            </w:r>
          </w:p>
        </w:tc>
        <w:tc>
          <w:tcPr>
            <w:tcW w:w="1217" w:type="pct"/>
          </w:tcPr>
          <w:p w14:paraId="3708C46D" w14:textId="77777777" w:rsidR="00DB56BF" w:rsidRPr="00F72968" w:rsidRDefault="00DB56BF" w:rsidP="00B6064D">
            <w:pPr>
              <w:pStyle w:val="Tabletext"/>
              <w:rPr>
                <w:rFonts w:eastAsia="Calibri"/>
                <w:iCs/>
                <w:lang w:eastAsia="en-US"/>
              </w:rPr>
            </w:pPr>
            <w:r w:rsidRPr="00F72968">
              <w:rPr>
                <w:rFonts w:eastAsia="Calibri"/>
                <w:iCs/>
                <w:lang w:eastAsia="en-US"/>
              </w:rPr>
              <w:t>4 (3.1)</w:t>
            </w:r>
          </w:p>
        </w:tc>
        <w:tc>
          <w:tcPr>
            <w:tcW w:w="1192" w:type="pct"/>
          </w:tcPr>
          <w:p w14:paraId="66644DA1" w14:textId="77777777" w:rsidR="00DB56BF" w:rsidRPr="00F72968" w:rsidRDefault="00DB56BF" w:rsidP="00B6064D">
            <w:pPr>
              <w:pStyle w:val="Tabletext"/>
              <w:rPr>
                <w:rFonts w:eastAsia="Calibri"/>
                <w:iCs/>
                <w:lang w:eastAsia="en-US"/>
              </w:rPr>
            </w:pPr>
            <w:r w:rsidRPr="00F72968">
              <w:rPr>
                <w:rFonts w:eastAsia="Calibri"/>
                <w:iCs/>
                <w:lang w:eastAsia="en-US"/>
              </w:rPr>
              <w:t>0.1 (-4.22, 4.48)</w:t>
            </w:r>
          </w:p>
        </w:tc>
      </w:tr>
      <w:tr w:rsidR="00DB56BF" w:rsidRPr="00F72968" w14:paraId="3D05513D" w14:textId="77777777" w:rsidTr="00B6064D">
        <w:tc>
          <w:tcPr>
            <w:tcW w:w="1477" w:type="pct"/>
          </w:tcPr>
          <w:p w14:paraId="5E95F1A0" w14:textId="77777777" w:rsidR="00DB56BF" w:rsidRPr="00F72968" w:rsidRDefault="00DB56BF" w:rsidP="00B6064D">
            <w:pPr>
              <w:pStyle w:val="Tabletext"/>
              <w:rPr>
                <w:rFonts w:eastAsia="Calibri"/>
                <w:iCs/>
                <w:lang w:eastAsia="en-US"/>
              </w:rPr>
            </w:pPr>
            <w:r w:rsidRPr="00F72968">
              <w:rPr>
                <w:rFonts w:eastAsia="Calibri"/>
                <w:iCs/>
                <w:lang w:eastAsia="en-US"/>
              </w:rPr>
              <w:t>Response 1 and 2</w:t>
            </w:r>
          </w:p>
        </w:tc>
        <w:tc>
          <w:tcPr>
            <w:tcW w:w="1114" w:type="pct"/>
          </w:tcPr>
          <w:p w14:paraId="396381C9" w14:textId="77777777" w:rsidR="00DB56BF" w:rsidRPr="00F72968" w:rsidRDefault="00DB56BF" w:rsidP="00B6064D">
            <w:pPr>
              <w:pStyle w:val="Tabletext"/>
              <w:rPr>
                <w:rFonts w:eastAsia="Calibri"/>
                <w:iCs/>
                <w:lang w:eastAsia="en-US"/>
              </w:rPr>
            </w:pPr>
            <w:r w:rsidRPr="00F72968">
              <w:rPr>
                <w:rFonts w:eastAsia="Calibri"/>
                <w:iCs/>
                <w:lang w:eastAsia="en-US"/>
              </w:rPr>
              <w:t>25 (20.3)</w:t>
            </w:r>
          </w:p>
        </w:tc>
        <w:tc>
          <w:tcPr>
            <w:tcW w:w="1217" w:type="pct"/>
          </w:tcPr>
          <w:p w14:paraId="3976BCC2" w14:textId="77777777" w:rsidR="00DB56BF" w:rsidRPr="00F72968" w:rsidRDefault="00DB56BF" w:rsidP="00B6064D">
            <w:pPr>
              <w:pStyle w:val="Tabletext"/>
              <w:rPr>
                <w:rFonts w:eastAsia="Calibri"/>
                <w:iCs/>
                <w:lang w:eastAsia="en-US"/>
              </w:rPr>
            </w:pPr>
            <w:r w:rsidRPr="00F72968">
              <w:rPr>
                <w:rFonts w:eastAsia="Calibri"/>
                <w:iCs/>
                <w:lang w:eastAsia="en-US"/>
              </w:rPr>
              <w:t>10 (7.8)</w:t>
            </w:r>
          </w:p>
        </w:tc>
        <w:tc>
          <w:tcPr>
            <w:tcW w:w="1192" w:type="pct"/>
          </w:tcPr>
          <w:p w14:paraId="1B3435EC" w14:textId="77777777" w:rsidR="00DB56BF" w:rsidRPr="00F72968" w:rsidRDefault="00DB56BF" w:rsidP="00B6064D">
            <w:pPr>
              <w:pStyle w:val="Tabletext"/>
              <w:rPr>
                <w:rFonts w:eastAsia="Calibri"/>
                <w:iCs/>
                <w:lang w:eastAsia="en-US"/>
              </w:rPr>
            </w:pPr>
            <w:r w:rsidRPr="00F72968">
              <w:rPr>
                <w:rFonts w:eastAsia="Calibri"/>
                <w:iCs/>
                <w:lang w:eastAsia="en-US"/>
              </w:rPr>
              <w:t>12.5 (4.02, 21.02)</w:t>
            </w:r>
          </w:p>
        </w:tc>
      </w:tr>
      <w:tr w:rsidR="00DB56BF" w:rsidRPr="00F72968" w14:paraId="2D2E3316" w14:textId="77777777" w:rsidTr="00B6064D">
        <w:tc>
          <w:tcPr>
            <w:tcW w:w="1477" w:type="pct"/>
          </w:tcPr>
          <w:p w14:paraId="100A54F9" w14:textId="5FBB8083" w:rsidR="00DB56BF" w:rsidRPr="00F72968" w:rsidRDefault="00DB56BF" w:rsidP="00B6064D">
            <w:pPr>
              <w:pStyle w:val="Tabletext"/>
              <w:rPr>
                <w:iCs/>
              </w:rPr>
            </w:pPr>
            <w:r w:rsidRPr="00F72968">
              <w:rPr>
                <w:iCs/>
              </w:rPr>
              <w:t xml:space="preserve">Improvement of ≥1 NYHA functional class </w:t>
            </w:r>
          </w:p>
        </w:tc>
        <w:tc>
          <w:tcPr>
            <w:tcW w:w="1114" w:type="pct"/>
          </w:tcPr>
          <w:p w14:paraId="776A96B1" w14:textId="77777777" w:rsidR="00DB56BF" w:rsidRPr="00F72968" w:rsidRDefault="00DB56BF" w:rsidP="00B6064D">
            <w:pPr>
              <w:pStyle w:val="Tabletext"/>
              <w:rPr>
                <w:iCs/>
              </w:rPr>
            </w:pPr>
            <w:r w:rsidRPr="00F72968">
              <w:rPr>
                <w:iCs/>
              </w:rPr>
              <w:t>80 (65.0)</w:t>
            </w:r>
          </w:p>
        </w:tc>
        <w:tc>
          <w:tcPr>
            <w:tcW w:w="1217" w:type="pct"/>
          </w:tcPr>
          <w:p w14:paraId="4F23F405" w14:textId="77777777" w:rsidR="00DB56BF" w:rsidRPr="00F72968" w:rsidRDefault="00DB56BF" w:rsidP="00B6064D">
            <w:pPr>
              <w:pStyle w:val="Tabletext"/>
              <w:rPr>
                <w:iCs/>
              </w:rPr>
            </w:pPr>
            <w:r w:rsidRPr="00F72968">
              <w:rPr>
                <w:iCs/>
              </w:rPr>
              <w:t>40 (31.3)</w:t>
            </w:r>
          </w:p>
        </w:tc>
        <w:tc>
          <w:tcPr>
            <w:tcW w:w="1192" w:type="pct"/>
          </w:tcPr>
          <w:p w14:paraId="31553710" w14:textId="77777777" w:rsidR="00DB56BF" w:rsidRPr="00F72968" w:rsidRDefault="00DB56BF" w:rsidP="00B6064D">
            <w:pPr>
              <w:pStyle w:val="Tabletext"/>
              <w:rPr>
                <w:iCs/>
                <w:vertAlign w:val="superscript"/>
              </w:rPr>
            </w:pPr>
            <w:r w:rsidRPr="00F72968">
              <w:rPr>
                <w:iCs/>
              </w:rPr>
              <w:t xml:space="preserve">33.7 (NR) </w:t>
            </w:r>
            <w:r w:rsidRPr="00F72968">
              <w:rPr>
                <w:iCs/>
                <w:vertAlign w:val="superscript"/>
              </w:rPr>
              <w:t>b</w:t>
            </w:r>
          </w:p>
        </w:tc>
      </w:tr>
      <w:tr w:rsidR="00DB56BF" w:rsidRPr="00F72968" w14:paraId="58675FEE" w14:textId="77777777" w:rsidTr="00B6064D">
        <w:tc>
          <w:tcPr>
            <w:tcW w:w="1477" w:type="pct"/>
          </w:tcPr>
          <w:p w14:paraId="606A9766" w14:textId="6469E883" w:rsidR="00DB56BF" w:rsidRPr="00F72968" w:rsidRDefault="00DB56BF" w:rsidP="00B6064D">
            <w:pPr>
              <w:pStyle w:val="Tabletext"/>
              <w:rPr>
                <w:iCs/>
              </w:rPr>
            </w:pPr>
            <w:r w:rsidRPr="00F72968">
              <w:rPr>
                <w:iCs/>
              </w:rPr>
              <w:t>Improvement of ≥1.5</w:t>
            </w:r>
            <w:r w:rsidR="009554BD">
              <w:rPr>
                <w:iCs/>
              </w:rPr>
              <w:t> </w:t>
            </w:r>
            <w:r w:rsidRPr="00F72968">
              <w:rPr>
                <w:iCs/>
              </w:rPr>
              <w:t>mL/kg/min in pVO</w:t>
            </w:r>
            <w:r w:rsidRPr="00F72968">
              <w:rPr>
                <w:iCs/>
                <w:vertAlign w:val="subscript"/>
              </w:rPr>
              <w:t>2</w:t>
            </w:r>
          </w:p>
        </w:tc>
        <w:tc>
          <w:tcPr>
            <w:tcW w:w="1114" w:type="pct"/>
          </w:tcPr>
          <w:p w14:paraId="743F1E09" w14:textId="77777777" w:rsidR="00DB56BF" w:rsidRPr="00F72968" w:rsidRDefault="00DB56BF" w:rsidP="00B6064D">
            <w:pPr>
              <w:pStyle w:val="Tabletext"/>
              <w:rPr>
                <w:iCs/>
              </w:rPr>
            </w:pPr>
            <w:r w:rsidRPr="00F72968">
              <w:rPr>
                <w:iCs/>
              </w:rPr>
              <w:t>51 (42.5)</w:t>
            </w:r>
          </w:p>
        </w:tc>
        <w:tc>
          <w:tcPr>
            <w:tcW w:w="1217" w:type="pct"/>
          </w:tcPr>
          <w:p w14:paraId="34703462" w14:textId="77777777" w:rsidR="00DB56BF" w:rsidRPr="00F72968" w:rsidRDefault="00DB56BF" w:rsidP="00B6064D">
            <w:pPr>
              <w:pStyle w:val="Tabletext"/>
              <w:rPr>
                <w:iCs/>
              </w:rPr>
            </w:pPr>
            <w:r w:rsidRPr="00F72968">
              <w:rPr>
                <w:iCs/>
              </w:rPr>
              <w:t>32 (25.6)</w:t>
            </w:r>
          </w:p>
        </w:tc>
        <w:tc>
          <w:tcPr>
            <w:tcW w:w="1192" w:type="pct"/>
          </w:tcPr>
          <w:p w14:paraId="4F9669D8" w14:textId="77777777" w:rsidR="00DB56BF" w:rsidRPr="00F72968" w:rsidRDefault="00DB56BF" w:rsidP="00B6064D">
            <w:pPr>
              <w:pStyle w:val="Tabletext"/>
              <w:rPr>
                <w:iCs/>
              </w:rPr>
            </w:pPr>
            <w:r w:rsidRPr="00F72968">
              <w:rPr>
                <w:iCs/>
              </w:rPr>
              <w:t>16.9 (NR)</w:t>
            </w:r>
            <w:r w:rsidRPr="00F72968">
              <w:rPr>
                <w:iCs/>
                <w:vertAlign w:val="superscript"/>
              </w:rPr>
              <w:t xml:space="preserve"> b</w:t>
            </w:r>
          </w:p>
        </w:tc>
      </w:tr>
      <w:tr w:rsidR="00DB56BF" w:rsidRPr="00F72968" w14:paraId="7E4080DD" w14:textId="77777777" w:rsidTr="00B6064D">
        <w:tc>
          <w:tcPr>
            <w:tcW w:w="1477" w:type="pct"/>
          </w:tcPr>
          <w:p w14:paraId="10D80CD9" w14:textId="6B9D5676" w:rsidR="00DB56BF" w:rsidRPr="00F72968" w:rsidRDefault="00DB56BF" w:rsidP="00B6064D">
            <w:pPr>
              <w:pStyle w:val="Tabletext"/>
              <w:rPr>
                <w:iCs/>
              </w:rPr>
            </w:pPr>
            <w:r w:rsidRPr="00F72968">
              <w:rPr>
                <w:iCs/>
              </w:rPr>
              <w:t>Improvement of ≥3.0</w:t>
            </w:r>
            <w:r w:rsidR="009554BD">
              <w:rPr>
                <w:iCs/>
              </w:rPr>
              <w:t> </w:t>
            </w:r>
            <w:r w:rsidRPr="00F72968">
              <w:rPr>
                <w:iCs/>
              </w:rPr>
              <w:t>mL/kg/min in pVO</w:t>
            </w:r>
            <w:r w:rsidRPr="00F72968">
              <w:rPr>
                <w:iCs/>
                <w:vertAlign w:val="subscript"/>
              </w:rPr>
              <w:t>2</w:t>
            </w:r>
          </w:p>
        </w:tc>
        <w:tc>
          <w:tcPr>
            <w:tcW w:w="1114" w:type="pct"/>
          </w:tcPr>
          <w:p w14:paraId="4B719D13" w14:textId="77777777" w:rsidR="00DB56BF" w:rsidRPr="00F72968" w:rsidRDefault="00DB56BF" w:rsidP="00B6064D">
            <w:pPr>
              <w:pStyle w:val="Tabletext"/>
              <w:rPr>
                <w:iCs/>
              </w:rPr>
            </w:pPr>
            <w:r w:rsidRPr="00F72968">
              <w:rPr>
                <w:iCs/>
              </w:rPr>
              <w:t>29 (24.2)</w:t>
            </w:r>
          </w:p>
        </w:tc>
        <w:tc>
          <w:tcPr>
            <w:tcW w:w="1217" w:type="pct"/>
          </w:tcPr>
          <w:p w14:paraId="60A3BD3D" w14:textId="77777777" w:rsidR="00DB56BF" w:rsidRPr="00F72968" w:rsidRDefault="00DB56BF" w:rsidP="00B6064D">
            <w:pPr>
              <w:pStyle w:val="Tabletext"/>
              <w:rPr>
                <w:iCs/>
              </w:rPr>
            </w:pPr>
            <w:r w:rsidRPr="00F72968">
              <w:rPr>
                <w:iCs/>
              </w:rPr>
              <w:t>16 (12.8)</w:t>
            </w:r>
          </w:p>
        </w:tc>
        <w:tc>
          <w:tcPr>
            <w:tcW w:w="1192" w:type="pct"/>
          </w:tcPr>
          <w:p w14:paraId="049FB71D" w14:textId="77777777" w:rsidR="00DB56BF" w:rsidRPr="00F72968" w:rsidRDefault="00DB56BF" w:rsidP="00B6064D">
            <w:pPr>
              <w:pStyle w:val="Tabletext"/>
              <w:rPr>
                <w:iCs/>
              </w:rPr>
            </w:pPr>
            <w:r w:rsidRPr="00F72968">
              <w:rPr>
                <w:iCs/>
              </w:rPr>
              <w:t>11.4 (NR)</w:t>
            </w:r>
            <w:r w:rsidRPr="00F72968">
              <w:rPr>
                <w:iCs/>
                <w:vertAlign w:val="superscript"/>
              </w:rPr>
              <w:t xml:space="preserve"> b</w:t>
            </w:r>
          </w:p>
        </w:tc>
      </w:tr>
    </w:tbl>
    <w:p w14:paraId="661686D3" w14:textId="77777777" w:rsidR="00DB56BF" w:rsidRPr="00F72968" w:rsidRDefault="00DB56BF" w:rsidP="00DB56BF">
      <w:pPr>
        <w:pStyle w:val="FooterTableFigure"/>
        <w:rPr>
          <w:iCs/>
        </w:rPr>
      </w:pPr>
      <w:r w:rsidRPr="00F72968">
        <w:rPr>
          <w:iCs/>
        </w:rPr>
        <w:t>Source: EXPLORER-HCM CSR Table 14.2.1.1, PSCR (p6)</w:t>
      </w:r>
    </w:p>
    <w:p w14:paraId="093F39D4" w14:textId="77777777" w:rsidR="00DB56BF" w:rsidRPr="00F72968" w:rsidRDefault="00DB56BF" w:rsidP="00DB56BF">
      <w:pPr>
        <w:pStyle w:val="FooterTableFigure"/>
        <w:rPr>
          <w:iCs/>
        </w:rPr>
      </w:pPr>
      <w:r w:rsidRPr="00F72968">
        <w:rPr>
          <w:iCs/>
        </w:rPr>
        <w:t>CI, confidence interval; ITT=, intention-to-treat; NYHA, New York Heart Association; pVO2, peak oxygen consumption</w:t>
      </w:r>
    </w:p>
    <w:p w14:paraId="599A2014" w14:textId="77777777" w:rsidR="00DB56BF" w:rsidRPr="00F72968" w:rsidRDefault="00DB56BF" w:rsidP="00DB56BF">
      <w:pPr>
        <w:pStyle w:val="FooterTableFigure"/>
        <w:rPr>
          <w:iCs/>
        </w:rPr>
      </w:pPr>
      <w:r w:rsidRPr="00F72968">
        <w:rPr>
          <w:iCs/>
        </w:rPr>
        <w:t>Note: Response 1 defined as an improvement in pVO2 ≥ 1.5 mL/kg/min and NYHA class improved ≥ 1. Response 2 defined as an improvement in pVO2 ≥ 3.0 mL/kg/min and no worsening in NYHA class.</w:t>
      </w:r>
    </w:p>
    <w:p w14:paraId="08CD8399" w14:textId="77777777" w:rsidR="00DB56BF" w:rsidRPr="00F72968" w:rsidRDefault="00DB56BF" w:rsidP="00DB56BF">
      <w:pPr>
        <w:pStyle w:val="FooterTableFigure"/>
        <w:rPr>
          <w:iCs/>
        </w:rPr>
      </w:pPr>
      <w:r w:rsidRPr="00F72968">
        <w:rPr>
          <w:iCs/>
        </w:rPr>
        <w:t>a While not labelled in the PSCR, figures are assumed to be risk difference.</w:t>
      </w:r>
    </w:p>
    <w:p w14:paraId="4F3E4060" w14:textId="77777777" w:rsidR="00DB56BF" w:rsidRPr="00F72968" w:rsidRDefault="00DB56BF" w:rsidP="00DB56BF">
      <w:pPr>
        <w:pStyle w:val="FooterTableFigure"/>
        <w:rPr>
          <w:iCs/>
        </w:rPr>
      </w:pPr>
      <w:r w:rsidRPr="00F72968">
        <w:rPr>
          <w:iCs/>
        </w:rPr>
        <w:t>b calculated in a post-hoc analysis.</w:t>
      </w:r>
    </w:p>
    <w:p w14:paraId="4E9C4C6B" w14:textId="36672CD2" w:rsidR="00FB3718" w:rsidRPr="00B6064D" w:rsidRDefault="00FB3718" w:rsidP="00FB3718">
      <w:pPr>
        <w:pStyle w:val="3-BodyText"/>
        <w:rPr>
          <w:color w:val="0066FF"/>
        </w:rPr>
      </w:pPr>
      <w:r w:rsidRPr="00F72968">
        <w:rPr>
          <w:iCs/>
        </w:rPr>
        <w:lastRenderedPageBreak/>
        <w:t xml:space="preserve">The ESC </w:t>
      </w:r>
      <w:r w:rsidR="005E68F9">
        <w:rPr>
          <w:iCs/>
        </w:rPr>
        <w:t xml:space="preserve">and PBAC </w:t>
      </w:r>
      <w:r w:rsidRPr="00F72968">
        <w:rPr>
          <w:iCs/>
        </w:rPr>
        <w:t>noted that 63.4% of mavacamten patients failed to meet the primary composite endpoint and 35% did not improve in NYHA class. The ESC considered these results important</w:t>
      </w:r>
      <w:r w:rsidR="00DC5CEB" w:rsidRPr="00F72968">
        <w:rPr>
          <w:iCs/>
        </w:rPr>
        <w:t>,</w:t>
      </w:r>
      <w:r w:rsidRPr="00F72968">
        <w:rPr>
          <w:iCs/>
        </w:rPr>
        <w:t xml:space="preserve"> noting there is no stopping rule in the proposed PBS restriction</w:t>
      </w:r>
      <w:r w:rsidR="00602BF4" w:rsidRPr="00F72968">
        <w:rPr>
          <w:iCs/>
        </w:rPr>
        <w:t xml:space="preserve"> and that therapy is considered indefinite</w:t>
      </w:r>
      <w:r w:rsidRPr="00F72968">
        <w:rPr>
          <w:iCs/>
        </w:rPr>
        <w:t>.</w:t>
      </w:r>
      <w:r w:rsidR="00DF7D39">
        <w:rPr>
          <w:iCs/>
        </w:rPr>
        <w:t xml:space="preserve"> </w:t>
      </w:r>
    </w:p>
    <w:p w14:paraId="5767A162" w14:textId="1E2BEB54" w:rsidR="00966B00" w:rsidRPr="00352E9D" w:rsidRDefault="00966B00" w:rsidP="00584B53">
      <w:pPr>
        <w:pStyle w:val="3-BodyText"/>
        <w:rPr>
          <w:snapToGrid/>
          <w:lang w:val="en-US"/>
        </w:rPr>
      </w:pPr>
      <w:r w:rsidRPr="00352E9D">
        <w:rPr>
          <w:snapToGrid/>
          <w:lang w:val="en-US"/>
        </w:rPr>
        <w:t>The PBAC has not previously considered pVO</w:t>
      </w:r>
      <w:r w:rsidRPr="00352E9D">
        <w:rPr>
          <w:snapToGrid/>
          <w:vertAlign w:val="subscript"/>
          <w:lang w:val="en-US"/>
        </w:rPr>
        <w:t>2</w:t>
      </w:r>
      <w:r w:rsidRPr="00352E9D">
        <w:rPr>
          <w:snapToGrid/>
          <w:lang w:val="en-US"/>
        </w:rPr>
        <w:t xml:space="preserve"> as a surrogate outcome for </w:t>
      </w:r>
      <w:r w:rsidR="00153724" w:rsidRPr="00352E9D">
        <w:rPr>
          <w:snapToGrid/>
          <w:lang w:val="en-US"/>
        </w:rPr>
        <w:t>quality of life</w:t>
      </w:r>
      <w:r w:rsidR="00153724" w:rsidRPr="00F72968">
        <w:rPr>
          <w:snapToGrid/>
          <w:lang w:val="en-US"/>
        </w:rPr>
        <w:t xml:space="preserve"> </w:t>
      </w:r>
      <w:r w:rsidR="00153724" w:rsidRPr="00352E9D">
        <w:rPr>
          <w:snapToGrid/>
          <w:lang w:val="en-US"/>
        </w:rPr>
        <w:t>(</w:t>
      </w:r>
      <w:r w:rsidRPr="00352E9D">
        <w:rPr>
          <w:snapToGrid/>
          <w:lang w:val="en-US"/>
        </w:rPr>
        <w:t>QoL</w:t>
      </w:r>
      <w:r w:rsidR="00153724" w:rsidRPr="00352E9D">
        <w:rPr>
          <w:snapToGrid/>
          <w:lang w:val="en-US"/>
        </w:rPr>
        <w:t>)</w:t>
      </w:r>
      <w:r w:rsidRPr="00352E9D">
        <w:rPr>
          <w:snapToGrid/>
          <w:lang w:val="en-US"/>
        </w:rPr>
        <w:t xml:space="preserve"> measures and survival. The submission did not systematically justify pVO</w:t>
      </w:r>
      <w:r w:rsidRPr="00352E9D">
        <w:rPr>
          <w:snapToGrid/>
          <w:vertAlign w:val="subscript"/>
          <w:lang w:val="en-US"/>
        </w:rPr>
        <w:t>2</w:t>
      </w:r>
      <w:r w:rsidRPr="00352E9D">
        <w:rPr>
          <w:snapToGrid/>
          <w:lang w:val="en-US"/>
        </w:rPr>
        <w:t xml:space="preserve"> as a surrogate outcome as per </w:t>
      </w:r>
      <w:r w:rsidR="0009649B" w:rsidRPr="00352E9D">
        <w:rPr>
          <w:snapToGrid/>
          <w:lang w:val="en-US"/>
        </w:rPr>
        <w:t>A</w:t>
      </w:r>
      <w:r w:rsidRPr="00352E9D">
        <w:rPr>
          <w:snapToGrid/>
          <w:lang w:val="en-US"/>
        </w:rPr>
        <w:t>ppendix 5 of the PBAC guidelines</w:t>
      </w:r>
      <w:r w:rsidR="0009649B" w:rsidRPr="00352E9D">
        <w:rPr>
          <w:snapToGrid/>
          <w:lang w:val="en-US"/>
        </w:rPr>
        <w:t xml:space="preserve"> (</w:t>
      </w:r>
      <w:r w:rsidR="0009649B" w:rsidRPr="00F72968">
        <w:rPr>
          <w:snapToGrid/>
          <w:lang w:val="en-US"/>
        </w:rPr>
        <w:t>version 5.0</w:t>
      </w:r>
      <w:r w:rsidR="0009649B" w:rsidRPr="00352E9D">
        <w:rPr>
          <w:snapToGrid/>
          <w:lang w:val="en-US"/>
        </w:rPr>
        <w:t>)</w:t>
      </w:r>
      <w:r w:rsidRPr="00352E9D">
        <w:rPr>
          <w:snapToGrid/>
          <w:lang w:val="en-US"/>
        </w:rPr>
        <w:t xml:space="preserve">. Based on the available evidence it </w:t>
      </w:r>
      <w:r w:rsidR="00DE7912">
        <w:rPr>
          <w:snapToGrid/>
          <w:lang w:val="en-US"/>
        </w:rPr>
        <w:t>is</w:t>
      </w:r>
      <w:r w:rsidR="00DE7912" w:rsidRPr="00352E9D">
        <w:rPr>
          <w:snapToGrid/>
          <w:lang w:val="en-US"/>
        </w:rPr>
        <w:t xml:space="preserve"> </w:t>
      </w:r>
      <w:r w:rsidR="00445522">
        <w:rPr>
          <w:snapToGrid/>
          <w:lang w:val="en-US"/>
        </w:rPr>
        <w:t>plausible</w:t>
      </w:r>
      <w:r w:rsidR="00445522" w:rsidRPr="00F72968">
        <w:rPr>
          <w:snapToGrid/>
          <w:lang w:val="en-US"/>
        </w:rPr>
        <w:t xml:space="preserve"> </w:t>
      </w:r>
      <w:r w:rsidR="00352E9D" w:rsidRPr="00F72968">
        <w:rPr>
          <w:snapToGrid/>
          <w:lang w:val="en-US"/>
        </w:rPr>
        <w:t>that</w:t>
      </w:r>
      <w:r w:rsidR="00352E9D" w:rsidRPr="00352E9D">
        <w:rPr>
          <w:snapToGrid/>
          <w:lang w:val="en-US"/>
        </w:rPr>
        <w:t xml:space="preserve"> </w:t>
      </w:r>
      <w:r w:rsidRPr="00352E9D">
        <w:rPr>
          <w:snapToGrid/>
          <w:lang w:val="en-US"/>
        </w:rPr>
        <w:t>a link between pVO</w:t>
      </w:r>
      <w:r w:rsidRPr="00352E9D">
        <w:rPr>
          <w:snapToGrid/>
          <w:vertAlign w:val="subscript"/>
          <w:lang w:val="en-US"/>
        </w:rPr>
        <w:t>2</w:t>
      </w:r>
      <w:r w:rsidRPr="00352E9D">
        <w:rPr>
          <w:snapToGrid/>
          <w:lang w:val="en-US"/>
        </w:rPr>
        <w:t xml:space="preserve"> and survival exists, however the validity of the estimated clinically important difference and the nature of the comparative treatment effect relationship is remains unclear. </w:t>
      </w:r>
      <w:r w:rsidR="00602BF4" w:rsidRPr="00F72968">
        <w:rPr>
          <w:snapToGrid/>
          <w:lang w:val="en-US"/>
        </w:rPr>
        <w:t>However</w:t>
      </w:r>
      <w:r w:rsidR="00D94C43" w:rsidRPr="00F72968">
        <w:rPr>
          <w:snapToGrid/>
          <w:lang w:val="en-US"/>
        </w:rPr>
        <w:t>,</w:t>
      </w:r>
      <w:r w:rsidR="00233F82" w:rsidRPr="00F72968">
        <w:rPr>
          <w:snapToGrid/>
          <w:lang w:val="en-US"/>
        </w:rPr>
        <w:t xml:space="preserve"> t</w:t>
      </w:r>
      <w:r w:rsidR="00352E9D" w:rsidRPr="00F72968">
        <w:rPr>
          <w:lang w:val="en-US"/>
        </w:rPr>
        <w:t>he ESC was satisfied that pVO</w:t>
      </w:r>
      <w:r w:rsidR="00352E9D" w:rsidRPr="00F72968">
        <w:rPr>
          <w:vertAlign w:val="subscript"/>
          <w:lang w:val="en-US"/>
        </w:rPr>
        <w:t>2</w:t>
      </w:r>
      <w:r w:rsidR="00352E9D" w:rsidRPr="00F72968">
        <w:rPr>
          <w:lang w:val="en-US"/>
        </w:rPr>
        <w:t xml:space="preserve"> was a reasonable and reproducible measure of exercise capacity and hence potential functional benefit</w:t>
      </w:r>
      <w:r w:rsidR="00233F82" w:rsidRPr="00F72968">
        <w:rPr>
          <w:lang w:val="en-US"/>
        </w:rPr>
        <w:t>, although not of a mortality benefit in this population</w:t>
      </w:r>
      <w:r w:rsidR="00352E9D" w:rsidRPr="00F72968">
        <w:rPr>
          <w:lang w:val="en-US"/>
        </w:rPr>
        <w:t xml:space="preserve">. </w:t>
      </w:r>
    </w:p>
    <w:p w14:paraId="2FAC318C" w14:textId="0E0ADF36" w:rsidR="009D6C65" w:rsidRPr="009D6C65" w:rsidRDefault="009D6C65" w:rsidP="009D6C65">
      <w:pPr>
        <w:pStyle w:val="3-BodyText"/>
        <w:rPr>
          <w:color w:val="0066FF"/>
        </w:rPr>
      </w:pPr>
      <w:r w:rsidRPr="00885192">
        <w:t>Mavacamten is proposed for long</w:t>
      </w:r>
      <w:r w:rsidR="0009649B">
        <w:t>-</w:t>
      </w:r>
      <w:r w:rsidRPr="00885192">
        <w:t xml:space="preserve">term use while the duration of </w:t>
      </w:r>
      <w:r w:rsidR="00352E9D" w:rsidRPr="00F72968">
        <w:rPr>
          <w:iCs/>
        </w:rPr>
        <w:t>mavacamten therapy in</w:t>
      </w:r>
      <w:r w:rsidR="00352E9D">
        <w:t xml:space="preserve"> </w:t>
      </w:r>
      <w:r w:rsidRPr="00885192">
        <w:t xml:space="preserve">EXPLORER-HCM was </w:t>
      </w:r>
      <w:r w:rsidR="00352E9D" w:rsidRPr="00F72968">
        <w:rPr>
          <w:iCs/>
        </w:rPr>
        <w:t>only 30</w:t>
      </w:r>
      <w:r w:rsidR="00352E9D" w:rsidRPr="00885192">
        <w:t xml:space="preserve"> </w:t>
      </w:r>
      <w:r w:rsidRPr="00885192">
        <w:t>weeks</w:t>
      </w:r>
      <w:r w:rsidR="00A116DA">
        <w:t xml:space="preserve"> and therefore the </w:t>
      </w:r>
      <w:r w:rsidRPr="00885192">
        <w:t>long</w:t>
      </w:r>
      <w:r w:rsidR="00DB56BF">
        <w:t>-</w:t>
      </w:r>
      <w:r w:rsidRPr="00885192">
        <w:t>term comparative effectiveness associated with mavacamten treatment is unknown.</w:t>
      </w:r>
      <w:r w:rsidR="00E53609">
        <w:t xml:space="preserve"> </w:t>
      </w:r>
      <w:r w:rsidR="00E53609" w:rsidRPr="00F72968">
        <w:rPr>
          <w:iCs/>
        </w:rPr>
        <w:t>The PSCR stated that data from MAVA-LTE was provided as supportive evidence for long-term effectiveness and safety in the submission</w:t>
      </w:r>
      <w:r w:rsidR="007C6D77" w:rsidRPr="00F72968">
        <w:rPr>
          <w:iCs/>
        </w:rPr>
        <w:t xml:space="preserve">. While acknowledging these data were non-comparative, the PSCR </w:t>
      </w:r>
      <w:r w:rsidR="00DE7912">
        <w:rPr>
          <w:iCs/>
        </w:rPr>
        <w:t xml:space="preserve">and pre-PBAC response </w:t>
      </w:r>
      <w:r w:rsidR="007C6D77" w:rsidRPr="00F72968">
        <w:rPr>
          <w:iCs/>
        </w:rPr>
        <w:t xml:space="preserve">stated that it remained </w:t>
      </w:r>
      <w:r w:rsidR="00E53609" w:rsidRPr="00F72968">
        <w:rPr>
          <w:iCs/>
        </w:rPr>
        <w:t>supportive of the continued efficacy of mavacamten.</w:t>
      </w:r>
      <w:r w:rsidR="00D82DE9">
        <w:rPr>
          <w:iCs/>
        </w:rPr>
        <w:t xml:space="preserve"> </w:t>
      </w:r>
    </w:p>
    <w:p w14:paraId="38780D12" w14:textId="77777777" w:rsidR="00993F38" w:rsidRPr="00B13F9D" w:rsidRDefault="00993F38" w:rsidP="00993F38">
      <w:pPr>
        <w:pStyle w:val="3-BodyText"/>
        <w:rPr>
          <w:snapToGrid/>
          <w:lang w:val="en-US"/>
        </w:rPr>
      </w:pPr>
      <w:r w:rsidRPr="005A086D">
        <w:rPr>
          <w:iCs/>
        </w:rPr>
        <w:t>The ESC noted the</w:t>
      </w:r>
      <w:r>
        <w:t xml:space="preserve"> pre-specified s</w:t>
      </w:r>
      <w:r w:rsidRPr="00B45564">
        <w:t xml:space="preserve">ubgroup analyses showed </w:t>
      </w:r>
      <w:r>
        <w:t xml:space="preserve">that the primary composite endpoint was met more frequently by </w:t>
      </w:r>
      <w:r w:rsidRPr="00B45564">
        <w:t xml:space="preserve">patients </w:t>
      </w:r>
      <w:r>
        <w:t>not treated with a</w:t>
      </w:r>
      <w:r w:rsidRPr="00B45564">
        <w:t xml:space="preserve"> BB</w:t>
      </w:r>
      <w:r>
        <w:t xml:space="preserve"> </w:t>
      </w:r>
      <w:r w:rsidRPr="00B45564">
        <w:t xml:space="preserve">compared to those who were </w:t>
      </w:r>
      <w:r>
        <w:t>treated with a</w:t>
      </w:r>
      <w:r w:rsidRPr="00B45564">
        <w:t xml:space="preserve"> BB</w:t>
      </w:r>
      <w:r>
        <w:t>, although most patients in the trial were receiving BBs</w:t>
      </w:r>
      <w:r w:rsidRPr="00B45564">
        <w:t>.</w:t>
      </w:r>
      <w:r>
        <w:t xml:space="preserve"> Conversely, there was no statistically significant difference in treatment effect observed between concomitant use with BBs and non-BB use for all secondary endpoints.</w:t>
      </w:r>
      <w:r w:rsidRPr="00B45564">
        <w:t xml:space="preserve"> </w:t>
      </w:r>
      <w:r w:rsidRPr="005A086D">
        <w:rPr>
          <w:iCs/>
        </w:rPr>
        <w:t>The PBAC agreed with the ESC and considered the subgroup analysis of the primary composite endpoint was in keeping with the side effect profile of BBs that includes a reduced exercise capacity.</w:t>
      </w:r>
    </w:p>
    <w:p w14:paraId="04B017D3" w14:textId="770033F9" w:rsidR="00210F24" w:rsidRPr="00210F24" w:rsidRDefault="002047A4" w:rsidP="00210F24">
      <w:pPr>
        <w:pStyle w:val="3-BodyText"/>
        <w:rPr>
          <w:color w:val="0066FF"/>
        </w:rPr>
      </w:pPr>
      <w:r>
        <w:t>A</w:t>
      </w:r>
      <w:r w:rsidR="00D35C59">
        <w:t xml:space="preserve">ll secondary endpoints, including </w:t>
      </w:r>
      <w:r w:rsidR="00D35C59" w:rsidRPr="0040357C">
        <w:t xml:space="preserve">the change in post-exercise LVOT peak gradient, NYHA class and both the </w:t>
      </w:r>
      <w:r w:rsidR="005D22DB">
        <w:t>Kansas City Cardiomyopathy Questionnaire 23-item Clinical Summary Score (KCCQ-23 CSS)</w:t>
      </w:r>
      <w:r w:rsidR="00D35C59" w:rsidRPr="0040357C">
        <w:t xml:space="preserve"> and </w:t>
      </w:r>
      <w:r w:rsidR="005D22DB">
        <w:t>Hypertrophic Cardiomyopathy Symptom Questionnaire, shortness of breath (HCMSQ SoB)</w:t>
      </w:r>
      <w:r w:rsidR="00D35C59" w:rsidRPr="0040357C">
        <w:t xml:space="preserve"> domain score</w:t>
      </w:r>
      <w:r w:rsidR="00D35C59">
        <w:t xml:space="preserve"> </w:t>
      </w:r>
      <w:r w:rsidR="00352E9D" w:rsidRPr="00F72968">
        <w:rPr>
          <w:iCs/>
        </w:rPr>
        <w:t>showed a significant benefit with mavacamten over SOC.</w:t>
      </w:r>
    </w:p>
    <w:p w14:paraId="40D188E6" w14:textId="50E96D75" w:rsidR="008B2867" w:rsidRDefault="00D35C59" w:rsidP="00D35C59">
      <w:pPr>
        <w:pStyle w:val="3-BodyText"/>
        <w:rPr>
          <w:rFonts w:eastAsia="Calibri"/>
        </w:rPr>
      </w:pPr>
      <w:r>
        <w:rPr>
          <w:rFonts w:eastAsia="Calibri"/>
        </w:rPr>
        <w:t>Patients in the mavacamten arm had significantly greater reductions from baseline to week 30 on post-exercise LVOT peak gradient (mmHg) than those in the placebo arm (</w:t>
      </w:r>
      <w:r>
        <w:rPr>
          <w:rFonts w:eastAsia="Calibri"/>
        </w:rPr>
        <w:fldChar w:fldCharType="begin"/>
      </w:r>
      <w:r>
        <w:rPr>
          <w:rFonts w:eastAsia="Calibri"/>
        </w:rPr>
        <w:instrText xml:space="preserve"> REF _Ref110761476 \h </w:instrText>
      </w:r>
      <w:r>
        <w:rPr>
          <w:rFonts w:eastAsia="Calibri"/>
        </w:rPr>
      </w:r>
      <w:r>
        <w:rPr>
          <w:rFonts w:eastAsia="Calibri"/>
        </w:rPr>
        <w:fldChar w:fldCharType="separate"/>
      </w:r>
      <w:r w:rsidR="00645E50">
        <w:t xml:space="preserve">Table </w:t>
      </w:r>
      <w:r w:rsidR="00645E50">
        <w:rPr>
          <w:noProof/>
        </w:rPr>
        <w:t>7</w:t>
      </w:r>
      <w:r>
        <w:rPr>
          <w:rFonts w:eastAsia="Calibri"/>
        </w:rPr>
        <w:fldChar w:fldCharType="end"/>
      </w:r>
      <w:r>
        <w:rPr>
          <w:rFonts w:eastAsia="Calibri"/>
        </w:rPr>
        <w:t xml:space="preserve">). The least squares difference in amount of change was </w:t>
      </w:r>
      <w:r w:rsidR="009554BD">
        <w:rPr>
          <w:rFonts w:eastAsia="Calibri"/>
        </w:rPr>
        <w:t>35 </w:t>
      </w:r>
      <w:r>
        <w:rPr>
          <w:rFonts w:eastAsia="Calibri"/>
        </w:rPr>
        <w:t xml:space="preserve">mmHg, </w:t>
      </w:r>
      <w:r w:rsidRPr="00885192">
        <w:rPr>
          <w:rFonts w:eastAsia="Calibri"/>
        </w:rPr>
        <w:t xml:space="preserve">which is considered clinically meaningful. </w:t>
      </w:r>
    </w:p>
    <w:p w14:paraId="7E043347" w14:textId="2D049CE5" w:rsidR="008B2867" w:rsidRDefault="008B2867" w:rsidP="00A96A65">
      <w:pPr>
        <w:pStyle w:val="Caption"/>
      </w:pPr>
      <w:bookmarkStart w:id="27" w:name="_Ref110761476"/>
      <w:r>
        <w:lastRenderedPageBreak/>
        <w:t xml:space="preserve">Table </w:t>
      </w:r>
      <w:r w:rsidR="00645E50">
        <w:fldChar w:fldCharType="begin"/>
      </w:r>
      <w:r w:rsidR="00645E50">
        <w:instrText xml:space="preserve"> SEQ Table \* ARABIC </w:instrText>
      </w:r>
      <w:r w:rsidR="00645E50">
        <w:fldChar w:fldCharType="separate"/>
      </w:r>
      <w:r w:rsidR="00645E50">
        <w:rPr>
          <w:noProof/>
        </w:rPr>
        <w:t>7</w:t>
      </w:r>
      <w:r w:rsidR="00645E50">
        <w:rPr>
          <w:noProof/>
        </w:rPr>
        <w:fldChar w:fldCharType="end"/>
      </w:r>
      <w:bookmarkEnd w:id="27"/>
      <w:r>
        <w:t>: Post-exercise LVOT peak gradient</w:t>
      </w:r>
    </w:p>
    <w:tbl>
      <w:tblPr>
        <w:tblStyle w:val="PBACtable2"/>
        <w:tblW w:w="5005" w:type="pct"/>
        <w:tblLook w:val="04A0" w:firstRow="1" w:lastRow="0" w:firstColumn="1" w:lastColumn="0" w:noHBand="0" w:noVBand="1"/>
      </w:tblPr>
      <w:tblGrid>
        <w:gridCol w:w="5948"/>
        <w:gridCol w:w="1415"/>
        <w:gridCol w:w="1663"/>
      </w:tblGrid>
      <w:tr w:rsidR="008B2867" w:rsidRPr="00051379" w14:paraId="72EC3724" w14:textId="77777777" w:rsidTr="00B45564">
        <w:trPr>
          <w:trHeight w:val="213"/>
        </w:trPr>
        <w:tc>
          <w:tcPr>
            <w:tcW w:w="3295" w:type="pct"/>
          </w:tcPr>
          <w:p w14:paraId="75426F01" w14:textId="77777777" w:rsidR="008B2867" w:rsidRPr="00051379" w:rsidRDefault="008B2867" w:rsidP="00F14FD5">
            <w:pPr>
              <w:pStyle w:val="TableFigureHeading"/>
              <w:keepLines/>
              <w:rPr>
                <w:sz w:val="20"/>
                <w:szCs w:val="20"/>
                <w:lang w:val="en-US"/>
              </w:rPr>
            </w:pPr>
            <w:r w:rsidRPr="00051379">
              <w:rPr>
                <w:sz w:val="20"/>
                <w:szCs w:val="20"/>
                <w:lang w:val="en-US"/>
              </w:rPr>
              <w:t>Endpoint</w:t>
            </w:r>
          </w:p>
        </w:tc>
        <w:tc>
          <w:tcPr>
            <w:tcW w:w="784" w:type="pct"/>
          </w:tcPr>
          <w:p w14:paraId="10A961E4" w14:textId="77777777" w:rsidR="008B2867" w:rsidRPr="00051379" w:rsidRDefault="008B2867" w:rsidP="00F14FD5">
            <w:pPr>
              <w:pStyle w:val="TableFigureHeading"/>
              <w:keepLines/>
              <w:rPr>
                <w:sz w:val="20"/>
                <w:szCs w:val="20"/>
                <w:lang w:val="en-US"/>
              </w:rPr>
            </w:pPr>
            <w:r w:rsidRPr="00051379">
              <w:rPr>
                <w:sz w:val="20"/>
                <w:szCs w:val="20"/>
                <w:lang w:val="en-US"/>
              </w:rPr>
              <w:t>Mavacamten</w:t>
            </w:r>
            <w:r w:rsidRPr="00051379">
              <w:rPr>
                <w:sz w:val="20"/>
                <w:szCs w:val="20"/>
                <w:lang w:val="en-US"/>
              </w:rPr>
              <w:br/>
              <w:t>(N = 123)</w:t>
            </w:r>
          </w:p>
        </w:tc>
        <w:tc>
          <w:tcPr>
            <w:tcW w:w="921" w:type="pct"/>
          </w:tcPr>
          <w:p w14:paraId="4D1D2A4A" w14:textId="77777777" w:rsidR="008B2867" w:rsidRPr="00051379" w:rsidRDefault="008B2867" w:rsidP="00F14FD5">
            <w:pPr>
              <w:pStyle w:val="TableFigureHeading"/>
              <w:keepLines/>
              <w:rPr>
                <w:sz w:val="20"/>
                <w:szCs w:val="20"/>
                <w:lang w:val="en-US"/>
              </w:rPr>
            </w:pPr>
            <w:r w:rsidRPr="00051379">
              <w:rPr>
                <w:sz w:val="20"/>
                <w:szCs w:val="20"/>
                <w:lang w:val="en-US"/>
              </w:rPr>
              <w:t>Placebo</w:t>
            </w:r>
            <w:r w:rsidRPr="00051379">
              <w:rPr>
                <w:sz w:val="20"/>
                <w:szCs w:val="20"/>
                <w:lang w:val="en-US"/>
              </w:rPr>
              <w:br/>
              <w:t>(N = 128)</w:t>
            </w:r>
          </w:p>
        </w:tc>
      </w:tr>
      <w:tr w:rsidR="0023034D" w:rsidRPr="00051379" w14:paraId="4695BC57" w14:textId="77777777" w:rsidTr="00FB5626">
        <w:tc>
          <w:tcPr>
            <w:tcW w:w="3295" w:type="pct"/>
          </w:tcPr>
          <w:p w14:paraId="16E75444" w14:textId="38F7BE52" w:rsidR="0023034D" w:rsidRPr="00051379" w:rsidRDefault="0023034D" w:rsidP="00F14FD5">
            <w:pPr>
              <w:pStyle w:val="Tabletext"/>
              <w:keepNext/>
              <w:keepLines/>
              <w:rPr>
                <w:szCs w:val="20"/>
                <w:lang w:val="en-US"/>
              </w:rPr>
            </w:pPr>
            <w:r w:rsidRPr="00051379">
              <w:rPr>
                <w:szCs w:val="20"/>
                <w:lang w:val="en-US"/>
              </w:rPr>
              <w:t>Baseline</w:t>
            </w:r>
            <w:r w:rsidR="006446D4" w:rsidRPr="00051379">
              <w:rPr>
                <w:szCs w:val="20"/>
                <w:lang w:val="en-US"/>
              </w:rPr>
              <w:t xml:space="preserve">, </w:t>
            </w:r>
            <w:r w:rsidR="006C713A" w:rsidRPr="00051379">
              <w:rPr>
                <w:szCs w:val="20"/>
                <w:lang w:val="en-US"/>
              </w:rPr>
              <w:t>n</w:t>
            </w:r>
          </w:p>
        </w:tc>
        <w:tc>
          <w:tcPr>
            <w:tcW w:w="784" w:type="pct"/>
          </w:tcPr>
          <w:p w14:paraId="43987238" w14:textId="126F90F2" w:rsidR="0023034D" w:rsidRPr="00051379" w:rsidRDefault="0023034D" w:rsidP="00F14FD5">
            <w:pPr>
              <w:pStyle w:val="Tabletext"/>
              <w:keepNext/>
              <w:keepLines/>
              <w:rPr>
                <w:szCs w:val="20"/>
                <w:lang w:val="en-US"/>
              </w:rPr>
            </w:pPr>
            <w:r w:rsidRPr="00051379">
              <w:rPr>
                <w:color w:val="000000"/>
                <w:szCs w:val="20"/>
                <w:lang w:val="en-US"/>
              </w:rPr>
              <w:t>122</w:t>
            </w:r>
          </w:p>
        </w:tc>
        <w:tc>
          <w:tcPr>
            <w:tcW w:w="921" w:type="pct"/>
          </w:tcPr>
          <w:p w14:paraId="4A62AD0E" w14:textId="5030307C" w:rsidR="0023034D" w:rsidRPr="00051379" w:rsidRDefault="0023034D" w:rsidP="00F14FD5">
            <w:pPr>
              <w:pStyle w:val="Tabletext"/>
              <w:keepNext/>
              <w:keepLines/>
              <w:rPr>
                <w:szCs w:val="20"/>
                <w:lang w:val="en-US"/>
              </w:rPr>
            </w:pPr>
            <w:r w:rsidRPr="00051379">
              <w:rPr>
                <w:color w:val="000000"/>
                <w:szCs w:val="20"/>
                <w:lang w:val="en-US"/>
              </w:rPr>
              <w:t>127</w:t>
            </w:r>
          </w:p>
        </w:tc>
      </w:tr>
      <w:tr w:rsidR="0023034D" w:rsidRPr="00051379" w14:paraId="4F20094E" w14:textId="77777777" w:rsidTr="00FB5626">
        <w:tc>
          <w:tcPr>
            <w:tcW w:w="3295" w:type="pct"/>
          </w:tcPr>
          <w:p w14:paraId="79672FAB" w14:textId="77777777" w:rsidR="0023034D" w:rsidRPr="00051379" w:rsidRDefault="0023034D" w:rsidP="00F14FD5">
            <w:pPr>
              <w:pStyle w:val="Tabletext"/>
              <w:keepNext/>
              <w:keepLines/>
              <w:ind w:left="174"/>
              <w:rPr>
                <w:szCs w:val="20"/>
                <w:lang w:val="en-US"/>
              </w:rPr>
            </w:pPr>
            <w:r w:rsidRPr="00051379">
              <w:rPr>
                <w:szCs w:val="20"/>
                <w:lang w:val="en-US"/>
              </w:rPr>
              <w:t>Mean (SD)</w:t>
            </w:r>
          </w:p>
        </w:tc>
        <w:tc>
          <w:tcPr>
            <w:tcW w:w="784" w:type="pct"/>
          </w:tcPr>
          <w:p w14:paraId="069C99B4" w14:textId="77777777" w:rsidR="0023034D" w:rsidRPr="00051379" w:rsidRDefault="0023034D" w:rsidP="00F14FD5">
            <w:pPr>
              <w:pStyle w:val="Tabletext"/>
              <w:keepNext/>
              <w:keepLines/>
              <w:rPr>
                <w:color w:val="000000"/>
                <w:szCs w:val="20"/>
                <w:lang w:val="en-US"/>
              </w:rPr>
            </w:pPr>
            <w:r w:rsidRPr="00051379">
              <w:rPr>
                <w:color w:val="000000"/>
                <w:szCs w:val="20"/>
                <w:lang w:val="en-US"/>
              </w:rPr>
              <w:t>86 (34.3)</w:t>
            </w:r>
          </w:p>
        </w:tc>
        <w:tc>
          <w:tcPr>
            <w:tcW w:w="921" w:type="pct"/>
          </w:tcPr>
          <w:p w14:paraId="40C13521" w14:textId="77777777" w:rsidR="0023034D" w:rsidRPr="00051379" w:rsidRDefault="0023034D" w:rsidP="00F14FD5">
            <w:pPr>
              <w:pStyle w:val="Tabletext"/>
              <w:keepNext/>
              <w:keepLines/>
              <w:rPr>
                <w:color w:val="000000"/>
                <w:szCs w:val="20"/>
                <w:lang w:val="en-US"/>
              </w:rPr>
            </w:pPr>
            <w:r w:rsidRPr="00051379">
              <w:rPr>
                <w:color w:val="000000"/>
                <w:szCs w:val="20"/>
                <w:lang w:val="en-US"/>
              </w:rPr>
              <w:t>84 (35.7)</w:t>
            </w:r>
          </w:p>
        </w:tc>
      </w:tr>
      <w:tr w:rsidR="0023034D" w:rsidRPr="00051379" w14:paraId="4BA0896F" w14:textId="77777777" w:rsidTr="00FB5626">
        <w:tc>
          <w:tcPr>
            <w:tcW w:w="3295" w:type="pct"/>
          </w:tcPr>
          <w:p w14:paraId="1B11D8C5" w14:textId="4ED497D3" w:rsidR="0023034D" w:rsidRPr="00051379" w:rsidRDefault="0023034D" w:rsidP="00F14FD5">
            <w:pPr>
              <w:pStyle w:val="Tabletext"/>
              <w:keepNext/>
              <w:keepLines/>
              <w:rPr>
                <w:szCs w:val="20"/>
                <w:lang w:val="en-US"/>
              </w:rPr>
            </w:pPr>
            <w:r w:rsidRPr="00051379">
              <w:rPr>
                <w:szCs w:val="20"/>
                <w:lang w:val="en-US"/>
              </w:rPr>
              <w:t>Week 30</w:t>
            </w:r>
            <w:r w:rsidR="006446D4" w:rsidRPr="00051379">
              <w:rPr>
                <w:szCs w:val="20"/>
                <w:lang w:val="en-US"/>
              </w:rPr>
              <w:t xml:space="preserve">, </w:t>
            </w:r>
            <w:r w:rsidR="006C713A" w:rsidRPr="00051379">
              <w:rPr>
                <w:szCs w:val="20"/>
                <w:lang w:val="en-US"/>
              </w:rPr>
              <w:t>n</w:t>
            </w:r>
          </w:p>
        </w:tc>
        <w:tc>
          <w:tcPr>
            <w:tcW w:w="784" w:type="pct"/>
          </w:tcPr>
          <w:p w14:paraId="16B5B278" w14:textId="2A8DC68B" w:rsidR="0023034D" w:rsidRPr="00051379" w:rsidRDefault="0023034D" w:rsidP="00F14FD5">
            <w:pPr>
              <w:pStyle w:val="Tabletext"/>
              <w:keepNext/>
              <w:keepLines/>
              <w:rPr>
                <w:color w:val="000000"/>
                <w:szCs w:val="20"/>
                <w:lang w:val="en-US"/>
              </w:rPr>
            </w:pPr>
            <w:r w:rsidRPr="00051379">
              <w:rPr>
                <w:color w:val="000000"/>
                <w:szCs w:val="20"/>
                <w:lang w:val="en-US"/>
              </w:rPr>
              <w:t>118</w:t>
            </w:r>
          </w:p>
        </w:tc>
        <w:tc>
          <w:tcPr>
            <w:tcW w:w="921" w:type="pct"/>
          </w:tcPr>
          <w:p w14:paraId="538C6236" w14:textId="17D7FC2A" w:rsidR="0023034D" w:rsidRPr="00051379" w:rsidRDefault="0023034D" w:rsidP="00F14FD5">
            <w:pPr>
              <w:pStyle w:val="Tabletext"/>
              <w:keepNext/>
              <w:keepLines/>
              <w:rPr>
                <w:color w:val="000000"/>
                <w:szCs w:val="20"/>
                <w:lang w:val="en-US"/>
              </w:rPr>
            </w:pPr>
            <w:r w:rsidRPr="00051379">
              <w:rPr>
                <w:color w:val="000000"/>
                <w:szCs w:val="20"/>
                <w:lang w:val="en-US"/>
              </w:rPr>
              <w:t>123</w:t>
            </w:r>
          </w:p>
        </w:tc>
      </w:tr>
      <w:tr w:rsidR="0023034D" w:rsidRPr="00051379" w14:paraId="64AB8554" w14:textId="77777777" w:rsidTr="00FB5626">
        <w:tc>
          <w:tcPr>
            <w:tcW w:w="3295" w:type="pct"/>
          </w:tcPr>
          <w:p w14:paraId="68C53CAA" w14:textId="77777777" w:rsidR="0023034D" w:rsidRPr="00051379" w:rsidRDefault="0023034D" w:rsidP="00F14FD5">
            <w:pPr>
              <w:pStyle w:val="Tabletext"/>
              <w:keepNext/>
              <w:keepLines/>
              <w:ind w:left="174"/>
              <w:rPr>
                <w:szCs w:val="20"/>
                <w:lang w:val="en-US"/>
              </w:rPr>
            </w:pPr>
            <w:r w:rsidRPr="00051379">
              <w:rPr>
                <w:szCs w:val="20"/>
                <w:lang w:val="en-US"/>
              </w:rPr>
              <w:t>Mean (SD)</w:t>
            </w:r>
          </w:p>
        </w:tc>
        <w:tc>
          <w:tcPr>
            <w:tcW w:w="784" w:type="pct"/>
          </w:tcPr>
          <w:p w14:paraId="71B541B0" w14:textId="77777777" w:rsidR="0023034D" w:rsidRPr="00051379" w:rsidRDefault="0023034D" w:rsidP="00F14FD5">
            <w:pPr>
              <w:pStyle w:val="Tabletext"/>
              <w:keepNext/>
              <w:keepLines/>
              <w:rPr>
                <w:color w:val="000000"/>
                <w:szCs w:val="20"/>
                <w:lang w:val="en-US"/>
              </w:rPr>
            </w:pPr>
            <w:r w:rsidRPr="00051379">
              <w:rPr>
                <w:color w:val="000000"/>
                <w:szCs w:val="20"/>
                <w:lang w:val="en-US"/>
              </w:rPr>
              <w:t>38 (32.1)</w:t>
            </w:r>
          </w:p>
        </w:tc>
        <w:tc>
          <w:tcPr>
            <w:tcW w:w="921" w:type="pct"/>
          </w:tcPr>
          <w:p w14:paraId="51A5E769" w14:textId="77777777" w:rsidR="0023034D" w:rsidRPr="00051379" w:rsidRDefault="0023034D" w:rsidP="00F14FD5">
            <w:pPr>
              <w:pStyle w:val="Tabletext"/>
              <w:keepNext/>
              <w:keepLines/>
              <w:rPr>
                <w:color w:val="000000"/>
                <w:szCs w:val="20"/>
                <w:lang w:val="en-US"/>
              </w:rPr>
            </w:pPr>
            <w:r w:rsidRPr="00051379">
              <w:rPr>
                <w:color w:val="000000"/>
                <w:szCs w:val="20"/>
                <w:lang w:val="en-US"/>
              </w:rPr>
              <w:t>73 (34.9)</w:t>
            </w:r>
          </w:p>
        </w:tc>
      </w:tr>
      <w:tr w:rsidR="008B2867" w:rsidRPr="00051379" w14:paraId="7C8D1343" w14:textId="77777777" w:rsidTr="00B45564">
        <w:trPr>
          <w:trHeight w:val="43"/>
        </w:trPr>
        <w:tc>
          <w:tcPr>
            <w:tcW w:w="3295" w:type="pct"/>
          </w:tcPr>
          <w:p w14:paraId="6B0C4D3F" w14:textId="09C513EB" w:rsidR="008B2867" w:rsidRPr="00051379" w:rsidRDefault="008B2867" w:rsidP="00F14FD5">
            <w:pPr>
              <w:pStyle w:val="Tabletext"/>
              <w:keepNext/>
              <w:keepLines/>
              <w:rPr>
                <w:color w:val="000000"/>
                <w:szCs w:val="20"/>
                <w:lang w:val="en-US"/>
              </w:rPr>
            </w:pPr>
            <w:r w:rsidRPr="00051379">
              <w:rPr>
                <w:color w:val="000000"/>
                <w:szCs w:val="20"/>
                <w:lang w:val="en-US"/>
              </w:rPr>
              <w:t>Change from Baseline to Week 30 in Post-exercise LVOT Peak Gradient (mmHg)</w:t>
            </w:r>
            <w:r w:rsidR="006446D4" w:rsidRPr="00051379">
              <w:rPr>
                <w:color w:val="000000"/>
                <w:szCs w:val="20"/>
                <w:lang w:val="en-US"/>
              </w:rPr>
              <w:t xml:space="preserve">, </w:t>
            </w:r>
            <w:r w:rsidR="006C713A" w:rsidRPr="00051379">
              <w:rPr>
                <w:color w:val="000000"/>
                <w:szCs w:val="20"/>
                <w:lang w:val="en-US"/>
              </w:rPr>
              <w:t>n</w:t>
            </w:r>
          </w:p>
        </w:tc>
        <w:tc>
          <w:tcPr>
            <w:tcW w:w="784" w:type="pct"/>
          </w:tcPr>
          <w:p w14:paraId="51FC5CC0" w14:textId="6ABC5C86" w:rsidR="008B2867" w:rsidRPr="00051379" w:rsidRDefault="008B2867" w:rsidP="00F14FD5">
            <w:pPr>
              <w:pStyle w:val="Tabletext"/>
              <w:keepNext/>
              <w:keepLines/>
              <w:rPr>
                <w:color w:val="000000"/>
                <w:szCs w:val="20"/>
                <w:lang w:val="en-US"/>
              </w:rPr>
            </w:pPr>
            <w:r w:rsidRPr="00051379">
              <w:rPr>
                <w:color w:val="000000"/>
                <w:szCs w:val="20"/>
                <w:lang w:val="en-US"/>
              </w:rPr>
              <w:t>117</w:t>
            </w:r>
          </w:p>
        </w:tc>
        <w:tc>
          <w:tcPr>
            <w:tcW w:w="921" w:type="pct"/>
          </w:tcPr>
          <w:p w14:paraId="597F1D1F" w14:textId="1C660103" w:rsidR="008B2867" w:rsidRPr="00051379" w:rsidRDefault="008B2867" w:rsidP="00F14FD5">
            <w:pPr>
              <w:pStyle w:val="Tabletext"/>
              <w:keepNext/>
              <w:keepLines/>
              <w:rPr>
                <w:color w:val="000000"/>
                <w:szCs w:val="20"/>
                <w:lang w:val="en-US"/>
              </w:rPr>
            </w:pPr>
            <w:r w:rsidRPr="00051379">
              <w:rPr>
                <w:color w:val="000000"/>
                <w:szCs w:val="20"/>
                <w:lang w:val="en-US"/>
              </w:rPr>
              <w:t>122</w:t>
            </w:r>
          </w:p>
        </w:tc>
      </w:tr>
      <w:tr w:rsidR="008B2867" w:rsidRPr="00051379" w14:paraId="57DE25F2" w14:textId="77777777" w:rsidTr="00B45564">
        <w:trPr>
          <w:trHeight w:val="66"/>
        </w:trPr>
        <w:tc>
          <w:tcPr>
            <w:tcW w:w="3295" w:type="pct"/>
          </w:tcPr>
          <w:p w14:paraId="4B28EBD9" w14:textId="77777777" w:rsidR="008B2867" w:rsidRPr="00051379" w:rsidRDefault="008B2867" w:rsidP="00F14FD5">
            <w:pPr>
              <w:pStyle w:val="Tabletext"/>
              <w:keepNext/>
              <w:keepLines/>
              <w:ind w:left="174"/>
              <w:rPr>
                <w:szCs w:val="20"/>
                <w:lang w:val="en-US"/>
              </w:rPr>
            </w:pPr>
            <w:r w:rsidRPr="00051379">
              <w:rPr>
                <w:szCs w:val="20"/>
                <w:lang w:val="en-US"/>
              </w:rPr>
              <w:t>Mean (SD)</w:t>
            </w:r>
          </w:p>
        </w:tc>
        <w:tc>
          <w:tcPr>
            <w:tcW w:w="784" w:type="pct"/>
          </w:tcPr>
          <w:p w14:paraId="7BECBD11" w14:textId="77777777" w:rsidR="008B2867" w:rsidRPr="00051379" w:rsidRDefault="008B2867" w:rsidP="00F14FD5">
            <w:pPr>
              <w:pStyle w:val="Tabletext"/>
              <w:keepNext/>
              <w:keepLines/>
              <w:rPr>
                <w:szCs w:val="20"/>
                <w:lang w:val="en-US"/>
              </w:rPr>
            </w:pPr>
            <w:r w:rsidRPr="00051379">
              <w:rPr>
                <w:color w:val="000000"/>
                <w:szCs w:val="20"/>
                <w:lang w:val="en-US"/>
              </w:rPr>
              <w:t>-47 (40.3)</w:t>
            </w:r>
          </w:p>
        </w:tc>
        <w:tc>
          <w:tcPr>
            <w:tcW w:w="921" w:type="pct"/>
          </w:tcPr>
          <w:p w14:paraId="441E4231" w14:textId="77777777" w:rsidR="008B2867" w:rsidRPr="00051379" w:rsidRDefault="008B2867" w:rsidP="00F14FD5">
            <w:pPr>
              <w:pStyle w:val="Tabletext"/>
              <w:keepNext/>
              <w:keepLines/>
              <w:rPr>
                <w:szCs w:val="20"/>
                <w:lang w:val="en-US"/>
              </w:rPr>
            </w:pPr>
            <w:r w:rsidRPr="00051379">
              <w:rPr>
                <w:color w:val="000000"/>
                <w:szCs w:val="20"/>
                <w:lang w:val="en-US"/>
              </w:rPr>
              <w:t>-10 (29.6)</w:t>
            </w:r>
          </w:p>
        </w:tc>
      </w:tr>
      <w:tr w:rsidR="008B2867" w:rsidRPr="00051379" w14:paraId="4D206665" w14:textId="77777777" w:rsidTr="00B45564">
        <w:trPr>
          <w:trHeight w:val="66"/>
        </w:trPr>
        <w:tc>
          <w:tcPr>
            <w:tcW w:w="3295" w:type="pct"/>
          </w:tcPr>
          <w:p w14:paraId="00628E15" w14:textId="77777777" w:rsidR="008B2867" w:rsidRPr="00051379" w:rsidRDefault="008B2867" w:rsidP="00F14FD5">
            <w:pPr>
              <w:pStyle w:val="Tabletext"/>
              <w:keepNext/>
              <w:keepLines/>
              <w:ind w:left="174"/>
              <w:rPr>
                <w:szCs w:val="20"/>
                <w:lang w:val="en-US"/>
              </w:rPr>
            </w:pPr>
            <w:r w:rsidRPr="00051379">
              <w:rPr>
                <w:szCs w:val="20"/>
                <w:lang w:val="en-US"/>
              </w:rPr>
              <w:t>LS Mean Difference Mavacamten vs Placebo (95% CI)</w:t>
            </w:r>
            <w:r w:rsidRPr="00051379">
              <w:rPr>
                <w:position w:val="-1"/>
                <w:szCs w:val="20"/>
                <w:vertAlign w:val="superscript"/>
                <w:lang w:val="en-US"/>
              </w:rPr>
              <w:t>a</w:t>
            </w:r>
          </w:p>
        </w:tc>
        <w:tc>
          <w:tcPr>
            <w:tcW w:w="1705" w:type="pct"/>
            <w:gridSpan w:val="2"/>
          </w:tcPr>
          <w:p w14:paraId="5FF174F3" w14:textId="77777777" w:rsidR="008B2867" w:rsidRPr="00051379" w:rsidRDefault="008B2867" w:rsidP="00F14FD5">
            <w:pPr>
              <w:pStyle w:val="Tabletext"/>
              <w:keepNext/>
              <w:keepLines/>
              <w:jc w:val="center"/>
              <w:rPr>
                <w:color w:val="000000"/>
                <w:szCs w:val="20"/>
                <w:lang w:val="en-US"/>
              </w:rPr>
            </w:pPr>
            <w:r w:rsidRPr="00051379">
              <w:rPr>
                <w:color w:val="000000"/>
                <w:szCs w:val="20"/>
                <w:lang w:val="en-US"/>
              </w:rPr>
              <w:t>-35 (-43.2, -28.1)</w:t>
            </w:r>
          </w:p>
        </w:tc>
      </w:tr>
      <w:tr w:rsidR="008B2867" w:rsidRPr="00051379" w14:paraId="4AD4EAAE" w14:textId="77777777" w:rsidTr="00B45564">
        <w:tc>
          <w:tcPr>
            <w:tcW w:w="3295" w:type="pct"/>
          </w:tcPr>
          <w:p w14:paraId="6F0509EE" w14:textId="77777777" w:rsidR="008B2867" w:rsidRPr="00051379" w:rsidRDefault="008B2867" w:rsidP="00F14FD5">
            <w:pPr>
              <w:pStyle w:val="Tabletext"/>
              <w:keepNext/>
              <w:keepLines/>
              <w:ind w:left="174"/>
              <w:rPr>
                <w:szCs w:val="20"/>
                <w:lang w:val="en-US"/>
              </w:rPr>
            </w:pPr>
            <w:r w:rsidRPr="00051379">
              <w:rPr>
                <w:szCs w:val="20"/>
                <w:lang w:val="en-US"/>
              </w:rPr>
              <w:t>P-value</w:t>
            </w:r>
          </w:p>
        </w:tc>
        <w:tc>
          <w:tcPr>
            <w:tcW w:w="1705" w:type="pct"/>
            <w:gridSpan w:val="2"/>
          </w:tcPr>
          <w:p w14:paraId="2F5AD61D" w14:textId="77777777" w:rsidR="008B2867" w:rsidRPr="00051379" w:rsidRDefault="008B2867" w:rsidP="00F14FD5">
            <w:pPr>
              <w:pStyle w:val="Tabletext"/>
              <w:keepNext/>
              <w:keepLines/>
              <w:jc w:val="center"/>
              <w:rPr>
                <w:color w:val="000000"/>
                <w:szCs w:val="20"/>
                <w:lang w:val="en-US"/>
              </w:rPr>
            </w:pPr>
            <w:r w:rsidRPr="00051379">
              <w:rPr>
                <w:color w:val="000000"/>
                <w:szCs w:val="20"/>
                <w:lang w:val="en-US"/>
              </w:rPr>
              <w:t>&lt; 0.0001</w:t>
            </w:r>
          </w:p>
        </w:tc>
      </w:tr>
    </w:tbl>
    <w:p w14:paraId="01099331" w14:textId="77777777" w:rsidR="008B2867" w:rsidRPr="00D35C59" w:rsidRDefault="008B2867" w:rsidP="00F14FD5">
      <w:pPr>
        <w:pStyle w:val="FooterTableFigure"/>
        <w:keepNext/>
        <w:keepLines/>
        <w:rPr>
          <w:rFonts w:eastAsia="Calibri"/>
        </w:rPr>
      </w:pPr>
      <w:r w:rsidRPr="00D35C59">
        <w:rPr>
          <w:rFonts w:eastAsia="Calibri"/>
        </w:rPr>
        <w:t>Source: Table 44, p102 of the submission.</w:t>
      </w:r>
    </w:p>
    <w:p w14:paraId="6760824F" w14:textId="4343DE3C" w:rsidR="008B2867" w:rsidRPr="00D35C59" w:rsidRDefault="008B2867" w:rsidP="00F14FD5">
      <w:pPr>
        <w:pStyle w:val="FooterTableFigure"/>
        <w:keepNext/>
        <w:keepLines/>
        <w:rPr>
          <w:rFonts w:eastAsia="Calibri"/>
        </w:rPr>
      </w:pPr>
      <w:r w:rsidRPr="00D35C59">
        <w:rPr>
          <w:rFonts w:eastAsia="Calibri"/>
        </w:rPr>
        <w:t>CI = confidence interval, LS = least squares, LVOT = left ventricular outflow tract, SD = standard deviation</w:t>
      </w:r>
    </w:p>
    <w:p w14:paraId="7C7403C9" w14:textId="77777777" w:rsidR="008B2867" w:rsidRPr="00D35C59" w:rsidRDefault="008B2867" w:rsidP="00F14FD5">
      <w:pPr>
        <w:pStyle w:val="FooterTableFigure"/>
        <w:keepNext/>
        <w:keepLines/>
        <w:rPr>
          <w:rFonts w:eastAsia="Calibri"/>
        </w:rPr>
      </w:pPr>
      <w:r w:rsidRPr="00D35C59">
        <w:rPr>
          <w:rFonts w:eastAsia="Calibri"/>
          <w:vertAlign w:val="superscript"/>
        </w:rPr>
        <w:t>a</w:t>
      </w:r>
      <w:r w:rsidRPr="00D35C59">
        <w:rPr>
          <w:rFonts w:eastAsia="Calibri"/>
        </w:rPr>
        <w:t xml:space="preserve"> The mean difference estimate, its 95% CI, and p-values are from the ANCOVA which controls for treatment group (mavacamten vs placebo), baseline value of the corresponding endpoint of interest, and the three stratification factors (beta-blocker use, NYHA class, ergometer type based on IXRS).</w:t>
      </w:r>
    </w:p>
    <w:p w14:paraId="4592E97B" w14:textId="532CDB96" w:rsidR="00912D3A" w:rsidRPr="005518CE" w:rsidRDefault="00912D3A" w:rsidP="00912D3A">
      <w:pPr>
        <w:pStyle w:val="3-BodyText"/>
        <w:rPr>
          <w:rFonts w:eastAsia="Calibri"/>
        </w:rPr>
      </w:pPr>
      <w:r>
        <w:rPr>
          <w:rFonts w:eastAsia="Calibri"/>
        </w:rPr>
        <w:t>Patients in the mavacamten arm had a mean increase in pVO</w:t>
      </w:r>
      <w:r w:rsidRPr="00A62C19">
        <w:rPr>
          <w:rFonts w:eastAsia="Calibri"/>
          <w:vertAlign w:val="subscript"/>
        </w:rPr>
        <w:t>2</w:t>
      </w:r>
      <w:r>
        <w:rPr>
          <w:rFonts w:eastAsia="Calibri"/>
        </w:rPr>
        <w:t xml:space="preserve"> between baseline and 30 weeks of treatment of 1.</w:t>
      </w:r>
      <w:r w:rsidR="009554BD">
        <w:rPr>
          <w:rFonts w:eastAsia="Calibri"/>
        </w:rPr>
        <w:t>4 </w:t>
      </w:r>
      <w:r>
        <w:rPr>
          <w:rFonts w:eastAsia="Calibri"/>
        </w:rPr>
        <w:t xml:space="preserve">mL/kg/min (whereas patients in the placebo arm had </w:t>
      </w:r>
      <w:r w:rsidR="00D17D05" w:rsidRPr="00F72968">
        <w:rPr>
          <w:rFonts w:eastAsia="Calibri"/>
          <w:iCs/>
        </w:rPr>
        <w:t>no change</w:t>
      </w:r>
      <w:r w:rsidR="00D17D05">
        <w:rPr>
          <w:rFonts w:eastAsia="Calibri"/>
        </w:rPr>
        <w:t xml:space="preserve"> </w:t>
      </w:r>
      <w:r>
        <w:rPr>
          <w:rFonts w:eastAsia="Calibri"/>
        </w:rPr>
        <w:t xml:space="preserve">in peak oxygen </w:t>
      </w:r>
      <w:r w:rsidR="00051379">
        <w:rPr>
          <w:rFonts w:eastAsia="Calibri"/>
        </w:rPr>
        <w:t>consumption</w:t>
      </w:r>
      <w:r w:rsidR="00D72532">
        <w:rPr>
          <w:rFonts w:eastAsia="Calibri"/>
        </w:rPr>
        <w:t>)</w:t>
      </w:r>
      <w:r>
        <w:rPr>
          <w:rFonts w:eastAsia="Calibri"/>
        </w:rPr>
        <w:t xml:space="preserve">. </w:t>
      </w:r>
      <w:r w:rsidR="00D4265D" w:rsidRPr="00885192">
        <w:rPr>
          <w:rFonts w:cs="Times New Roman"/>
          <w:szCs w:val="20"/>
        </w:rPr>
        <w:t>Based on the study by Swank et al. (2012), an improvement of 1.5</w:t>
      </w:r>
      <w:r w:rsidR="0060679E">
        <w:rPr>
          <w:rFonts w:cs="Times New Roman"/>
          <w:szCs w:val="20"/>
        </w:rPr>
        <w:t> </w:t>
      </w:r>
      <w:r w:rsidR="00D4265D" w:rsidRPr="00885192">
        <w:rPr>
          <w:rFonts w:cs="Times New Roman"/>
          <w:szCs w:val="20"/>
        </w:rPr>
        <w:t>mL/kg/min in pVO</w:t>
      </w:r>
      <w:r w:rsidR="00D4265D" w:rsidRPr="00885192">
        <w:rPr>
          <w:rFonts w:cs="Times New Roman"/>
          <w:szCs w:val="20"/>
          <w:vertAlign w:val="subscript"/>
        </w:rPr>
        <w:t>2</w:t>
      </w:r>
      <w:r w:rsidR="00D4265D" w:rsidRPr="00885192">
        <w:rPr>
          <w:rFonts w:cs="Times New Roman"/>
          <w:szCs w:val="20"/>
        </w:rPr>
        <w:t xml:space="preserve"> would be a clinically important difference</w:t>
      </w:r>
      <w:r w:rsidR="00D4265D" w:rsidRPr="00885192">
        <w:rPr>
          <w:rStyle w:val="FootnoteReference"/>
          <w:rFonts w:cs="Times New Roman"/>
          <w:szCs w:val="20"/>
        </w:rPr>
        <w:footnoteReference w:id="3"/>
      </w:r>
      <w:r w:rsidR="00D4265D" w:rsidRPr="00885192">
        <w:rPr>
          <w:rFonts w:cs="Times New Roman"/>
          <w:szCs w:val="20"/>
        </w:rPr>
        <w:t>.</w:t>
      </w:r>
    </w:p>
    <w:p w14:paraId="5E448373" w14:textId="3E7A455F" w:rsidR="00584B53" w:rsidRDefault="00584B53">
      <w:pPr>
        <w:jc w:val="left"/>
        <w:rPr>
          <w:rFonts w:ascii="Arial Narrow" w:hAnsi="Arial Narrow"/>
          <w:b/>
          <w:bCs/>
          <w:sz w:val="20"/>
          <w:szCs w:val="18"/>
        </w:rPr>
      </w:pPr>
    </w:p>
    <w:p w14:paraId="3014002E" w14:textId="482C62B2" w:rsidR="00912D3A" w:rsidRDefault="00912D3A" w:rsidP="00912D3A">
      <w:pPr>
        <w:pStyle w:val="Caption"/>
      </w:pPr>
      <w:r>
        <w:t xml:space="preserve">Table </w:t>
      </w:r>
      <w:r w:rsidR="00645E50">
        <w:fldChar w:fldCharType="begin"/>
      </w:r>
      <w:r w:rsidR="00645E50">
        <w:instrText xml:space="preserve"> SEQ Table \* ARABIC </w:instrText>
      </w:r>
      <w:r w:rsidR="00645E50">
        <w:fldChar w:fldCharType="separate"/>
      </w:r>
      <w:r w:rsidR="00645E50">
        <w:rPr>
          <w:noProof/>
        </w:rPr>
        <w:t>8</w:t>
      </w:r>
      <w:r w:rsidR="00645E50">
        <w:rPr>
          <w:noProof/>
        </w:rPr>
        <w:fldChar w:fldCharType="end"/>
      </w:r>
      <w:r>
        <w:t xml:space="preserve">: Peak oxygen </w:t>
      </w:r>
      <w:r w:rsidR="00051379">
        <w:t xml:space="preserve">consumption </w:t>
      </w:r>
      <w:r>
        <w:t>(</w:t>
      </w:r>
      <w:r w:rsidRPr="008774E9">
        <w:t>pVO2</w:t>
      </w:r>
      <w:r>
        <w:t>)</w:t>
      </w:r>
    </w:p>
    <w:tbl>
      <w:tblPr>
        <w:tblStyle w:val="PBACtable2"/>
        <w:tblW w:w="5005" w:type="pct"/>
        <w:tblLook w:val="04A0" w:firstRow="1" w:lastRow="0" w:firstColumn="1" w:lastColumn="0" w:noHBand="0" w:noVBand="1"/>
      </w:tblPr>
      <w:tblGrid>
        <w:gridCol w:w="6231"/>
        <w:gridCol w:w="1560"/>
        <w:gridCol w:w="1235"/>
      </w:tblGrid>
      <w:tr w:rsidR="00912D3A" w:rsidRPr="004B5317" w14:paraId="5B5B9DFA" w14:textId="77777777" w:rsidTr="00D2506A">
        <w:tc>
          <w:tcPr>
            <w:tcW w:w="3452" w:type="pct"/>
          </w:tcPr>
          <w:p w14:paraId="0A57BF27" w14:textId="77777777" w:rsidR="00912D3A" w:rsidRPr="008774E9" w:rsidRDefault="00912D3A" w:rsidP="00D2506A">
            <w:pPr>
              <w:pStyle w:val="TableFigureHeading"/>
              <w:rPr>
                <w:sz w:val="20"/>
                <w:szCs w:val="20"/>
                <w:lang w:val="en-US"/>
              </w:rPr>
            </w:pPr>
            <w:r w:rsidRPr="008774E9">
              <w:rPr>
                <w:sz w:val="20"/>
                <w:szCs w:val="20"/>
                <w:lang w:val="en-US"/>
              </w:rPr>
              <w:t>Endpoint</w:t>
            </w:r>
          </w:p>
        </w:tc>
        <w:tc>
          <w:tcPr>
            <w:tcW w:w="864" w:type="pct"/>
          </w:tcPr>
          <w:p w14:paraId="634CF7DC" w14:textId="77777777" w:rsidR="00912D3A" w:rsidRPr="008774E9" w:rsidRDefault="00912D3A" w:rsidP="00D2506A">
            <w:pPr>
              <w:pStyle w:val="TableFigureHeading"/>
              <w:rPr>
                <w:color w:val="000000"/>
                <w:sz w:val="20"/>
                <w:szCs w:val="20"/>
                <w:lang w:val="en-US"/>
              </w:rPr>
            </w:pPr>
            <w:r w:rsidRPr="008774E9">
              <w:rPr>
                <w:sz w:val="20"/>
                <w:szCs w:val="20"/>
                <w:lang w:val="en-US"/>
              </w:rPr>
              <w:t>Mavacamten</w:t>
            </w:r>
            <w:r w:rsidRPr="008774E9">
              <w:rPr>
                <w:sz w:val="20"/>
                <w:szCs w:val="20"/>
                <w:lang w:val="en-US"/>
              </w:rPr>
              <w:br/>
              <w:t>(N = 123)</w:t>
            </w:r>
          </w:p>
        </w:tc>
        <w:tc>
          <w:tcPr>
            <w:tcW w:w="684" w:type="pct"/>
          </w:tcPr>
          <w:p w14:paraId="1ACD91B5" w14:textId="77777777" w:rsidR="00912D3A" w:rsidRPr="008774E9" w:rsidRDefault="00912D3A" w:rsidP="00D2506A">
            <w:pPr>
              <w:pStyle w:val="TableFigureHeading"/>
              <w:rPr>
                <w:color w:val="000000"/>
                <w:sz w:val="20"/>
                <w:szCs w:val="20"/>
                <w:lang w:val="en-US"/>
              </w:rPr>
            </w:pPr>
            <w:r w:rsidRPr="008774E9">
              <w:rPr>
                <w:sz w:val="20"/>
                <w:szCs w:val="20"/>
                <w:lang w:val="en-US"/>
              </w:rPr>
              <w:t>Placebo</w:t>
            </w:r>
            <w:r w:rsidRPr="008774E9">
              <w:rPr>
                <w:sz w:val="20"/>
                <w:szCs w:val="20"/>
                <w:lang w:val="en-US"/>
              </w:rPr>
              <w:br/>
              <w:t>(N = 128)</w:t>
            </w:r>
          </w:p>
        </w:tc>
      </w:tr>
      <w:tr w:rsidR="005D0295" w:rsidRPr="004B5317" w14:paraId="3600CD45" w14:textId="77777777" w:rsidTr="00FB5626">
        <w:tc>
          <w:tcPr>
            <w:tcW w:w="3452" w:type="pct"/>
          </w:tcPr>
          <w:p w14:paraId="09517F34" w14:textId="6A9F0069" w:rsidR="005D0295" w:rsidRPr="004B5317" w:rsidRDefault="005D0295" w:rsidP="00FB5626">
            <w:pPr>
              <w:pStyle w:val="Tabletext"/>
              <w:rPr>
                <w:lang w:val="en-US"/>
              </w:rPr>
            </w:pPr>
            <w:r w:rsidRPr="004B5317">
              <w:rPr>
                <w:lang w:val="en-US"/>
              </w:rPr>
              <w:t>Baseline</w:t>
            </w:r>
            <w:r w:rsidR="006446D4">
              <w:rPr>
                <w:lang w:val="en-US"/>
              </w:rPr>
              <w:t>, n</w:t>
            </w:r>
          </w:p>
        </w:tc>
        <w:tc>
          <w:tcPr>
            <w:tcW w:w="864" w:type="pct"/>
          </w:tcPr>
          <w:p w14:paraId="1689996D" w14:textId="45450380" w:rsidR="005D0295" w:rsidRPr="004B5317" w:rsidRDefault="005D0295" w:rsidP="00FB5626">
            <w:pPr>
              <w:pStyle w:val="Tabletext"/>
              <w:rPr>
                <w:color w:val="000000"/>
                <w:lang w:val="en-US"/>
              </w:rPr>
            </w:pPr>
            <w:r w:rsidRPr="004B5317">
              <w:rPr>
                <w:color w:val="000000"/>
                <w:lang w:val="en-US"/>
              </w:rPr>
              <w:t>123</w:t>
            </w:r>
          </w:p>
        </w:tc>
        <w:tc>
          <w:tcPr>
            <w:tcW w:w="684" w:type="pct"/>
          </w:tcPr>
          <w:p w14:paraId="37CFB288" w14:textId="7A237EA2" w:rsidR="005D0295" w:rsidRPr="004B5317" w:rsidRDefault="005D0295" w:rsidP="00FB5626">
            <w:pPr>
              <w:pStyle w:val="Tabletext"/>
              <w:rPr>
                <w:color w:val="000000"/>
                <w:lang w:val="en-US"/>
              </w:rPr>
            </w:pPr>
            <w:r w:rsidRPr="004B5317">
              <w:rPr>
                <w:color w:val="000000"/>
                <w:lang w:val="en-US"/>
              </w:rPr>
              <w:t>128</w:t>
            </w:r>
          </w:p>
        </w:tc>
      </w:tr>
      <w:tr w:rsidR="005D0295" w:rsidRPr="00F5695F" w14:paraId="799E9A0D" w14:textId="77777777" w:rsidTr="00FB5626">
        <w:tc>
          <w:tcPr>
            <w:tcW w:w="3452" w:type="pct"/>
          </w:tcPr>
          <w:p w14:paraId="57CF9CF1" w14:textId="77777777" w:rsidR="005D0295" w:rsidRPr="004B5317" w:rsidRDefault="005D0295" w:rsidP="00FB5626">
            <w:pPr>
              <w:pStyle w:val="Tabletext"/>
              <w:ind w:left="174"/>
              <w:rPr>
                <w:lang w:val="en-US"/>
              </w:rPr>
            </w:pPr>
            <w:r w:rsidRPr="004B5317">
              <w:rPr>
                <w:lang w:val="en-US"/>
              </w:rPr>
              <w:t>Mean (SD)</w:t>
            </w:r>
          </w:p>
        </w:tc>
        <w:tc>
          <w:tcPr>
            <w:tcW w:w="864" w:type="pct"/>
          </w:tcPr>
          <w:p w14:paraId="52C4B153" w14:textId="77777777" w:rsidR="005D0295" w:rsidRPr="00F5695F" w:rsidRDefault="005D0295" w:rsidP="00FB5626">
            <w:pPr>
              <w:pStyle w:val="Tabletext"/>
              <w:rPr>
                <w:color w:val="000000"/>
                <w:lang w:val="en-US"/>
              </w:rPr>
            </w:pPr>
            <w:r w:rsidRPr="00F5695F">
              <w:rPr>
                <w:color w:val="000000"/>
                <w:lang w:val="en-US"/>
              </w:rPr>
              <w:t>18.9 (4.86)</w:t>
            </w:r>
          </w:p>
        </w:tc>
        <w:tc>
          <w:tcPr>
            <w:tcW w:w="684" w:type="pct"/>
          </w:tcPr>
          <w:p w14:paraId="5ED3ACF2" w14:textId="77777777" w:rsidR="005D0295" w:rsidRPr="00F5695F" w:rsidRDefault="005D0295" w:rsidP="00FB5626">
            <w:pPr>
              <w:pStyle w:val="Tabletext"/>
              <w:rPr>
                <w:color w:val="000000"/>
                <w:lang w:val="en-US"/>
              </w:rPr>
            </w:pPr>
            <w:r w:rsidRPr="00F5695F">
              <w:rPr>
                <w:color w:val="000000"/>
                <w:lang w:val="en-US"/>
              </w:rPr>
              <w:t>19.9 (4.91)</w:t>
            </w:r>
          </w:p>
        </w:tc>
      </w:tr>
      <w:tr w:rsidR="005D0295" w:rsidRPr="004B5317" w14:paraId="625CAD85" w14:textId="77777777" w:rsidTr="00FB5626">
        <w:tc>
          <w:tcPr>
            <w:tcW w:w="3452" w:type="pct"/>
          </w:tcPr>
          <w:p w14:paraId="5488D244" w14:textId="02ACA2B0" w:rsidR="005D0295" w:rsidRPr="004B5317" w:rsidRDefault="005D0295" w:rsidP="00FB5626">
            <w:pPr>
              <w:pStyle w:val="Tabletext"/>
              <w:rPr>
                <w:lang w:val="en-US"/>
              </w:rPr>
            </w:pPr>
            <w:r w:rsidRPr="004B5317">
              <w:rPr>
                <w:lang w:val="en-US"/>
              </w:rPr>
              <w:t>Week 30</w:t>
            </w:r>
            <w:r w:rsidR="006446D4">
              <w:rPr>
                <w:lang w:val="en-US"/>
              </w:rPr>
              <w:t>, n</w:t>
            </w:r>
          </w:p>
        </w:tc>
        <w:tc>
          <w:tcPr>
            <w:tcW w:w="864" w:type="pct"/>
          </w:tcPr>
          <w:p w14:paraId="1FF76A20" w14:textId="5C3C3B8F" w:rsidR="005D0295" w:rsidRPr="004B5317" w:rsidRDefault="005D0295" w:rsidP="00FB5626">
            <w:pPr>
              <w:pStyle w:val="Tabletext"/>
              <w:rPr>
                <w:color w:val="000000"/>
                <w:lang w:val="en-US"/>
              </w:rPr>
            </w:pPr>
            <w:r w:rsidRPr="004B5317">
              <w:rPr>
                <w:color w:val="000000"/>
                <w:lang w:val="en-US"/>
              </w:rPr>
              <w:t>120</w:t>
            </w:r>
          </w:p>
        </w:tc>
        <w:tc>
          <w:tcPr>
            <w:tcW w:w="684" w:type="pct"/>
          </w:tcPr>
          <w:p w14:paraId="71AF04EB" w14:textId="74966FD5" w:rsidR="005D0295" w:rsidRPr="004B5317" w:rsidRDefault="005D0295" w:rsidP="00FB5626">
            <w:pPr>
              <w:pStyle w:val="Tabletext"/>
              <w:rPr>
                <w:color w:val="000000"/>
                <w:lang w:val="en-US"/>
              </w:rPr>
            </w:pPr>
            <w:r w:rsidRPr="004B5317">
              <w:rPr>
                <w:color w:val="000000"/>
                <w:lang w:val="en-US"/>
              </w:rPr>
              <w:t>125</w:t>
            </w:r>
          </w:p>
        </w:tc>
      </w:tr>
      <w:tr w:rsidR="005D0295" w:rsidRPr="004B5317" w14:paraId="6A86B681" w14:textId="77777777" w:rsidTr="00FB5626">
        <w:tc>
          <w:tcPr>
            <w:tcW w:w="3452" w:type="pct"/>
          </w:tcPr>
          <w:p w14:paraId="1879B4CA" w14:textId="77777777" w:rsidR="005D0295" w:rsidRPr="004B5317" w:rsidRDefault="005D0295" w:rsidP="00FB5626">
            <w:pPr>
              <w:pStyle w:val="Tabletext"/>
              <w:ind w:left="174"/>
              <w:rPr>
                <w:lang w:val="en-US"/>
              </w:rPr>
            </w:pPr>
            <w:r w:rsidRPr="004B5317">
              <w:rPr>
                <w:lang w:val="en-US"/>
              </w:rPr>
              <w:t>Mean (SD)</w:t>
            </w:r>
          </w:p>
        </w:tc>
        <w:tc>
          <w:tcPr>
            <w:tcW w:w="864" w:type="pct"/>
          </w:tcPr>
          <w:p w14:paraId="10196B53" w14:textId="77777777" w:rsidR="005D0295" w:rsidRPr="004B5317" w:rsidRDefault="005D0295" w:rsidP="00FB5626">
            <w:pPr>
              <w:pStyle w:val="Tabletext"/>
              <w:rPr>
                <w:color w:val="000000"/>
                <w:lang w:val="en-US"/>
              </w:rPr>
            </w:pPr>
            <w:r w:rsidRPr="004B5317">
              <w:rPr>
                <w:color w:val="000000"/>
                <w:lang w:val="en-US"/>
              </w:rPr>
              <w:t>20.4 (5.36)</w:t>
            </w:r>
          </w:p>
        </w:tc>
        <w:tc>
          <w:tcPr>
            <w:tcW w:w="684" w:type="pct"/>
          </w:tcPr>
          <w:p w14:paraId="3A36FCA2" w14:textId="77777777" w:rsidR="005D0295" w:rsidRPr="004B5317" w:rsidRDefault="005D0295" w:rsidP="00FB5626">
            <w:pPr>
              <w:pStyle w:val="Tabletext"/>
              <w:rPr>
                <w:color w:val="000000"/>
                <w:lang w:val="en-US"/>
              </w:rPr>
            </w:pPr>
            <w:r w:rsidRPr="004B5317">
              <w:rPr>
                <w:color w:val="000000"/>
                <w:lang w:val="en-US"/>
              </w:rPr>
              <w:t>19.9 (5.40)</w:t>
            </w:r>
          </w:p>
        </w:tc>
      </w:tr>
      <w:tr w:rsidR="00912D3A" w:rsidRPr="004B5317" w14:paraId="7AEDB96E" w14:textId="77777777" w:rsidTr="00D2506A">
        <w:tc>
          <w:tcPr>
            <w:tcW w:w="3452" w:type="pct"/>
          </w:tcPr>
          <w:p w14:paraId="64C855C3" w14:textId="633DEB2E" w:rsidR="00912D3A" w:rsidRPr="004B5317" w:rsidRDefault="00912D3A" w:rsidP="00D2506A">
            <w:pPr>
              <w:pStyle w:val="Tabletext"/>
              <w:rPr>
                <w:lang w:val="en-US"/>
              </w:rPr>
            </w:pPr>
            <w:r w:rsidRPr="004B5317">
              <w:rPr>
                <w:lang w:val="en-US"/>
              </w:rPr>
              <w:t>Change from Baseline to Week 30 in pVO</w:t>
            </w:r>
            <w:r w:rsidRPr="004B5317">
              <w:rPr>
                <w:vertAlign w:val="subscript"/>
                <w:lang w:val="en-US"/>
              </w:rPr>
              <w:t>2</w:t>
            </w:r>
            <w:r w:rsidRPr="004B5317">
              <w:rPr>
                <w:lang w:val="en-US"/>
              </w:rPr>
              <w:t xml:space="preserve"> (mL/kg/min)</w:t>
            </w:r>
            <w:r w:rsidR="006446D4">
              <w:rPr>
                <w:lang w:val="en-US"/>
              </w:rPr>
              <w:t>, n</w:t>
            </w:r>
            <w:r w:rsidRPr="004B5317">
              <w:rPr>
                <w:lang w:val="en-US"/>
              </w:rPr>
              <w:t xml:space="preserve"> </w:t>
            </w:r>
          </w:p>
        </w:tc>
        <w:tc>
          <w:tcPr>
            <w:tcW w:w="864" w:type="pct"/>
          </w:tcPr>
          <w:p w14:paraId="748F00CA" w14:textId="6DA9A21F" w:rsidR="00912D3A" w:rsidRPr="004B5317" w:rsidRDefault="00912D3A" w:rsidP="00D2506A">
            <w:pPr>
              <w:pStyle w:val="Tabletext"/>
              <w:rPr>
                <w:color w:val="000000"/>
                <w:lang w:val="en-US"/>
              </w:rPr>
            </w:pPr>
            <w:r w:rsidRPr="004B5317">
              <w:rPr>
                <w:color w:val="000000"/>
                <w:lang w:val="en-US"/>
              </w:rPr>
              <w:t>120</w:t>
            </w:r>
          </w:p>
        </w:tc>
        <w:tc>
          <w:tcPr>
            <w:tcW w:w="684" w:type="pct"/>
          </w:tcPr>
          <w:p w14:paraId="2D1E3541" w14:textId="3D8B0B0B" w:rsidR="00912D3A" w:rsidRPr="004B5317" w:rsidRDefault="00912D3A" w:rsidP="00D2506A">
            <w:pPr>
              <w:pStyle w:val="Tabletext"/>
              <w:rPr>
                <w:color w:val="000000"/>
                <w:lang w:val="en-US"/>
              </w:rPr>
            </w:pPr>
            <w:r w:rsidRPr="004B5317">
              <w:rPr>
                <w:color w:val="000000"/>
                <w:lang w:val="en-US"/>
              </w:rPr>
              <w:t>125</w:t>
            </w:r>
          </w:p>
        </w:tc>
      </w:tr>
      <w:tr w:rsidR="00912D3A" w:rsidRPr="004B5317" w14:paraId="1EFC66A4" w14:textId="77777777" w:rsidTr="00D2506A">
        <w:tc>
          <w:tcPr>
            <w:tcW w:w="3452" w:type="pct"/>
          </w:tcPr>
          <w:p w14:paraId="0CEFA15B" w14:textId="77777777" w:rsidR="00912D3A" w:rsidRPr="004B5317" w:rsidRDefault="00912D3A" w:rsidP="00D2506A">
            <w:pPr>
              <w:pStyle w:val="Tabletext"/>
              <w:ind w:left="174"/>
              <w:rPr>
                <w:lang w:val="en-US"/>
              </w:rPr>
            </w:pPr>
            <w:r w:rsidRPr="004B5317">
              <w:rPr>
                <w:lang w:val="en-US"/>
              </w:rPr>
              <w:t>Mean (SD)</w:t>
            </w:r>
          </w:p>
        </w:tc>
        <w:tc>
          <w:tcPr>
            <w:tcW w:w="864" w:type="pct"/>
          </w:tcPr>
          <w:p w14:paraId="600DE537" w14:textId="77777777" w:rsidR="00912D3A" w:rsidRPr="004B5317" w:rsidRDefault="00912D3A" w:rsidP="00D2506A">
            <w:pPr>
              <w:pStyle w:val="Tabletext"/>
              <w:rPr>
                <w:color w:val="000000"/>
                <w:lang w:val="en-US"/>
              </w:rPr>
            </w:pPr>
            <w:r w:rsidRPr="004B5317">
              <w:rPr>
                <w:color w:val="000000"/>
                <w:lang w:val="en-US"/>
              </w:rPr>
              <w:t>1.4 (3.12)</w:t>
            </w:r>
          </w:p>
        </w:tc>
        <w:tc>
          <w:tcPr>
            <w:tcW w:w="684" w:type="pct"/>
          </w:tcPr>
          <w:p w14:paraId="101F61EC" w14:textId="77777777" w:rsidR="00912D3A" w:rsidRPr="004B5317" w:rsidRDefault="00912D3A" w:rsidP="00D2506A">
            <w:pPr>
              <w:pStyle w:val="Tabletext"/>
              <w:rPr>
                <w:color w:val="000000"/>
                <w:lang w:val="en-US"/>
              </w:rPr>
            </w:pPr>
            <w:r w:rsidRPr="004B5317">
              <w:rPr>
                <w:color w:val="000000"/>
                <w:lang w:val="en-US"/>
              </w:rPr>
              <w:t>-0.05 (3.02)</w:t>
            </w:r>
          </w:p>
        </w:tc>
      </w:tr>
      <w:tr w:rsidR="00912D3A" w:rsidRPr="004B5317" w14:paraId="3FE514C2" w14:textId="77777777" w:rsidTr="00D2506A">
        <w:tc>
          <w:tcPr>
            <w:tcW w:w="3452" w:type="pct"/>
          </w:tcPr>
          <w:p w14:paraId="53FA5521" w14:textId="77777777" w:rsidR="00912D3A" w:rsidRPr="004B5317" w:rsidRDefault="00912D3A" w:rsidP="00D2506A">
            <w:pPr>
              <w:pStyle w:val="Tabletext"/>
              <w:ind w:left="174"/>
              <w:rPr>
                <w:lang w:val="en-US"/>
              </w:rPr>
            </w:pPr>
            <w:r w:rsidRPr="004B5317">
              <w:rPr>
                <w:lang w:val="en-US"/>
              </w:rPr>
              <w:t>LS Mean Difference</w:t>
            </w:r>
            <w:r>
              <w:rPr>
                <w:lang w:val="en-US"/>
              </w:rPr>
              <w:t xml:space="preserve">, </w:t>
            </w:r>
            <w:r w:rsidRPr="004B5317">
              <w:rPr>
                <w:lang w:val="en-US"/>
              </w:rPr>
              <w:t>Mavacamten vs Placebo (95% CI)</w:t>
            </w:r>
          </w:p>
        </w:tc>
        <w:tc>
          <w:tcPr>
            <w:tcW w:w="1548" w:type="pct"/>
            <w:gridSpan w:val="2"/>
          </w:tcPr>
          <w:p w14:paraId="45A0ABA1" w14:textId="77777777" w:rsidR="00912D3A" w:rsidRPr="004B5317" w:rsidRDefault="00912D3A" w:rsidP="00D2506A">
            <w:pPr>
              <w:pStyle w:val="Tabletext"/>
              <w:jc w:val="center"/>
              <w:rPr>
                <w:color w:val="000000"/>
                <w:lang w:val="en-US"/>
              </w:rPr>
            </w:pPr>
            <w:r w:rsidRPr="004B5317">
              <w:rPr>
                <w:color w:val="000000"/>
                <w:lang w:val="en-US"/>
              </w:rPr>
              <w:t>1.4 (0.59, 2.12)</w:t>
            </w:r>
          </w:p>
        </w:tc>
      </w:tr>
      <w:tr w:rsidR="00912D3A" w:rsidRPr="004B5317" w14:paraId="187D3DE0" w14:textId="77777777" w:rsidTr="00D2506A">
        <w:tc>
          <w:tcPr>
            <w:tcW w:w="3452" w:type="pct"/>
          </w:tcPr>
          <w:p w14:paraId="525A2513" w14:textId="77777777" w:rsidR="00912D3A" w:rsidRPr="004B5317" w:rsidRDefault="00912D3A" w:rsidP="00D2506A">
            <w:pPr>
              <w:pStyle w:val="Tabletext"/>
              <w:ind w:left="174"/>
              <w:rPr>
                <w:lang w:val="en-US"/>
              </w:rPr>
            </w:pPr>
            <w:r w:rsidRPr="004B5317">
              <w:rPr>
                <w:lang w:val="en-US"/>
              </w:rPr>
              <w:t>P-value</w:t>
            </w:r>
            <w:r w:rsidRPr="004B5317">
              <w:rPr>
                <w:vertAlign w:val="superscript"/>
                <w:lang w:val="en-US"/>
              </w:rPr>
              <w:t>a</w:t>
            </w:r>
          </w:p>
        </w:tc>
        <w:tc>
          <w:tcPr>
            <w:tcW w:w="1548" w:type="pct"/>
            <w:gridSpan w:val="2"/>
          </w:tcPr>
          <w:p w14:paraId="674D387F" w14:textId="77777777" w:rsidR="00912D3A" w:rsidRPr="004B5317" w:rsidRDefault="00912D3A" w:rsidP="00D2506A">
            <w:pPr>
              <w:pStyle w:val="Tabletext"/>
              <w:jc w:val="center"/>
              <w:rPr>
                <w:color w:val="000000"/>
                <w:lang w:val="en-US"/>
              </w:rPr>
            </w:pPr>
            <w:r w:rsidRPr="004B5317">
              <w:rPr>
                <w:color w:val="000000"/>
                <w:lang w:val="en-US"/>
              </w:rPr>
              <w:t>0.0006</w:t>
            </w:r>
          </w:p>
        </w:tc>
      </w:tr>
    </w:tbl>
    <w:p w14:paraId="5927A179" w14:textId="77777777" w:rsidR="00912D3A" w:rsidRDefault="00912D3A" w:rsidP="00912D3A">
      <w:pPr>
        <w:pStyle w:val="FooterTableFigure"/>
      </w:pPr>
      <w:r>
        <w:t xml:space="preserve">Source: Table 45, p103 of the Submission. </w:t>
      </w:r>
    </w:p>
    <w:p w14:paraId="606A89CE" w14:textId="4B6B0592" w:rsidR="00912D3A" w:rsidRPr="004B5317" w:rsidRDefault="00912D3A" w:rsidP="00912D3A">
      <w:pPr>
        <w:pStyle w:val="FooterTableFigure"/>
      </w:pPr>
      <w:r w:rsidRPr="004B5317">
        <w:t>CI = confidence interval, LS = least squares, pVO</w:t>
      </w:r>
      <w:r w:rsidRPr="004B5317">
        <w:rPr>
          <w:vertAlign w:val="subscript"/>
        </w:rPr>
        <w:t>2</w:t>
      </w:r>
      <w:r w:rsidRPr="004B5317">
        <w:t xml:space="preserve"> = peak oxygen consumption, SD = standard deviation</w:t>
      </w:r>
    </w:p>
    <w:p w14:paraId="72357E6C" w14:textId="77777777" w:rsidR="00912D3A" w:rsidRDefault="00912D3A" w:rsidP="00912D3A">
      <w:pPr>
        <w:pStyle w:val="FooterTableFigure"/>
      </w:pPr>
      <w:r w:rsidRPr="00723461">
        <w:t>a The</w:t>
      </w:r>
      <w:r w:rsidRPr="004B5317">
        <w:t xml:space="preserve"> mean difference estimate, its 95% CI, and p-values are from the ANCOVA which controls for treatment group (mavacamten vs placebo), baseline value of the corresponding endpoint of interest, and the three stratification factors (beta-blocker use, NYHA class, ergometer type based on IXRS).</w:t>
      </w:r>
    </w:p>
    <w:p w14:paraId="293CA10E" w14:textId="3D851712" w:rsidR="00743673" w:rsidRPr="00AB558E" w:rsidRDefault="00912D3A" w:rsidP="00AB558E">
      <w:pPr>
        <w:pStyle w:val="3-BodyText"/>
        <w:rPr>
          <w:rFonts w:eastAsia="Calibri"/>
        </w:rPr>
      </w:pPr>
      <w:r w:rsidRPr="00AB558E">
        <w:rPr>
          <w:rFonts w:eastAsia="Calibri"/>
        </w:rPr>
        <w:t xml:space="preserve">At baseline, all patients in the EXPLORER-HCM trial </w:t>
      </w:r>
      <w:r w:rsidR="00EF0179" w:rsidRPr="00AB558E">
        <w:rPr>
          <w:rFonts w:eastAsia="Calibri"/>
        </w:rPr>
        <w:t xml:space="preserve">were of </w:t>
      </w:r>
      <w:r w:rsidRPr="00AB558E">
        <w:rPr>
          <w:rFonts w:eastAsia="Calibri"/>
        </w:rPr>
        <w:t xml:space="preserve">NYHA class II or III. In the mavacamten arm, 65% of patients experienced at least one NYHA class improvement from baseline to Week 30, whereas in the placebo arm, 31.1% of patients had at least one NYHA class improvement. </w:t>
      </w:r>
    </w:p>
    <w:p w14:paraId="2DF9FA02" w14:textId="2C8B7FB3" w:rsidR="00912D3A" w:rsidRDefault="00912D3A" w:rsidP="00912D3A">
      <w:pPr>
        <w:pStyle w:val="Caption"/>
      </w:pPr>
      <w:bookmarkStart w:id="28" w:name="_Ref116978216"/>
      <w:r>
        <w:lastRenderedPageBreak/>
        <w:t xml:space="preserve">Table </w:t>
      </w:r>
      <w:r w:rsidR="00645E50">
        <w:fldChar w:fldCharType="begin"/>
      </w:r>
      <w:r w:rsidR="00645E50">
        <w:instrText xml:space="preserve"> SEQ Table \* ARABIC </w:instrText>
      </w:r>
      <w:r w:rsidR="00645E50">
        <w:fldChar w:fldCharType="separate"/>
      </w:r>
      <w:r w:rsidR="00645E50">
        <w:rPr>
          <w:noProof/>
        </w:rPr>
        <w:t>9</w:t>
      </w:r>
      <w:r w:rsidR="00645E50">
        <w:rPr>
          <w:noProof/>
        </w:rPr>
        <w:fldChar w:fldCharType="end"/>
      </w:r>
      <w:bookmarkEnd w:id="28"/>
      <w:r>
        <w:t xml:space="preserve">: </w:t>
      </w:r>
      <w:r w:rsidRPr="008774E9">
        <w:t>Change from baseline to week 30 in NYHA class</w:t>
      </w:r>
    </w:p>
    <w:tbl>
      <w:tblPr>
        <w:tblStyle w:val="PBACtable2"/>
        <w:tblW w:w="5005" w:type="pct"/>
        <w:tblLayout w:type="fixed"/>
        <w:tblLook w:val="04A0" w:firstRow="1" w:lastRow="0" w:firstColumn="1" w:lastColumn="0" w:noHBand="0" w:noVBand="1"/>
      </w:tblPr>
      <w:tblGrid>
        <w:gridCol w:w="1623"/>
        <w:gridCol w:w="1236"/>
        <w:gridCol w:w="1302"/>
        <w:gridCol w:w="1249"/>
        <w:gridCol w:w="1182"/>
        <w:gridCol w:w="1216"/>
        <w:gridCol w:w="1218"/>
      </w:tblGrid>
      <w:tr w:rsidR="00912D3A" w:rsidRPr="004B5317" w14:paraId="3AD1413C" w14:textId="77777777" w:rsidTr="00D2506A">
        <w:trPr>
          <w:tblHeader/>
        </w:trPr>
        <w:tc>
          <w:tcPr>
            <w:tcW w:w="1623" w:type="dxa"/>
            <w:vMerge w:val="restart"/>
          </w:tcPr>
          <w:p w14:paraId="69F8EDC6" w14:textId="77777777" w:rsidR="00912D3A" w:rsidRPr="008940B9" w:rsidRDefault="00912D3A" w:rsidP="00D2506A">
            <w:pPr>
              <w:pStyle w:val="TableFigureHeading"/>
              <w:rPr>
                <w:sz w:val="20"/>
                <w:szCs w:val="20"/>
                <w:lang w:val="en-US"/>
              </w:rPr>
            </w:pPr>
            <w:r w:rsidRPr="008940B9">
              <w:rPr>
                <w:sz w:val="20"/>
                <w:szCs w:val="20"/>
                <w:lang w:val="en-US"/>
              </w:rPr>
              <w:t>NYHA Class</w:t>
            </w:r>
          </w:p>
        </w:tc>
        <w:tc>
          <w:tcPr>
            <w:tcW w:w="3787" w:type="dxa"/>
            <w:gridSpan w:val="3"/>
          </w:tcPr>
          <w:p w14:paraId="0DC6B6F9" w14:textId="77777777" w:rsidR="00912D3A" w:rsidRPr="008940B9" w:rsidRDefault="00912D3A" w:rsidP="00D2506A">
            <w:pPr>
              <w:pStyle w:val="TableFigureHeading"/>
              <w:rPr>
                <w:sz w:val="20"/>
                <w:szCs w:val="20"/>
                <w:lang w:val="en-US"/>
              </w:rPr>
            </w:pPr>
            <w:r w:rsidRPr="008940B9">
              <w:rPr>
                <w:sz w:val="20"/>
                <w:szCs w:val="20"/>
                <w:lang w:val="en-US"/>
              </w:rPr>
              <w:t>Mavacamten</w:t>
            </w:r>
            <w:r w:rsidRPr="008940B9">
              <w:rPr>
                <w:sz w:val="20"/>
                <w:szCs w:val="20"/>
                <w:lang w:val="en-US"/>
              </w:rPr>
              <w:br/>
              <w:t>(N = 123)</w:t>
            </w:r>
          </w:p>
        </w:tc>
        <w:tc>
          <w:tcPr>
            <w:tcW w:w="3616" w:type="dxa"/>
            <w:gridSpan w:val="3"/>
          </w:tcPr>
          <w:p w14:paraId="1B663378" w14:textId="77777777" w:rsidR="00912D3A" w:rsidRPr="008940B9" w:rsidRDefault="00912D3A" w:rsidP="00D2506A">
            <w:pPr>
              <w:pStyle w:val="TableFigureHeading"/>
              <w:rPr>
                <w:sz w:val="20"/>
                <w:szCs w:val="20"/>
                <w:lang w:val="en-US"/>
              </w:rPr>
            </w:pPr>
            <w:r w:rsidRPr="008940B9">
              <w:rPr>
                <w:sz w:val="20"/>
                <w:szCs w:val="20"/>
                <w:lang w:val="en-US"/>
              </w:rPr>
              <w:t>Placebo</w:t>
            </w:r>
            <w:r w:rsidRPr="008940B9">
              <w:rPr>
                <w:sz w:val="20"/>
                <w:szCs w:val="20"/>
                <w:lang w:val="en-US"/>
              </w:rPr>
              <w:br/>
              <w:t>(N = 128)</w:t>
            </w:r>
          </w:p>
        </w:tc>
      </w:tr>
      <w:tr w:rsidR="00912D3A" w:rsidRPr="004B5317" w14:paraId="1990B5B3" w14:textId="77777777" w:rsidTr="00D2506A">
        <w:trPr>
          <w:tblHeader/>
        </w:trPr>
        <w:tc>
          <w:tcPr>
            <w:tcW w:w="1623" w:type="dxa"/>
            <w:vMerge/>
          </w:tcPr>
          <w:p w14:paraId="08C06EF2" w14:textId="77777777" w:rsidR="00912D3A" w:rsidRPr="008940B9" w:rsidRDefault="00912D3A" w:rsidP="00D2506A">
            <w:pPr>
              <w:pStyle w:val="TableFigureHeading"/>
              <w:rPr>
                <w:sz w:val="20"/>
                <w:szCs w:val="20"/>
                <w:lang w:val="en-US"/>
              </w:rPr>
            </w:pPr>
          </w:p>
        </w:tc>
        <w:tc>
          <w:tcPr>
            <w:tcW w:w="1236" w:type="dxa"/>
          </w:tcPr>
          <w:p w14:paraId="596CECB7" w14:textId="77777777" w:rsidR="00912D3A" w:rsidRPr="008940B9" w:rsidRDefault="00912D3A" w:rsidP="00EF0179">
            <w:pPr>
              <w:pStyle w:val="TableFigureHeading"/>
              <w:jc w:val="left"/>
              <w:rPr>
                <w:sz w:val="20"/>
                <w:szCs w:val="20"/>
                <w:lang w:val="en-US"/>
              </w:rPr>
            </w:pPr>
            <w:r w:rsidRPr="008940B9">
              <w:rPr>
                <w:sz w:val="20"/>
                <w:szCs w:val="20"/>
                <w:lang w:val="en-US"/>
              </w:rPr>
              <w:t>Class II</w:t>
            </w:r>
            <w:r w:rsidRPr="008940B9">
              <w:rPr>
                <w:sz w:val="20"/>
                <w:szCs w:val="20"/>
                <w:lang w:val="en-US"/>
              </w:rPr>
              <w:br/>
              <w:t>n (%)</w:t>
            </w:r>
          </w:p>
        </w:tc>
        <w:tc>
          <w:tcPr>
            <w:tcW w:w="1302" w:type="dxa"/>
          </w:tcPr>
          <w:p w14:paraId="42C2082A" w14:textId="77777777" w:rsidR="00912D3A" w:rsidRPr="008940B9" w:rsidRDefault="00912D3A" w:rsidP="00EF0179">
            <w:pPr>
              <w:pStyle w:val="TableFigureHeading"/>
              <w:jc w:val="left"/>
              <w:rPr>
                <w:sz w:val="20"/>
                <w:szCs w:val="20"/>
                <w:lang w:val="en-US"/>
              </w:rPr>
            </w:pPr>
            <w:r w:rsidRPr="008940B9">
              <w:rPr>
                <w:sz w:val="20"/>
                <w:szCs w:val="20"/>
                <w:lang w:val="en-US"/>
              </w:rPr>
              <w:t>Class III</w:t>
            </w:r>
            <w:r w:rsidRPr="008940B9">
              <w:rPr>
                <w:sz w:val="20"/>
                <w:szCs w:val="20"/>
                <w:lang w:val="en-US"/>
              </w:rPr>
              <w:br/>
              <w:t>n (%)</w:t>
            </w:r>
          </w:p>
        </w:tc>
        <w:tc>
          <w:tcPr>
            <w:tcW w:w="1249" w:type="dxa"/>
          </w:tcPr>
          <w:p w14:paraId="28C00B60" w14:textId="77777777" w:rsidR="00912D3A" w:rsidRPr="008940B9" w:rsidRDefault="00912D3A" w:rsidP="00EF0179">
            <w:pPr>
              <w:pStyle w:val="TableFigureHeading"/>
              <w:jc w:val="left"/>
              <w:rPr>
                <w:sz w:val="20"/>
                <w:szCs w:val="20"/>
                <w:lang w:val="en-US"/>
              </w:rPr>
            </w:pPr>
            <w:r w:rsidRPr="008940B9">
              <w:rPr>
                <w:sz w:val="20"/>
                <w:szCs w:val="20"/>
                <w:lang w:val="en-US"/>
              </w:rPr>
              <w:t>Total</w:t>
            </w:r>
            <w:r w:rsidRPr="008940B9">
              <w:rPr>
                <w:sz w:val="20"/>
                <w:szCs w:val="20"/>
                <w:lang w:val="en-US"/>
              </w:rPr>
              <w:br/>
              <w:t>n (%)</w:t>
            </w:r>
          </w:p>
        </w:tc>
        <w:tc>
          <w:tcPr>
            <w:tcW w:w="1182" w:type="dxa"/>
          </w:tcPr>
          <w:p w14:paraId="6A812CBA" w14:textId="77777777" w:rsidR="00912D3A" w:rsidRPr="008940B9" w:rsidRDefault="00912D3A" w:rsidP="00EF0179">
            <w:pPr>
              <w:pStyle w:val="TableFigureHeading"/>
              <w:jc w:val="left"/>
              <w:rPr>
                <w:sz w:val="20"/>
                <w:szCs w:val="20"/>
                <w:lang w:val="en-US"/>
              </w:rPr>
            </w:pPr>
            <w:r w:rsidRPr="008940B9">
              <w:rPr>
                <w:sz w:val="20"/>
                <w:szCs w:val="20"/>
                <w:lang w:val="en-US"/>
              </w:rPr>
              <w:t>Class II</w:t>
            </w:r>
            <w:r w:rsidRPr="008940B9">
              <w:rPr>
                <w:sz w:val="20"/>
                <w:szCs w:val="20"/>
                <w:lang w:val="en-US"/>
              </w:rPr>
              <w:br/>
              <w:t>n (%)</w:t>
            </w:r>
          </w:p>
        </w:tc>
        <w:tc>
          <w:tcPr>
            <w:tcW w:w="1216" w:type="dxa"/>
          </w:tcPr>
          <w:p w14:paraId="789DC704" w14:textId="77777777" w:rsidR="00912D3A" w:rsidRPr="008940B9" w:rsidRDefault="00912D3A" w:rsidP="00EF0179">
            <w:pPr>
              <w:pStyle w:val="TableFigureHeading"/>
              <w:jc w:val="left"/>
              <w:rPr>
                <w:sz w:val="20"/>
                <w:szCs w:val="20"/>
                <w:lang w:val="en-US"/>
              </w:rPr>
            </w:pPr>
            <w:r w:rsidRPr="008940B9">
              <w:rPr>
                <w:sz w:val="20"/>
                <w:szCs w:val="20"/>
                <w:lang w:val="en-US"/>
              </w:rPr>
              <w:t>Class III</w:t>
            </w:r>
            <w:r w:rsidRPr="008940B9">
              <w:rPr>
                <w:sz w:val="20"/>
                <w:szCs w:val="20"/>
                <w:lang w:val="en-US"/>
              </w:rPr>
              <w:br/>
              <w:t>n (%)</w:t>
            </w:r>
          </w:p>
        </w:tc>
        <w:tc>
          <w:tcPr>
            <w:tcW w:w="1218" w:type="dxa"/>
          </w:tcPr>
          <w:p w14:paraId="57E8D06C" w14:textId="77777777" w:rsidR="00912D3A" w:rsidRPr="008940B9" w:rsidRDefault="00912D3A" w:rsidP="00EF0179">
            <w:pPr>
              <w:pStyle w:val="TableFigureHeading"/>
              <w:jc w:val="left"/>
              <w:rPr>
                <w:sz w:val="20"/>
                <w:szCs w:val="20"/>
                <w:lang w:val="en-US"/>
              </w:rPr>
            </w:pPr>
            <w:r w:rsidRPr="008940B9">
              <w:rPr>
                <w:sz w:val="20"/>
                <w:szCs w:val="20"/>
                <w:lang w:val="en-US"/>
              </w:rPr>
              <w:t>Total</w:t>
            </w:r>
            <w:r w:rsidRPr="008940B9">
              <w:rPr>
                <w:sz w:val="20"/>
                <w:szCs w:val="20"/>
                <w:lang w:val="en-US"/>
              </w:rPr>
              <w:br/>
              <w:t>n (%)</w:t>
            </w:r>
          </w:p>
        </w:tc>
      </w:tr>
      <w:tr w:rsidR="00912D3A" w:rsidRPr="004B5317" w14:paraId="625CF84B" w14:textId="77777777" w:rsidTr="00D2506A">
        <w:tc>
          <w:tcPr>
            <w:tcW w:w="1623" w:type="dxa"/>
          </w:tcPr>
          <w:p w14:paraId="5F974E2C" w14:textId="77777777" w:rsidR="00912D3A" w:rsidRPr="004B5317" w:rsidRDefault="00912D3A" w:rsidP="00D2506A">
            <w:pPr>
              <w:pStyle w:val="Tabletext"/>
              <w:rPr>
                <w:lang w:val="en-US"/>
              </w:rPr>
            </w:pPr>
            <w:r w:rsidRPr="004B5317">
              <w:rPr>
                <w:lang w:val="en-US"/>
              </w:rPr>
              <w:t>Baseline</w:t>
            </w:r>
          </w:p>
        </w:tc>
        <w:tc>
          <w:tcPr>
            <w:tcW w:w="1236" w:type="dxa"/>
          </w:tcPr>
          <w:p w14:paraId="4A9EC606" w14:textId="77777777" w:rsidR="00912D3A" w:rsidRPr="004B5317" w:rsidRDefault="00912D3A" w:rsidP="00D2506A">
            <w:pPr>
              <w:pStyle w:val="Tabletext"/>
              <w:rPr>
                <w:lang w:val="en-US"/>
              </w:rPr>
            </w:pPr>
            <w:r w:rsidRPr="004B5317">
              <w:rPr>
                <w:lang w:val="en-US"/>
              </w:rPr>
              <w:t>88 (71.5)</w:t>
            </w:r>
          </w:p>
        </w:tc>
        <w:tc>
          <w:tcPr>
            <w:tcW w:w="1302" w:type="dxa"/>
          </w:tcPr>
          <w:p w14:paraId="481FBE6E" w14:textId="77777777" w:rsidR="00912D3A" w:rsidRPr="004B5317" w:rsidRDefault="00912D3A" w:rsidP="00D2506A">
            <w:pPr>
              <w:pStyle w:val="Tabletext"/>
              <w:rPr>
                <w:lang w:val="en-US"/>
              </w:rPr>
            </w:pPr>
            <w:r w:rsidRPr="004B5317">
              <w:rPr>
                <w:lang w:val="en-US"/>
              </w:rPr>
              <w:t>35 (28.5)</w:t>
            </w:r>
          </w:p>
        </w:tc>
        <w:tc>
          <w:tcPr>
            <w:tcW w:w="1249" w:type="dxa"/>
          </w:tcPr>
          <w:p w14:paraId="04D94B2B" w14:textId="77777777" w:rsidR="00912D3A" w:rsidRPr="004B5317" w:rsidRDefault="00912D3A" w:rsidP="00D2506A">
            <w:pPr>
              <w:pStyle w:val="Tabletext"/>
              <w:rPr>
                <w:lang w:val="en-US"/>
              </w:rPr>
            </w:pPr>
            <w:r w:rsidRPr="004B5317">
              <w:rPr>
                <w:lang w:val="en-US"/>
              </w:rPr>
              <w:t>123 (100.0)</w:t>
            </w:r>
          </w:p>
        </w:tc>
        <w:tc>
          <w:tcPr>
            <w:tcW w:w="1182" w:type="dxa"/>
          </w:tcPr>
          <w:p w14:paraId="1F2575DB" w14:textId="77777777" w:rsidR="00912D3A" w:rsidRPr="004B5317" w:rsidRDefault="00912D3A" w:rsidP="00D2506A">
            <w:pPr>
              <w:pStyle w:val="Tabletext"/>
              <w:rPr>
                <w:lang w:val="en-US"/>
              </w:rPr>
            </w:pPr>
            <w:r w:rsidRPr="004B5317">
              <w:rPr>
                <w:lang w:val="en-US"/>
              </w:rPr>
              <w:t>95 (74.2)</w:t>
            </w:r>
          </w:p>
        </w:tc>
        <w:tc>
          <w:tcPr>
            <w:tcW w:w="1216" w:type="dxa"/>
          </w:tcPr>
          <w:p w14:paraId="7B27261A" w14:textId="77777777" w:rsidR="00912D3A" w:rsidRPr="004B5317" w:rsidRDefault="00912D3A" w:rsidP="00D2506A">
            <w:pPr>
              <w:pStyle w:val="Tabletext"/>
              <w:rPr>
                <w:lang w:val="en-US"/>
              </w:rPr>
            </w:pPr>
            <w:r w:rsidRPr="004B5317">
              <w:rPr>
                <w:lang w:val="en-US"/>
              </w:rPr>
              <w:t>33 (25.8)</w:t>
            </w:r>
          </w:p>
        </w:tc>
        <w:tc>
          <w:tcPr>
            <w:tcW w:w="1218" w:type="dxa"/>
          </w:tcPr>
          <w:p w14:paraId="27EDA197" w14:textId="77777777" w:rsidR="00912D3A" w:rsidRPr="004B5317" w:rsidRDefault="00912D3A" w:rsidP="00D2506A">
            <w:pPr>
              <w:pStyle w:val="Tabletext"/>
              <w:rPr>
                <w:lang w:val="en-US"/>
              </w:rPr>
            </w:pPr>
            <w:r w:rsidRPr="004B5317">
              <w:rPr>
                <w:lang w:val="en-US"/>
              </w:rPr>
              <w:t>128 (100.0)</w:t>
            </w:r>
          </w:p>
        </w:tc>
      </w:tr>
      <w:tr w:rsidR="00912D3A" w:rsidRPr="004B5317" w14:paraId="2C9639F5" w14:textId="77777777" w:rsidTr="00D2506A">
        <w:tc>
          <w:tcPr>
            <w:tcW w:w="1623" w:type="dxa"/>
          </w:tcPr>
          <w:p w14:paraId="23AE384E" w14:textId="77777777" w:rsidR="00912D3A" w:rsidRPr="004B5317" w:rsidRDefault="00912D3A" w:rsidP="00D2506A">
            <w:pPr>
              <w:pStyle w:val="Tabletext"/>
              <w:rPr>
                <w:lang w:val="en-US"/>
              </w:rPr>
            </w:pPr>
            <w:r w:rsidRPr="004B5317">
              <w:rPr>
                <w:lang w:val="en-US"/>
              </w:rPr>
              <w:t>Week 30, n (%)</w:t>
            </w:r>
          </w:p>
        </w:tc>
        <w:tc>
          <w:tcPr>
            <w:tcW w:w="1236" w:type="dxa"/>
          </w:tcPr>
          <w:p w14:paraId="6DB2C0C1" w14:textId="77777777" w:rsidR="00912D3A" w:rsidRPr="004B5317" w:rsidRDefault="00912D3A" w:rsidP="00D2506A">
            <w:pPr>
              <w:pStyle w:val="Tabletext"/>
              <w:rPr>
                <w:b/>
                <w:lang w:val="en-US"/>
              </w:rPr>
            </w:pPr>
          </w:p>
        </w:tc>
        <w:tc>
          <w:tcPr>
            <w:tcW w:w="1302" w:type="dxa"/>
          </w:tcPr>
          <w:p w14:paraId="7D99A3B2" w14:textId="77777777" w:rsidR="00912D3A" w:rsidRPr="004B5317" w:rsidRDefault="00912D3A" w:rsidP="00D2506A">
            <w:pPr>
              <w:pStyle w:val="Tabletext"/>
              <w:rPr>
                <w:b/>
                <w:lang w:val="en-US"/>
              </w:rPr>
            </w:pPr>
          </w:p>
        </w:tc>
        <w:tc>
          <w:tcPr>
            <w:tcW w:w="1249" w:type="dxa"/>
          </w:tcPr>
          <w:p w14:paraId="0A29DFF9" w14:textId="77777777" w:rsidR="00912D3A" w:rsidRPr="004B5317" w:rsidRDefault="00912D3A" w:rsidP="00D2506A">
            <w:pPr>
              <w:pStyle w:val="Tabletext"/>
              <w:rPr>
                <w:b/>
                <w:lang w:val="en-US"/>
              </w:rPr>
            </w:pPr>
          </w:p>
        </w:tc>
        <w:tc>
          <w:tcPr>
            <w:tcW w:w="1182" w:type="dxa"/>
          </w:tcPr>
          <w:p w14:paraId="03821420" w14:textId="77777777" w:rsidR="00912D3A" w:rsidRPr="004B5317" w:rsidRDefault="00912D3A" w:rsidP="00D2506A">
            <w:pPr>
              <w:pStyle w:val="Tabletext"/>
              <w:rPr>
                <w:b/>
                <w:lang w:val="en-US"/>
              </w:rPr>
            </w:pPr>
          </w:p>
        </w:tc>
        <w:tc>
          <w:tcPr>
            <w:tcW w:w="1216" w:type="dxa"/>
          </w:tcPr>
          <w:p w14:paraId="304AB9BC" w14:textId="77777777" w:rsidR="00912D3A" w:rsidRPr="004B5317" w:rsidRDefault="00912D3A" w:rsidP="00D2506A">
            <w:pPr>
              <w:pStyle w:val="Tabletext"/>
              <w:rPr>
                <w:b/>
                <w:lang w:val="en-US"/>
              </w:rPr>
            </w:pPr>
          </w:p>
        </w:tc>
        <w:tc>
          <w:tcPr>
            <w:tcW w:w="1218" w:type="dxa"/>
          </w:tcPr>
          <w:p w14:paraId="3DC43E49" w14:textId="77777777" w:rsidR="00912D3A" w:rsidRPr="004B5317" w:rsidRDefault="00912D3A" w:rsidP="00D2506A">
            <w:pPr>
              <w:pStyle w:val="Tabletext"/>
              <w:rPr>
                <w:b/>
                <w:lang w:val="en-US"/>
              </w:rPr>
            </w:pPr>
          </w:p>
        </w:tc>
      </w:tr>
      <w:tr w:rsidR="00912D3A" w:rsidRPr="004B5317" w14:paraId="6BE2488C" w14:textId="77777777" w:rsidTr="00D2506A">
        <w:tc>
          <w:tcPr>
            <w:tcW w:w="1623" w:type="dxa"/>
          </w:tcPr>
          <w:p w14:paraId="1A3A31C4" w14:textId="77777777" w:rsidR="00912D3A" w:rsidRPr="004B5317" w:rsidRDefault="00912D3A" w:rsidP="00D2506A">
            <w:pPr>
              <w:pStyle w:val="Tabletext"/>
              <w:rPr>
                <w:lang w:val="en-US"/>
              </w:rPr>
            </w:pPr>
            <w:r w:rsidRPr="004B5317">
              <w:rPr>
                <w:lang w:val="en-US"/>
              </w:rPr>
              <w:t xml:space="preserve">Class I </w:t>
            </w:r>
          </w:p>
        </w:tc>
        <w:tc>
          <w:tcPr>
            <w:tcW w:w="1236" w:type="dxa"/>
          </w:tcPr>
          <w:p w14:paraId="4593E3CD" w14:textId="77777777" w:rsidR="00912D3A" w:rsidRPr="004B5317" w:rsidRDefault="00912D3A" w:rsidP="00D2506A">
            <w:pPr>
              <w:pStyle w:val="Tabletext"/>
              <w:rPr>
                <w:lang w:val="en-US"/>
              </w:rPr>
            </w:pPr>
            <w:r w:rsidRPr="004B5317">
              <w:rPr>
                <w:lang w:val="en-US"/>
              </w:rPr>
              <w:t>52 (42.3)</w:t>
            </w:r>
          </w:p>
        </w:tc>
        <w:tc>
          <w:tcPr>
            <w:tcW w:w="1302" w:type="dxa"/>
          </w:tcPr>
          <w:p w14:paraId="559700C5" w14:textId="77777777" w:rsidR="00912D3A" w:rsidRPr="004B5317" w:rsidRDefault="00912D3A" w:rsidP="00D2506A">
            <w:pPr>
              <w:pStyle w:val="Tabletext"/>
              <w:rPr>
                <w:lang w:val="en-US"/>
              </w:rPr>
            </w:pPr>
            <w:r w:rsidRPr="004B5317">
              <w:rPr>
                <w:lang w:val="en-US"/>
              </w:rPr>
              <w:t>9 (7.3)</w:t>
            </w:r>
          </w:p>
        </w:tc>
        <w:tc>
          <w:tcPr>
            <w:tcW w:w="1249" w:type="dxa"/>
          </w:tcPr>
          <w:p w14:paraId="1D05627B" w14:textId="77777777" w:rsidR="00912D3A" w:rsidRPr="004B5317" w:rsidRDefault="00912D3A" w:rsidP="00D2506A">
            <w:pPr>
              <w:pStyle w:val="Tabletext"/>
              <w:rPr>
                <w:lang w:val="en-US"/>
              </w:rPr>
            </w:pPr>
            <w:r w:rsidRPr="004B5317">
              <w:rPr>
                <w:lang w:val="en-US"/>
              </w:rPr>
              <w:t>61 (49.6)</w:t>
            </w:r>
          </w:p>
        </w:tc>
        <w:tc>
          <w:tcPr>
            <w:tcW w:w="1182" w:type="dxa"/>
          </w:tcPr>
          <w:p w14:paraId="729FC526" w14:textId="77777777" w:rsidR="00912D3A" w:rsidRPr="004B5317" w:rsidRDefault="00912D3A" w:rsidP="00D2506A">
            <w:pPr>
              <w:pStyle w:val="Tabletext"/>
              <w:rPr>
                <w:lang w:val="en-US"/>
              </w:rPr>
            </w:pPr>
            <w:r w:rsidRPr="004B5317">
              <w:rPr>
                <w:lang w:val="en-US"/>
              </w:rPr>
              <w:t>24 (18.8)</w:t>
            </w:r>
          </w:p>
        </w:tc>
        <w:tc>
          <w:tcPr>
            <w:tcW w:w="1216" w:type="dxa"/>
          </w:tcPr>
          <w:p w14:paraId="765B330B" w14:textId="77777777" w:rsidR="00912D3A" w:rsidRPr="004B5317" w:rsidRDefault="00912D3A" w:rsidP="00D2506A">
            <w:pPr>
              <w:pStyle w:val="Tabletext"/>
              <w:rPr>
                <w:lang w:val="en-US"/>
              </w:rPr>
            </w:pPr>
            <w:r w:rsidRPr="004B5317">
              <w:rPr>
                <w:lang w:val="en-US"/>
              </w:rPr>
              <w:t>3 (2.3)</w:t>
            </w:r>
          </w:p>
        </w:tc>
        <w:tc>
          <w:tcPr>
            <w:tcW w:w="1218" w:type="dxa"/>
          </w:tcPr>
          <w:p w14:paraId="23C23119" w14:textId="77777777" w:rsidR="00912D3A" w:rsidRPr="004B5317" w:rsidRDefault="00912D3A" w:rsidP="00D2506A">
            <w:pPr>
              <w:pStyle w:val="Tabletext"/>
              <w:rPr>
                <w:lang w:val="en-US"/>
              </w:rPr>
            </w:pPr>
            <w:r w:rsidRPr="004B5317">
              <w:rPr>
                <w:lang w:val="en-US"/>
              </w:rPr>
              <w:t>27 (21.1)</w:t>
            </w:r>
          </w:p>
        </w:tc>
      </w:tr>
      <w:tr w:rsidR="00912D3A" w:rsidRPr="004B5317" w14:paraId="05A34C26" w14:textId="77777777" w:rsidTr="00D2506A">
        <w:tc>
          <w:tcPr>
            <w:tcW w:w="1623" w:type="dxa"/>
          </w:tcPr>
          <w:p w14:paraId="6306131A" w14:textId="77777777" w:rsidR="00912D3A" w:rsidRPr="004B5317" w:rsidRDefault="00912D3A" w:rsidP="00D2506A">
            <w:pPr>
              <w:pStyle w:val="Tabletext"/>
              <w:rPr>
                <w:lang w:val="en-US"/>
              </w:rPr>
            </w:pPr>
            <w:r w:rsidRPr="004B5317">
              <w:rPr>
                <w:lang w:val="en-US"/>
              </w:rPr>
              <w:t xml:space="preserve">Class II </w:t>
            </w:r>
          </w:p>
        </w:tc>
        <w:tc>
          <w:tcPr>
            <w:tcW w:w="1236" w:type="dxa"/>
          </w:tcPr>
          <w:p w14:paraId="7B17AA2D" w14:textId="77777777" w:rsidR="00912D3A" w:rsidRPr="004B5317" w:rsidRDefault="00912D3A" w:rsidP="00D2506A">
            <w:pPr>
              <w:pStyle w:val="Tabletext"/>
              <w:rPr>
                <w:lang w:val="en-US"/>
              </w:rPr>
            </w:pPr>
            <w:r w:rsidRPr="004B5317">
              <w:rPr>
                <w:lang w:val="en-US"/>
              </w:rPr>
              <w:t>33 (26.8)</w:t>
            </w:r>
          </w:p>
        </w:tc>
        <w:tc>
          <w:tcPr>
            <w:tcW w:w="1302" w:type="dxa"/>
          </w:tcPr>
          <w:p w14:paraId="55E88977" w14:textId="77777777" w:rsidR="00912D3A" w:rsidRPr="004B5317" w:rsidRDefault="00912D3A" w:rsidP="00D2506A">
            <w:pPr>
              <w:pStyle w:val="Tabletext"/>
              <w:rPr>
                <w:lang w:val="en-US"/>
              </w:rPr>
            </w:pPr>
            <w:r w:rsidRPr="004B5317">
              <w:rPr>
                <w:lang w:val="en-US"/>
              </w:rPr>
              <w:t>19 (15.4)</w:t>
            </w:r>
          </w:p>
        </w:tc>
        <w:tc>
          <w:tcPr>
            <w:tcW w:w="1249" w:type="dxa"/>
          </w:tcPr>
          <w:p w14:paraId="54EE83A7" w14:textId="77777777" w:rsidR="00912D3A" w:rsidRPr="004B5317" w:rsidRDefault="00912D3A" w:rsidP="00D2506A">
            <w:pPr>
              <w:pStyle w:val="Tabletext"/>
              <w:rPr>
                <w:lang w:val="en-US"/>
              </w:rPr>
            </w:pPr>
            <w:r w:rsidRPr="004B5317">
              <w:rPr>
                <w:lang w:val="en-US"/>
              </w:rPr>
              <w:t>52 (42.3)</w:t>
            </w:r>
          </w:p>
        </w:tc>
        <w:tc>
          <w:tcPr>
            <w:tcW w:w="1182" w:type="dxa"/>
          </w:tcPr>
          <w:p w14:paraId="5D3D8D4F" w14:textId="77777777" w:rsidR="00912D3A" w:rsidRPr="004B5317" w:rsidRDefault="00912D3A" w:rsidP="00D2506A">
            <w:pPr>
              <w:pStyle w:val="Tabletext"/>
              <w:rPr>
                <w:lang w:val="en-US"/>
              </w:rPr>
            </w:pPr>
            <w:r w:rsidRPr="004B5317">
              <w:rPr>
                <w:lang w:val="en-US"/>
              </w:rPr>
              <w:t>61 (47.7)</w:t>
            </w:r>
          </w:p>
        </w:tc>
        <w:tc>
          <w:tcPr>
            <w:tcW w:w="1216" w:type="dxa"/>
          </w:tcPr>
          <w:p w14:paraId="1D630244" w14:textId="77777777" w:rsidR="00912D3A" w:rsidRPr="004B5317" w:rsidRDefault="00912D3A" w:rsidP="00D2506A">
            <w:pPr>
              <w:pStyle w:val="Tabletext"/>
              <w:rPr>
                <w:lang w:val="en-US"/>
              </w:rPr>
            </w:pPr>
            <w:r w:rsidRPr="004B5317">
              <w:rPr>
                <w:lang w:val="en-US"/>
              </w:rPr>
              <w:t>13 (10.2)</w:t>
            </w:r>
          </w:p>
        </w:tc>
        <w:tc>
          <w:tcPr>
            <w:tcW w:w="1218" w:type="dxa"/>
          </w:tcPr>
          <w:p w14:paraId="7A5ABA20" w14:textId="77777777" w:rsidR="00912D3A" w:rsidRPr="004B5317" w:rsidRDefault="00912D3A" w:rsidP="00D2506A">
            <w:pPr>
              <w:pStyle w:val="Tabletext"/>
              <w:rPr>
                <w:lang w:val="en-US"/>
              </w:rPr>
            </w:pPr>
            <w:r w:rsidRPr="004B5317">
              <w:rPr>
                <w:lang w:val="en-US"/>
              </w:rPr>
              <w:t>74 (57.8)</w:t>
            </w:r>
          </w:p>
        </w:tc>
      </w:tr>
      <w:tr w:rsidR="00912D3A" w:rsidRPr="004B5317" w14:paraId="71193B34" w14:textId="77777777" w:rsidTr="00D2506A">
        <w:tc>
          <w:tcPr>
            <w:tcW w:w="1623" w:type="dxa"/>
          </w:tcPr>
          <w:p w14:paraId="64ACFE48" w14:textId="77777777" w:rsidR="00912D3A" w:rsidRPr="004B5317" w:rsidRDefault="00912D3A" w:rsidP="00D2506A">
            <w:pPr>
              <w:pStyle w:val="Tabletext"/>
              <w:rPr>
                <w:lang w:val="en-US"/>
              </w:rPr>
            </w:pPr>
            <w:r w:rsidRPr="004B5317">
              <w:rPr>
                <w:lang w:val="en-US"/>
              </w:rPr>
              <w:t xml:space="preserve">Class III </w:t>
            </w:r>
          </w:p>
        </w:tc>
        <w:tc>
          <w:tcPr>
            <w:tcW w:w="1236" w:type="dxa"/>
          </w:tcPr>
          <w:p w14:paraId="5BA3FE00" w14:textId="77777777" w:rsidR="00912D3A" w:rsidRPr="004B5317" w:rsidRDefault="00912D3A" w:rsidP="00D2506A">
            <w:pPr>
              <w:pStyle w:val="Tabletext"/>
              <w:rPr>
                <w:lang w:val="en-US"/>
              </w:rPr>
            </w:pPr>
            <w:r w:rsidRPr="004B5317">
              <w:rPr>
                <w:lang w:val="en-US"/>
              </w:rPr>
              <w:t>1 (0.8)</w:t>
            </w:r>
          </w:p>
        </w:tc>
        <w:tc>
          <w:tcPr>
            <w:tcW w:w="1302" w:type="dxa"/>
          </w:tcPr>
          <w:p w14:paraId="3D542AC7" w14:textId="77777777" w:rsidR="00912D3A" w:rsidRPr="004B5317" w:rsidRDefault="00912D3A" w:rsidP="00D2506A">
            <w:pPr>
              <w:pStyle w:val="Tabletext"/>
              <w:rPr>
                <w:lang w:val="en-US"/>
              </w:rPr>
            </w:pPr>
            <w:r w:rsidRPr="004B5317">
              <w:rPr>
                <w:lang w:val="en-US"/>
              </w:rPr>
              <w:t>7 (5.7)</w:t>
            </w:r>
          </w:p>
        </w:tc>
        <w:tc>
          <w:tcPr>
            <w:tcW w:w="1249" w:type="dxa"/>
          </w:tcPr>
          <w:p w14:paraId="60F9F9E5" w14:textId="77777777" w:rsidR="00912D3A" w:rsidRPr="004B5317" w:rsidRDefault="00912D3A" w:rsidP="00D2506A">
            <w:pPr>
              <w:pStyle w:val="Tabletext"/>
              <w:rPr>
                <w:lang w:val="en-US"/>
              </w:rPr>
            </w:pPr>
            <w:r w:rsidRPr="004B5317">
              <w:rPr>
                <w:lang w:val="en-US"/>
              </w:rPr>
              <w:t>8 (6.5)</w:t>
            </w:r>
          </w:p>
        </w:tc>
        <w:tc>
          <w:tcPr>
            <w:tcW w:w="1182" w:type="dxa"/>
          </w:tcPr>
          <w:p w14:paraId="70F4ABB7" w14:textId="77777777" w:rsidR="00912D3A" w:rsidRPr="004B5317" w:rsidRDefault="00912D3A" w:rsidP="00D2506A">
            <w:pPr>
              <w:pStyle w:val="Tabletext"/>
              <w:rPr>
                <w:lang w:val="en-US"/>
              </w:rPr>
            </w:pPr>
            <w:r w:rsidRPr="004B5317">
              <w:rPr>
                <w:lang w:val="en-US"/>
              </w:rPr>
              <w:t>9 (7.0)</w:t>
            </w:r>
          </w:p>
        </w:tc>
        <w:tc>
          <w:tcPr>
            <w:tcW w:w="1216" w:type="dxa"/>
          </w:tcPr>
          <w:p w14:paraId="756C9066" w14:textId="77777777" w:rsidR="00912D3A" w:rsidRPr="004B5317" w:rsidRDefault="00912D3A" w:rsidP="00D2506A">
            <w:pPr>
              <w:pStyle w:val="Tabletext"/>
              <w:rPr>
                <w:lang w:val="en-US"/>
              </w:rPr>
            </w:pPr>
            <w:r w:rsidRPr="004B5317">
              <w:rPr>
                <w:lang w:val="en-US"/>
              </w:rPr>
              <w:t>16 (12.5)</w:t>
            </w:r>
          </w:p>
        </w:tc>
        <w:tc>
          <w:tcPr>
            <w:tcW w:w="1218" w:type="dxa"/>
          </w:tcPr>
          <w:p w14:paraId="60ECA23F" w14:textId="77777777" w:rsidR="00912D3A" w:rsidRPr="004B5317" w:rsidRDefault="00912D3A" w:rsidP="00D2506A">
            <w:pPr>
              <w:pStyle w:val="Tabletext"/>
              <w:rPr>
                <w:lang w:val="en-US"/>
              </w:rPr>
            </w:pPr>
            <w:r w:rsidRPr="004B5317">
              <w:rPr>
                <w:lang w:val="en-US"/>
              </w:rPr>
              <w:t>25 (19.5)</w:t>
            </w:r>
          </w:p>
        </w:tc>
      </w:tr>
      <w:tr w:rsidR="00912D3A" w:rsidRPr="004B5317" w14:paraId="628FB355" w14:textId="77777777" w:rsidTr="00D2506A">
        <w:tc>
          <w:tcPr>
            <w:tcW w:w="1623" w:type="dxa"/>
          </w:tcPr>
          <w:p w14:paraId="70011E71" w14:textId="77777777" w:rsidR="00912D3A" w:rsidRPr="004B5317" w:rsidRDefault="00912D3A" w:rsidP="00D2506A">
            <w:pPr>
              <w:pStyle w:val="Tabletext"/>
              <w:rPr>
                <w:lang w:val="en-US"/>
              </w:rPr>
            </w:pPr>
            <w:r w:rsidRPr="004B5317">
              <w:rPr>
                <w:lang w:val="en-US"/>
              </w:rPr>
              <w:t xml:space="preserve">Missing </w:t>
            </w:r>
          </w:p>
        </w:tc>
        <w:tc>
          <w:tcPr>
            <w:tcW w:w="1236" w:type="dxa"/>
          </w:tcPr>
          <w:p w14:paraId="75F9CC42" w14:textId="77777777" w:rsidR="00912D3A" w:rsidRPr="004B5317" w:rsidRDefault="00912D3A" w:rsidP="00D2506A">
            <w:pPr>
              <w:pStyle w:val="Tabletext"/>
              <w:rPr>
                <w:lang w:val="en-US"/>
              </w:rPr>
            </w:pPr>
            <w:r w:rsidRPr="004B5317">
              <w:rPr>
                <w:lang w:val="en-US"/>
              </w:rPr>
              <w:t>2 (1.6)</w:t>
            </w:r>
          </w:p>
        </w:tc>
        <w:tc>
          <w:tcPr>
            <w:tcW w:w="1302" w:type="dxa"/>
          </w:tcPr>
          <w:p w14:paraId="0B1DFFE2" w14:textId="77777777" w:rsidR="00912D3A" w:rsidRPr="004B5317" w:rsidRDefault="00912D3A" w:rsidP="00D2506A">
            <w:pPr>
              <w:pStyle w:val="Tabletext"/>
              <w:rPr>
                <w:lang w:val="en-US"/>
              </w:rPr>
            </w:pPr>
            <w:r w:rsidRPr="004B5317">
              <w:rPr>
                <w:lang w:val="en-US"/>
              </w:rPr>
              <w:t>0</w:t>
            </w:r>
          </w:p>
        </w:tc>
        <w:tc>
          <w:tcPr>
            <w:tcW w:w="1249" w:type="dxa"/>
          </w:tcPr>
          <w:p w14:paraId="18EE36FA" w14:textId="77777777" w:rsidR="00912D3A" w:rsidRPr="004B5317" w:rsidRDefault="00912D3A" w:rsidP="00D2506A">
            <w:pPr>
              <w:pStyle w:val="Tabletext"/>
              <w:rPr>
                <w:lang w:val="en-US"/>
              </w:rPr>
            </w:pPr>
            <w:r w:rsidRPr="004B5317">
              <w:rPr>
                <w:lang w:val="en-US"/>
              </w:rPr>
              <w:t>2 (1.6)</w:t>
            </w:r>
          </w:p>
        </w:tc>
        <w:tc>
          <w:tcPr>
            <w:tcW w:w="1182" w:type="dxa"/>
          </w:tcPr>
          <w:p w14:paraId="05BFDF4E" w14:textId="77777777" w:rsidR="00912D3A" w:rsidRPr="004B5317" w:rsidRDefault="00912D3A" w:rsidP="00D2506A">
            <w:pPr>
              <w:pStyle w:val="Tabletext"/>
              <w:rPr>
                <w:lang w:val="en-US"/>
              </w:rPr>
            </w:pPr>
            <w:r w:rsidRPr="004B5317">
              <w:rPr>
                <w:lang w:val="en-US"/>
              </w:rPr>
              <w:t>1 (0.8)</w:t>
            </w:r>
          </w:p>
        </w:tc>
        <w:tc>
          <w:tcPr>
            <w:tcW w:w="1216" w:type="dxa"/>
          </w:tcPr>
          <w:p w14:paraId="2CE65594" w14:textId="77777777" w:rsidR="00912D3A" w:rsidRPr="004B5317" w:rsidRDefault="00912D3A" w:rsidP="00D2506A">
            <w:pPr>
              <w:pStyle w:val="Tabletext"/>
              <w:rPr>
                <w:lang w:val="en-US"/>
              </w:rPr>
            </w:pPr>
            <w:r w:rsidRPr="004B5317">
              <w:rPr>
                <w:lang w:val="en-US"/>
              </w:rPr>
              <w:t>1 (0.8)</w:t>
            </w:r>
          </w:p>
        </w:tc>
        <w:tc>
          <w:tcPr>
            <w:tcW w:w="1218" w:type="dxa"/>
          </w:tcPr>
          <w:p w14:paraId="1B6DE8FB" w14:textId="77777777" w:rsidR="00912D3A" w:rsidRPr="004B5317" w:rsidRDefault="00912D3A" w:rsidP="00D2506A">
            <w:pPr>
              <w:pStyle w:val="Tabletext"/>
              <w:rPr>
                <w:lang w:val="en-US"/>
              </w:rPr>
            </w:pPr>
            <w:r w:rsidRPr="004B5317">
              <w:rPr>
                <w:lang w:val="en-US"/>
              </w:rPr>
              <w:t>2 (1.6)</w:t>
            </w:r>
          </w:p>
        </w:tc>
      </w:tr>
    </w:tbl>
    <w:p w14:paraId="3DDFAF07" w14:textId="77777777" w:rsidR="00912D3A" w:rsidRDefault="00912D3A" w:rsidP="00912D3A">
      <w:pPr>
        <w:pStyle w:val="FooterTableFigure"/>
      </w:pPr>
      <w:r>
        <w:t>Source: Table 47, p106 of the submission</w:t>
      </w:r>
    </w:p>
    <w:p w14:paraId="494A6FA4" w14:textId="5F8516D6" w:rsidR="00912D3A" w:rsidRPr="004B5317" w:rsidRDefault="00912D3A" w:rsidP="00912D3A">
      <w:pPr>
        <w:pStyle w:val="FooterTableFigure"/>
      </w:pPr>
      <w:r w:rsidRPr="004B5317">
        <w:t>NYHA = New York Heart Association</w:t>
      </w:r>
    </w:p>
    <w:p w14:paraId="47A9C716" w14:textId="77777777" w:rsidR="00912D3A" w:rsidRPr="004B5317" w:rsidRDefault="00912D3A" w:rsidP="00912D3A">
      <w:pPr>
        <w:pStyle w:val="FooterTableFigure"/>
      </w:pPr>
      <w:r w:rsidRPr="004B5317">
        <w:t>Baseline is defined as the last non-missing measurement prior to the first dose of study drug.</w:t>
      </w:r>
    </w:p>
    <w:p w14:paraId="57476F08" w14:textId="447FD8FA" w:rsidR="00912D3A" w:rsidRPr="004B5317" w:rsidRDefault="00912D3A" w:rsidP="00912D3A">
      <w:pPr>
        <w:pStyle w:val="FooterTableFigure"/>
      </w:pPr>
      <w:r w:rsidRPr="004B5317">
        <w:t xml:space="preserve">All assessments are summarised by analysis visits per </w:t>
      </w:r>
      <w:r w:rsidR="005D0295">
        <w:t>statistical analysis plan (</w:t>
      </w:r>
      <w:r w:rsidRPr="004B5317">
        <w:t>SAP</w:t>
      </w:r>
      <w:r w:rsidR="005D0295">
        <w:t>)</w:t>
      </w:r>
      <w:r w:rsidRPr="004B5317">
        <w:t>.</w:t>
      </w:r>
    </w:p>
    <w:p w14:paraId="73547851" w14:textId="25E0A8E1" w:rsidR="00AB558E" w:rsidRDefault="00912D3A" w:rsidP="00912D3A">
      <w:pPr>
        <w:pStyle w:val="FooterTableFigure"/>
      </w:pPr>
      <w:r w:rsidRPr="004B5317">
        <w:t>Missing NYHA class at Week 30 was imputed using available NYHA at Week 26.</w:t>
      </w:r>
    </w:p>
    <w:p w14:paraId="3E98F68E" w14:textId="46DA2080" w:rsidR="00AB558E" w:rsidRDefault="00AB558E" w:rsidP="00AB558E">
      <w:pPr>
        <w:pStyle w:val="3-BodyText"/>
      </w:pPr>
      <w:r w:rsidRPr="00AB558E">
        <w:rPr>
          <w:snapToGrid/>
        </w:rPr>
        <w:t>The Kansas City Cardiomyopathy Questionnaire 23-item Clinical Summary Score (KCCQ-23 CSS) is a patient-reported questionnaire which assesses the level of symptoms (such as fatigue, dyspnoea and oedema) as well the level of functional limitations (physical, emotional and social), scaled from 0 to 100 (higher scores representing fewer symptoms and better functioning). Changes in KCCQ-23 CSS of more than 5 are considered clinically meaningful</w:t>
      </w:r>
      <w:r w:rsidRPr="00F14FD5">
        <w:rPr>
          <w:snapToGrid/>
          <w:vertAlign w:val="superscript"/>
        </w:rPr>
        <w:footnoteReference w:id="4"/>
      </w:r>
      <w:r w:rsidRPr="00AB558E">
        <w:rPr>
          <w:snapToGrid/>
        </w:rPr>
        <w:t xml:space="preserve">. In the mavacamten arm, mean change from baseline to Week 30 was an increase of 13.6 points, whereas in the placebo arm, the mean increase was 4.2 points. The difference between arms was clinically meaningful (9.1, 95% CI: 5.46, 12.66). An additional 20.1% of patients experienced a clinically meaningful difference in the mavacamten arm compared with the placebo arm. </w:t>
      </w:r>
      <w:r w:rsidR="00713CEE">
        <w:t>Treatment was stopped at week 30, which explains the minimal difference at week 38 (which was measured after an 8 week ‘washout’ period).</w:t>
      </w:r>
    </w:p>
    <w:p w14:paraId="7E18EEBC" w14:textId="07CE81C9" w:rsidR="00912D3A" w:rsidRDefault="00912D3A" w:rsidP="00912D3A">
      <w:pPr>
        <w:pStyle w:val="Caption"/>
      </w:pPr>
      <w:r>
        <w:t xml:space="preserve">Table </w:t>
      </w:r>
      <w:r w:rsidR="00645E50">
        <w:fldChar w:fldCharType="begin"/>
      </w:r>
      <w:r w:rsidR="00645E50">
        <w:instrText xml:space="preserve"> SEQ Table \* ARABIC </w:instrText>
      </w:r>
      <w:r w:rsidR="00645E50">
        <w:fldChar w:fldCharType="separate"/>
      </w:r>
      <w:r w:rsidR="00645E50">
        <w:rPr>
          <w:noProof/>
        </w:rPr>
        <w:t>10</w:t>
      </w:r>
      <w:r w:rsidR="00645E50">
        <w:rPr>
          <w:noProof/>
        </w:rPr>
        <w:fldChar w:fldCharType="end"/>
      </w:r>
      <w:r>
        <w:t xml:space="preserve">: </w:t>
      </w:r>
      <w:r w:rsidRPr="008774E9">
        <w:t>Patients with ≥ 10-point increase from baseline in KCCQ-23 CCS by visit (ITT)</w:t>
      </w:r>
    </w:p>
    <w:tbl>
      <w:tblPr>
        <w:tblStyle w:val="PBACtable2"/>
        <w:tblW w:w="4999" w:type="pct"/>
        <w:tblLook w:val="04A0" w:firstRow="1" w:lastRow="0" w:firstColumn="1" w:lastColumn="0" w:noHBand="0" w:noVBand="1"/>
      </w:tblPr>
      <w:tblGrid>
        <w:gridCol w:w="1369"/>
        <w:gridCol w:w="2549"/>
        <w:gridCol w:w="2549"/>
        <w:gridCol w:w="2548"/>
      </w:tblGrid>
      <w:tr w:rsidR="00197737" w:rsidRPr="004B5317" w14:paraId="46E359AD" w14:textId="77777777" w:rsidTr="00197737">
        <w:trPr>
          <w:trHeight w:val="55"/>
        </w:trPr>
        <w:tc>
          <w:tcPr>
            <w:tcW w:w="759" w:type="pct"/>
          </w:tcPr>
          <w:p w14:paraId="1D8B9072" w14:textId="77777777" w:rsidR="00197737" w:rsidRPr="008774E9" w:rsidRDefault="00197737" w:rsidP="00197737">
            <w:pPr>
              <w:pStyle w:val="TableFigureHeading"/>
              <w:rPr>
                <w:sz w:val="20"/>
                <w:szCs w:val="20"/>
              </w:rPr>
            </w:pPr>
            <w:r w:rsidRPr="008774E9">
              <w:rPr>
                <w:sz w:val="20"/>
                <w:szCs w:val="20"/>
              </w:rPr>
              <w:t>Study Week</w:t>
            </w:r>
          </w:p>
        </w:tc>
        <w:tc>
          <w:tcPr>
            <w:tcW w:w="1414" w:type="pct"/>
          </w:tcPr>
          <w:p w14:paraId="1EF93037" w14:textId="77777777" w:rsidR="00463A1F" w:rsidRDefault="00197737" w:rsidP="00197737">
            <w:pPr>
              <w:pStyle w:val="TableFigureHeading"/>
              <w:rPr>
                <w:sz w:val="20"/>
                <w:szCs w:val="20"/>
              </w:rPr>
            </w:pPr>
            <w:r w:rsidRPr="008774E9">
              <w:rPr>
                <w:sz w:val="20"/>
                <w:szCs w:val="20"/>
              </w:rPr>
              <w:t>Mavacamten</w:t>
            </w:r>
            <w:r w:rsidRPr="008774E9">
              <w:rPr>
                <w:sz w:val="20"/>
                <w:szCs w:val="20"/>
              </w:rPr>
              <w:br/>
              <w:t>(N = 89)</w:t>
            </w:r>
            <w:r>
              <w:rPr>
                <w:sz w:val="20"/>
                <w:szCs w:val="20"/>
              </w:rPr>
              <w:t xml:space="preserve"> </w:t>
            </w:r>
          </w:p>
          <w:p w14:paraId="0E31197E" w14:textId="4E25E619" w:rsidR="00197737" w:rsidRPr="008774E9" w:rsidRDefault="00463A1F" w:rsidP="00197737">
            <w:pPr>
              <w:pStyle w:val="TableFigureHeading"/>
              <w:rPr>
                <w:sz w:val="20"/>
                <w:szCs w:val="20"/>
              </w:rPr>
            </w:pPr>
            <w:r>
              <w:rPr>
                <w:sz w:val="20"/>
                <w:szCs w:val="20"/>
              </w:rPr>
              <w:t xml:space="preserve">n </w:t>
            </w:r>
            <w:r w:rsidR="00197737">
              <w:rPr>
                <w:sz w:val="20"/>
                <w:szCs w:val="20"/>
              </w:rPr>
              <w:t>(%)</w:t>
            </w:r>
          </w:p>
        </w:tc>
        <w:tc>
          <w:tcPr>
            <w:tcW w:w="1414" w:type="pct"/>
          </w:tcPr>
          <w:p w14:paraId="295FA29D" w14:textId="77777777" w:rsidR="00463A1F" w:rsidRDefault="00197737" w:rsidP="00197737">
            <w:pPr>
              <w:pStyle w:val="TableFigureHeading"/>
              <w:rPr>
                <w:sz w:val="20"/>
                <w:szCs w:val="20"/>
              </w:rPr>
            </w:pPr>
            <w:r w:rsidRPr="008774E9">
              <w:rPr>
                <w:sz w:val="20"/>
                <w:szCs w:val="20"/>
              </w:rPr>
              <w:t>Placebo</w:t>
            </w:r>
            <w:r w:rsidRPr="008774E9">
              <w:rPr>
                <w:sz w:val="20"/>
                <w:szCs w:val="20"/>
              </w:rPr>
              <w:br/>
              <w:t>(N = 80)</w:t>
            </w:r>
            <w:r>
              <w:rPr>
                <w:sz w:val="20"/>
                <w:szCs w:val="20"/>
              </w:rPr>
              <w:t xml:space="preserve"> </w:t>
            </w:r>
          </w:p>
          <w:p w14:paraId="0CABB378" w14:textId="58BB6D5E" w:rsidR="00197737" w:rsidRPr="008774E9" w:rsidRDefault="00463A1F" w:rsidP="00197737">
            <w:pPr>
              <w:pStyle w:val="TableFigureHeading"/>
              <w:rPr>
                <w:sz w:val="20"/>
                <w:szCs w:val="20"/>
              </w:rPr>
            </w:pPr>
            <w:r>
              <w:rPr>
                <w:sz w:val="20"/>
                <w:szCs w:val="20"/>
              </w:rPr>
              <w:t xml:space="preserve">n </w:t>
            </w:r>
            <w:r w:rsidR="00197737">
              <w:rPr>
                <w:sz w:val="20"/>
                <w:szCs w:val="20"/>
              </w:rPr>
              <w:t>(%)</w:t>
            </w:r>
          </w:p>
        </w:tc>
        <w:tc>
          <w:tcPr>
            <w:tcW w:w="1414" w:type="pct"/>
          </w:tcPr>
          <w:p w14:paraId="38D94608" w14:textId="77777777" w:rsidR="00197737" w:rsidRDefault="00197737" w:rsidP="00197737">
            <w:pPr>
              <w:pStyle w:val="TableFigureHeading"/>
              <w:rPr>
                <w:sz w:val="20"/>
                <w:szCs w:val="20"/>
              </w:rPr>
            </w:pPr>
            <w:r w:rsidRPr="008774E9">
              <w:rPr>
                <w:sz w:val="20"/>
                <w:szCs w:val="20"/>
              </w:rPr>
              <w:t>Mavacamten vs Placebo difference</w:t>
            </w:r>
          </w:p>
          <w:p w14:paraId="74BBDB58" w14:textId="17D16844" w:rsidR="00197737" w:rsidRPr="008A685A" w:rsidRDefault="00197737" w:rsidP="00197737">
            <w:pPr>
              <w:pStyle w:val="TableFigureHeading"/>
              <w:rPr>
                <w:szCs w:val="20"/>
                <w:vertAlign w:val="superscript"/>
              </w:rPr>
            </w:pPr>
            <w:r w:rsidRPr="003932DD">
              <w:rPr>
                <w:sz w:val="20"/>
                <w:szCs w:val="20"/>
              </w:rPr>
              <w:t>% (95%</w:t>
            </w:r>
            <w:r w:rsidR="00463A1F">
              <w:rPr>
                <w:sz w:val="20"/>
                <w:szCs w:val="20"/>
              </w:rPr>
              <w:t xml:space="preserve"> </w:t>
            </w:r>
            <w:r w:rsidRPr="003932DD">
              <w:rPr>
                <w:sz w:val="20"/>
                <w:szCs w:val="20"/>
              </w:rPr>
              <w:t>CI)</w:t>
            </w:r>
            <w:r w:rsidR="008A685A">
              <w:rPr>
                <w:sz w:val="20"/>
                <w:szCs w:val="20"/>
                <w:vertAlign w:val="superscript"/>
              </w:rPr>
              <w:t>a</w:t>
            </w:r>
          </w:p>
        </w:tc>
      </w:tr>
      <w:tr w:rsidR="00197737" w:rsidRPr="004B5317" w14:paraId="4E16FA32" w14:textId="77777777" w:rsidTr="00197737">
        <w:tc>
          <w:tcPr>
            <w:tcW w:w="759" w:type="pct"/>
          </w:tcPr>
          <w:p w14:paraId="1AF417CB" w14:textId="77777777" w:rsidR="00197737" w:rsidRPr="004B5317" w:rsidRDefault="00197737" w:rsidP="00197737">
            <w:pPr>
              <w:pStyle w:val="Tabletext"/>
              <w:keepNext/>
              <w:rPr>
                <w:lang w:val="en-US"/>
              </w:rPr>
            </w:pPr>
            <w:r w:rsidRPr="004B5317">
              <w:rPr>
                <w:lang w:val="en-US"/>
              </w:rPr>
              <w:t>6</w:t>
            </w:r>
          </w:p>
        </w:tc>
        <w:tc>
          <w:tcPr>
            <w:tcW w:w="1414" w:type="pct"/>
          </w:tcPr>
          <w:p w14:paraId="21418756" w14:textId="77777777" w:rsidR="00197737" w:rsidRPr="004B5317" w:rsidRDefault="00197737" w:rsidP="00197737">
            <w:pPr>
              <w:pStyle w:val="Tabletext"/>
              <w:keepNext/>
              <w:rPr>
                <w:lang w:val="en-US"/>
              </w:rPr>
            </w:pPr>
            <w:r w:rsidRPr="004B5317">
              <w:rPr>
                <w:color w:val="000000"/>
                <w:lang w:val="en-US"/>
              </w:rPr>
              <w:t>38 (42.7)</w:t>
            </w:r>
          </w:p>
        </w:tc>
        <w:tc>
          <w:tcPr>
            <w:tcW w:w="1414" w:type="pct"/>
          </w:tcPr>
          <w:p w14:paraId="69F1B7BF" w14:textId="77777777" w:rsidR="00197737" w:rsidRPr="004B5317" w:rsidRDefault="00197737" w:rsidP="00197737">
            <w:pPr>
              <w:pStyle w:val="Tabletext"/>
              <w:keepNext/>
              <w:rPr>
                <w:lang w:val="en-US"/>
              </w:rPr>
            </w:pPr>
            <w:r w:rsidRPr="004B5317">
              <w:rPr>
                <w:color w:val="000000"/>
                <w:lang w:val="en-US"/>
              </w:rPr>
              <w:t>22 (27.5)</w:t>
            </w:r>
          </w:p>
        </w:tc>
        <w:tc>
          <w:tcPr>
            <w:tcW w:w="1414" w:type="pct"/>
          </w:tcPr>
          <w:p w14:paraId="11ABA657" w14:textId="49F5C732" w:rsidR="00197737" w:rsidRPr="004B5317" w:rsidRDefault="00197737" w:rsidP="00197737">
            <w:pPr>
              <w:pStyle w:val="Tabletext"/>
              <w:keepNext/>
              <w:rPr>
                <w:color w:val="000000"/>
                <w:lang w:val="en-US"/>
              </w:rPr>
            </w:pPr>
            <w:r w:rsidRPr="00885192">
              <w:rPr>
                <w:color w:val="000000"/>
                <w:lang w:val="en-US"/>
              </w:rPr>
              <w:t>-15.2 (-29.5, -0.9)</w:t>
            </w:r>
          </w:p>
        </w:tc>
      </w:tr>
      <w:tr w:rsidR="00197737" w:rsidRPr="004B5317" w14:paraId="2A4BA843" w14:textId="77777777" w:rsidTr="00197737">
        <w:tc>
          <w:tcPr>
            <w:tcW w:w="759" w:type="pct"/>
          </w:tcPr>
          <w:p w14:paraId="62893FE1" w14:textId="77777777" w:rsidR="00197737" w:rsidRPr="004B5317" w:rsidRDefault="00197737" w:rsidP="00197737">
            <w:pPr>
              <w:pStyle w:val="Tabletext"/>
              <w:keepNext/>
              <w:rPr>
                <w:lang w:val="en-US"/>
              </w:rPr>
            </w:pPr>
            <w:r w:rsidRPr="004B5317">
              <w:rPr>
                <w:lang w:val="en-US"/>
              </w:rPr>
              <w:t>12</w:t>
            </w:r>
          </w:p>
        </w:tc>
        <w:tc>
          <w:tcPr>
            <w:tcW w:w="1414" w:type="pct"/>
          </w:tcPr>
          <w:p w14:paraId="46649446" w14:textId="77777777" w:rsidR="00197737" w:rsidRPr="004B5317" w:rsidRDefault="00197737" w:rsidP="00197737">
            <w:pPr>
              <w:pStyle w:val="Tabletext"/>
              <w:keepNext/>
              <w:rPr>
                <w:lang w:val="en-US"/>
              </w:rPr>
            </w:pPr>
            <w:r w:rsidRPr="004B5317">
              <w:rPr>
                <w:color w:val="000000"/>
                <w:lang w:val="en-US"/>
              </w:rPr>
              <w:t>41 (46.1)</w:t>
            </w:r>
          </w:p>
        </w:tc>
        <w:tc>
          <w:tcPr>
            <w:tcW w:w="1414" w:type="pct"/>
          </w:tcPr>
          <w:p w14:paraId="1B990CBC" w14:textId="77777777" w:rsidR="00197737" w:rsidRPr="004B5317" w:rsidRDefault="00197737" w:rsidP="00197737">
            <w:pPr>
              <w:pStyle w:val="Tabletext"/>
              <w:keepNext/>
              <w:rPr>
                <w:lang w:val="en-US"/>
              </w:rPr>
            </w:pPr>
            <w:r w:rsidRPr="004B5317">
              <w:rPr>
                <w:color w:val="000000"/>
                <w:lang w:val="en-US"/>
              </w:rPr>
              <w:t>28 (35.0)</w:t>
            </w:r>
          </w:p>
        </w:tc>
        <w:tc>
          <w:tcPr>
            <w:tcW w:w="1414" w:type="pct"/>
          </w:tcPr>
          <w:p w14:paraId="3B51B934" w14:textId="74E7B356" w:rsidR="00197737" w:rsidRPr="004B5317" w:rsidRDefault="00197737" w:rsidP="00197737">
            <w:pPr>
              <w:pStyle w:val="Tabletext"/>
              <w:keepNext/>
              <w:rPr>
                <w:color w:val="000000"/>
                <w:lang w:val="en-US"/>
              </w:rPr>
            </w:pPr>
            <w:r w:rsidRPr="00885192">
              <w:rPr>
                <w:color w:val="000000"/>
                <w:lang w:val="en-US"/>
              </w:rPr>
              <w:t>-11.1 (-25.8, 3.7)</w:t>
            </w:r>
          </w:p>
        </w:tc>
      </w:tr>
      <w:tr w:rsidR="00197737" w:rsidRPr="004B5317" w14:paraId="2A88A9FC" w14:textId="77777777" w:rsidTr="00197737">
        <w:tc>
          <w:tcPr>
            <w:tcW w:w="759" w:type="pct"/>
          </w:tcPr>
          <w:p w14:paraId="3382E49D" w14:textId="77777777" w:rsidR="00197737" w:rsidRPr="004B5317" w:rsidRDefault="00197737" w:rsidP="00197737">
            <w:pPr>
              <w:pStyle w:val="Tabletext"/>
              <w:keepNext/>
              <w:rPr>
                <w:lang w:val="en-US"/>
              </w:rPr>
            </w:pPr>
            <w:r w:rsidRPr="004B5317">
              <w:rPr>
                <w:lang w:val="en-US"/>
              </w:rPr>
              <w:t>18</w:t>
            </w:r>
          </w:p>
        </w:tc>
        <w:tc>
          <w:tcPr>
            <w:tcW w:w="1414" w:type="pct"/>
          </w:tcPr>
          <w:p w14:paraId="3F891F72" w14:textId="77777777" w:rsidR="00197737" w:rsidRPr="004B5317" w:rsidRDefault="00197737" w:rsidP="00197737">
            <w:pPr>
              <w:pStyle w:val="Tabletext"/>
              <w:keepNext/>
              <w:rPr>
                <w:lang w:val="en-US"/>
              </w:rPr>
            </w:pPr>
            <w:r w:rsidRPr="004B5317">
              <w:rPr>
                <w:color w:val="000000"/>
                <w:lang w:val="en-US"/>
              </w:rPr>
              <w:t>51 (57.3)</w:t>
            </w:r>
          </w:p>
        </w:tc>
        <w:tc>
          <w:tcPr>
            <w:tcW w:w="1414" w:type="pct"/>
          </w:tcPr>
          <w:p w14:paraId="0A882C0A" w14:textId="77777777" w:rsidR="00197737" w:rsidRPr="004B5317" w:rsidRDefault="00197737" w:rsidP="00197737">
            <w:pPr>
              <w:pStyle w:val="Tabletext"/>
              <w:keepNext/>
              <w:rPr>
                <w:lang w:val="en-US"/>
              </w:rPr>
            </w:pPr>
            <w:r w:rsidRPr="004B5317">
              <w:rPr>
                <w:color w:val="000000"/>
                <w:lang w:val="en-US"/>
              </w:rPr>
              <w:t>31 (38.8)</w:t>
            </w:r>
          </w:p>
        </w:tc>
        <w:tc>
          <w:tcPr>
            <w:tcW w:w="1414" w:type="pct"/>
          </w:tcPr>
          <w:p w14:paraId="70B46418" w14:textId="77D7E9D8" w:rsidR="00197737" w:rsidRPr="004B5317" w:rsidRDefault="00197737" w:rsidP="00197737">
            <w:pPr>
              <w:pStyle w:val="Tabletext"/>
              <w:keepNext/>
              <w:rPr>
                <w:color w:val="000000"/>
                <w:lang w:val="en-US"/>
              </w:rPr>
            </w:pPr>
            <w:r w:rsidRPr="00885192">
              <w:rPr>
                <w:color w:val="000000"/>
                <w:lang w:val="en-US"/>
              </w:rPr>
              <w:t>-18.6 (-33.4, -3.7)</w:t>
            </w:r>
          </w:p>
        </w:tc>
      </w:tr>
      <w:tr w:rsidR="00197737" w:rsidRPr="004B5317" w14:paraId="72094B1E" w14:textId="77777777" w:rsidTr="00197737">
        <w:tc>
          <w:tcPr>
            <w:tcW w:w="759" w:type="pct"/>
          </w:tcPr>
          <w:p w14:paraId="57EDFE0A" w14:textId="77777777" w:rsidR="00197737" w:rsidRPr="004B5317" w:rsidRDefault="00197737" w:rsidP="00197737">
            <w:pPr>
              <w:pStyle w:val="Tabletext"/>
              <w:keepNext/>
              <w:rPr>
                <w:lang w:val="en-US"/>
              </w:rPr>
            </w:pPr>
            <w:r w:rsidRPr="004B5317">
              <w:rPr>
                <w:lang w:val="en-US"/>
              </w:rPr>
              <w:t>30</w:t>
            </w:r>
          </w:p>
        </w:tc>
        <w:tc>
          <w:tcPr>
            <w:tcW w:w="1414" w:type="pct"/>
          </w:tcPr>
          <w:p w14:paraId="6037A923" w14:textId="77777777" w:rsidR="00197737" w:rsidRPr="004B5317" w:rsidRDefault="00197737" w:rsidP="00197737">
            <w:pPr>
              <w:pStyle w:val="Tabletext"/>
              <w:keepNext/>
              <w:rPr>
                <w:lang w:val="en-US"/>
              </w:rPr>
            </w:pPr>
            <w:r w:rsidRPr="004B5317">
              <w:rPr>
                <w:color w:val="000000"/>
                <w:lang w:val="en-US"/>
              </w:rPr>
              <w:t>48 (</w:t>
            </w:r>
            <w:r w:rsidRPr="00DE153F">
              <w:rPr>
                <w:color w:val="000000"/>
                <w:lang w:val="en-US"/>
              </w:rPr>
              <w:t>53.9)</w:t>
            </w:r>
          </w:p>
        </w:tc>
        <w:tc>
          <w:tcPr>
            <w:tcW w:w="1414" w:type="pct"/>
          </w:tcPr>
          <w:p w14:paraId="526085F2" w14:textId="77777777" w:rsidR="00197737" w:rsidRPr="004B5317" w:rsidRDefault="00197737" w:rsidP="00197737">
            <w:pPr>
              <w:pStyle w:val="Tabletext"/>
              <w:keepNext/>
              <w:rPr>
                <w:lang w:val="en-US"/>
              </w:rPr>
            </w:pPr>
            <w:r w:rsidRPr="004B5317">
              <w:rPr>
                <w:color w:val="000000"/>
                <w:lang w:val="en-US"/>
              </w:rPr>
              <w:t>27 (33.8)</w:t>
            </w:r>
          </w:p>
        </w:tc>
        <w:tc>
          <w:tcPr>
            <w:tcW w:w="1414" w:type="pct"/>
          </w:tcPr>
          <w:p w14:paraId="2CEABABE" w14:textId="3132EA32" w:rsidR="00197737" w:rsidRPr="004B5317" w:rsidRDefault="00197737" w:rsidP="00197737">
            <w:pPr>
              <w:pStyle w:val="Tabletext"/>
              <w:keepNext/>
              <w:rPr>
                <w:color w:val="000000"/>
                <w:lang w:val="en-US"/>
              </w:rPr>
            </w:pPr>
            <w:r w:rsidRPr="00885192">
              <w:rPr>
                <w:color w:val="000000"/>
                <w:lang w:val="en-US"/>
              </w:rPr>
              <w:t>-20.2 (-34.9, -5.5)</w:t>
            </w:r>
          </w:p>
        </w:tc>
      </w:tr>
      <w:tr w:rsidR="00197737" w:rsidRPr="004B5317" w14:paraId="3E74F371" w14:textId="77777777" w:rsidTr="00197737">
        <w:tc>
          <w:tcPr>
            <w:tcW w:w="759" w:type="pct"/>
          </w:tcPr>
          <w:p w14:paraId="6993B615" w14:textId="77777777" w:rsidR="00197737" w:rsidRPr="004B5317" w:rsidRDefault="00197737" w:rsidP="00197737">
            <w:pPr>
              <w:pStyle w:val="Tabletext"/>
              <w:keepNext/>
              <w:rPr>
                <w:lang w:val="en-US"/>
              </w:rPr>
            </w:pPr>
            <w:r w:rsidRPr="004B5317">
              <w:rPr>
                <w:lang w:val="en-US"/>
              </w:rPr>
              <w:t>38</w:t>
            </w:r>
          </w:p>
        </w:tc>
        <w:tc>
          <w:tcPr>
            <w:tcW w:w="1414" w:type="pct"/>
          </w:tcPr>
          <w:p w14:paraId="62BD2AF4" w14:textId="77777777" w:rsidR="00197737" w:rsidRPr="004B5317" w:rsidRDefault="00197737" w:rsidP="00197737">
            <w:pPr>
              <w:pStyle w:val="Tabletext"/>
              <w:keepNext/>
              <w:rPr>
                <w:color w:val="000000"/>
                <w:lang w:val="en-US"/>
              </w:rPr>
            </w:pPr>
            <w:r w:rsidRPr="004B5317">
              <w:rPr>
                <w:color w:val="000000"/>
                <w:lang w:val="en-US"/>
              </w:rPr>
              <w:t>16 (18.0)</w:t>
            </w:r>
          </w:p>
        </w:tc>
        <w:tc>
          <w:tcPr>
            <w:tcW w:w="1414" w:type="pct"/>
          </w:tcPr>
          <w:p w14:paraId="0E25BEFE" w14:textId="77777777" w:rsidR="00197737" w:rsidRPr="004B5317" w:rsidRDefault="00197737" w:rsidP="00197737">
            <w:pPr>
              <w:pStyle w:val="Tabletext"/>
              <w:keepNext/>
              <w:rPr>
                <w:color w:val="000000"/>
                <w:lang w:val="en-US"/>
              </w:rPr>
            </w:pPr>
            <w:r w:rsidRPr="004B5317">
              <w:rPr>
                <w:color w:val="000000"/>
                <w:lang w:val="en-US"/>
              </w:rPr>
              <w:t>16 (20.0)</w:t>
            </w:r>
          </w:p>
        </w:tc>
        <w:tc>
          <w:tcPr>
            <w:tcW w:w="1414" w:type="pct"/>
          </w:tcPr>
          <w:p w14:paraId="7017AE2C" w14:textId="094F5B35" w:rsidR="00197737" w:rsidRPr="004B5317" w:rsidRDefault="00197737" w:rsidP="00197737">
            <w:pPr>
              <w:pStyle w:val="Tabletext"/>
              <w:keepNext/>
              <w:rPr>
                <w:color w:val="000000"/>
                <w:lang w:val="en-US"/>
              </w:rPr>
            </w:pPr>
            <w:r w:rsidRPr="00885192">
              <w:rPr>
                <w:color w:val="000000"/>
                <w:lang w:val="en-US"/>
              </w:rPr>
              <w:t>-2.0 (-9.8, 13.8)</w:t>
            </w:r>
          </w:p>
        </w:tc>
      </w:tr>
    </w:tbl>
    <w:p w14:paraId="27AC1416" w14:textId="77777777" w:rsidR="00912D3A" w:rsidRDefault="00912D3A" w:rsidP="00912D3A">
      <w:pPr>
        <w:pStyle w:val="FooterTableFigure"/>
      </w:pPr>
      <w:r>
        <w:t xml:space="preserve">Source: Table 49, p109 of the submission. </w:t>
      </w:r>
    </w:p>
    <w:p w14:paraId="78B5A4ED" w14:textId="77777777" w:rsidR="00197737" w:rsidRPr="004B5317" w:rsidRDefault="00197737" w:rsidP="00197737">
      <w:pPr>
        <w:pStyle w:val="FooterTableFigure"/>
      </w:pPr>
      <w:r>
        <w:t>95%CI = 95% confidence interval; ITT = intention to treat; KCCQ-23 = Kansas City Cardiomyopathy Questionnaire 23-item Clinical Summary Score; N = number of patients who provided response; n</w:t>
      </w:r>
      <w:r w:rsidRPr="004B5317">
        <w:t xml:space="preserve"> is the number of patients with a baseline score ≤ 100 minus 10 (i.e., the clinically meaningful threshold).</w:t>
      </w:r>
    </w:p>
    <w:p w14:paraId="0A913669" w14:textId="5799AA3B" w:rsidR="00912D3A" w:rsidRDefault="00197737" w:rsidP="00197737">
      <w:pPr>
        <w:pStyle w:val="FooterTableFigure"/>
      </w:pPr>
      <w:r w:rsidRPr="004B5317">
        <w:t>Patients with missing data at the post-baseline visit were considered non-responders for that visit</w:t>
      </w:r>
      <w:r>
        <w:t>.</w:t>
      </w:r>
    </w:p>
    <w:p w14:paraId="3D2475BF" w14:textId="388CE4D5" w:rsidR="008A685A" w:rsidRPr="004B5317" w:rsidRDefault="008A685A" w:rsidP="00197737">
      <w:pPr>
        <w:pStyle w:val="FooterTableFigure"/>
      </w:pPr>
      <w:r>
        <w:t>a Calculated during the evaluation</w:t>
      </w:r>
    </w:p>
    <w:p w14:paraId="7FE12080" w14:textId="0DE70AB3" w:rsidR="00912D3A" w:rsidRPr="00881D69" w:rsidRDefault="00463A1F" w:rsidP="00E130EB">
      <w:pPr>
        <w:pStyle w:val="3-BodyText"/>
      </w:pPr>
      <w:r>
        <w:t xml:space="preserve">The </w:t>
      </w:r>
      <w:r w:rsidR="00912D3A">
        <w:t>Hypertrophic Cardiomyopathy Symptom Questionnaire, shortness of breath (HCMSQ SoB) domain</w:t>
      </w:r>
      <w:r>
        <w:t>, is a patient reported outcome instrument</w:t>
      </w:r>
      <w:r w:rsidR="00912D3A">
        <w:t xml:space="preserve">. </w:t>
      </w:r>
      <w:r w:rsidR="00D17D05" w:rsidRPr="00885192">
        <w:t xml:space="preserve">The HCMSQ is a </w:t>
      </w:r>
      <w:r w:rsidR="00D17D05" w:rsidRPr="00885192">
        <w:lastRenderedPageBreak/>
        <w:t>measure developed by the sponsor. This questionnaire has not been independently validated.</w:t>
      </w:r>
      <w:r w:rsidR="00D17D05">
        <w:t xml:space="preserve"> </w:t>
      </w:r>
      <w:r w:rsidR="00912D3A" w:rsidRPr="004B5317">
        <w:t>By Week 30, HCMSQ SoB domain scores improved across both arms, with decreases of -2.8 for the mavacamten group compared with -0.9 for the placebo group.</w:t>
      </w:r>
      <w:r w:rsidR="00912D3A">
        <w:t xml:space="preserve"> Score changes of </w:t>
      </w:r>
      <w:r w:rsidR="00912D3A">
        <w:rPr>
          <w:rFonts w:cstheme="minorHAnsi"/>
        </w:rPr>
        <w:t>≥</w:t>
      </w:r>
      <w:r w:rsidR="00912D3A">
        <w:t xml:space="preserve">2.5 points were considered clinically meaningful. By Week 30, 50% of patients in the mavacamten arm had achieved a clinically meaningful response, compared with 21.3% in the placebo group. </w:t>
      </w:r>
      <w:r w:rsidR="00E130EB" w:rsidRPr="00885192">
        <w:t xml:space="preserve">Although there was </w:t>
      </w:r>
      <w:r w:rsidR="00D17D05" w:rsidRPr="00F72968">
        <w:rPr>
          <w:iCs/>
        </w:rPr>
        <w:t>considerable</w:t>
      </w:r>
      <w:r w:rsidR="00E130EB" w:rsidRPr="00885192">
        <w:t xml:space="preserve"> missing data for the HCMSQ outcome, the analyses show that it was unlikely that the missing data introduced </w:t>
      </w:r>
      <w:r w:rsidR="00191C46" w:rsidRPr="00885192">
        <w:t>attrition</w:t>
      </w:r>
      <w:r w:rsidR="00E130EB" w:rsidRPr="00885192">
        <w:t xml:space="preserve"> bias. </w:t>
      </w:r>
    </w:p>
    <w:p w14:paraId="7AA8BDD7" w14:textId="63BB611E" w:rsidR="00912D3A" w:rsidRDefault="00912D3A" w:rsidP="00912D3A">
      <w:pPr>
        <w:pStyle w:val="Caption"/>
      </w:pPr>
      <w:r>
        <w:t xml:space="preserve">Table </w:t>
      </w:r>
      <w:r w:rsidR="00645E50">
        <w:fldChar w:fldCharType="begin"/>
      </w:r>
      <w:r w:rsidR="00645E50">
        <w:instrText xml:space="preserve"> SEQ Table \* ARABIC </w:instrText>
      </w:r>
      <w:r w:rsidR="00645E50">
        <w:fldChar w:fldCharType="separate"/>
      </w:r>
      <w:r w:rsidR="00645E50">
        <w:rPr>
          <w:noProof/>
        </w:rPr>
        <w:t>11</w:t>
      </w:r>
      <w:r w:rsidR="00645E50">
        <w:rPr>
          <w:noProof/>
        </w:rPr>
        <w:fldChar w:fldCharType="end"/>
      </w:r>
      <w:r>
        <w:t xml:space="preserve">: </w:t>
      </w:r>
      <w:r w:rsidRPr="008774E9">
        <w:t>Patients with ≥ 2.5-point decrease in HCMSQ SoB domain score by visit (ITT)</w:t>
      </w:r>
    </w:p>
    <w:tbl>
      <w:tblPr>
        <w:tblStyle w:val="TableGrid"/>
        <w:tblW w:w="5000" w:type="pct"/>
        <w:tblLook w:val="04A0" w:firstRow="1" w:lastRow="0" w:firstColumn="1" w:lastColumn="0" w:noHBand="0" w:noVBand="1"/>
      </w:tblPr>
      <w:tblGrid>
        <w:gridCol w:w="1554"/>
        <w:gridCol w:w="2487"/>
        <w:gridCol w:w="2487"/>
        <w:gridCol w:w="2489"/>
      </w:tblGrid>
      <w:tr w:rsidR="00197737" w:rsidRPr="004B5317" w14:paraId="0BF5F242" w14:textId="084B257D" w:rsidTr="00197737">
        <w:trPr>
          <w:trHeight w:val="55"/>
        </w:trPr>
        <w:tc>
          <w:tcPr>
            <w:tcW w:w="862" w:type="pct"/>
          </w:tcPr>
          <w:p w14:paraId="3687DE50" w14:textId="77777777" w:rsidR="00197737" w:rsidRPr="004B5317" w:rsidRDefault="00197737" w:rsidP="00197737">
            <w:pPr>
              <w:pStyle w:val="TableFigureHeading"/>
              <w:rPr>
                <w:lang w:val="en-US"/>
              </w:rPr>
            </w:pPr>
            <w:r w:rsidRPr="004B5317">
              <w:rPr>
                <w:lang w:val="en-US"/>
              </w:rPr>
              <w:t>Study Week</w:t>
            </w:r>
          </w:p>
        </w:tc>
        <w:tc>
          <w:tcPr>
            <w:tcW w:w="1379" w:type="pct"/>
          </w:tcPr>
          <w:p w14:paraId="15686A9F" w14:textId="77777777" w:rsidR="00197737" w:rsidRPr="004B5317" w:rsidRDefault="00197737" w:rsidP="00197737">
            <w:pPr>
              <w:pStyle w:val="TableFigureHeading"/>
              <w:rPr>
                <w:color w:val="000000"/>
                <w:lang w:val="en-US"/>
              </w:rPr>
            </w:pPr>
            <w:r w:rsidRPr="004B5317">
              <w:rPr>
                <w:color w:val="000000"/>
                <w:lang w:val="en-US"/>
              </w:rPr>
              <w:t>Mavacamten</w:t>
            </w:r>
            <w:r w:rsidRPr="004B5317">
              <w:rPr>
                <w:color w:val="000000"/>
                <w:lang w:val="en-US"/>
              </w:rPr>
              <w:br/>
              <w:t>(N = 90)</w:t>
            </w:r>
          </w:p>
          <w:p w14:paraId="61CF1B25" w14:textId="77777777" w:rsidR="00197737" w:rsidRPr="004B5317" w:rsidRDefault="00197737" w:rsidP="00197737">
            <w:pPr>
              <w:pStyle w:val="TableFigureHeading"/>
              <w:rPr>
                <w:color w:val="000000"/>
                <w:lang w:val="en-US"/>
              </w:rPr>
            </w:pPr>
            <w:r w:rsidRPr="004B5317">
              <w:rPr>
                <w:color w:val="000000"/>
                <w:lang w:val="en-US"/>
              </w:rPr>
              <w:t>(n) %</w:t>
            </w:r>
          </w:p>
        </w:tc>
        <w:tc>
          <w:tcPr>
            <w:tcW w:w="1379" w:type="pct"/>
          </w:tcPr>
          <w:p w14:paraId="61513BEC" w14:textId="77777777" w:rsidR="00197737" w:rsidRPr="004B5317" w:rsidRDefault="00197737" w:rsidP="00197737">
            <w:pPr>
              <w:pStyle w:val="TableFigureHeading"/>
              <w:rPr>
                <w:color w:val="000000"/>
                <w:lang w:val="en-US"/>
              </w:rPr>
            </w:pPr>
            <w:r w:rsidRPr="004B5317">
              <w:rPr>
                <w:color w:val="000000"/>
                <w:lang w:val="en-US"/>
              </w:rPr>
              <w:t>Placebo</w:t>
            </w:r>
            <w:r w:rsidRPr="004B5317">
              <w:rPr>
                <w:color w:val="000000"/>
                <w:lang w:val="en-US"/>
              </w:rPr>
              <w:br/>
              <w:t>(N = 75)</w:t>
            </w:r>
          </w:p>
          <w:p w14:paraId="0474B2A4" w14:textId="77777777" w:rsidR="00197737" w:rsidRPr="004B5317" w:rsidRDefault="00197737" w:rsidP="00197737">
            <w:pPr>
              <w:pStyle w:val="TableFigureHeading"/>
              <w:rPr>
                <w:lang w:val="en-US"/>
              </w:rPr>
            </w:pPr>
            <w:r w:rsidRPr="004B5317">
              <w:rPr>
                <w:color w:val="000000"/>
                <w:lang w:val="en-US"/>
              </w:rPr>
              <w:t>(n) %</w:t>
            </w:r>
          </w:p>
        </w:tc>
        <w:tc>
          <w:tcPr>
            <w:tcW w:w="1380" w:type="pct"/>
          </w:tcPr>
          <w:p w14:paraId="5EE30EF2" w14:textId="180C43C1" w:rsidR="00197737" w:rsidRPr="00885192" w:rsidRDefault="00362B28" w:rsidP="00197737">
            <w:pPr>
              <w:pStyle w:val="TableFigureHeading"/>
              <w:rPr>
                <w:color w:val="000000"/>
                <w:lang w:val="en-US"/>
              </w:rPr>
            </w:pPr>
            <w:r w:rsidRPr="008774E9">
              <w:rPr>
                <w:szCs w:val="20"/>
              </w:rPr>
              <w:t xml:space="preserve">Mavacamten vs Placebo </w:t>
            </w:r>
            <w:r w:rsidRPr="00885192">
              <w:rPr>
                <w:color w:val="000000"/>
                <w:lang w:val="en-US"/>
              </w:rPr>
              <w:t>d</w:t>
            </w:r>
            <w:r w:rsidR="00197737" w:rsidRPr="00885192">
              <w:rPr>
                <w:color w:val="000000"/>
                <w:lang w:val="en-US"/>
              </w:rPr>
              <w:t xml:space="preserve">ifference </w:t>
            </w:r>
          </w:p>
          <w:p w14:paraId="1ACB244A" w14:textId="527B4F24" w:rsidR="00197737" w:rsidRPr="008A685A" w:rsidRDefault="00197737" w:rsidP="00197737">
            <w:pPr>
              <w:pStyle w:val="TableFigureHeading"/>
              <w:rPr>
                <w:b w:val="0"/>
                <w:color w:val="000000"/>
                <w:vertAlign w:val="superscript"/>
                <w:lang w:val="en-US"/>
              </w:rPr>
            </w:pPr>
            <w:r w:rsidRPr="00885192">
              <w:t>% (95%CI)</w:t>
            </w:r>
            <w:r w:rsidR="008A685A">
              <w:rPr>
                <w:vertAlign w:val="superscript"/>
              </w:rPr>
              <w:t>a</w:t>
            </w:r>
          </w:p>
        </w:tc>
      </w:tr>
      <w:tr w:rsidR="00197737" w:rsidRPr="004B5317" w14:paraId="3AEB12E7" w14:textId="38F6D0DC" w:rsidTr="00197737">
        <w:tc>
          <w:tcPr>
            <w:tcW w:w="862" w:type="pct"/>
          </w:tcPr>
          <w:p w14:paraId="755B75B0" w14:textId="77777777" w:rsidR="00197737" w:rsidRPr="004B5317" w:rsidRDefault="00197737" w:rsidP="00197737">
            <w:pPr>
              <w:pStyle w:val="Tabletext"/>
              <w:keepNext/>
              <w:rPr>
                <w:lang w:val="en-US"/>
              </w:rPr>
            </w:pPr>
            <w:r w:rsidRPr="004B5317">
              <w:rPr>
                <w:lang w:val="en-US"/>
              </w:rPr>
              <w:t>4</w:t>
            </w:r>
          </w:p>
        </w:tc>
        <w:tc>
          <w:tcPr>
            <w:tcW w:w="1379" w:type="pct"/>
          </w:tcPr>
          <w:p w14:paraId="50BEC51E" w14:textId="77777777" w:rsidR="00197737" w:rsidRPr="004B5317" w:rsidRDefault="00197737" w:rsidP="00197737">
            <w:pPr>
              <w:pStyle w:val="Tabletext"/>
              <w:keepNext/>
              <w:rPr>
                <w:lang w:val="en-US"/>
              </w:rPr>
            </w:pPr>
            <w:r w:rsidRPr="004B5317">
              <w:rPr>
                <w:color w:val="000000"/>
                <w:lang w:val="en-US"/>
              </w:rPr>
              <w:t>31 (34.4)</w:t>
            </w:r>
          </w:p>
        </w:tc>
        <w:tc>
          <w:tcPr>
            <w:tcW w:w="1379" w:type="pct"/>
          </w:tcPr>
          <w:p w14:paraId="419CE431" w14:textId="77777777" w:rsidR="00197737" w:rsidRPr="004B5317" w:rsidRDefault="00197737" w:rsidP="00197737">
            <w:pPr>
              <w:pStyle w:val="Tabletext"/>
              <w:keepNext/>
              <w:rPr>
                <w:lang w:val="en-US"/>
              </w:rPr>
            </w:pPr>
            <w:r w:rsidRPr="004B5317">
              <w:rPr>
                <w:color w:val="000000"/>
                <w:lang w:val="en-US"/>
              </w:rPr>
              <w:t>13 (17.3)</w:t>
            </w:r>
          </w:p>
        </w:tc>
        <w:tc>
          <w:tcPr>
            <w:tcW w:w="1380" w:type="pct"/>
          </w:tcPr>
          <w:p w14:paraId="5A161DDC" w14:textId="5A6F7ED6" w:rsidR="00197737" w:rsidRPr="00197737" w:rsidRDefault="00197737" w:rsidP="00197737">
            <w:pPr>
              <w:pStyle w:val="Tabletext"/>
              <w:keepNext/>
              <w:rPr>
                <w:color w:val="000000"/>
                <w:lang w:val="en-US"/>
              </w:rPr>
            </w:pPr>
            <w:r w:rsidRPr="00885192">
              <w:rPr>
                <w:color w:val="000000"/>
                <w:lang w:val="en-US"/>
              </w:rPr>
              <w:t>-17.1 (-30.4, -3.8)</w:t>
            </w:r>
          </w:p>
        </w:tc>
      </w:tr>
      <w:tr w:rsidR="00197737" w:rsidRPr="004B5317" w14:paraId="452DCDE7" w14:textId="69D50002" w:rsidTr="00197737">
        <w:tc>
          <w:tcPr>
            <w:tcW w:w="862" w:type="pct"/>
          </w:tcPr>
          <w:p w14:paraId="6740FF5B" w14:textId="77777777" w:rsidR="00197737" w:rsidRPr="004B5317" w:rsidRDefault="00197737" w:rsidP="00197737">
            <w:pPr>
              <w:pStyle w:val="Tabletext"/>
              <w:keepNext/>
              <w:rPr>
                <w:lang w:val="en-US"/>
              </w:rPr>
            </w:pPr>
            <w:r w:rsidRPr="004B5317">
              <w:rPr>
                <w:lang w:val="en-US"/>
              </w:rPr>
              <w:t>6</w:t>
            </w:r>
          </w:p>
        </w:tc>
        <w:tc>
          <w:tcPr>
            <w:tcW w:w="1379" w:type="pct"/>
          </w:tcPr>
          <w:p w14:paraId="43914549" w14:textId="77777777" w:rsidR="00197737" w:rsidRPr="004B5317" w:rsidRDefault="00197737" w:rsidP="00197737">
            <w:pPr>
              <w:pStyle w:val="Tabletext"/>
              <w:keepNext/>
              <w:rPr>
                <w:lang w:val="en-US"/>
              </w:rPr>
            </w:pPr>
            <w:r w:rsidRPr="004B5317">
              <w:rPr>
                <w:color w:val="000000"/>
                <w:lang w:val="en-US"/>
              </w:rPr>
              <w:t>33 (36.7)</w:t>
            </w:r>
          </w:p>
        </w:tc>
        <w:tc>
          <w:tcPr>
            <w:tcW w:w="1379" w:type="pct"/>
          </w:tcPr>
          <w:p w14:paraId="371BEBB2" w14:textId="77777777" w:rsidR="00197737" w:rsidRPr="004B5317" w:rsidRDefault="00197737" w:rsidP="00197737">
            <w:pPr>
              <w:pStyle w:val="Tabletext"/>
              <w:keepNext/>
              <w:rPr>
                <w:lang w:val="en-US"/>
              </w:rPr>
            </w:pPr>
            <w:r w:rsidRPr="004B5317">
              <w:rPr>
                <w:color w:val="000000"/>
                <w:lang w:val="en-US"/>
              </w:rPr>
              <w:t>17 (22.7)</w:t>
            </w:r>
          </w:p>
        </w:tc>
        <w:tc>
          <w:tcPr>
            <w:tcW w:w="1380" w:type="pct"/>
          </w:tcPr>
          <w:p w14:paraId="7B5B2855" w14:textId="0261B362" w:rsidR="00197737" w:rsidRPr="00197737" w:rsidRDefault="00197737" w:rsidP="00197737">
            <w:pPr>
              <w:pStyle w:val="Tabletext"/>
              <w:keepNext/>
              <w:rPr>
                <w:color w:val="000000"/>
                <w:lang w:val="en-US"/>
              </w:rPr>
            </w:pPr>
            <w:r w:rsidRPr="00885192">
              <w:rPr>
                <w:color w:val="000000"/>
                <w:lang w:val="en-US"/>
              </w:rPr>
              <w:t>-14.0 (-27.9, -0.1)</w:t>
            </w:r>
          </w:p>
        </w:tc>
      </w:tr>
      <w:tr w:rsidR="00197737" w:rsidRPr="004B5317" w14:paraId="72DA92C7" w14:textId="4025A82B" w:rsidTr="00197737">
        <w:tc>
          <w:tcPr>
            <w:tcW w:w="862" w:type="pct"/>
          </w:tcPr>
          <w:p w14:paraId="0940E047" w14:textId="77777777" w:rsidR="00197737" w:rsidRPr="004B5317" w:rsidRDefault="00197737" w:rsidP="00197737">
            <w:pPr>
              <w:pStyle w:val="Tabletext"/>
              <w:keepNext/>
              <w:rPr>
                <w:lang w:val="en-US"/>
              </w:rPr>
            </w:pPr>
            <w:r w:rsidRPr="004B5317">
              <w:rPr>
                <w:lang w:val="en-US"/>
              </w:rPr>
              <w:t>10</w:t>
            </w:r>
          </w:p>
        </w:tc>
        <w:tc>
          <w:tcPr>
            <w:tcW w:w="1379" w:type="pct"/>
          </w:tcPr>
          <w:p w14:paraId="18E8B09A" w14:textId="77777777" w:rsidR="00197737" w:rsidRPr="004B5317" w:rsidRDefault="00197737" w:rsidP="00197737">
            <w:pPr>
              <w:pStyle w:val="Tabletext"/>
              <w:keepNext/>
              <w:rPr>
                <w:lang w:val="en-US"/>
              </w:rPr>
            </w:pPr>
            <w:r w:rsidRPr="004B5317">
              <w:rPr>
                <w:color w:val="000000"/>
                <w:lang w:val="en-US"/>
              </w:rPr>
              <w:t>38 (42.2)</w:t>
            </w:r>
          </w:p>
        </w:tc>
        <w:tc>
          <w:tcPr>
            <w:tcW w:w="1379" w:type="pct"/>
          </w:tcPr>
          <w:p w14:paraId="31CBCF40" w14:textId="77777777" w:rsidR="00197737" w:rsidRPr="004B5317" w:rsidRDefault="00197737" w:rsidP="00197737">
            <w:pPr>
              <w:pStyle w:val="Tabletext"/>
              <w:keepNext/>
              <w:rPr>
                <w:lang w:val="en-US"/>
              </w:rPr>
            </w:pPr>
            <w:r w:rsidRPr="004B5317">
              <w:rPr>
                <w:color w:val="000000"/>
                <w:lang w:val="en-US"/>
              </w:rPr>
              <w:t>18 (24.0)</w:t>
            </w:r>
          </w:p>
        </w:tc>
        <w:tc>
          <w:tcPr>
            <w:tcW w:w="1380" w:type="pct"/>
          </w:tcPr>
          <w:p w14:paraId="45E5391D" w14:textId="792B6FB2" w:rsidR="00197737" w:rsidRPr="00197737" w:rsidRDefault="00197737" w:rsidP="00197737">
            <w:pPr>
              <w:pStyle w:val="Tabletext"/>
              <w:keepNext/>
              <w:rPr>
                <w:color w:val="000000"/>
                <w:lang w:val="en-US"/>
              </w:rPr>
            </w:pPr>
            <w:r w:rsidRPr="00885192">
              <w:rPr>
                <w:color w:val="000000"/>
                <w:lang w:val="en-US"/>
              </w:rPr>
              <w:t>-18.2 (-32.5, -4.0)</w:t>
            </w:r>
          </w:p>
        </w:tc>
      </w:tr>
      <w:tr w:rsidR="00197737" w:rsidRPr="004B5317" w14:paraId="065D9A22" w14:textId="52A1D31B" w:rsidTr="00197737">
        <w:tc>
          <w:tcPr>
            <w:tcW w:w="862" w:type="pct"/>
          </w:tcPr>
          <w:p w14:paraId="463DD5E7" w14:textId="77777777" w:rsidR="00197737" w:rsidRPr="004B5317" w:rsidRDefault="00197737" w:rsidP="00197737">
            <w:pPr>
              <w:pStyle w:val="Tabletext"/>
              <w:keepNext/>
              <w:rPr>
                <w:lang w:val="en-US"/>
              </w:rPr>
            </w:pPr>
            <w:r w:rsidRPr="004B5317">
              <w:rPr>
                <w:lang w:val="en-US"/>
              </w:rPr>
              <w:t>14</w:t>
            </w:r>
          </w:p>
        </w:tc>
        <w:tc>
          <w:tcPr>
            <w:tcW w:w="1379" w:type="pct"/>
          </w:tcPr>
          <w:p w14:paraId="4D43D144" w14:textId="77777777" w:rsidR="00197737" w:rsidRPr="004B5317" w:rsidRDefault="00197737" w:rsidP="00197737">
            <w:pPr>
              <w:pStyle w:val="Tabletext"/>
              <w:keepNext/>
              <w:rPr>
                <w:lang w:val="en-US"/>
              </w:rPr>
            </w:pPr>
            <w:r w:rsidRPr="004B5317">
              <w:rPr>
                <w:color w:val="000000"/>
                <w:lang w:val="en-US"/>
              </w:rPr>
              <w:t>42 (46.7)</w:t>
            </w:r>
          </w:p>
        </w:tc>
        <w:tc>
          <w:tcPr>
            <w:tcW w:w="1379" w:type="pct"/>
          </w:tcPr>
          <w:p w14:paraId="3DBFE915" w14:textId="77777777" w:rsidR="00197737" w:rsidRPr="004B5317" w:rsidRDefault="00197737" w:rsidP="00197737">
            <w:pPr>
              <w:pStyle w:val="Tabletext"/>
              <w:keepNext/>
              <w:rPr>
                <w:lang w:val="en-US"/>
              </w:rPr>
            </w:pPr>
            <w:r w:rsidRPr="004B5317">
              <w:rPr>
                <w:color w:val="000000"/>
                <w:lang w:val="en-US"/>
              </w:rPr>
              <w:t>21 (28.0)</w:t>
            </w:r>
          </w:p>
        </w:tc>
        <w:tc>
          <w:tcPr>
            <w:tcW w:w="1380" w:type="pct"/>
          </w:tcPr>
          <w:p w14:paraId="23AF3EB3" w14:textId="1268E93E" w:rsidR="00197737" w:rsidRPr="00197737" w:rsidRDefault="00197737" w:rsidP="00197737">
            <w:pPr>
              <w:pStyle w:val="Tabletext"/>
              <w:keepNext/>
              <w:rPr>
                <w:color w:val="000000"/>
                <w:lang w:val="en-US"/>
              </w:rPr>
            </w:pPr>
            <w:r w:rsidRPr="00885192">
              <w:rPr>
                <w:color w:val="000000"/>
                <w:lang w:val="en-US"/>
              </w:rPr>
              <w:t>-18.7 (-33.3, -4.1)</w:t>
            </w:r>
          </w:p>
        </w:tc>
      </w:tr>
      <w:tr w:rsidR="00197737" w:rsidRPr="004B5317" w14:paraId="783FC3BE" w14:textId="39338CF1" w:rsidTr="00197737">
        <w:tc>
          <w:tcPr>
            <w:tcW w:w="862" w:type="pct"/>
          </w:tcPr>
          <w:p w14:paraId="4FEEB31D" w14:textId="77777777" w:rsidR="00197737" w:rsidRPr="004B5317" w:rsidRDefault="00197737" w:rsidP="00197737">
            <w:pPr>
              <w:pStyle w:val="Tabletext"/>
              <w:keepNext/>
              <w:rPr>
                <w:lang w:val="en-US"/>
              </w:rPr>
            </w:pPr>
            <w:r w:rsidRPr="004B5317">
              <w:rPr>
                <w:lang w:val="en-US"/>
              </w:rPr>
              <w:t>18</w:t>
            </w:r>
          </w:p>
        </w:tc>
        <w:tc>
          <w:tcPr>
            <w:tcW w:w="1379" w:type="pct"/>
          </w:tcPr>
          <w:p w14:paraId="135A322F" w14:textId="77777777" w:rsidR="00197737" w:rsidRPr="004B5317" w:rsidRDefault="00197737" w:rsidP="00197737">
            <w:pPr>
              <w:pStyle w:val="Tabletext"/>
              <w:keepNext/>
              <w:rPr>
                <w:color w:val="000000"/>
                <w:lang w:val="en-US"/>
              </w:rPr>
            </w:pPr>
            <w:r w:rsidRPr="004B5317">
              <w:rPr>
                <w:color w:val="000000"/>
                <w:lang w:val="en-US"/>
              </w:rPr>
              <w:t>45 (50.0)</w:t>
            </w:r>
          </w:p>
        </w:tc>
        <w:tc>
          <w:tcPr>
            <w:tcW w:w="1379" w:type="pct"/>
          </w:tcPr>
          <w:p w14:paraId="0643F5F7" w14:textId="77777777" w:rsidR="00197737" w:rsidRPr="004B5317" w:rsidRDefault="00197737" w:rsidP="00197737">
            <w:pPr>
              <w:pStyle w:val="Tabletext"/>
              <w:keepNext/>
              <w:rPr>
                <w:color w:val="000000"/>
                <w:lang w:val="en-US"/>
              </w:rPr>
            </w:pPr>
            <w:r w:rsidRPr="004B5317">
              <w:rPr>
                <w:color w:val="000000"/>
                <w:lang w:val="en-US"/>
              </w:rPr>
              <w:t>24 (32.0)</w:t>
            </w:r>
          </w:p>
        </w:tc>
        <w:tc>
          <w:tcPr>
            <w:tcW w:w="1380" w:type="pct"/>
          </w:tcPr>
          <w:p w14:paraId="01C853FB" w14:textId="5DC8B761" w:rsidR="00197737" w:rsidRPr="00197737" w:rsidRDefault="00197737" w:rsidP="00197737">
            <w:pPr>
              <w:pStyle w:val="Tabletext"/>
              <w:keepNext/>
              <w:rPr>
                <w:color w:val="000000"/>
                <w:lang w:val="en-US"/>
              </w:rPr>
            </w:pPr>
            <w:r w:rsidRPr="00885192">
              <w:rPr>
                <w:color w:val="000000"/>
                <w:lang w:val="en-US"/>
              </w:rPr>
              <w:t>-18.0 (-32.9, -3.1)</w:t>
            </w:r>
          </w:p>
        </w:tc>
      </w:tr>
      <w:tr w:rsidR="00197737" w:rsidRPr="004B5317" w14:paraId="055893CC" w14:textId="2D222C77" w:rsidTr="00197737">
        <w:tc>
          <w:tcPr>
            <w:tcW w:w="862" w:type="pct"/>
          </w:tcPr>
          <w:p w14:paraId="41454703" w14:textId="77777777" w:rsidR="00197737" w:rsidRPr="004B5317" w:rsidRDefault="00197737" w:rsidP="00197737">
            <w:pPr>
              <w:pStyle w:val="Tabletext"/>
              <w:keepNext/>
              <w:rPr>
                <w:lang w:val="en-US"/>
              </w:rPr>
            </w:pPr>
            <w:r w:rsidRPr="004B5317">
              <w:rPr>
                <w:lang w:val="en-US"/>
              </w:rPr>
              <w:t>22</w:t>
            </w:r>
          </w:p>
        </w:tc>
        <w:tc>
          <w:tcPr>
            <w:tcW w:w="1379" w:type="pct"/>
          </w:tcPr>
          <w:p w14:paraId="19C202A7" w14:textId="77777777" w:rsidR="00197737" w:rsidRPr="004B5317" w:rsidRDefault="00197737" w:rsidP="00197737">
            <w:pPr>
              <w:pStyle w:val="Tabletext"/>
              <w:keepNext/>
              <w:rPr>
                <w:color w:val="000000"/>
                <w:lang w:val="en-US"/>
              </w:rPr>
            </w:pPr>
            <w:r w:rsidRPr="004B5317">
              <w:rPr>
                <w:color w:val="000000"/>
                <w:lang w:val="en-US"/>
              </w:rPr>
              <w:t>40 (44.4)</w:t>
            </w:r>
          </w:p>
        </w:tc>
        <w:tc>
          <w:tcPr>
            <w:tcW w:w="1379" w:type="pct"/>
          </w:tcPr>
          <w:p w14:paraId="42EC7BDD" w14:textId="77777777" w:rsidR="00197737" w:rsidRPr="004B5317" w:rsidRDefault="00197737" w:rsidP="00197737">
            <w:pPr>
              <w:pStyle w:val="Tabletext"/>
              <w:keepNext/>
              <w:rPr>
                <w:color w:val="000000"/>
                <w:lang w:val="en-US"/>
              </w:rPr>
            </w:pPr>
            <w:r w:rsidRPr="004B5317">
              <w:rPr>
                <w:color w:val="000000"/>
                <w:lang w:val="en-US"/>
              </w:rPr>
              <w:t>19 (25.3)</w:t>
            </w:r>
          </w:p>
        </w:tc>
        <w:tc>
          <w:tcPr>
            <w:tcW w:w="1380" w:type="pct"/>
          </w:tcPr>
          <w:p w14:paraId="2EAF0B1F" w14:textId="782FE57E" w:rsidR="00197737" w:rsidRPr="00197737" w:rsidRDefault="00197737" w:rsidP="00197737">
            <w:pPr>
              <w:pStyle w:val="Tabletext"/>
              <w:keepNext/>
              <w:rPr>
                <w:color w:val="000000"/>
                <w:lang w:val="en-US"/>
              </w:rPr>
            </w:pPr>
            <w:r w:rsidRPr="00885192">
              <w:rPr>
                <w:color w:val="000000"/>
                <w:lang w:val="en-US"/>
              </w:rPr>
              <w:t>-19.1 (-33.5, -4.7)</w:t>
            </w:r>
          </w:p>
        </w:tc>
      </w:tr>
      <w:tr w:rsidR="00197737" w:rsidRPr="004B5317" w14:paraId="6ED9929F" w14:textId="00EA29F1" w:rsidTr="00197737">
        <w:tc>
          <w:tcPr>
            <w:tcW w:w="862" w:type="pct"/>
          </w:tcPr>
          <w:p w14:paraId="322AA9AA" w14:textId="77777777" w:rsidR="00197737" w:rsidRPr="004B5317" w:rsidRDefault="00197737" w:rsidP="00197737">
            <w:pPr>
              <w:pStyle w:val="Tabletext"/>
              <w:keepNext/>
              <w:rPr>
                <w:lang w:val="en-US"/>
              </w:rPr>
            </w:pPr>
            <w:r w:rsidRPr="004B5317">
              <w:rPr>
                <w:lang w:val="en-US"/>
              </w:rPr>
              <w:t>26</w:t>
            </w:r>
          </w:p>
        </w:tc>
        <w:tc>
          <w:tcPr>
            <w:tcW w:w="1379" w:type="pct"/>
          </w:tcPr>
          <w:p w14:paraId="29BBAD36" w14:textId="77777777" w:rsidR="00197737" w:rsidRPr="004B5317" w:rsidRDefault="00197737" w:rsidP="00197737">
            <w:pPr>
              <w:pStyle w:val="Tabletext"/>
              <w:keepNext/>
              <w:rPr>
                <w:color w:val="000000"/>
                <w:lang w:val="en-US"/>
              </w:rPr>
            </w:pPr>
            <w:r w:rsidRPr="004B5317">
              <w:rPr>
                <w:color w:val="000000"/>
                <w:lang w:val="en-US"/>
              </w:rPr>
              <w:t>42 (46.7)</w:t>
            </w:r>
          </w:p>
        </w:tc>
        <w:tc>
          <w:tcPr>
            <w:tcW w:w="1379" w:type="pct"/>
          </w:tcPr>
          <w:p w14:paraId="1FF0AAEA" w14:textId="77777777" w:rsidR="00197737" w:rsidRPr="004B5317" w:rsidRDefault="00197737" w:rsidP="00197737">
            <w:pPr>
              <w:pStyle w:val="Tabletext"/>
              <w:keepNext/>
              <w:rPr>
                <w:color w:val="000000"/>
                <w:lang w:val="en-US"/>
              </w:rPr>
            </w:pPr>
            <w:r w:rsidRPr="004B5317">
              <w:rPr>
                <w:color w:val="000000"/>
                <w:lang w:val="en-US"/>
              </w:rPr>
              <w:t>19 (25.3)</w:t>
            </w:r>
          </w:p>
        </w:tc>
        <w:tc>
          <w:tcPr>
            <w:tcW w:w="1380" w:type="pct"/>
          </w:tcPr>
          <w:p w14:paraId="1C28B2EB" w14:textId="60840A22" w:rsidR="00197737" w:rsidRPr="00197737" w:rsidRDefault="00197737" w:rsidP="00197737">
            <w:pPr>
              <w:pStyle w:val="Tabletext"/>
              <w:keepNext/>
              <w:rPr>
                <w:color w:val="000000"/>
                <w:lang w:val="en-US"/>
              </w:rPr>
            </w:pPr>
            <w:r w:rsidRPr="00885192">
              <w:rPr>
                <w:color w:val="000000"/>
                <w:lang w:val="en-US"/>
              </w:rPr>
              <w:t>-21.3 (-35.8, -6.9)</w:t>
            </w:r>
          </w:p>
        </w:tc>
      </w:tr>
      <w:tr w:rsidR="00197737" w:rsidRPr="004B5317" w14:paraId="044F47B7" w14:textId="677C5868" w:rsidTr="00197737">
        <w:tc>
          <w:tcPr>
            <w:tcW w:w="862" w:type="pct"/>
          </w:tcPr>
          <w:p w14:paraId="2BDABFC5" w14:textId="77777777" w:rsidR="00197737" w:rsidRPr="004B5317" w:rsidRDefault="00197737" w:rsidP="00197737">
            <w:pPr>
              <w:pStyle w:val="Tabletext"/>
              <w:keepNext/>
              <w:rPr>
                <w:lang w:val="en-US"/>
              </w:rPr>
            </w:pPr>
            <w:r w:rsidRPr="004B5317">
              <w:rPr>
                <w:lang w:val="en-US"/>
              </w:rPr>
              <w:t>30</w:t>
            </w:r>
          </w:p>
        </w:tc>
        <w:tc>
          <w:tcPr>
            <w:tcW w:w="1379" w:type="pct"/>
          </w:tcPr>
          <w:p w14:paraId="01FBB286" w14:textId="77777777" w:rsidR="00197737" w:rsidRPr="004B5317" w:rsidRDefault="00197737" w:rsidP="00197737">
            <w:pPr>
              <w:pStyle w:val="Tabletext"/>
              <w:keepNext/>
              <w:rPr>
                <w:color w:val="000000"/>
                <w:lang w:val="en-US"/>
              </w:rPr>
            </w:pPr>
            <w:r w:rsidRPr="004B5317">
              <w:rPr>
                <w:color w:val="000000"/>
                <w:lang w:val="en-US"/>
              </w:rPr>
              <w:t>45 (50.0)</w:t>
            </w:r>
          </w:p>
        </w:tc>
        <w:tc>
          <w:tcPr>
            <w:tcW w:w="1379" w:type="pct"/>
          </w:tcPr>
          <w:p w14:paraId="2FFC7CDF" w14:textId="77777777" w:rsidR="00197737" w:rsidRPr="004B5317" w:rsidRDefault="00197737" w:rsidP="00197737">
            <w:pPr>
              <w:pStyle w:val="Tabletext"/>
              <w:keepNext/>
              <w:rPr>
                <w:color w:val="000000"/>
                <w:lang w:val="en-US"/>
              </w:rPr>
            </w:pPr>
            <w:r w:rsidRPr="004B5317">
              <w:rPr>
                <w:color w:val="000000"/>
                <w:lang w:val="en-US"/>
              </w:rPr>
              <w:t>16 (21.3)</w:t>
            </w:r>
          </w:p>
        </w:tc>
        <w:tc>
          <w:tcPr>
            <w:tcW w:w="1380" w:type="pct"/>
          </w:tcPr>
          <w:p w14:paraId="1191ADC3" w14:textId="4485A1D4" w:rsidR="00197737" w:rsidRPr="00197737" w:rsidRDefault="00197737" w:rsidP="00197737">
            <w:pPr>
              <w:pStyle w:val="Tabletext"/>
              <w:keepNext/>
              <w:rPr>
                <w:color w:val="000000"/>
                <w:lang w:val="en-US"/>
              </w:rPr>
            </w:pPr>
            <w:r w:rsidRPr="00885192">
              <w:rPr>
                <w:color w:val="000000"/>
                <w:lang w:val="en-US"/>
              </w:rPr>
              <w:t>-28.7 (-42.3, -14.5)</w:t>
            </w:r>
          </w:p>
        </w:tc>
      </w:tr>
      <w:tr w:rsidR="00197737" w:rsidRPr="004B5317" w14:paraId="52C051A6" w14:textId="669B31B8" w:rsidTr="00197737">
        <w:tc>
          <w:tcPr>
            <w:tcW w:w="862" w:type="pct"/>
          </w:tcPr>
          <w:p w14:paraId="707EF3A5" w14:textId="77777777" w:rsidR="00197737" w:rsidRPr="004B5317" w:rsidRDefault="00197737" w:rsidP="00197737">
            <w:pPr>
              <w:pStyle w:val="Tabletext"/>
              <w:keepNext/>
              <w:rPr>
                <w:lang w:val="en-US"/>
              </w:rPr>
            </w:pPr>
            <w:r w:rsidRPr="004B5317">
              <w:rPr>
                <w:lang w:val="en-US"/>
              </w:rPr>
              <w:t>38</w:t>
            </w:r>
          </w:p>
        </w:tc>
        <w:tc>
          <w:tcPr>
            <w:tcW w:w="1379" w:type="pct"/>
          </w:tcPr>
          <w:p w14:paraId="5155FBAC" w14:textId="77777777" w:rsidR="00197737" w:rsidRPr="004B5317" w:rsidRDefault="00197737" w:rsidP="00197737">
            <w:pPr>
              <w:pStyle w:val="Tabletext"/>
              <w:keepNext/>
              <w:rPr>
                <w:color w:val="000000"/>
                <w:lang w:val="en-US"/>
              </w:rPr>
            </w:pPr>
            <w:r w:rsidRPr="004B5317">
              <w:rPr>
                <w:color w:val="000000"/>
                <w:lang w:val="en-US"/>
              </w:rPr>
              <w:t>12 (13.3)</w:t>
            </w:r>
          </w:p>
        </w:tc>
        <w:tc>
          <w:tcPr>
            <w:tcW w:w="1379" w:type="pct"/>
          </w:tcPr>
          <w:p w14:paraId="6AA4E3B4" w14:textId="77777777" w:rsidR="00197737" w:rsidRPr="004B5317" w:rsidRDefault="00197737" w:rsidP="00197737">
            <w:pPr>
              <w:pStyle w:val="Tabletext"/>
              <w:keepNext/>
              <w:rPr>
                <w:color w:val="000000"/>
                <w:lang w:val="en-US"/>
              </w:rPr>
            </w:pPr>
            <w:r w:rsidRPr="004B5317">
              <w:rPr>
                <w:color w:val="000000"/>
                <w:lang w:val="en-US"/>
              </w:rPr>
              <w:t>9 (12.0)</w:t>
            </w:r>
          </w:p>
        </w:tc>
        <w:tc>
          <w:tcPr>
            <w:tcW w:w="1380" w:type="pct"/>
          </w:tcPr>
          <w:p w14:paraId="1C6D1200" w14:textId="559E15EF" w:rsidR="00197737" w:rsidRPr="00197737" w:rsidRDefault="00197737" w:rsidP="00197737">
            <w:pPr>
              <w:pStyle w:val="Tabletext"/>
              <w:keepNext/>
              <w:rPr>
                <w:color w:val="000000"/>
                <w:lang w:val="en-US"/>
              </w:rPr>
            </w:pPr>
            <w:r w:rsidRPr="00885192">
              <w:rPr>
                <w:color w:val="000000"/>
                <w:lang w:val="en-US"/>
              </w:rPr>
              <w:t>-1.3 (-11.5, 8.9)</w:t>
            </w:r>
          </w:p>
        </w:tc>
      </w:tr>
    </w:tbl>
    <w:p w14:paraId="37091E4E" w14:textId="3BB0590F" w:rsidR="00912D3A" w:rsidRDefault="00912D3A" w:rsidP="00912D3A">
      <w:pPr>
        <w:pStyle w:val="FooterTableFigure"/>
      </w:pPr>
      <w:r>
        <w:t>Source: Table 51, p112 of the submission</w:t>
      </w:r>
    </w:p>
    <w:p w14:paraId="2BE73D2A" w14:textId="6286CB84" w:rsidR="00197737" w:rsidRDefault="00197737" w:rsidP="00197737">
      <w:pPr>
        <w:pStyle w:val="FooterTableFigure"/>
      </w:pPr>
      <w:r>
        <w:t xml:space="preserve">95%CI = 95% confidence interval; </w:t>
      </w:r>
      <w:r w:rsidRPr="008774E9">
        <w:t>HCMSQ SoB</w:t>
      </w:r>
      <w:r>
        <w:t xml:space="preserve"> = Hypertrophic Cardiomyopathy Symptom Questionnaire, shortness of breath domain; ITT = intention to treat; N = patients who provided responses; n = patients who met the criteria</w:t>
      </w:r>
    </w:p>
    <w:p w14:paraId="683A7B3D" w14:textId="02AD6EAB" w:rsidR="008A685A" w:rsidRDefault="008A685A" w:rsidP="00197737">
      <w:pPr>
        <w:pStyle w:val="FooterTableFigure"/>
      </w:pPr>
      <w:r>
        <w:t>a Calculated during the evaluation</w:t>
      </w:r>
    </w:p>
    <w:p w14:paraId="6710CAD3" w14:textId="5D5C5616" w:rsidR="00912D3A" w:rsidRDefault="00153724" w:rsidP="00D17D05">
      <w:pPr>
        <w:pStyle w:val="3-BodyText"/>
      </w:pPr>
      <w:r>
        <w:t xml:space="preserve">QoL </w:t>
      </w:r>
      <w:r w:rsidR="00912D3A">
        <w:t xml:space="preserve">data were collected in the EXPLORER-HCM trial using the EQ-5D-5L. Response rates were similar between treatment arms. </w:t>
      </w:r>
      <w:r w:rsidR="004171CB">
        <w:rPr>
          <w:rFonts w:cs="Tahoma"/>
        </w:rPr>
        <w:t xml:space="preserve">During the 30-week treatment period, the main </w:t>
      </w:r>
      <w:r w:rsidR="004171CB">
        <w:t>EQ-5D-5L scores remained close to baseline values for both treatment groups, with no statistically significant differences observed between the mavacamten arm and the placebo arm (</w:t>
      </w:r>
      <w:r w:rsidR="004171CB">
        <w:fldChar w:fldCharType="begin"/>
      </w:r>
      <w:r w:rsidR="004171CB">
        <w:instrText xml:space="preserve"> REF _Ref111191356 \h </w:instrText>
      </w:r>
      <w:r w:rsidR="004171CB">
        <w:fldChar w:fldCharType="separate"/>
      </w:r>
      <w:r w:rsidR="00645E50">
        <w:t xml:space="preserve">Table </w:t>
      </w:r>
      <w:r w:rsidR="00645E50">
        <w:rPr>
          <w:noProof/>
        </w:rPr>
        <w:t>12</w:t>
      </w:r>
      <w:r w:rsidR="004171CB">
        <w:fldChar w:fldCharType="end"/>
      </w:r>
      <w:r w:rsidR="004171CB">
        <w:t>).</w:t>
      </w:r>
    </w:p>
    <w:p w14:paraId="00F01ED1" w14:textId="344C7DAD" w:rsidR="004171CB" w:rsidRDefault="004171CB" w:rsidP="00A96A65">
      <w:pPr>
        <w:pStyle w:val="Caption"/>
      </w:pPr>
      <w:bookmarkStart w:id="29" w:name="_Ref111191356"/>
      <w:r>
        <w:t xml:space="preserve">Table </w:t>
      </w:r>
      <w:r w:rsidR="00645E50">
        <w:fldChar w:fldCharType="begin"/>
      </w:r>
      <w:r w:rsidR="00645E50">
        <w:instrText xml:space="preserve"> SEQ Table \* ARABIC </w:instrText>
      </w:r>
      <w:r w:rsidR="00645E50">
        <w:fldChar w:fldCharType="separate"/>
      </w:r>
      <w:r w:rsidR="00645E50">
        <w:rPr>
          <w:noProof/>
        </w:rPr>
        <w:t>12</w:t>
      </w:r>
      <w:r w:rsidR="00645E50">
        <w:rPr>
          <w:noProof/>
        </w:rPr>
        <w:fldChar w:fldCharType="end"/>
      </w:r>
      <w:bookmarkEnd w:id="29"/>
      <w:r w:rsidR="00366053">
        <w:rPr>
          <w:noProof/>
        </w:rPr>
        <w:t>:</w:t>
      </w:r>
      <w:r>
        <w:t xml:space="preserve"> Median (range) EQ-5D-5L results by visit (ITT)</w:t>
      </w:r>
    </w:p>
    <w:tbl>
      <w:tblPr>
        <w:tblStyle w:val="PBACtable2"/>
        <w:tblW w:w="0" w:type="auto"/>
        <w:tblLook w:val="04A0" w:firstRow="1" w:lastRow="0" w:firstColumn="1" w:lastColumn="0" w:noHBand="0" w:noVBand="1"/>
      </w:tblPr>
      <w:tblGrid>
        <w:gridCol w:w="2187"/>
        <w:gridCol w:w="2355"/>
        <w:gridCol w:w="2580"/>
        <w:gridCol w:w="1894"/>
      </w:tblGrid>
      <w:tr w:rsidR="004171CB" w:rsidRPr="004B5317" w14:paraId="57B0211A" w14:textId="77777777" w:rsidTr="00191C46">
        <w:trPr>
          <w:trHeight w:val="394"/>
        </w:trPr>
        <w:tc>
          <w:tcPr>
            <w:tcW w:w="2187" w:type="dxa"/>
          </w:tcPr>
          <w:p w14:paraId="0CF1EE98" w14:textId="77777777" w:rsidR="004171CB" w:rsidRPr="0060715A" w:rsidRDefault="004171CB" w:rsidP="00F14FD5">
            <w:pPr>
              <w:pStyle w:val="TableFigureHeading"/>
              <w:keepLines/>
              <w:rPr>
                <w:sz w:val="20"/>
                <w:szCs w:val="20"/>
              </w:rPr>
            </w:pPr>
            <w:r w:rsidRPr="0060715A">
              <w:rPr>
                <w:sz w:val="20"/>
                <w:szCs w:val="20"/>
              </w:rPr>
              <w:t>Visit</w:t>
            </w:r>
          </w:p>
        </w:tc>
        <w:tc>
          <w:tcPr>
            <w:tcW w:w="2355" w:type="dxa"/>
          </w:tcPr>
          <w:p w14:paraId="385AF172" w14:textId="77777777" w:rsidR="004171CB" w:rsidRPr="0060715A" w:rsidRDefault="004171CB" w:rsidP="00F14FD5">
            <w:pPr>
              <w:pStyle w:val="TableFigureHeading"/>
              <w:keepLines/>
              <w:rPr>
                <w:sz w:val="20"/>
                <w:szCs w:val="20"/>
              </w:rPr>
            </w:pPr>
            <w:r w:rsidRPr="0060715A">
              <w:rPr>
                <w:sz w:val="20"/>
                <w:szCs w:val="20"/>
              </w:rPr>
              <w:t>Mavacamten (n=123)</w:t>
            </w:r>
          </w:p>
        </w:tc>
        <w:tc>
          <w:tcPr>
            <w:tcW w:w="2580" w:type="dxa"/>
          </w:tcPr>
          <w:p w14:paraId="13ED6D0C" w14:textId="77777777" w:rsidR="004171CB" w:rsidRPr="0060715A" w:rsidRDefault="004171CB" w:rsidP="00F14FD5">
            <w:pPr>
              <w:pStyle w:val="TableFigureHeading"/>
              <w:keepLines/>
              <w:rPr>
                <w:sz w:val="20"/>
                <w:szCs w:val="20"/>
              </w:rPr>
            </w:pPr>
            <w:r w:rsidRPr="0060715A">
              <w:rPr>
                <w:sz w:val="20"/>
                <w:szCs w:val="20"/>
              </w:rPr>
              <w:t>Placebo (n=128)</w:t>
            </w:r>
          </w:p>
        </w:tc>
        <w:tc>
          <w:tcPr>
            <w:tcW w:w="1894" w:type="dxa"/>
          </w:tcPr>
          <w:p w14:paraId="167D158B" w14:textId="77777777" w:rsidR="004171CB" w:rsidRPr="0060715A" w:rsidRDefault="004171CB" w:rsidP="00F14FD5">
            <w:pPr>
              <w:pStyle w:val="TableFigureHeading"/>
              <w:keepLines/>
              <w:jc w:val="left"/>
              <w:rPr>
                <w:sz w:val="20"/>
                <w:szCs w:val="20"/>
              </w:rPr>
            </w:pPr>
            <w:r w:rsidRPr="0060715A">
              <w:rPr>
                <w:sz w:val="20"/>
                <w:szCs w:val="20"/>
              </w:rPr>
              <w:t>Mavacamten vs Placebo difference</w:t>
            </w:r>
          </w:p>
        </w:tc>
      </w:tr>
      <w:tr w:rsidR="004171CB" w:rsidRPr="004B5317" w14:paraId="7F66C41B" w14:textId="77777777" w:rsidTr="00191C46">
        <w:tc>
          <w:tcPr>
            <w:tcW w:w="2187" w:type="dxa"/>
          </w:tcPr>
          <w:p w14:paraId="1AF2D7B6" w14:textId="77777777" w:rsidR="004171CB" w:rsidRPr="004B5317" w:rsidRDefault="004171CB" w:rsidP="00F14FD5">
            <w:pPr>
              <w:pStyle w:val="Tabletext"/>
              <w:keepNext/>
              <w:keepLines/>
            </w:pPr>
            <w:r w:rsidRPr="004B5317">
              <w:t>Baseline</w:t>
            </w:r>
          </w:p>
        </w:tc>
        <w:tc>
          <w:tcPr>
            <w:tcW w:w="2355" w:type="dxa"/>
          </w:tcPr>
          <w:p w14:paraId="714A1EDB" w14:textId="77777777" w:rsidR="004171CB" w:rsidRPr="004B5317" w:rsidRDefault="004171CB" w:rsidP="00F14FD5">
            <w:pPr>
              <w:pStyle w:val="Tabletext"/>
              <w:keepNext/>
              <w:keepLines/>
            </w:pPr>
            <w:r w:rsidRPr="004B5317">
              <w:t>0.877 (0.20,1.00)</w:t>
            </w:r>
          </w:p>
          <w:p w14:paraId="438EAB2C" w14:textId="77777777" w:rsidR="004171CB" w:rsidRPr="004B5317" w:rsidRDefault="004171CB" w:rsidP="00F14FD5">
            <w:pPr>
              <w:pStyle w:val="Tabletext"/>
              <w:keepNext/>
              <w:keepLines/>
            </w:pPr>
            <w:r w:rsidRPr="004B5317">
              <w:t>(n=101)</w:t>
            </w:r>
          </w:p>
        </w:tc>
        <w:tc>
          <w:tcPr>
            <w:tcW w:w="2580" w:type="dxa"/>
          </w:tcPr>
          <w:p w14:paraId="53499B50" w14:textId="77777777" w:rsidR="004171CB" w:rsidRPr="004B5317" w:rsidRDefault="004171CB" w:rsidP="00F14FD5">
            <w:pPr>
              <w:pStyle w:val="Tabletext"/>
              <w:keepNext/>
              <w:keepLines/>
            </w:pPr>
            <w:r w:rsidRPr="004B5317">
              <w:t>0.843 (0.31,1.00)</w:t>
            </w:r>
          </w:p>
          <w:p w14:paraId="49D82E38" w14:textId="77777777" w:rsidR="004171CB" w:rsidRPr="004B5317" w:rsidRDefault="004171CB" w:rsidP="00F14FD5">
            <w:pPr>
              <w:pStyle w:val="Tabletext"/>
              <w:keepNext/>
              <w:keepLines/>
            </w:pPr>
            <w:r w:rsidRPr="004B5317">
              <w:t>(n=98)</w:t>
            </w:r>
          </w:p>
        </w:tc>
        <w:tc>
          <w:tcPr>
            <w:tcW w:w="1894" w:type="dxa"/>
          </w:tcPr>
          <w:p w14:paraId="0571F23D" w14:textId="77777777" w:rsidR="004171CB" w:rsidRPr="004B5317" w:rsidRDefault="004171CB" w:rsidP="00F14FD5">
            <w:pPr>
              <w:pStyle w:val="Tabletext"/>
              <w:keepNext/>
              <w:keepLines/>
            </w:pPr>
            <w:r w:rsidRPr="004B5317">
              <w:t>0.034</w:t>
            </w:r>
          </w:p>
        </w:tc>
      </w:tr>
      <w:tr w:rsidR="004171CB" w:rsidRPr="004B5317" w14:paraId="650AEA25" w14:textId="77777777" w:rsidTr="00191C46">
        <w:tc>
          <w:tcPr>
            <w:tcW w:w="2187" w:type="dxa"/>
          </w:tcPr>
          <w:p w14:paraId="247E379F" w14:textId="77777777" w:rsidR="004171CB" w:rsidRPr="004B5317" w:rsidRDefault="004171CB" w:rsidP="00F14FD5">
            <w:pPr>
              <w:pStyle w:val="Tabletext"/>
              <w:keepNext/>
              <w:keepLines/>
            </w:pPr>
            <w:r w:rsidRPr="004B5317">
              <w:t>Week 6</w:t>
            </w:r>
          </w:p>
        </w:tc>
        <w:tc>
          <w:tcPr>
            <w:tcW w:w="2355" w:type="dxa"/>
          </w:tcPr>
          <w:p w14:paraId="19289353" w14:textId="77777777" w:rsidR="004171CB" w:rsidRPr="004B5317" w:rsidRDefault="004171CB" w:rsidP="00F14FD5">
            <w:pPr>
              <w:pStyle w:val="Tabletext"/>
              <w:keepNext/>
              <w:keepLines/>
            </w:pPr>
            <w:r w:rsidRPr="004B5317">
              <w:t>0.932 (-0.37,1.00)</w:t>
            </w:r>
          </w:p>
          <w:p w14:paraId="44A89259" w14:textId="77777777" w:rsidR="004171CB" w:rsidRPr="004B5317" w:rsidRDefault="004171CB" w:rsidP="00F14FD5">
            <w:pPr>
              <w:pStyle w:val="Tabletext"/>
              <w:keepNext/>
              <w:keepLines/>
            </w:pPr>
            <w:r w:rsidRPr="004B5317">
              <w:t>(n=106)</w:t>
            </w:r>
          </w:p>
        </w:tc>
        <w:tc>
          <w:tcPr>
            <w:tcW w:w="2580" w:type="dxa"/>
          </w:tcPr>
          <w:p w14:paraId="120326D8" w14:textId="77777777" w:rsidR="004171CB" w:rsidRPr="004B5317" w:rsidRDefault="004171CB" w:rsidP="00F14FD5">
            <w:pPr>
              <w:pStyle w:val="Tabletext"/>
              <w:keepNext/>
              <w:keepLines/>
            </w:pPr>
            <w:r w:rsidRPr="004B5317">
              <w:t>0.847 (0.44,1.00)</w:t>
            </w:r>
          </w:p>
          <w:p w14:paraId="1DF5DD06" w14:textId="77777777" w:rsidR="004171CB" w:rsidRPr="004B5317" w:rsidRDefault="004171CB" w:rsidP="00F14FD5">
            <w:pPr>
              <w:pStyle w:val="Tabletext"/>
              <w:keepNext/>
              <w:keepLines/>
            </w:pPr>
            <w:r w:rsidRPr="004B5317">
              <w:t>(n=104)</w:t>
            </w:r>
          </w:p>
        </w:tc>
        <w:tc>
          <w:tcPr>
            <w:tcW w:w="1894" w:type="dxa"/>
          </w:tcPr>
          <w:p w14:paraId="7C2CFDA0" w14:textId="77777777" w:rsidR="004171CB" w:rsidRPr="004B5317" w:rsidRDefault="004171CB" w:rsidP="00F14FD5">
            <w:pPr>
              <w:pStyle w:val="Tabletext"/>
              <w:keepNext/>
              <w:keepLines/>
            </w:pPr>
            <w:r w:rsidRPr="004B5317">
              <w:t>0.085</w:t>
            </w:r>
          </w:p>
        </w:tc>
      </w:tr>
      <w:tr w:rsidR="004171CB" w:rsidRPr="004B5317" w14:paraId="4FF96658" w14:textId="77777777" w:rsidTr="00191C46">
        <w:tc>
          <w:tcPr>
            <w:tcW w:w="2187" w:type="dxa"/>
          </w:tcPr>
          <w:p w14:paraId="6EC57391" w14:textId="77777777" w:rsidR="004171CB" w:rsidRPr="004B5317" w:rsidRDefault="004171CB" w:rsidP="00F14FD5">
            <w:pPr>
              <w:pStyle w:val="Tabletext"/>
              <w:keepNext/>
              <w:keepLines/>
            </w:pPr>
            <w:r w:rsidRPr="004B5317">
              <w:t>Week 12</w:t>
            </w:r>
          </w:p>
        </w:tc>
        <w:tc>
          <w:tcPr>
            <w:tcW w:w="2355" w:type="dxa"/>
          </w:tcPr>
          <w:p w14:paraId="27EF719F" w14:textId="77777777" w:rsidR="004171CB" w:rsidRPr="004B5317" w:rsidRDefault="004171CB" w:rsidP="00F14FD5">
            <w:pPr>
              <w:pStyle w:val="Tabletext"/>
              <w:keepNext/>
              <w:keepLines/>
            </w:pPr>
            <w:r w:rsidRPr="004B5317">
              <w:t>0.943 (0.51,1.00)</w:t>
            </w:r>
          </w:p>
          <w:p w14:paraId="27E6A2A0" w14:textId="77777777" w:rsidR="004171CB" w:rsidRPr="004B5317" w:rsidRDefault="004171CB" w:rsidP="00F14FD5">
            <w:pPr>
              <w:pStyle w:val="Tabletext"/>
              <w:keepNext/>
              <w:keepLines/>
            </w:pPr>
            <w:r w:rsidRPr="004B5317">
              <w:t>(n=109)</w:t>
            </w:r>
          </w:p>
        </w:tc>
        <w:tc>
          <w:tcPr>
            <w:tcW w:w="2580" w:type="dxa"/>
          </w:tcPr>
          <w:p w14:paraId="55F9A100" w14:textId="77777777" w:rsidR="004171CB" w:rsidRPr="004B5317" w:rsidRDefault="004171CB" w:rsidP="00F14FD5">
            <w:pPr>
              <w:pStyle w:val="Tabletext"/>
              <w:keepNext/>
              <w:keepLines/>
            </w:pPr>
            <w:r w:rsidRPr="004B5317">
              <w:t>0.903 (-0.04,1.00)</w:t>
            </w:r>
          </w:p>
          <w:p w14:paraId="64A264C6" w14:textId="77777777" w:rsidR="004171CB" w:rsidRPr="004B5317" w:rsidRDefault="004171CB" w:rsidP="00F14FD5">
            <w:pPr>
              <w:pStyle w:val="Tabletext"/>
              <w:keepNext/>
              <w:keepLines/>
            </w:pPr>
            <w:r w:rsidRPr="004B5317">
              <w:t>(n=110)</w:t>
            </w:r>
          </w:p>
        </w:tc>
        <w:tc>
          <w:tcPr>
            <w:tcW w:w="1894" w:type="dxa"/>
          </w:tcPr>
          <w:p w14:paraId="4500EFB9" w14:textId="77777777" w:rsidR="004171CB" w:rsidRPr="004B5317" w:rsidRDefault="004171CB" w:rsidP="00F14FD5">
            <w:pPr>
              <w:pStyle w:val="Tabletext"/>
              <w:keepNext/>
              <w:keepLines/>
            </w:pPr>
            <w:r w:rsidRPr="004B5317">
              <w:t>0.040</w:t>
            </w:r>
          </w:p>
        </w:tc>
      </w:tr>
      <w:tr w:rsidR="004171CB" w:rsidRPr="004B5317" w14:paraId="6C685DF9" w14:textId="77777777" w:rsidTr="00191C46">
        <w:tc>
          <w:tcPr>
            <w:tcW w:w="2187" w:type="dxa"/>
          </w:tcPr>
          <w:p w14:paraId="2DD82B84" w14:textId="77777777" w:rsidR="004171CB" w:rsidRPr="004B5317" w:rsidRDefault="004171CB" w:rsidP="00F14FD5">
            <w:pPr>
              <w:pStyle w:val="Tabletext"/>
              <w:keepNext/>
              <w:keepLines/>
            </w:pPr>
            <w:r w:rsidRPr="004B5317">
              <w:t>Week 18</w:t>
            </w:r>
          </w:p>
        </w:tc>
        <w:tc>
          <w:tcPr>
            <w:tcW w:w="2355" w:type="dxa"/>
          </w:tcPr>
          <w:p w14:paraId="590A2FDB" w14:textId="77777777" w:rsidR="004171CB" w:rsidRPr="004B5317" w:rsidRDefault="004171CB" w:rsidP="00F14FD5">
            <w:pPr>
              <w:pStyle w:val="Tabletext"/>
              <w:keepNext/>
              <w:keepLines/>
            </w:pPr>
            <w:r w:rsidRPr="004B5317">
              <w:t>0.940 (0.25,1.00)</w:t>
            </w:r>
          </w:p>
          <w:p w14:paraId="76DADAA4" w14:textId="77777777" w:rsidR="004171CB" w:rsidRPr="004B5317" w:rsidRDefault="004171CB" w:rsidP="00F14FD5">
            <w:pPr>
              <w:pStyle w:val="Tabletext"/>
              <w:keepNext/>
              <w:keepLines/>
            </w:pPr>
            <w:r w:rsidRPr="004B5317">
              <w:t>(n=110)</w:t>
            </w:r>
          </w:p>
        </w:tc>
        <w:tc>
          <w:tcPr>
            <w:tcW w:w="2580" w:type="dxa"/>
          </w:tcPr>
          <w:p w14:paraId="4502CFF8" w14:textId="77777777" w:rsidR="004171CB" w:rsidRPr="004B5317" w:rsidRDefault="004171CB" w:rsidP="00F14FD5">
            <w:pPr>
              <w:pStyle w:val="Tabletext"/>
              <w:keepNext/>
              <w:keepLines/>
            </w:pPr>
            <w:r w:rsidRPr="004B5317">
              <w:t>0.932 (0.07,1.00)</w:t>
            </w:r>
          </w:p>
          <w:p w14:paraId="17F149D1" w14:textId="77777777" w:rsidR="004171CB" w:rsidRPr="004B5317" w:rsidRDefault="004171CB" w:rsidP="00F14FD5">
            <w:pPr>
              <w:pStyle w:val="Tabletext"/>
              <w:keepNext/>
              <w:keepLines/>
            </w:pPr>
            <w:r w:rsidRPr="004B5317">
              <w:t>(n=119)</w:t>
            </w:r>
          </w:p>
        </w:tc>
        <w:tc>
          <w:tcPr>
            <w:tcW w:w="1894" w:type="dxa"/>
          </w:tcPr>
          <w:p w14:paraId="1EA99FE9" w14:textId="77777777" w:rsidR="004171CB" w:rsidRPr="004B5317" w:rsidRDefault="004171CB" w:rsidP="00F14FD5">
            <w:pPr>
              <w:pStyle w:val="Tabletext"/>
              <w:keepNext/>
              <w:keepLines/>
            </w:pPr>
            <w:r w:rsidRPr="004B5317">
              <w:t>0.008</w:t>
            </w:r>
          </w:p>
        </w:tc>
      </w:tr>
      <w:tr w:rsidR="004171CB" w:rsidRPr="004B5317" w14:paraId="2299E8A5" w14:textId="77777777" w:rsidTr="00993F38">
        <w:tc>
          <w:tcPr>
            <w:tcW w:w="2187" w:type="dxa"/>
          </w:tcPr>
          <w:p w14:paraId="7AE9F95D" w14:textId="77777777" w:rsidR="004171CB" w:rsidRPr="004B5317" w:rsidRDefault="004171CB" w:rsidP="00F14FD5">
            <w:pPr>
              <w:pStyle w:val="Tabletext"/>
              <w:keepNext/>
              <w:keepLines/>
            </w:pPr>
            <w:r w:rsidRPr="004B5317">
              <w:t>Week 30</w:t>
            </w:r>
          </w:p>
        </w:tc>
        <w:tc>
          <w:tcPr>
            <w:tcW w:w="2355" w:type="dxa"/>
          </w:tcPr>
          <w:p w14:paraId="7D1051CD" w14:textId="77777777" w:rsidR="004171CB" w:rsidRPr="004B5317" w:rsidRDefault="004171CB" w:rsidP="00F14FD5">
            <w:pPr>
              <w:pStyle w:val="Tabletext"/>
              <w:keepNext/>
              <w:keepLines/>
            </w:pPr>
            <w:r w:rsidRPr="004B5317">
              <w:t>0.943 (0.45,1.00)</w:t>
            </w:r>
          </w:p>
          <w:p w14:paraId="761F30C3" w14:textId="77777777" w:rsidR="004171CB" w:rsidRPr="004B5317" w:rsidRDefault="004171CB" w:rsidP="00F14FD5">
            <w:pPr>
              <w:pStyle w:val="Tabletext"/>
              <w:keepNext/>
              <w:keepLines/>
            </w:pPr>
            <w:r w:rsidRPr="004B5317">
              <w:t>(n=111)</w:t>
            </w:r>
          </w:p>
        </w:tc>
        <w:tc>
          <w:tcPr>
            <w:tcW w:w="2580" w:type="dxa"/>
          </w:tcPr>
          <w:p w14:paraId="259E9C75" w14:textId="77777777" w:rsidR="004171CB" w:rsidRPr="004B5317" w:rsidRDefault="004171CB" w:rsidP="00F14FD5">
            <w:pPr>
              <w:pStyle w:val="Tabletext"/>
              <w:keepNext/>
              <w:keepLines/>
            </w:pPr>
            <w:r w:rsidRPr="004B5317">
              <w:t>0.883 (0.12,1.00)</w:t>
            </w:r>
          </w:p>
          <w:p w14:paraId="50E4F278" w14:textId="77777777" w:rsidR="004171CB" w:rsidRPr="004B5317" w:rsidRDefault="004171CB" w:rsidP="00F14FD5">
            <w:pPr>
              <w:pStyle w:val="Tabletext"/>
              <w:keepNext/>
              <w:keepLines/>
            </w:pPr>
            <w:r w:rsidRPr="004B5317">
              <w:t>(n=113)</w:t>
            </w:r>
          </w:p>
        </w:tc>
        <w:tc>
          <w:tcPr>
            <w:tcW w:w="1894" w:type="dxa"/>
          </w:tcPr>
          <w:p w14:paraId="7A36C7BF" w14:textId="77777777" w:rsidR="004171CB" w:rsidRPr="004B5317" w:rsidRDefault="004171CB" w:rsidP="00F14FD5">
            <w:pPr>
              <w:pStyle w:val="Tabletext"/>
              <w:keepNext/>
              <w:keepLines/>
            </w:pPr>
            <w:r w:rsidRPr="004B5317">
              <w:t>0.060</w:t>
            </w:r>
          </w:p>
        </w:tc>
      </w:tr>
      <w:tr w:rsidR="004171CB" w:rsidRPr="004B5317" w14:paraId="05F234F3" w14:textId="77777777" w:rsidTr="00191C46">
        <w:tc>
          <w:tcPr>
            <w:tcW w:w="2187" w:type="dxa"/>
          </w:tcPr>
          <w:p w14:paraId="057EB7F8" w14:textId="77777777" w:rsidR="004171CB" w:rsidRPr="004B5317" w:rsidRDefault="004171CB" w:rsidP="00F14FD5">
            <w:pPr>
              <w:pStyle w:val="Tabletext"/>
              <w:keepNext/>
              <w:keepLines/>
            </w:pPr>
            <w:r w:rsidRPr="004B5317">
              <w:t>Week 38</w:t>
            </w:r>
          </w:p>
        </w:tc>
        <w:tc>
          <w:tcPr>
            <w:tcW w:w="2355" w:type="dxa"/>
          </w:tcPr>
          <w:p w14:paraId="69645725" w14:textId="77777777" w:rsidR="004171CB" w:rsidRPr="004B5317" w:rsidRDefault="004171CB" w:rsidP="00F14FD5">
            <w:pPr>
              <w:pStyle w:val="Tabletext"/>
              <w:keepNext/>
              <w:keepLines/>
            </w:pPr>
            <w:r w:rsidRPr="004B5317">
              <w:t>0.829 (0.33,1.00)</w:t>
            </w:r>
          </w:p>
          <w:p w14:paraId="49700D2B" w14:textId="77777777" w:rsidR="004171CB" w:rsidRPr="004B5317" w:rsidRDefault="004171CB" w:rsidP="00F14FD5">
            <w:pPr>
              <w:pStyle w:val="Tabletext"/>
              <w:keepNext/>
              <w:keepLines/>
            </w:pPr>
            <w:r w:rsidRPr="004B5317">
              <w:t>(n=78)</w:t>
            </w:r>
          </w:p>
        </w:tc>
        <w:tc>
          <w:tcPr>
            <w:tcW w:w="2580" w:type="dxa"/>
          </w:tcPr>
          <w:p w14:paraId="6AB60595" w14:textId="77777777" w:rsidR="004171CB" w:rsidRPr="004B5317" w:rsidRDefault="004171CB" w:rsidP="00F14FD5">
            <w:pPr>
              <w:pStyle w:val="Tabletext"/>
              <w:keepNext/>
              <w:keepLines/>
            </w:pPr>
            <w:r w:rsidRPr="004B5317">
              <w:t>0.883 (0.08,1.00)</w:t>
            </w:r>
          </w:p>
          <w:p w14:paraId="64011299" w14:textId="77777777" w:rsidR="004171CB" w:rsidRPr="004B5317" w:rsidRDefault="004171CB" w:rsidP="00F14FD5">
            <w:pPr>
              <w:pStyle w:val="Tabletext"/>
              <w:keepNext/>
              <w:keepLines/>
            </w:pPr>
            <w:r w:rsidRPr="004B5317">
              <w:t>(n=81)</w:t>
            </w:r>
          </w:p>
        </w:tc>
        <w:tc>
          <w:tcPr>
            <w:tcW w:w="1894" w:type="dxa"/>
          </w:tcPr>
          <w:p w14:paraId="18335FE3" w14:textId="77777777" w:rsidR="004171CB" w:rsidRPr="004B5317" w:rsidRDefault="004171CB" w:rsidP="00F14FD5">
            <w:pPr>
              <w:pStyle w:val="Tabletext"/>
              <w:keepNext/>
              <w:keepLines/>
            </w:pPr>
            <w:r w:rsidRPr="004B5317">
              <w:t>-0.054</w:t>
            </w:r>
          </w:p>
        </w:tc>
      </w:tr>
    </w:tbl>
    <w:p w14:paraId="5B9F2D37" w14:textId="77777777" w:rsidR="00197737" w:rsidRDefault="004171CB" w:rsidP="00F14FD5">
      <w:pPr>
        <w:pStyle w:val="FooterTableFigure"/>
        <w:keepNext/>
        <w:keepLines/>
      </w:pPr>
      <w:r>
        <w:t>Source: Ta</w:t>
      </w:r>
      <w:r w:rsidR="00197737">
        <w:t>ble 59, p124 of the submission.</w:t>
      </w:r>
    </w:p>
    <w:p w14:paraId="08DE1122" w14:textId="25341F3D" w:rsidR="004171CB" w:rsidRPr="00197737" w:rsidRDefault="00197737" w:rsidP="00F14FD5">
      <w:pPr>
        <w:pStyle w:val="FooterTableFigure"/>
        <w:keepNext/>
        <w:keepLines/>
      </w:pPr>
      <w:r w:rsidRPr="00197737">
        <w:rPr>
          <w:szCs w:val="18"/>
        </w:rPr>
        <w:t>EQ-5D-5L = EuroQol five dimension, five levels; ITT = intention to treat; n = number of patients who provided responses</w:t>
      </w:r>
    </w:p>
    <w:p w14:paraId="17C47C33" w14:textId="15D12D84" w:rsidR="00A9788D" w:rsidRPr="00F72968" w:rsidRDefault="00E638B3" w:rsidP="00993F38">
      <w:pPr>
        <w:pStyle w:val="3-BodyText"/>
        <w:rPr>
          <w:iCs/>
        </w:rPr>
      </w:pPr>
      <w:bookmarkStart w:id="30" w:name="_Toc22897642"/>
      <w:bookmarkStart w:id="31" w:name="_Toc113979742"/>
      <w:r w:rsidRPr="00F72968">
        <w:rPr>
          <w:iCs/>
        </w:rPr>
        <w:t xml:space="preserve">It was noted in the evaluation that the effect of mavacamten on patient-relevant clinical endpoints, such as hospitalisation and mortality, was not investigated and </w:t>
      </w:r>
      <w:r w:rsidR="00C8719C" w:rsidRPr="00F72968">
        <w:rPr>
          <w:iCs/>
        </w:rPr>
        <w:t xml:space="preserve">is </w:t>
      </w:r>
      <w:r w:rsidRPr="00F72968">
        <w:rPr>
          <w:iCs/>
        </w:rPr>
        <w:lastRenderedPageBreak/>
        <w:t xml:space="preserve">therefore </w:t>
      </w:r>
      <w:r w:rsidRPr="00993F38">
        <w:t>unknown</w:t>
      </w:r>
      <w:r w:rsidRPr="00F72968">
        <w:rPr>
          <w:iCs/>
        </w:rPr>
        <w:t xml:space="preserve">. </w:t>
      </w:r>
      <w:r w:rsidR="00FD51DC" w:rsidRPr="00F72968">
        <w:rPr>
          <w:iCs/>
        </w:rPr>
        <w:t xml:space="preserve">The PSCR </w:t>
      </w:r>
      <w:r w:rsidR="0072546D" w:rsidRPr="00F72968">
        <w:rPr>
          <w:iCs/>
        </w:rPr>
        <w:t xml:space="preserve">stated that </w:t>
      </w:r>
      <w:r w:rsidR="00FD51DC" w:rsidRPr="00F72968">
        <w:rPr>
          <w:iCs/>
        </w:rPr>
        <w:t>the goal of mavacamten treatment is to reduce disease severity through symptomatic improvement and that mortality in this relatively young patient group is most often not related to HCM</w:t>
      </w:r>
      <w:r w:rsidR="00FD51DC" w:rsidRPr="00F72968">
        <w:rPr>
          <w:rStyle w:val="FootnoteReference"/>
          <w:iCs/>
        </w:rPr>
        <w:footnoteReference w:id="5"/>
      </w:r>
      <w:r w:rsidR="00FD51DC" w:rsidRPr="00F72968">
        <w:rPr>
          <w:iCs/>
        </w:rPr>
        <w:t xml:space="preserve"> </w:t>
      </w:r>
      <w:r w:rsidR="00C8719C" w:rsidRPr="00F72968">
        <w:rPr>
          <w:iCs/>
        </w:rPr>
        <w:t>and</w:t>
      </w:r>
      <w:r w:rsidR="00FD51DC" w:rsidRPr="00F72968">
        <w:rPr>
          <w:iCs/>
        </w:rPr>
        <w:t xml:space="preserve"> would require long-term follow-up to capture accurately</w:t>
      </w:r>
      <w:r w:rsidR="00C8719C" w:rsidRPr="00F72968">
        <w:rPr>
          <w:iCs/>
        </w:rPr>
        <w:t xml:space="preserve"> in a trial setting</w:t>
      </w:r>
      <w:r w:rsidR="001936EF" w:rsidRPr="00F72968">
        <w:rPr>
          <w:iCs/>
        </w:rPr>
        <w:t>.</w:t>
      </w:r>
      <w:r w:rsidR="00FD51DC" w:rsidRPr="00F72968">
        <w:rPr>
          <w:iCs/>
        </w:rPr>
        <w:t xml:space="preserve"> For these reasons, the PSCR argue</w:t>
      </w:r>
      <w:r w:rsidR="00A96A65" w:rsidRPr="00F72968">
        <w:rPr>
          <w:iCs/>
        </w:rPr>
        <w:t>d</w:t>
      </w:r>
      <w:r w:rsidR="00FD51DC" w:rsidRPr="00F72968">
        <w:rPr>
          <w:iCs/>
        </w:rPr>
        <w:t xml:space="preserve"> that the outcomes assessed in EXPLORER-HCM represent the most appropriate patient-relevant endpoints for the obstructive HCM population, focusing on measurements of improved functional capacity and symptomatic improvement. </w:t>
      </w:r>
      <w:r w:rsidR="001B7EF5" w:rsidRPr="00F72968">
        <w:rPr>
          <w:iCs/>
        </w:rPr>
        <w:t xml:space="preserve">The ESC </w:t>
      </w:r>
      <w:r w:rsidR="00047970">
        <w:rPr>
          <w:iCs/>
        </w:rPr>
        <w:t xml:space="preserve">and PBAC </w:t>
      </w:r>
      <w:r w:rsidR="001B7EF5" w:rsidRPr="00F72968">
        <w:rPr>
          <w:iCs/>
        </w:rPr>
        <w:t xml:space="preserve">considered the lack of long-term comparative data for more </w:t>
      </w:r>
      <w:r w:rsidR="00445522">
        <w:rPr>
          <w:iCs/>
        </w:rPr>
        <w:t>objective</w:t>
      </w:r>
      <w:r w:rsidR="00445522" w:rsidRPr="00F72968">
        <w:rPr>
          <w:iCs/>
        </w:rPr>
        <w:t xml:space="preserve"> </w:t>
      </w:r>
      <w:r w:rsidR="001B7EF5" w:rsidRPr="00F72968">
        <w:rPr>
          <w:iCs/>
        </w:rPr>
        <w:t>endpoints</w:t>
      </w:r>
      <w:r w:rsidR="007959B6" w:rsidRPr="00F72968">
        <w:rPr>
          <w:iCs/>
        </w:rPr>
        <w:t xml:space="preserve"> </w:t>
      </w:r>
      <w:r w:rsidR="001B7EF5" w:rsidRPr="00F72968">
        <w:rPr>
          <w:iCs/>
        </w:rPr>
        <w:t>remained a clinical issue</w:t>
      </w:r>
      <w:r w:rsidR="009E2CDD" w:rsidRPr="00F72968">
        <w:rPr>
          <w:iCs/>
        </w:rPr>
        <w:t>,</w:t>
      </w:r>
      <w:r w:rsidR="001B7EF5" w:rsidRPr="00F72968">
        <w:rPr>
          <w:iCs/>
        </w:rPr>
        <w:t xml:space="preserve"> </w:t>
      </w:r>
      <w:r w:rsidR="009E2CDD" w:rsidRPr="00F72968">
        <w:rPr>
          <w:iCs/>
        </w:rPr>
        <w:t>although agreed</w:t>
      </w:r>
      <w:r w:rsidR="002E396B">
        <w:rPr>
          <w:iCs/>
        </w:rPr>
        <w:t xml:space="preserve"> with the PSCR</w:t>
      </w:r>
      <w:r w:rsidR="009E2CDD" w:rsidRPr="00F72968">
        <w:rPr>
          <w:iCs/>
        </w:rPr>
        <w:t xml:space="preserve"> that symptomatic improvement, preferably through reduced disease severity, would be the treatment goal of mavacamten, with cardiovascular hospitalisations and mortality due to HCM being </w:t>
      </w:r>
      <w:r w:rsidR="00445522">
        <w:rPr>
          <w:iCs/>
        </w:rPr>
        <w:t>very uncommon</w:t>
      </w:r>
      <w:r w:rsidR="009E2CDD" w:rsidRPr="00F72968">
        <w:rPr>
          <w:iCs/>
        </w:rPr>
        <w:t xml:space="preserve">. </w:t>
      </w:r>
    </w:p>
    <w:p w14:paraId="1452C351" w14:textId="5B0EEECC" w:rsidR="00B60939" w:rsidRPr="00A9788D" w:rsidRDefault="00B60939" w:rsidP="00A9788D">
      <w:pPr>
        <w:pStyle w:val="4-SubsectionHeading"/>
      </w:pPr>
      <w:r w:rsidRPr="00A9788D">
        <w:t>Comparative harms</w:t>
      </w:r>
      <w:bookmarkEnd w:id="30"/>
      <w:bookmarkEnd w:id="31"/>
    </w:p>
    <w:p w14:paraId="080DC649" w14:textId="7E72EFAB" w:rsidR="007F50B1" w:rsidRPr="00885192" w:rsidRDefault="004B5130" w:rsidP="004B5130">
      <w:pPr>
        <w:pStyle w:val="3-BodyText"/>
      </w:pPr>
      <w:bookmarkStart w:id="32" w:name="_Toc22897643"/>
      <w:r w:rsidRPr="004B5130">
        <w:t xml:space="preserve">Comparative harms were reported from the EXPLORER-HCM trial. By the end of Week 30, 87.8% of patients in the mavacamten arm had experienced at least one treatment-emergent adverse event (TEAE). This was higher than in the placebo arm (78.9%). The most common adverse events (AEs) </w:t>
      </w:r>
      <w:r w:rsidR="00BC0125">
        <w:t>a</w:t>
      </w:r>
      <w:r w:rsidR="00BC0125" w:rsidRPr="004B5130">
        <w:t xml:space="preserve">re </w:t>
      </w:r>
      <w:r w:rsidRPr="004B5130">
        <w:t>presented in</w:t>
      </w:r>
      <w:r w:rsidR="008218A6">
        <w:t xml:space="preserve"> </w:t>
      </w:r>
      <w:r w:rsidR="008218A6">
        <w:fldChar w:fldCharType="begin"/>
      </w:r>
      <w:r w:rsidR="008218A6">
        <w:instrText xml:space="preserve"> REF _Ref110774281 \h </w:instrText>
      </w:r>
      <w:r w:rsidR="008218A6">
        <w:fldChar w:fldCharType="separate"/>
      </w:r>
      <w:r w:rsidR="00645E50">
        <w:t xml:space="preserve">Table </w:t>
      </w:r>
      <w:r w:rsidR="00645E50">
        <w:rPr>
          <w:noProof/>
        </w:rPr>
        <w:t>14</w:t>
      </w:r>
      <w:r w:rsidR="008218A6">
        <w:fldChar w:fldCharType="end"/>
      </w:r>
      <w:r w:rsidRPr="004B5130">
        <w:t xml:space="preserve">. The rate of TEAEs was stated in the submission to be similar across both treatment arms. </w:t>
      </w:r>
      <w:r w:rsidRPr="00885192">
        <w:t xml:space="preserve">The proportion of subjects with TEAEs in the </w:t>
      </w:r>
      <w:r w:rsidRPr="00885192">
        <w:rPr>
          <w:iCs/>
        </w:rPr>
        <w:t>musculoskeletal and connective tissue disorders</w:t>
      </w:r>
      <w:r w:rsidRPr="00885192">
        <w:t xml:space="preserve"> system organ class was greater in the mavacamten group compared with the placebo group (40 subjects, 32.5% vs 29 subjects, 22.7%). Higher rates of TEAEs were also observed in the mavacamten arm in the nervous system disorder category (46 subjects, 37.4% vs 36 subjects, 28.1%). </w:t>
      </w:r>
    </w:p>
    <w:p w14:paraId="6BEFF4B3" w14:textId="273C2AC8" w:rsidR="004D03F1" w:rsidRDefault="007F50B1" w:rsidP="004D03F1">
      <w:pPr>
        <w:pStyle w:val="3-BodyText"/>
      </w:pPr>
      <w:r w:rsidRPr="00885192">
        <w:t xml:space="preserve">The </w:t>
      </w:r>
      <w:r w:rsidR="003A2906" w:rsidRPr="00F72968">
        <w:rPr>
          <w:iCs/>
        </w:rPr>
        <w:t>ESC noted that the</w:t>
      </w:r>
      <w:r w:rsidR="003A2906">
        <w:t xml:space="preserve"> </w:t>
      </w:r>
      <w:r w:rsidR="00BC0125" w:rsidRPr="00885192">
        <w:t xml:space="preserve">long term </w:t>
      </w:r>
      <w:r w:rsidR="007C6D77" w:rsidRPr="00F72968">
        <w:rPr>
          <w:iCs/>
        </w:rPr>
        <w:t xml:space="preserve">comparative </w:t>
      </w:r>
      <w:r w:rsidR="00BC0125" w:rsidRPr="00885192">
        <w:t xml:space="preserve">harms </w:t>
      </w:r>
      <w:r w:rsidRPr="00885192">
        <w:t xml:space="preserve">associated with </w:t>
      </w:r>
      <w:r w:rsidR="00BC0125" w:rsidRPr="00885192">
        <w:t xml:space="preserve">mavacamten </w:t>
      </w:r>
      <w:r w:rsidRPr="00885192">
        <w:t>treatment is unknown</w:t>
      </w:r>
      <w:r w:rsidR="00BC0125" w:rsidRPr="00885192">
        <w:t>.</w:t>
      </w:r>
      <w:r w:rsidR="00E53609">
        <w:t xml:space="preserve"> </w:t>
      </w:r>
      <w:r w:rsidR="00E53609" w:rsidRPr="00F72968">
        <w:rPr>
          <w:iCs/>
        </w:rPr>
        <w:t>The PSCR stated that data from MAVA-LTE was provided as supportive evidence for long-term effectiveness and safety in the submission. Based on these data, no new safety signals were observed.</w:t>
      </w:r>
    </w:p>
    <w:p w14:paraId="429510DB" w14:textId="4D1C53FF" w:rsidR="00584B53" w:rsidRPr="006E28AB" w:rsidRDefault="004D03F1" w:rsidP="006E28AB">
      <w:pPr>
        <w:pStyle w:val="3-BodyText"/>
        <w:rPr>
          <w:iCs/>
        </w:rPr>
      </w:pPr>
      <w:r w:rsidRPr="00F72968">
        <w:rPr>
          <w:iCs/>
        </w:rPr>
        <w:t xml:space="preserve">The ESC noted the primary adverse event of concern was reduced </w:t>
      </w:r>
      <w:r w:rsidR="00B03517" w:rsidRPr="00F72968">
        <w:rPr>
          <w:iCs/>
        </w:rPr>
        <w:t>left ventricular ejection fraction (</w:t>
      </w:r>
      <w:r w:rsidRPr="00F72968">
        <w:rPr>
          <w:iCs/>
        </w:rPr>
        <w:t>LVEF</w:t>
      </w:r>
      <w:r w:rsidR="00B03517" w:rsidRPr="00F72968">
        <w:rPr>
          <w:iCs/>
        </w:rPr>
        <w:t>)</w:t>
      </w:r>
      <w:r w:rsidRPr="00F72968">
        <w:rPr>
          <w:iCs/>
        </w:rPr>
        <w:t>.</w:t>
      </w:r>
      <w:r w:rsidR="00211D89" w:rsidRPr="00F72968">
        <w:rPr>
          <w:iCs/>
        </w:rPr>
        <w:t xml:space="preserve"> The ESC noted this was infrequently observed and reversible with temporary treatment cessation. However, mavacamten is a negative inotrope and will need monitoring with echocardiography every 3 months after dose stabilisation. This is an important </w:t>
      </w:r>
      <w:r w:rsidR="001A60C6" w:rsidRPr="00F72968">
        <w:rPr>
          <w:iCs/>
        </w:rPr>
        <w:t>consideration</w:t>
      </w:r>
      <w:r w:rsidR="00211D89" w:rsidRPr="00F72968">
        <w:rPr>
          <w:iCs/>
        </w:rPr>
        <w:t xml:space="preserve"> and long-term consequences are unknown. Additionally, the effect on arrhythmia risk is unclear. While there did not seem to be any excess arrhythmia seen in the clinical trial, the long-term consequences are again unclear.</w:t>
      </w:r>
      <w:r w:rsidRPr="00F72968">
        <w:rPr>
          <w:iCs/>
        </w:rPr>
        <w:t xml:space="preserve"> </w:t>
      </w:r>
      <w:r w:rsidR="00E166AC">
        <w:rPr>
          <w:iCs/>
        </w:rPr>
        <w:t xml:space="preserve">The pre-PBAC response stated </w:t>
      </w:r>
      <w:r w:rsidR="00DD49DE">
        <w:rPr>
          <w:iCs/>
        </w:rPr>
        <w:t>d</w:t>
      </w:r>
      <w:r w:rsidR="00DD49DE" w:rsidRPr="00DD49DE">
        <w:rPr>
          <w:iCs/>
        </w:rPr>
        <w:t xml:space="preserve">ue to the stringent monitoring schedule proposed </w:t>
      </w:r>
      <w:r w:rsidR="001C3589">
        <w:rPr>
          <w:iCs/>
        </w:rPr>
        <w:t>for</w:t>
      </w:r>
      <w:r w:rsidR="00DD49DE" w:rsidRPr="00DD49DE">
        <w:rPr>
          <w:iCs/>
        </w:rPr>
        <w:t xml:space="preserve"> </w:t>
      </w:r>
      <w:r w:rsidR="001C3589">
        <w:rPr>
          <w:iCs/>
        </w:rPr>
        <w:t>mavacamten</w:t>
      </w:r>
      <w:r w:rsidR="00DD49DE" w:rsidRPr="00DD49DE">
        <w:rPr>
          <w:iCs/>
        </w:rPr>
        <w:t xml:space="preserve"> it is expected that all safety events </w:t>
      </w:r>
      <w:r w:rsidR="00DD49DE" w:rsidRPr="00DD49DE">
        <w:rPr>
          <w:iCs/>
        </w:rPr>
        <w:lastRenderedPageBreak/>
        <w:t>will be identified early and reflective of those already identified in EXPLORER-HCM and EXPLORER-LTE.</w:t>
      </w:r>
      <w:bookmarkStart w:id="33" w:name="_Ref113981352"/>
    </w:p>
    <w:p w14:paraId="7E194A39" w14:textId="3724B75C" w:rsidR="004B5130" w:rsidRPr="00D86231" w:rsidRDefault="004171CB" w:rsidP="004171CB">
      <w:pPr>
        <w:pStyle w:val="TableFigureHeading"/>
        <w:rPr>
          <w:color w:val="0066FF"/>
        </w:rPr>
      </w:pPr>
      <w:r>
        <w:t xml:space="preserve">Table </w:t>
      </w:r>
      <w:r w:rsidR="00645E50">
        <w:fldChar w:fldCharType="begin"/>
      </w:r>
      <w:r w:rsidR="00645E50">
        <w:instrText xml:space="preserve"> SEQ Table \* ARABIC </w:instrText>
      </w:r>
      <w:r w:rsidR="00645E50">
        <w:fldChar w:fldCharType="separate"/>
      </w:r>
      <w:r w:rsidR="00645E50">
        <w:rPr>
          <w:noProof/>
        </w:rPr>
        <w:t>13</w:t>
      </w:r>
      <w:r w:rsidR="00645E50">
        <w:rPr>
          <w:noProof/>
        </w:rPr>
        <w:fldChar w:fldCharType="end"/>
      </w:r>
      <w:bookmarkEnd w:id="33"/>
      <w:r>
        <w:t xml:space="preserve">: </w:t>
      </w:r>
      <w:r w:rsidRPr="00D86231">
        <w:rPr>
          <w:rStyle w:val="CommentReference"/>
          <w:b/>
          <w:szCs w:val="24"/>
        </w:rPr>
        <w:t>Summary of key adverse events in the trials</w:t>
      </w:r>
    </w:p>
    <w:tbl>
      <w:tblPr>
        <w:tblStyle w:val="PBACtable2"/>
        <w:tblW w:w="5000" w:type="pct"/>
        <w:tblLayout w:type="fixed"/>
        <w:tblLook w:val="04A0" w:firstRow="1" w:lastRow="0" w:firstColumn="1" w:lastColumn="0" w:noHBand="0" w:noVBand="1"/>
      </w:tblPr>
      <w:tblGrid>
        <w:gridCol w:w="2959"/>
        <w:gridCol w:w="2018"/>
        <w:gridCol w:w="2020"/>
        <w:gridCol w:w="2020"/>
      </w:tblGrid>
      <w:tr w:rsidR="004B5130" w:rsidRPr="0040357C" w14:paraId="3349EDE6" w14:textId="77777777" w:rsidTr="00D2506A">
        <w:tc>
          <w:tcPr>
            <w:tcW w:w="1641" w:type="pct"/>
          </w:tcPr>
          <w:p w14:paraId="2B415D07" w14:textId="1690040A" w:rsidR="004B5130" w:rsidRPr="00785FBE" w:rsidRDefault="004B5130" w:rsidP="00D2506A">
            <w:pPr>
              <w:pStyle w:val="TableFigureHeading"/>
              <w:jc w:val="left"/>
              <w:rPr>
                <w:sz w:val="20"/>
                <w:szCs w:val="20"/>
                <w:lang w:val="en-US"/>
              </w:rPr>
            </w:pPr>
          </w:p>
        </w:tc>
        <w:tc>
          <w:tcPr>
            <w:tcW w:w="1119" w:type="pct"/>
          </w:tcPr>
          <w:p w14:paraId="059A93D0" w14:textId="77777777" w:rsidR="004B5130" w:rsidRPr="00785FBE" w:rsidRDefault="004B5130" w:rsidP="00D2506A">
            <w:pPr>
              <w:pStyle w:val="TableFigureHeading"/>
              <w:jc w:val="left"/>
              <w:rPr>
                <w:sz w:val="20"/>
                <w:szCs w:val="20"/>
                <w:lang w:val="en-US"/>
              </w:rPr>
            </w:pPr>
            <w:r w:rsidRPr="00785FBE">
              <w:rPr>
                <w:sz w:val="20"/>
                <w:szCs w:val="20"/>
                <w:lang w:val="en-US"/>
              </w:rPr>
              <w:t>Mavacamten</w:t>
            </w:r>
            <w:r w:rsidRPr="00785FBE">
              <w:rPr>
                <w:sz w:val="20"/>
                <w:szCs w:val="20"/>
                <w:lang w:val="en-US"/>
              </w:rPr>
              <w:br/>
              <w:t>(N = 123)</w:t>
            </w:r>
            <w:r w:rsidRPr="00785FBE">
              <w:rPr>
                <w:sz w:val="20"/>
                <w:szCs w:val="20"/>
                <w:lang w:val="en-US"/>
              </w:rPr>
              <w:br/>
              <w:t>n (%)</w:t>
            </w:r>
          </w:p>
        </w:tc>
        <w:tc>
          <w:tcPr>
            <w:tcW w:w="1120" w:type="pct"/>
          </w:tcPr>
          <w:p w14:paraId="162543DE" w14:textId="77777777" w:rsidR="004B5130" w:rsidRPr="00823B3F" w:rsidRDefault="004B5130" w:rsidP="00D2506A">
            <w:pPr>
              <w:pStyle w:val="TableFigureHeading"/>
              <w:jc w:val="left"/>
              <w:rPr>
                <w:sz w:val="20"/>
                <w:szCs w:val="20"/>
                <w:lang w:val="en-US"/>
              </w:rPr>
            </w:pPr>
            <w:r w:rsidRPr="00823B3F">
              <w:rPr>
                <w:sz w:val="20"/>
                <w:szCs w:val="20"/>
                <w:lang w:val="en-US"/>
              </w:rPr>
              <w:t>Placebo</w:t>
            </w:r>
            <w:r w:rsidRPr="00823B3F">
              <w:rPr>
                <w:sz w:val="20"/>
                <w:szCs w:val="20"/>
                <w:lang w:val="en-US"/>
              </w:rPr>
              <w:br/>
              <w:t>(N = 128)</w:t>
            </w:r>
            <w:r w:rsidRPr="00823B3F">
              <w:rPr>
                <w:sz w:val="20"/>
                <w:szCs w:val="20"/>
                <w:lang w:val="en-US"/>
              </w:rPr>
              <w:br/>
              <w:t>n (%)</w:t>
            </w:r>
          </w:p>
        </w:tc>
        <w:tc>
          <w:tcPr>
            <w:tcW w:w="1120" w:type="pct"/>
          </w:tcPr>
          <w:p w14:paraId="2EA9630E" w14:textId="759D5C41" w:rsidR="004B5130" w:rsidRPr="00823B3F" w:rsidRDefault="004B5130" w:rsidP="00D2506A">
            <w:pPr>
              <w:pStyle w:val="TableFigureHeading"/>
              <w:rPr>
                <w:sz w:val="20"/>
                <w:szCs w:val="20"/>
                <w:lang w:val="en-US"/>
              </w:rPr>
            </w:pPr>
            <w:r w:rsidRPr="00823B3F">
              <w:rPr>
                <w:sz w:val="20"/>
                <w:szCs w:val="20"/>
                <w:lang w:val="en-US"/>
              </w:rPr>
              <w:t>RR (95%</w:t>
            </w:r>
            <w:r w:rsidR="000521BC">
              <w:rPr>
                <w:sz w:val="20"/>
                <w:szCs w:val="20"/>
                <w:lang w:val="en-US"/>
              </w:rPr>
              <w:t xml:space="preserve"> </w:t>
            </w:r>
            <w:r w:rsidRPr="00823B3F">
              <w:rPr>
                <w:sz w:val="20"/>
                <w:szCs w:val="20"/>
                <w:lang w:val="en-US"/>
              </w:rPr>
              <w:t>CI)</w:t>
            </w:r>
          </w:p>
        </w:tc>
      </w:tr>
      <w:tr w:rsidR="004B5130" w:rsidRPr="0040357C" w14:paraId="49D56B75" w14:textId="77777777" w:rsidTr="00D2506A">
        <w:tc>
          <w:tcPr>
            <w:tcW w:w="1641" w:type="pct"/>
          </w:tcPr>
          <w:p w14:paraId="363853EB" w14:textId="1B3B228B" w:rsidR="004B5130" w:rsidRPr="0040357C" w:rsidRDefault="004B5130" w:rsidP="00D2506A">
            <w:pPr>
              <w:pStyle w:val="Tabletext"/>
              <w:rPr>
                <w:lang w:val="en-US"/>
              </w:rPr>
            </w:pPr>
            <w:r w:rsidRPr="0040357C">
              <w:rPr>
                <w:lang w:val="en-US"/>
              </w:rPr>
              <w:t xml:space="preserve">Total </w:t>
            </w:r>
            <w:r w:rsidR="000521BC">
              <w:rPr>
                <w:lang w:val="en-US"/>
              </w:rPr>
              <w:t>n</w:t>
            </w:r>
            <w:r w:rsidRPr="0040357C">
              <w:rPr>
                <w:lang w:val="en-US"/>
              </w:rPr>
              <w:t>umber of TEAEs</w:t>
            </w:r>
          </w:p>
        </w:tc>
        <w:tc>
          <w:tcPr>
            <w:tcW w:w="1119" w:type="pct"/>
          </w:tcPr>
          <w:p w14:paraId="29F81D2A" w14:textId="77777777" w:rsidR="004B5130" w:rsidRPr="0040357C" w:rsidRDefault="004B5130" w:rsidP="00D2506A">
            <w:pPr>
              <w:pStyle w:val="Tabletext"/>
              <w:rPr>
                <w:lang w:val="en-US"/>
              </w:rPr>
            </w:pPr>
            <w:r w:rsidRPr="0040357C">
              <w:rPr>
                <w:lang w:val="en-US"/>
              </w:rPr>
              <w:t>536</w:t>
            </w:r>
          </w:p>
        </w:tc>
        <w:tc>
          <w:tcPr>
            <w:tcW w:w="1120" w:type="pct"/>
          </w:tcPr>
          <w:p w14:paraId="2E838FFA" w14:textId="77777777" w:rsidR="004B5130" w:rsidRPr="0040357C" w:rsidRDefault="004B5130" w:rsidP="00D2506A">
            <w:pPr>
              <w:pStyle w:val="Tabletext"/>
              <w:rPr>
                <w:lang w:val="en-US"/>
              </w:rPr>
            </w:pPr>
            <w:r w:rsidRPr="0040357C">
              <w:rPr>
                <w:lang w:val="en-US"/>
              </w:rPr>
              <w:t>495</w:t>
            </w:r>
          </w:p>
        </w:tc>
        <w:tc>
          <w:tcPr>
            <w:tcW w:w="1120" w:type="pct"/>
          </w:tcPr>
          <w:p w14:paraId="08373ABF" w14:textId="77777777" w:rsidR="004B5130" w:rsidRPr="0040357C" w:rsidRDefault="004B5130" w:rsidP="00D2506A">
            <w:pPr>
              <w:pStyle w:val="Tabletext"/>
              <w:rPr>
                <w:lang w:val="en-US"/>
              </w:rPr>
            </w:pPr>
          </w:p>
        </w:tc>
      </w:tr>
      <w:tr w:rsidR="004B5130" w:rsidRPr="0040357C" w14:paraId="7C59A15E" w14:textId="77777777" w:rsidTr="00D2506A">
        <w:tc>
          <w:tcPr>
            <w:tcW w:w="1641" w:type="pct"/>
          </w:tcPr>
          <w:p w14:paraId="1B883894" w14:textId="77777777" w:rsidR="004B5130" w:rsidRPr="0040357C" w:rsidRDefault="004B5130" w:rsidP="00D2506A">
            <w:pPr>
              <w:pStyle w:val="Tabletext"/>
              <w:rPr>
                <w:lang w:val="en-US"/>
              </w:rPr>
            </w:pPr>
            <w:r w:rsidRPr="0040357C">
              <w:rPr>
                <w:lang w:val="en-US"/>
              </w:rPr>
              <w:t>Patients with any</w:t>
            </w:r>
            <w:r>
              <w:rPr>
                <w:lang w:val="en-US"/>
              </w:rPr>
              <w:t xml:space="preserve"> by Week 38</w:t>
            </w:r>
            <w:r w:rsidRPr="0040357C">
              <w:rPr>
                <w:lang w:val="en-US"/>
              </w:rPr>
              <w:t>:</w:t>
            </w:r>
          </w:p>
        </w:tc>
        <w:tc>
          <w:tcPr>
            <w:tcW w:w="1119" w:type="pct"/>
          </w:tcPr>
          <w:p w14:paraId="53EF4DC5" w14:textId="77777777" w:rsidR="004B5130" w:rsidRPr="0040357C" w:rsidRDefault="004B5130" w:rsidP="00D2506A">
            <w:pPr>
              <w:pStyle w:val="Tabletext"/>
              <w:rPr>
                <w:lang w:val="en-US"/>
              </w:rPr>
            </w:pPr>
          </w:p>
        </w:tc>
        <w:tc>
          <w:tcPr>
            <w:tcW w:w="1120" w:type="pct"/>
          </w:tcPr>
          <w:p w14:paraId="1E876DC3" w14:textId="77777777" w:rsidR="004B5130" w:rsidRPr="0040357C" w:rsidRDefault="004B5130" w:rsidP="00D2506A">
            <w:pPr>
              <w:pStyle w:val="Tabletext"/>
              <w:rPr>
                <w:lang w:val="en-US"/>
              </w:rPr>
            </w:pPr>
          </w:p>
        </w:tc>
        <w:tc>
          <w:tcPr>
            <w:tcW w:w="1120" w:type="pct"/>
          </w:tcPr>
          <w:p w14:paraId="4C8A9A98" w14:textId="77777777" w:rsidR="004B5130" w:rsidRPr="0040357C" w:rsidRDefault="004B5130" w:rsidP="00D2506A">
            <w:pPr>
              <w:pStyle w:val="Tabletext"/>
              <w:rPr>
                <w:lang w:val="en-US"/>
              </w:rPr>
            </w:pPr>
          </w:p>
        </w:tc>
      </w:tr>
      <w:tr w:rsidR="004B5130" w:rsidRPr="0040357C" w14:paraId="0F12593A" w14:textId="77777777" w:rsidTr="00D2506A">
        <w:tc>
          <w:tcPr>
            <w:tcW w:w="1641" w:type="pct"/>
          </w:tcPr>
          <w:p w14:paraId="15907F6C" w14:textId="77777777" w:rsidR="004B5130" w:rsidRPr="0040357C" w:rsidRDefault="004B5130" w:rsidP="00D2506A">
            <w:pPr>
              <w:pStyle w:val="Tabletext"/>
              <w:rPr>
                <w:lang w:val="en-US"/>
              </w:rPr>
            </w:pPr>
            <w:r w:rsidRPr="0040357C">
              <w:rPr>
                <w:lang w:val="en-US"/>
              </w:rPr>
              <w:t>TEAEs</w:t>
            </w:r>
          </w:p>
        </w:tc>
        <w:tc>
          <w:tcPr>
            <w:tcW w:w="1119" w:type="pct"/>
          </w:tcPr>
          <w:p w14:paraId="637517D7" w14:textId="77777777" w:rsidR="004B5130" w:rsidRPr="0040357C" w:rsidRDefault="004B5130" w:rsidP="00D2506A">
            <w:pPr>
              <w:pStyle w:val="Tabletext"/>
              <w:rPr>
                <w:lang w:val="en-US"/>
              </w:rPr>
            </w:pPr>
            <w:r w:rsidRPr="0040357C">
              <w:rPr>
                <w:lang w:val="en-US"/>
              </w:rPr>
              <w:t>108 (87.8)</w:t>
            </w:r>
          </w:p>
        </w:tc>
        <w:tc>
          <w:tcPr>
            <w:tcW w:w="1120" w:type="pct"/>
          </w:tcPr>
          <w:p w14:paraId="1E20897F" w14:textId="77777777" w:rsidR="004B5130" w:rsidRPr="0040357C" w:rsidRDefault="004B5130" w:rsidP="00D2506A">
            <w:pPr>
              <w:pStyle w:val="Tabletext"/>
              <w:rPr>
                <w:lang w:val="en-US"/>
              </w:rPr>
            </w:pPr>
            <w:r w:rsidRPr="0040357C">
              <w:rPr>
                <w:lang w:val="en-US"/>
              </w:rPr>
              <w:t>104 (81.3)</w:t>
            </w:r>
          </w:p>
        </w:tc>
        <w:tc>
          <w:tcPr>
            <w:tcW w:w="1120" w:type="pct"/>
          </w:tcPr>
          <w:p w14:paraId="61478050" w14:textId="77777777" w:rsidR="004B5130" w:rsidRPr="0040357C" w:rsidRDefault="004B5130" w:rsidP="00D2506A">
            <w:pPr>
              <w:pStyle w:val="Tabletext"/>
              <w:rPr>
                <w:lang w:val="en-US"/>
              </w:rPr>
            </w:pPr>
            <w:r>
              <w:rPr>
                <w:lang w:val="en-US"/>
              </w:rPr>
              <w:t>1.08 (0.97, 1.20)</w:t>
            </w:r>
          </w:p>
        </w:tc>
      </w:tr>
      <w:tr w:rsidR="004B5130" w:rsidRPr="0040357C" w14:paraId="458C26F6" w14:textId="77777777" w:rsidTr="00D2506A">
        <w:tc>
          <w:tcPr>
            <w:tcW w:w="1641" w:type="pct"/>
          </w:tcPr>
          <w:p w14:paraId="4DF5C995" w14:textId="77777777" w:rsidR="004B5130" w:rsidRPr="0040357C" w:rsidRDefault="004B5130" w:rsidP="00D2506A">
            <w:pPr>
              <w:pStyle w:val="Tabletext"/>
              <w:rPr>
                <w:lang w:val="en-US"/>
              </w:rPr>
            </w:pPr>
            <w:r w:rsidRPr="0040357C">
              <w:rPr>
                <w:lang w:val="en-US"/>
              </w:rPr>
              <w:t>Serious TEAEs</w:t>
            </w:r>
          </w:p>
        </w:tc>
        <w:tc>
          <w:tcPr>
            <w:tcW w:w="1119" w:type="pct"/>
          </w:tcPr>
          <w:p w14:paraId="694325DA" w14:textId="77777777" w:rsidR="004B5130" w:rsidRPr="0040357C" w:rsidRDefault="004B5130" w:rsidP="00D2506A">
            <w:pPr>
              <w:pStyle w:val="Tabletext"/>
              <w:rPr>
                <w:lang w:val="en-US"/>
              </w:rPr>
            </w:pPr>
            <w:r w:rsidRPr="0040357C">
              <w:rPr>
                <w:lang w:val="en-US"/>
              </w:rPr>
              <w:t>14 (11.4)</w:t>
            </w:r>
          </w:p>
        </w:tc>
        <w:tc>
          <w:tcPr>
            <w:tcW w:w="1120" w:type="pct"/>
          </w:tcPr>
          <w:p w14:paraId="50101C66" w14:textId="77777777" w:rsidR="004B5130" w:rsidRPr="0040357C" w:rsidRDefault="004B5130" w:rsidP="00D2506A">
            <w:pPr>
              <w:pStyle w:val="Tabletext"/>
              <w:rPr>
                <w:lang w:val="en-US"/>
              </w:rPr>
            </w:pPr>
            <w:r w:rsidRPr="0040357C">
              <w:rPr>
                <w:lang w:val="en-US"/>
              </w:rPr>
              <w:t>12 (9.4)</w:t>
            </w:r>
          </w:p>
        </w:tc>
        <w:tc>
          <w:tcPr>
            <w:tcW w:w="1120" w:type="pct"/>
          </w:tcPr>
          <w:p w14:paraId="151E46BB" w14:textId="77777777" w:rsidR="004B5130" w:rsidRPr="0040357C" w:rsidRDefault="004B5130" w:rsidP="00D2506A">
            <w:pPr>
              <w:pStyle w:val="Tabletext"/>
              <w:rPr>
                <w:lang w:val="en-US"/>
              </w:rPr>
            </w:pPr>
            <w:r>
              <w:rPr>
                <w:lang w:val="en-US"/>
              </w:rPr>
              <w:t>1.21 (0.58, 2.52)</w:t>
            </w:r>
          </w:p>
        </w:tc>
      </w:tr>
      <w:tr w:rsidR="004B5130" w:rsidRPr="0040357C" w14:paraId="6D05FBC5" w14:textId="77777777" w:rsidTr="00D2506A">
        <w:tc>
          <w:tcPr>
            <w:tcW w:w="1641" w:type="pct"/>
          </w:tcPr>
          <w:p w14:paraId="2CBF7998" w14:textId="013E8374" w:rsidR="004B5130" w:rsidRPr="0040357C" w:rsidRDefault="004B5130" w:rsidP="00D2506A">
            <w:pPr>
              <w:pStyle w:val="Tabletext"/>
              <w:rPr>
                <w:lang w:val="en-US"/>
              </w:rPr>
            </w:pPr>
            <w:r w:rsidRPr="0040357C">
              <w:rPr>
                <w:lang w:val="en-US"/>
              </w:rPr>
              <w:t>Drug-</w:t>
            </w:r>
            <w:r w:rsidR="000521BC">
              <w:rPr>
                <w:lang w:val="en-US"/>
              </w:rPr>
              <w:t>r</w:t>
            </w:r>
            <w:r w:rsidRPr="0040357C">
              <w:rPr>
                <w:lang w:val="en-US"/>
              </w:rPr>
              <w:t>elated TEAEs</w:t>
            </w:r>
          </w:p>
        </w:tc>
        <w:tc>
          <w:tcPr>
            <w:tcW w:w="1119" w:type="pct"/>
          </w:tcPr>
          <w:p w14:paraId="48A887F9" w14:textId="77777777" w:rsidR="004B5130" w:rsidRPr="0040357C" w:rsidRDefault="004B5130" w:rsidP="00D2506A">
            <w:pPr>
              <w:pStyle w:val="Tabletext"/>
              <w:rPr>
                <w:lang w:val="en-US"/>
              </w:rPr>
            </w:pPr>
            <w:r w:rsidRPr="0040357C">
              <w:rPr>
                <w:lang w:val="en-US"/>
              </w:rPr>
              <w:t>19 (15.4)</w:t>
            </w:r>
          </w:p>
        </w:tc>
        <w:tc>
          <w:tcPr>
            <w:tcW w:w="1120" w:type="pct"/>
          </w:tcPr>
          <w:p w14:paraId="04752770" w14:textId="77777777" w:rsidR="004B5130" w:rsidRPr="0040357C" w:rsidRDefault="004B5130" w:rsidP="00D2506A">
            <w:pPr>
              <w:pStyle w:val="Tabletext"/>
              <w:rPr>
                <w:lang w:val="en-US"/>
              </w:rPr>
            </w:pPr>
            <w:r w:rsidRPr="0040357C">
              <w:rPr>
                <w:lang w:val="en-US"/>
              </w:rPr>
              <w:t>18 (14.1)</w:t>
            </w:r>
          </w:p>
        </w:tc>
        <w:tc>
          <w:tcPr>
            <w:tcW w:w="1120" w:type="pct"/>
          </w:tcPr>
          <w:p w14:paraId="1D76AE35" w14:textId="77777777" w:rsidR="004B5130" w:rsidRPr="0040357C" w:rsidRDefault="004B5130" w:rsidP="00D2506A">
            <w:pPr>
              <w:pStyle w:val="Tabletext"/>
              <w:rPr>
                <w:lang w:val="en-US"/>
              </w:rPr>
            </w:pPr>
            <w:r>
              <w:rPr>
                <w:lang w:val="en-US"/>
              </w:rPr>
              <w:t>1.10 (0.61, 1.99)</w:t>
            </w:r>
          </w:p>
        </w:tc>
      </w:tr>
      <w:tr w:rsidR="004B5130" w:rsidRPr="0040357C" w14:paraId="79F85A11" w14:textId="77777777" w:rsidTr="00D2506A">
        <w:tc>
          <w:tcPr>
            <w:tcW w:w="1641" w:type="pct"/>
          </w:tcPr>
          <w:p w14:paraId="1998B093" w14:textId="2F20ED26" w:rsidR="004B5130" w:rsidRPr="0040357C" w:rsidRDefault="004B5130" w:rsidP="00D2506A">
            <w:pPr>
              <w:pStyle w:val="Tabletext"/>
              <w:rPr>
                <w:lang w:val="en-US"/>
              </w:rPr>
            </w:pPr>
            <w:r w:rsidRPr="0040357C">
              <w:rPr>
                <w:lang w:val="en-US"/>
              </w:rPr>
              <w:t>Drug-</w:t>
            </w:r>
            <w:r w:rsidR="000521BC">
              <w:rPr>
                <w:lang w:val="en-US"/>
              </w:rPr>
              <w:t>r</w:t>
            </w:r>
            <w:r w:rsidRPr="0040357C">
              <w:rPr>
                <w:lang w:val="en-US"/>
              </w:rPr>
              <w:t>elated Serious TEAEs</w:t>
            </w:r>
          </w:p>
        </w:tc>
        <w:tc>
          <w:tcPr>
            <w:tcW w:w="1119" w:type="pct"/>
          </w:tcPr>
          <w:p w14:paraId="11BAC28F" w14:textId="77777777" w:rsidR="004B5130" w:rsidRPr="0040357C" w:rsidRDefault="004B5130" w:rsidP="00D2506A">
            <w:pPr>
              <w:pStyle w:val="Tabletext"/>
              <w:rPr>
                <w:lang w:val="en-US"/>
              </w:rPr>
            </w:pPr>
            <w:r w:rsidRPr="0040357C">
              <w:rPr>
                <w:lang w:val="en-US"/>
              </w:rPr>
              <w:t>0</w:t>
            </w:r>
          </w:p>
        </w:tc>
        <w:tc>
          <w:tcPr>
            <w:tcW w:w="1120" w:type="pct"/>
          </w:tcPr>
          <w:p w14:paraId="44C6A28B" w14:textId="77777777" w:rsidR="004B5130" w:rsidRPr="0040357C" w:rsidRDefault="004B5130" w:rsidP="00D2506A">
            <w:pPr>
              <w:pStyle w:val="Tabletext"/>
              <w:rPr>
                <w:lang w:val="en-US"/>
              </w:rPr>
            </w:pPr>
            <w:r w:rsidRPr="0040357C">
              <w:rPr>
                <w:lang w:val="en-US"/>
              </w:rPr>
              <w:t>1 (0.8)</w:t>
            </w:r>
          </w:p>
        </w:tc>
        <w:tc>
          <w:tcPr>
            <w:tcW w:w="1120" w:type="pct"/>
          </w:tcPr>
          <w:p w14:paraId="135689FD" w14:textId="77777777" w:rsidR="004B5130" w:rsidRPr="0040357C" w:rsidRDefault="004B5130" w:rsidP="00D2506A">
            <w:pPr>
              <w:pStyle w:val="Tabletext"/>
              <w:rPr>
                <w:lang w:val="en-US"/>
              </w:rPr>
            </w:pPr>
            <w:r>
              <w:rPr>
                <w:lang w:val="en-US"/>
              </w:rPr>
              <w:t>0.35 (0.01, 8.43)</w:t>
            </w:r>
          </w:p>
        </w:tc>
      </w:tr>
      <w:tr w:rsidR="004B5130" w:rsidRPr="0040357C" w14:paraId="51CF17BF" w14:textId="77777777" w:rsidTr="00D2506A">
        <w:tc>
          <w:tcPr>
            <w:tcW w:w="1641" w:type="pct"/>
          </w:tcPr>
          <w:p w14:paraId="47A42FFE" w14:textId="3D03E28E" w:rsidR="004B5130" w:rsidRPr="0040357C" w:rsidRDefault="004B5130" w:rsidP="00D2506A">
            <w:pPr>
              <w:pStyle w:val="Tabletext"/>
              <w:rPr>
                <w:lang w:val="en-US"/>
              </w:rPr>
            </w:pPr>
            <w:r w:rsidRPr="0040357C">
              <w:rPr>
                <w:lang w:val="en-US"/>
              </w:rPr>
              <w:t xml:space="preserve">Treatment </w:t>
            </w:r>
            <w:r w:rsidR="000521BC">
              <w:rPr>
                <w:lang w:val="en-US"/>
              </w:rPr>
              <w:t>i</w:t>
            </w:r>
            <w:r w:rsidRPr="0040357C">
              <w:rPr>
                <w:lang w:val="en-US"/>
              </w:rPr>
              <w:t>nterruption due to TEAEs</w:t>
            </w:r>
          </w:p>
        </w:tc>
        <w:tc>
          <w:tcPr>
            <w:tcW w:w="1119" w:type="pct"/>
          </w:tcPr>
          <w:p w14:paraId="00D1F9D2" w14:textId="77777777" w:rsidR="004B5130" w:rsidRPr="0040357C" w:rsidRDefault="004B5130" w:rsidP="00D2506A">
            <w:pPr>
              <w:pStyle w:val="Tabletext"/>
              <w:rPr>
                <w:lang w:val="en-US"/>
              </w:rPr>
            </w:pPr>
            <w:r w:rsidRPr="0040357C">
              <w:rPr>
                <w:lang w:val="en-US"/>
              </w:rPr>
              <w:t>3 (2.4)</w:t>
            </w:r>
          </w:p>
        </w:tc>
        <w:tc>
          <w:tcPr>
            <w:tcW w:w="1120" w:type="pct"/>
          </w:tcPr>
          <w:p w14:paraId="126998E7" w14:textId="77777777" w:rsidR="004B5130" w:rsidRPr="0040357C" w:rsidRDefault="004B5130" w:rsidP="00D2506A">
            <w:pPr>
              <w:pStyle w:val="Tabletext"/>
              <w:rPr>
                <w:lang w:val="en-US"/>
              </w:rPr>
            </w:pPr>
            <w:r w:rsidRPr="0040357C">
              <w:rPr>
                <w:lang w:val="en-US"/>
              </w:rPr>
              <w:t>6 (4.7)</w:t>
            </w:r>
          </w:p>
        </w:tc>
        <w:tc>
          <w:tcPr>
            <w:tcW w:w="1120" w:type="pct"/>
          </w:tcPr>
          <w:p w14:paraId="781B7E74" w14:textId="77777777" w:rsidR="004B5130" w:rsidRPr="0040357C" w:rsidRDefault="004B5130" w:rsidP="00D2506A">
            <w:pPr>
              <w:pStyle w:val="Tabletext"/>
              <w:rPr>
                <w:lang w:val="en-US"/>
              </w:rPr>
            </w:pPr>
            <w:r>
              <w:rPr>
                <w:lang w:val="en-US"/>
              </w:rPr>
              <w:t>0.52 (0.13, 2.04)</w:t>
            </w:r>
          </w:p>
        </w:tc>
      </w:tr>
      <w:tr w:rsidR="004B5130" w:rsidRPr="0040357C" w14:paraId="5E6A7661" w14:textId="77777777" w:rsidTr="00D2506A">
        <w:tc>
          <w:tcPr>
            <w:tcW w:w="1641" w:type="pct"/>
          </w:tcPr>
          <w:p w14:paraId="10CED654" w14:textId="32451192" w:rsidR="004B5130" w:rsidRPr="0040357C" w:rsidRDefault="004B5130" w:rsidP="004D2884">
            <w:pPr>
              <w:pStyle w:val="Tabletext"/>
              <w:rPr>
                <w:lang w:val="en-US"/>
              </w:rPr>
            </w:pPr>
            <w:r w:rsidRPr="0040357C">
              <w:rPr>
                <w:lang w:val="en-US"/>
              </w:rPr>
              <w:t xml:space="preserve">Treatment </w:t>
            </w:r>
            <w:r w:rsidR="000521BC">
              <w:rPr>
                <w:lang w:val="en-US"/>
              </w:rPr>
              <w:t>d</w:t>
            </w:r>
            <w:r w:rsidRPr="0040357C">
              <w:rPr>
                <w:lang w:val="en-US"/>
              </w:rPr>
              <w:t>iscontinuation due to TEAEs</w:t>
            </w:r>
          </w:p>
        </w:tc>
        <w:tc>
          <w:tcPr>
            <w:tcW w:w="1119" w:type="pct"/>
          </w:tcPr>
          <w:p w14:paraId="6A01031E" w14:textId="77777777" w:rsidR="004B5130" w:rsidRPr="0040357C" w:rsidRDefault="004B5130" w:rsidP="00D2506A">
            <w:pPr>
              <w:pStyle w:val="Tabletext"/>
              <w:rPr>
                <w:lang w:val="en-US"/>
              </w:rPr>
            </w:pPr>
            <w:r w:rsidRPr="0040357C">
              <w:rPr>
                <w:lang w:val="en-US"/>
              </w:rPr>
              <w:t>2 (1.6)</w:t>
            </w:r>
          </w:p>
        </w:tc>
        <w:tc>
          <w:tcPr>
            <w:tcW w:w="1120" w:type="pct"/>
          </w:tcPr>
          <w:p w14:paraId="43E1955A" w14:textId="77777777" w:rsidR="004B5130" w:rsidRPr="0040357C" w:rsidRDefault="004B5130" w:rsidP="00D2506A">
            <w:pPr>
              <w:pStyle w:val="Tabletext"/>
              <w:rPr>
                <w:lang w:val="en-US"/>
              </w:rPr>
            </w:pPr>
            <w:r w:rsidRPr="0040357C">
              <w:rPr>
                <w:lang w:val="en-US"/>
              </w:rPr>
              <w:t>0</w:t>
            </w:r>
          </w:p>
        </w:tc>
        <w:tc>
          <w:tcPr>
            <w:tcW w:w="1120" w:type="pct"/>
          </w:tcPr>
          <w:p w14:paraId="402B7669" w14:textId="77777777" w:rsidR="004B5130" w:rsidRPr="0040357C" w:rsidRDefault="004B5130" w:rsidP="00D2506A">
            <w:pPr>
              <w:pStyle w:val="Tabletext"/>
              <w:rPr>
                <w:lang w:val="en-US"/>
              </w:rPr>
            </w:pPr>
            <w:r>
              <w:rPr>
                <w:lang w:val="en-US"/>
              </w:rPr>
              <w:t>5.20 (0.25, 107.27)</w:t>
            </w:r>
          </w:p>
        </w:tc>
      </w:tr>
      <w:tr w:rsidR="004B5130" w:rsidRPr="0040357C" w14:paraId="5126C24F" w14:textId="77777777" w:rsidTr="00D2506A">
        <w:tc>
          <w:tcPr>
            <w:tcW w:w="1641" w:type="pct"/>
          </w:tcPr>
          <w:p w14:paraId="354C5815" w14:textId="56B020A0" w:rsidR="004B5130" w:rsidRPr="0040357C" w:rsidRDefault="004B5130" w:rsidP="00D2506A">
            <w:pPr>
              <w:pStyle w:val="Tabletext"/>
              <w:rPr>
                <w:lang w:val="en-US"/>
              </w:rPr>
            </w:pPr>
            <w:r w:rsidRPr="0040357C">
              <w:rPr>
                <w:lang w:val="en-US"/>
              </w:rPr>
              <w:t xml:space="preserve">Study </w:t>
            </w:r>
            <w:r w:rsidR="000521BC">
              <w:rPr>
                <w:lang w:val="en-US"/>
              </w:rPr>
              <w:t>d</w:t>
            </w:r>
            <w:r w:rsidRPr="0040357C">
              <w:rPr>
                <w:lang w:val="en-US"/>
              </w:rPr>
              <w:t>iscontinuation due to TEAEs</w:t>
            </w:r>
          </w:p>
        </w:tc>
        <w:tc>
          <w:tcPr>
            <w:tcW w:w="1119" w:type="pct"/>
          </w:tcPr>
          <w:p w14:paraId="4CDBE63C" w14:textId="77777777" w:rsidR="004B5130" w:rsidRPr="0040357C" w:rsidRDefault="004B5130" w:rsidP="00D2506A">
            <w:pPr>
              <w:pStyle w:val="Tabletext"/>
              <w:rPr>
                <w:lang w:val="en-US"/>
              </w:rPr>
            </w:pPr>
            <w:r w:rsidRPr="0040357C">
              <w:rPr>
                <w:lang w:val="en-US"/>
              </w:rPr>
              <w:t>2 (1.6)</w:t>
            </w:r>
          </w:p>
        </w:tc>
        <w:tc>
          <w:tcPr>
            <w:tcW w:w="1120" w:type="pct"/>
          </w:tcPr>
          <w:p w14:paraId="2B1C6603" w14:textId="77777777" w:rsidR="004B5130" w:rsidRPr="0040357C" w:rsidRDefault="004B5130" w:rsidP="00D2506A">
            <w:pPr>
              <w:pStyle w:val="Tabletext"/>
              <w:rPr>
                <w:lang w:val="en-US"/>
              </w:rPr>
            </w:pPr>
            <w:r w:rsidRPr="0040357C">
              <w:rPr>
                <w:lang w:val="en-US"/>
              </w:rPr>
              <w:t>1 (0.8)</w:t>
            </w:r>
          </w:p>
        </w:tc>
        <w:tc>
          <w:tcPr>
            <w:tcW w:w="1120" w:type="pct"/>
          </w:tcPr>
          <w:p w14:paraId="7B824F3D" w14:textId="77777777" w:rsidR="004B5130" w:rsidRPr="0040357C" w:rsidRDefault="004B5130" w:rsidP="00D2506A">
            <w:pPr>
              <w:pStyle w:val="Tabletext"/>
              <w:rPr>
                <w:lang w:val="en-US"/>
              </w:rPr>
            </w:pPr>
            <w:r>
              <w:rPr>
                <w:lang w:val="en-US"/>
              </w:rPr>
              <w:t>2.08 (0.19, 22.66)</w:t>
            </w:r>
          </w:p>
        </w:tc>
      </w:tr>
      <w:tr w:rsidR="004B5130" w:rsidRPr="0040357C" w14:paraId="17B1E022" w14:textId="77777777" w:rsidTr="00D2506A">
        <w:tc>
          <w:tcPr>
            <w:tcW w:w="1641" w:type="pct"/>
          </w:tcPr>
          <w:p w14:paraId="56F920F2" w14:textId="73CFF7C3" w:rsidR="004B5130" w:rsidRPr="0040357C" w:rsidRDefault="004B5130" w:rsidP="00D2506A">
            <w:pPr>
              <w:pStyle w:val="Tabletext"/>
              <w:rPr>
                <w:lang w:val="en-US"/>
              </w:rPr>
            </w:pPr>
            <w:r w:rsidRPr="0040357C">
              <w:rPr>
                <w:lang w:val="en-US"/>
              </w:rPr>
              <w:t xml:space="preserve">TEAEs </w:t>
            </w:r>
            <w:r w:rsidR="000521BC">
              <w:rPr>
                <w:lang w:val="en-US"/>
              </w:rPr>
              <w:t>l</w:t>
            </w:r>
            <w:r w:rsidRPr="0040357C">
              <w:rPr>
                <w:lang w:val="en-US"/>
              </w:rPr>
              <w:t xml:space="preserve">eading to </w:t>
            </w:r>
            <w:r w:rsidR="000521BC">
              <w:rPr>
                <w:lang w:val="en-US"/>
              </w:rPr>
              <w:t>d</w:t>
            </w:r>
            <w:r w:rsidRPr="0040357C">
              <w:rPr>
                <w:lang w:val="en-US"/>
              </w:rPr>
              <w:t>eath</w:t>
            </w:r>
          </w:p>
        </w:tc>
        <w:tc>
          <w:tcPr>
            <w:tcW w:w="1119" w:type="pct"/>
          </w:tcPr>
          <w:p w14:paraId="2E71D25C" w14:textId="77777777" w:rsidR="004B5130" w:rsidRPr="0040357C" w:rsidRDefault="004B5130" w:rsidP="00D2506A">
            <w:pPr>
              <w:pStyle w:val="Tabletext"/>
              <w:rPr>
                <w:lang w:val="en-US"/>
              </w:rPr>
            </w:pPr>
            <w:r w:rsidRPr="0040357C">
              <w:rPr>
                <w:lang w:val="en-US"/>
              </w:rPr>
              <w:t>0</w:t>
            </w:r>
          </w:p>
        </w:tc>
        <w:tc>
          <w:tcPr>
            <w:tcW w:w="1120" w:type="pct"/>
          </w:tcPr>
          <w:p w14:paraId="5F9FE338" w14:textId="77777777" w:rsidR="004B5130" w:rsidRPr="0040357C" w:rsidRDefault="004B5130" w:rsidP="00D2506A">
            <w:pPr>
              <w:pStyle w:val="Tabletext"/>
              <w:rPr>
                <w:lang w:val="en-US"/>
              </w:rPr>
            </w:pPr>
            <w:r w:rsidRPr="0040357C">
              <w:rPr>
                <w:lang w:val="en-US"/>
              </w:rPr>
              <w:t>1 (0.8)</w:t>
            </w:r>
          </w:p>
        </w:tc>
        <w:tc>
          <w:tcPr>
            <w:tcW w:w="1120" w:type="pct"/>
          </w:tcPr>
          <w:p w14:paraId="13DCC658" w14:textId="77777777" w:rsidR="004B5130" w:rsidRPr="0040357C" w:rsidRDefault="004B5130" w:rsidP="00D2506A">
            <w:pPr>
              <w:pStyle w:val="Tabletext"/>
              <w:rPr>
                <w:lang w:val="en-US"/>
              </w:rPr>
            </w:pPr>
            <w:r>
              <w:rPr>
                <w:lang w:val="en-US"/>
              </w:rPr>
              <w:t>0.35 (0.01, 8.43)</w:t>
            </w:r>
          </w:p>
        </w:tc>
      </w:tr>
    </w:tbl>
    <w:p w14:paraId="1DF03ABE" w14:textId="77777777" w:rsidR="004B5130" w:rsidRDefault="004B5130" w:rsidP="004B5130">
      <w:pPr>
        <w:pStyle w:val="FooterTableFigure"/>
      </w:pPr>
      <w:r>
        <w:t>Source: Table 61, p127 of the submission</w:t>
      </w:r>
    </w:p>
    <w:p w14:paraId="240A3BF4" w14:textId="4D9E1EBE" w:rsidR="004B5130" w:rsidRDefault="004B5130" w:rsidP="004B5130">
      <w:pPr>
        <w:pStyle w:val="FooterTableFigure"/>
        <w:rPr>
          <w:rFonts w:eastAsia="Calibri"/>
        </w:rPr>
      </w:pPr>
      <w:r w:rsidRPr="00B40358">
        <w:rPr>
          <w:rFonts w:eastAsia="Calibri"/>
        </w:rPr>
        <w:t>CI = confidence interval; n = number of participants reporting data; N = total participants in group</w:t>
      </w:r>
      <w:r>
        <w:rPr>
          <w:rFonts w:eastAsia="Calibri"/>
        </w:rPr>
        <w:t xml:space="preserve">; RR = relative risk; </w:t>
      </w:r>
      <w:r w:rsidRPr="0040357C">
        <w:t>TEAE = treatment-emergent adverse event</w:t>
      </w:r>
    </w:p>
    <w:p w14:paraId="1E91CD35" w14:textId="3EB4E505" w:rsidR="004B5130" w:rsidRDefault="004B5130" w:rsidP="004B5130">
      <w:pPr>
        <w:pStyle w:val="Caption"/>
      </w:pPr>
      <w:bookmarkStart w:id="34" w:name="_Ref110774281"/>
      <w:r>
        <w:lastRenderedPageBreak/>
        <w:t xml:space="preserve">Table </w:t>
      </w:r>
      <w:r w:rsidR="00645E50">
        <w:fldChar w:fldCharType="begin"/>
      </w:r>
      <w:r w:rsidR="00645E50">
        <w:instrText xml:space="preserve"> SEQ Table \* ARABIC </w:instrText>
      </w:r>
      <w:r w:rsidR="00645E50">
        <w:fldChar w:fldCharType="separate"/>
      </w:r>
      <w:r w:rsidR="00645E50">
        <w:rPr>
          <w:noProof/>
        </w:rPr>
        <w:t>14</w:t>
      </w:r>
      <w:r w:rsidR="00645E50">
        <w:rPr>
          <w:noProof/>
        </w:rPr>
        <w:fldChar w:fldCharType="end"/>
      </w:r>
      <w:bookmarkEnd w:id="34"/>
      <w:r>
        <w:t xml:space="preserve">: </w:t>
      </w:r>
      <w:r w:rsidRPr="008774E9">
        <w:t>TEAEs reported for ≥5% of patients in either treatment group</w:t>
      </w:r>
    </w:p>
    <w:tbl>
      <w:tblPr>
        <w:tblStyle w:val="PBACtable2"/>
        <w:tblW w:w="5013" w:type="pct"/>
        <w:tblLook w:val="04A0" w:firstRow="1" w:lastRow="0" w:firstColumn="1" w:lastColumn="0" w:noHBand="0" w:noVBand="1"/>
      </w:tblPr>
      <w:tblGrid>
        <w:gridCol w:w="2862"/>
        <w:gridCol w:w="1542"/>
        <w:gridCol w:w="1546"/>
        <w:gridCol w:w="1542"/>
        <w:gridCol w:w="1548"/>
      </w:tblGrid>
      <w:tr w:rsidR="004B5130" w:rsidRPr="0040357C" w14:paraId="3FFBD685" w14:textId="77777777" w:rsidTr="00D2506A">
        <w:trPr>
          <w:tblHeader/>
        </w:trPr>
        <w:tc>
          <w:tcPr>
            <w:tcW w:w="1583" w:type="pct"/>
            <w:vMerge w:val="restart"/>
          </w:tcPr>
          <w:p w14:paraId="5A7A3AA7" w14:textId="77777777" w:rsidR="004B5130" w:rsidRPr="00C72A7E" w:rsidRDefault="004B5130" w:rsidP="005C6D96">
            <w:pPr>
              <w:pStyle w:val="TableFigureHeading"/>
              <w:rPr>
                <w:sz w:val="20"/>
                <w:szCs w:val="20"/>
              </w:rPr>
            </w:pPr>
            <w:r w:rsidRPr="00C72A7E">
              <w:rPr>
                <w:sz w:val="20"/>
                <w:szCs w:val="20"/>
              </w:rPr>
              <w:t>SOC and PT</w:t>
            </w:r>
          </w:p>
        </w:tc>
        <w:tc>
          <w:tcPr>
            <w:tcW w:w="1708" w:type="pct"/>
            <w:gridSpan w:val="2"/>
          </w:tcPr>
          <w:p w14:paraId="1E28EEB0" w14:textId="77777777" w:rsidR="004B5130" w:rsidRPr="00C72A7E" w:rsidRDefault="004B5130" w:rsidP="005C6D96">
            <w:pPr>
              <w:pStyle w:val="TableFigureHeading"/>
              <w:rPr>
                <w:sz w:val="20"/>
                <w:szCs w:val="20"/>
              </w:rPr>
            </w:pPr>
            <w:r w:rsidRPr="00C72A7E">
              <w:rPr>
                <w:sz w:val="20"/>
                <w:szCs w:val="20"/>
              </w:rPr>
              <w:t>Mavacamten</w:t>
            </w:r>
            <w:r w:rsidRPr="00C72A7E">
              <w:rPr>
                <w:sz w:val="20"/>
                <w:szCs w:val="20"/>
              </w:rPr>
              <w:br/>
              <w:t>(N = 123)</w:t>
            </w:r>
          </w:p>
        </w:tc>
        <w:tc>
          <w:tcPr>
            <w:tcW w:w="1709" w:type="pct"/>
            <w:gridSpan w:val="2"/>
          </w:tcPr>
          <w:p w14:paraId="23599D7F" w14:textId="77777777" w:rsidR="004B5130" w:rsidRPr="00C72A7E" w:rsidRDefault="004B5130" w:rsidP="005C6D96">
            <w:pPr>
              <w:pStyle w:val="TableFigureHeading"/>
              <w:rPr>
                <w:sz w:val="20"/>
                <w:szCs w:val="20"/>
              </w:rPr>
            </w:pPr>
            <w:r w:rsidRPr="00C72A7E">
              <w:rPr>
                <w:sz w:val="20"/>
                <w:szCs w:val="20"/>
              </w:rPr>
              <w:t>Placebo</w:t>
            </w:r>
            <w:r w:rsidRPr="00C72A7E">
              <w:rPr>
                <w:sz w:val="20"/>
                <w:szCs w:val="20"/>
              </w:rPr>
              <w:br/>
              <w:t>(N = 129)</w:t>
            </w:r>
          </w:p>
        </w:tc>
      </w:tr>
      <w:tr w:rsidR="004B5130" w:rsidRPr="0040357C" w14:paraId="25193092" w14:textId="77777777" w:rsidTr="00D2506A">
        <w:trPr>
          <w:tblHeader/>
        </w:trPr>
        <w:tc>
          <w:tcPr>
            <w:tcW w:w="1583" w:type="pct"/>
            <w:vMerge/>
          </w:tcPr>
          <w:p w14:paraId="3B618DCC" w14:textId="77777777" w:rsidR="004B5130" w:rsidRPr="00C72A7E" w:rsidRDefault="004B5130" w:rsidP="005C6D96">
            <w:pPr>
              <w:pStyle w:val="TableFigureHeading"/>
              <w:rPr>
                <w:sz w:val="20"/>
                <w:szCs w:val="20"/>
              </w:rPr>
            </w:pPr>
          </w:p>
        </w:tc>
        <w:tc>
          <w:tcPr>
            <w:tcW w:w="853" w:type="pct"/>
          </w:tcPr>
          <w:p w14:paraId="2889B103" w14:textId="77777777" w:rsidR="004B5130" w:rsidRPr="00C72A7E" w:rsidRDefault="004B5130" w:rsidP="005C6D96">
            <w:pPr>
              <w:pStyle w:val="TableFigureHeading"/>
              <w:rPr>
                <w:sz w:val="20"/>
                <w:szCs w:val="20"/>
              </w:rPr>
            </w:pPr>
            <w:r w:rsidRPr="00C72A7E">
              <w:rPr>
                <w:sz w:val="20"/>
                <w:szCs w:val="20"/>
              </w:rPr>
              <w:t>Week 30</w:t>
            </w:r>
            <w:r w:rsidRPr="00C72A7E">
              <w:rPr>
                <w:sz w:val="20"/>
                <w:szCs w:val="20"/>
              </w:rPr>
              <w:br/>
              <w:t>n (%)</w:t>
            </w:r>
          </w:p>
        </w:tc>
        <w:tc>
          <w:tcPr>
            <w:tcW w:w="855" w:type="pct"/>
          </w:tcPr>
          <w:p w14:paraId="45589B21" w14:textId="77777777" w:rsidR="004B5130" w:rsidRPr="00C72A7E" w:rsidRDefault="004B5130" w:rsidP="005C6D96">
            <w:pPr>
              <w:pStyle w:val="TableFigureHeading"/>
              <w:rPr>
                <w:sz w:val="20"/>
                <w:szCs w:val="20"/>
              </w:rPr>
            </w:pPr>
            <w:r w:rsidRPr="00C72A7E">
              <w:rPr>
                <w:sz w:val="20"/>
                <w:szCs w:val="20"/>
              </w:rPr>
              <w:t>Week 38</w:t>
            </w:r>
            <w:r w:rsidRPr="00C72A7E">
              <w:rPr>
                <w:sz w:val="20"/>
                <w:szCs w:val="20"/>
              </w:rPr>
              <w:br/>
              <w:t>n (%)</w:t>
            </w:r>
          </w:p>
        </w:tc>
        <w:tc>
          <w:tcPr>
            <w:tcW w:w="853" w:type="pct"/>
          </w:tcPr>
          <w:p w14:paraId="73440F10" w14:textId="77777777" w:rsidR="004B5130" w:rsidRPr="00C72A7E" w:rsidRDefault="004B5130" w:rsidP="005C6D96">
            <w:pPr>
              <w:pStyle w:val="TableFigureHeading"/>
              <w:rPr>
                <w:sz w:val="20"/>
                <w:szCs w:val="20"/>
              </w:rPr>
            </w:pPr>
            <w:r w:rsidRPr="00C72A7E">
              <w:rPr>
                <w:sz w:val="20"/>
                <w:szCs w:val="20"/>
              </w:rPr>
              <w:t>Week 30</w:t>
            </w:r>
            <w:r w:rsidRPr="00C72A7E">
              <w:rPr>
                <w:sz w:val="20"/>
                <w:szCs w:val="20"/>
              </w:rPr>
              <w:br/>
              <w:t>n (%)</w:t>
            </w:r>
          </w:p>
        </w:tc>
        <w:tc>
          <w:tcPr>
            <w:tcW w:w="856" w:type="pct"/>
          </w:tcPr>
          <w:p w14:paraId="1502BCFF" w14:textId="77777777" w:rsidR="004B5130" w:rsidRPr="00C72A7E" w:rsidRDefault="004B5130" w:rsidP="005C6D96">
            <w:pPr>
              <w:pStyle w:val="TableFigureHeading"/>
              <w:rPr>
                <w:sz w:val="20"/>
                <w:szCs w:val="20"/>
              </w:rPr>
            </w:pPr>
            <w:r w:rsidRPr="00C72A7E">
              <w:rPr>
                <w:sz w:val="20"/>
                <w:szCs w:val="20"/>
              </w:rPr>
              <w:t>Week 38</w:t>
            </w:r>
            <w:r w:rsidRPr="00C72A7E">
              <w:rPr>
                <w:sz w:val="20"/>
                <w:szCs w:val="20"/>
              </w:rPr>
              <w:br/>
              <w:t>n (%)</w:t>
            </w:r>
          </w:p>
        </w:tc>
      </w:tr>
      <w:tr w:rsidR="004B5130" w:rsidRPr="0040357C" w14:paraId="6C5255A5" w14:textId="77777777" w:rsidTr="00D2506A">
        <w:tc>
          <w:tcPr>
            <w:tcW w:w="1583" w:type="pct"/>
          </w:tcPr>
          <w:p w14:paraId="526911C7" w14:textId="1614E213" w:rsidR="004B5130" w:rsidRPr="0040357C" w:rsidRDefault="004B5130" w:rsidP="005C6D96">
            <w:pPr>
              <w:pStyle w:val="Tabletext"/>
              <w:keepNext/>
            </w:pPr>
            <w:r w:rsidRPr="0040357C">
              <w:t xml:space="preserve">Total </w:t>
            </w:r>
            <w:r w:rsidR="004D2884">
              <w:t>n</w:t>
            </w:r>
            <w:r w:rsidRPr="0040357C">
              <w:t>umber of TEAEs</w:t>
            </w:r>
          </w:p>
        </w:tc>
        <w:tc>
          <w:tcPr>
            <w:tcW w:w="853" w:type="pct"/>
          </w:tcPr>
          <w:p w14:paraId="23DBD6BD" w14:textId="77777777" w:rsidR="004B5130" w:rsidRPr="0040357C" w:rsidRDefault="004B5130" w:rsidP="005C6D96">
            <w:pPr>
              <w:pStyle w:val="Tabletext"/>
              <w:keepNext/>
            </w:pPr>
            <w:r w:rsidRPr="0040357C">
              <w:t>419</w:t>
            </w:r>
          </w:p>
        </w:tc>
        <w:tc>
          <w:tcPr>
            <w:tcW w:w="855" w:type="pct"/>
          </w:tcPr>
          <w:p w14:paraId="43C9C329" w14:textId="77777777" w:rsidR="004B5130" w:rsidRPr="0040357C" w:rsidRDefault="004B5130" w:rsidP="005C6D96">
            <w:pPr>
              <w:pStyle w:val="Tabletext"/>
              <w:keepNext/>
            </w:pPr>
            <w:r w:rsidRPr="0040357C">
              <w:t>536</w:t>
            </w:r>
          </w:p>
        </w:tc>
        <w:tc>
          <w:tcPr>
            <w:tcW w:w="853" w:type="pct"/>
          </w:tcPr>
          <w:p w14:paraId="2E50E612" w14:textId="77777777" w:rsidR="004B5130" w:rsidRPr="0040357C" w:rsidRDefault="004B5130" w:rsidP="005C6D96">
            <w:pPr>
              <w:pStyle w:val="Tabletext"/>
              <w:keepNext/>
            </w:pPr>
            <w:r w:rsidRPr="0040357C">
              <w:t>425</w:t>
            </w:r>
          </w:p>
        </w:tc>
        <w:tc>
          <w:tcPr>
            <w:tcW w:w="856" w:type="pct"/>
          </w:tcPr>
          <w:p w14:paraId="709702C6" w14:textId="77777777" w:rsidR="004B5130" w:rsidRPr="0040357C" w:rsidRDefault="004B5130" w:rsidP="005C6D96">
            <w:pPr>
              <w:pStyle w:val="Tabletext"/>
              <w:keepNext/>
            </w:pPr>
            <w:r w:rsidRPr="0040357C">
              <w:t>495</w:t>
            </w:r>
          </w:p>
        </w:tc>
      </w:tr>
      <w:tr w:rsidR="004B5130" w:rsidRPr="0040357C" w14:paraId="63B699DC" w14:textId="77777777" w:rsidTr="00D2506A">
        <w:tc>
          <w:tcPr>
            <w:tcW w:w="1583" w:type="pct"/>
          </w:tcPr>
          <w:p w14:paraId="2DAC948D" w14:textId="5A87180F" w:rsidR="004B5130" w:rsidRPr="0040357C" w:rsidRDefault="004B5130" w:rsidP="005C6D96">
            <w:pPr>
              <w:pStyle w:val="Tabletext"/>
              <w:keepNext/>
              <w:rPr>
                <w:rFonts w:eastAsia="Times New Roman"/>
              </w:rPr>
            </w:pPr>
            <w:r w:rsidRPr="0040357C">
              <w:t xml:space="preserve">Number of </w:t>
            </w:r>
            <w:r w:rsidR="004D2884">
              <w:t>p</w:t>
            </w:r>
            <w:r w:rsidRPr="0040357C">
              <w:t xml:space="preserve">atients with at </w:t>
            </w:r>
            <w:r w:rsidR="004D2884">
              <w:t>l</w:t>
            </w:r>
            <w:r w:rsidRPr="0040357C">
              <w:t xml:space="preserve">east </w:t>
            </w:r>
            <w:r w:rsidR="004D2884">
              <w:t>o</w:t>
            </w:r>
            <w:r w:rsidRPr="0040357C">
              <w:t>ne TEAE</w:t>
            </w:r>
          </w:p>
        </w:tc>
        <w:tc>
          <w:tcPr>
            <w:tcW w:w="853" w:type="pct"/>
          </w:tcPr>
          <w:p w14:paraId="50CBB791" w14:textId="77777777" w:rsidR="004B5130" w:rsidRPr="0040357C" w:rsidRDefault="004B5130" w:rsidP="005C6D96">
            <w:pPr>
              <w:pStyle w:val="Tabletext"/>
              <w:keepNext/>
              <w:rPr>
                <w:rFonts w:eastAsia="Times New Roman"/>
              </w:rPr>
            </w:pPr>
            <w:r w:rsidRPr="0040357C">
              <w:t>108 (87.8)</w:t>
            </w:r>
          </w:p>
        </w:tc>
        <w:tc>
          <w:tcPr>
            <w:tcW w:w="855" w:type="pct"/>
          </w:tcPr>
          <w:p w14:paraId="324E276B" w14:textId="77777777" w:rsidR="004B5130" w:rsidRPr="0040357C" w:rsidRDefault="004B5130" w:rsidP="005C6D96">
            <w:pPr>
              <w:pStyle w:val="Tabletext"/>
              <w:keepNext/>
              <w:rPr>
                <w:rFonts w:eastAsia="Times New Roman"/>
              </w:rPr>
            </w:pPr>
            <w:r w:rsidRPr="0040357C">
              <w:t>108 (87.8)</w:t>
            </w:r>
          </w:p>
        </w:tc>
        <w:tc>
          <w:tcPr>
            <w:tcW w:w="853" w:type="pct"/>
          </w:tcPr>
          <w:p w14:paraId="7B4B035E" w14:textId="77777777" w:rsidR="004B5130" w:rsidRPr="0040357C" w:rsidRDefault="004B5130" w:rsidP="005C6D96">
            <w:pPr>
              <w:pStyle w:val="Tabletext"/>
              <w:keepNext/>
              <w:rPr>
                <w:rFonts w:eastAsia="Times New Roman"/>
              </w:rPr>
            </w:pPr>
            <w:r w:rsidRPr="0040357C">
              <w:t>101 (78.9)</w:t>
            </w:r>
          </w:p>
        </w:tc>
        <w:tc>
          <w:tcPr>
            <w:tcW w:w="856" w:type="pct"/>
          </w:tcPr>
          <w:p w14:paraId="07CD22A4" w14:textId="77777777" w:rsidR="004B5130" w:rsidRPr="0040357C" w:rsidRDefault="004B5130" w:rsidP="005C6D96">
            <w:pPr>
              <w:pStyle w:val="Tabletext"/>
              <w:keepNext/>
              <w:rPr>
                <w:rFonts w:eastAsia="Times New Roman"/>
              </w:rPr>
            </w:pPr>
            <w:r w:rsidRPr="0040357C">
              <w:t>104 (81.3)</w:t>
            </w:r>
          </w:p>
        </w:tc>
      </w:tr>
      <w:tr w:rsidR="004B5130" w:rsidRPr="0040357C" w14:paraId="7B4E640F" w14:textId="77777777" w:rsidTr="00D2506A">
        <w:tc>
          <w:tcPr>
            <w:tcW w:w="1583" w:type="pct"/>
          </w:tcPr>
          <w:p w14:paraId="6F39742C" w14:textId="77777777" w:rsidR="004B5130" w:rsidRPr="0040357C" w:rsidRDefault="004B5130" w:rsidP="005C6D96">
            <w:pPr>
              <w:pStyle w:val="Tabletext"/>
              <w:keepNext/>
            </w:pPr>
            <w:r w:rsidRPr="0040357C">
              <w:t>Cardiac disorders</w:t>
            </w:r>
          </w:p>
        </w:tc>
        <w:tc>
          <w:tcPr>
            <w:tcW w:w="853" w:type="pct"/>
          </w:tcPr>
          <w:p w14:paraId="0A2AA15E" w14:textId="77777777" w:rsidR="004B5130" w:rsidRPr="0040357C" w:rsidRDefault="004B5130" w:rsidP="005C6D96">
            <w:pPr>
              <w:pStyle w:val="Tabletext"/>
              <w:keepNext/>
            </w:pPr>
          </w:p>
        </w:tc>
        <w:tc>
          <w:tcPr>
            <w:tcW w:w="855" w:type="pct"/>
          </w:tcPr>
          <w:p w14:paraId="207D3D7C" w14:textId="77777777" w:rsidR="004B5130" w:rsidRPr="0040357C" w:rsidRDefault="004B5130" w:rsidP="005C6D96">
            <w:pPr>
              <w:pStyle w:val="Tabletext"/>
              <w:keepNext/>
            </w:pPr>
          </w:p>
        </w:tc>
        <w:tc>
          <w:tcPr>
            <w:tcW w:w="853" w:type="pct"/>
          </w:tcPr>
          <w:p w14:paraId="7FAC8992" w14:textId="77777777" w:rsidR="004B5130" w:rsidRPr="0040357C" w:rsidRDefault="004B5130" w:rsidP="005C6D96">
            <w:pPr>
              <w:pStyle w:val="Tabletext"/>
              <w:keepNext/>
            </w:pPr>
          </w:p>
        </w:tc>
        <w:tc>
          <w:tcPr>
            <w:tcW w:w="856" w:type="pct"/>
          </w:tcPr>
          <w:p w14:paraId="1926A9D7" w14:textId="77777777" w:rsidR="004B5130" w:rsidRPr="0040357C" w:rsidRDefault="004B5130" w:rsidP="005C6D96">
            <w:pPr>
              <w:pStyle w:val="Tabletext"/>
              <w:keepNext/>
            </w:pPr>
          </w:p>
        </w:tc>
      </w:tr>
      <w:tr w:rsidR="004B5130" w:rsidRPr="0040357C" w14:paraId="5C3CA179" w14:textId="77777777" w:rsidTr="00D2506A">
        <w:tc>
          <w:tcPr>
            <w:tcW w:w="1583" w:type="pct"/>
          </w:tcPr>
          <w:p w14:paraId="0961942E" w14:textId="77777777" w:rsidR="004B5130" w:rsidRPr="0040357C" w:rsidRDefault="004B5130" w:rsidP="005C6D96">
            <w:pPr>
              <w:pStyle w:val="Tabletext"/>
              <w:keepNext/>
              <w:ind w:left="174"/>
            </w:pPr>
            <w:r w:rsidRPr="0040357C">
              <w:t>Atrial fibrillation</w:t>
            </w:r>
          </w:p>
        </w:tc>
        <w:tc>
          <w:tcPr>
            <w:tcW w:w="853" w:type="pct"/>
          </w:tcPr>
          <w:p w14:paraId="7F7E5E95" w14:textId="77777777" w:rsidR="004B5130" w:rsidRPr="0040357C" w:rsidRDefault="004B5130" w:rsidP="005C6D96">
            <w:pPr>
              <w:pStyle w:val="Tabletext"/>
              <w:keepNext/>
              <w:rPr>
                <w:rFonts w:eastAsia="Times New Roman"/>
              </w:rPr>
            </w:pPr>
            <w:r w:rsidRPr="0040357C">
              <w:t>8 (6.5)</w:t>
            </w:r>
          </w:p>
        </w:tc>
        <w:tc>
          <w:tcPr>
            <w:tcW w:w="855" w:type="pct"/>
          </w:tcPr>
          <w:p w14:paraId="2DFF6AF9" w14:textId="77777777" w:rsidR="004B5130" w:rsidRPr="0040357C" w:rsidRDefault="004B5130" w:rsidP="005C6D96">
            <w:pPr>
              <w:pStyle w:val="Tabletext"/>
              <w:keepNext/>
              <w:rPr>
                <w:rFonts w:eastAsia="Times New Roman"/>
              </w:rPr>
            </w:pPr>
            <w:r w:rsidRPr="0040357C">
              <w:t>10 (8.1)</w:t>
            </w:r>
          </w:p>
        </w:tc>
        <w:tc>
          <w:tcPr>
            <w:tcW w:w="853" w:type="pct"/>
          </w:tcPr>
          <w:p w14:paraId="3AB79B37" w14:textId="77777777" w:rsidR="004B5130" w:rsidRPr="0040357C" w:rsidRDefault="004B5130" w:rsidP="005C6D96">
            <w:pPr>
              <w:pStyle w:val="Tabletext"/>
              <w:keepNext/>
              <w:rPr>
                <w:rFonts w:eastAsia="Times New Roman"/>
              </w:rPr>
            </w:pPr>
            <w:r w:rsidRPr="0040357C">
              <w:t>9 (7.0)</w:t>
            </w:r>
          </w:p>
        </w:tc>
        <w:tc>
          <w:tcPr>
            <w:tcW w:w="856" w:type="pct"/>
          </w:tcPr>
          <w:p w14:paraId="30CA4EC5" w14:textId="77777777" w:rsidR="004B5130" w:rsidRPr="0040357C" w:rsidRDefault="004B5130" w:rsidP="005C6D96">
            <w:pPr>
              <w:pStyle w:val="Tabletext"/>
              <w:keepNext/>
              <w:rPr>
                <w:rFonts w:eastAsia="Times New Roman"/>
              </w:rPr>
            </w:pPr>
            <w:r w:rsidRPr="0040357C">
              <w:t>10 (7.8)</w:t>
            </w:r>
          </w:p>
        </w:tc>
      </w:tr>
      <w:tr w:rsidR="004B5130" w:rsidRPr="0040357C" w14:paraId="3C9D9651" w14:textId="77777777" w:rsidTr="00D2506A">
        <w:tc>
          <w:tcPr>
            <w:tcW w:w="1583" w:type="pct"/>
          </w:tcPr>
          <w:p w14:paraId="1D0B8ADB" w14:textId="77777777" w:rsidR="004B5130" w:rsidRPr="0040357C" w:rsidRDefault="004B5130" w:rsidP="005C6D96">
            <w:pPr>
              <w:pStyle w:val="Tabletext"/>
              <w:keepNext/>
              <w:ind w:left="174"/>
              <w:rPr>
                <w:rFonts w:eastAsia="Times New Roman"/>
              </w:rPr>
            </w:pPr>
            <w:r w:rsidRPr="0040357C">
              <w:t>Palpitations</w:t>
            </w:r>
          </w:p>
        </w:tc>
        <w:tc>
          <w:tcPr>
            <w:tcW w:w="853" w:type="pct"/>
          </w:tcPr>
          <w:p w14:paraId="5EDABC9D" w14:textId="77777777" w:rsidR="004B5130" w:rsidRPr="0040357C" w:rsidRDefault="004B5130" w:rsidP="005C6D96">
            <w:pPr>
              <w:pStyle w:val="Tabletext"/>
              <w:keepNext/>
              <w:rPr>
                <w:rFonts w:eastAsia="Times New Roman"/>
              </w:rPr>
            </w:pPr>
            <w:r w:rsidRPr="0040357C">
              <w:t>7 (5.7)</w:t>
            </w:r>
          </w:p>
        </w:tc>
        <w:tc>
          <w:tcPr>
            <w:tcW w:w="855" w:type="pct"/>
          </w:tcPr>
          <w:p w14:paraId="0882B0B3" w14:textId="77777777" w:rsidR="004B5130" w:rsidRPr="0040357C" w:rsidRDefault="004B5130" w:rsidP="005C6D96">
            <w:pPr>
              <w:pStyle w:val="Tabletext"/>
              <w:keepNext/>
              <w:rPr>
                <w:rFonts w:eastAsia="Times New Roman"/>
              </w:rPr>
            </w:pPr>
            <w:r w:rsidRPr="0040357C">
              <w:t>7 (5.7)</w:t>
            </w:r>
          </w:p>
        </w:tc>
        <w:tc>
          <w:tcPr>
            <w:tcW w:w="853" w:type="pct"/>
          </w:tcPr>
          <w:p w14:paraId="18C17874" w14:textId="77777777" w:rsidR="004B5130" w:rsidRPr="0040357C" w:rsidRDefault="004B5130" w:rsidP="005C6D96">
            <w:pPr>
              <w:pStyle w:val="Tabletext"/>
              <w:keepNext/>
              <w:rPr>
                <w:rFonts w:eastAsia="Times New Roman"/>
              </w:rPr>
            </w:pPr>
            <w:r w:rsidRPr="0040357C">
              <w:t>9 (7.0)</w:t>
            </w:r>
          </w:p>
        </w:tc>
        <w:tc>
          <w:tcPr>
            <w:tcW w:w="856" w:type="pct"/>
          </w:tcPr>
          <w:p w14:paraId="5136C12C" w14:textId="77777777" w:rsidR="004B5130" w:rsidRPr="0040357C" w:rsidRDefault="004B5130" w:rsidP="005C6D96">
            <w:pPr>
              <w:pStyle w:val="Tabletext"/>
              <w:keepNext/>
              <w:rPr>
                <w:rFonts w:eastAsia="Times New Roman"/>
              </w:rPr>
            </w:pPr>
            <w:r w:rsidRPr="0040357C">
              <w:t>10 (7.8)</w:t>
            </w:r>
          </w:p>
        </w:tc>
      </w:tr>
      <w:tr w:rsidR="004B5130" w:rsidRPr="0040357C" w14:paraId="0A6DC497" w14:textId="77777777" w:rsidTr="00D2506A">
        <w:tc>
          <w:tcPr>
            <w:tcW w:w="1583" w:type="pct"/>
          </w:tcPr>
          <w:p w14:paraId="049C7965" w14:textId="77777777" w:rsidR="004B5130" w:rsidRPr="0040357C" w:rsidRDefault="004B5130" w:rsidP="005C6D96">
            <w:pPr>
              <w:pStyle w:val="Tabletext"/>
              <w:keepNext/>
              <w:ind w:left="174"/>
              <w:rPr>
                <w:rFonts w:eastAsia="Times New Roman"/>
              </w:rPr>
            </w:pPr>
            <w:r w:rsidRPr="0040357C">
              <w:t>Angina pectoris</w:t>
            </w:r>
          </w:p>
        </w:tc>
        <w:tc>
          <w:tcPr>
            <w:tcW w:w="853" w:type="pct"/>
          </w:tcPr>
          <w:p w14:paraId="01E9D49D" w14:textId="77777777" w:rsidR="004B5130" w:rsidRPr="0040357C" w:rsidRDefault="004B5130" w:rsidP="005C6D96">
            <w:pPr>
              <w:pStyle w:val="Tabletext"/>
              <w:keepNext/>
              <w:rPr>
                <w:rFonts w:eastAsia="Times New Roman"/>
              </w:rPr>
            </w:pPr>
            <w:r w:rsidRPr="0040357C">
              <w:t>1 (0.8)</w:t>
            </w:r>
          </w:p>
        </w:tc>
        <w:tc>
          <w:tcPr>
            <w:tcW w:w="855" w:type="pct"/>
          </w:tcPr>
          <w:p w14:paraId="028E3200" w14:textId="77777777" w:rsidR="004B5130" w:rsidRPr="0040357C" w:rsidRDefault="004B5130" w:rsidP="005C6D96">
            <w:pPr>
              <w:pStyle w:val="Tabletext"/>
              <w:keepNext/>
              <w:rPr>
                <w:rFonts w:eastAsia="Times New Roman"/>
              </w:rPr>
            </w:pPr>
            <w:r w:rsidRPr="0040357C">
              <w:t>3 (2.4)</w:t>
            </w:r>
          </w:p>
        </w:tc>
        <w:tc>
          <w:tcPr>
            <w:tcW w:w="853" w:type="pct"/>
          </w:tcPr>
          <w:p w14:paraId="2420EEDD" w14:textId="77777777" w:rsidR="004B5130" w:rsidRPr="0040357C" w:rsidRDefault="004B5130" w:rsidP="005C6D96">
            <w:pPr>
              <w:pStyle w:val="Tabletext"/>
              <w:keepNext/>
              <w:rPr>
                <w:rFonts w:eastAsia="Times New Roman"/>
              </w:rPr>
            </w:pPr>
            <w:r w:rsidRPr="0040357C">
              <w:t>5 (3.9)</w:t>
            </w:r>
          </w:p>
        </w:tc>
        <w:tc>
          <w:tcPr>
            <w:tcW w:w="856" w:type="pct"/>
          </w:tcPr>
          <w:p w14:paraId="1E785BFD" w14:textId="77777777" w:rsidR="004B5130" w:rsidRPr="0040357C" w:rsidRDefault="004B5130" w:rsidP="005C6D96">
            <w:pPr>
              <w:pStyle w:val="Tabletext"/>
              <w:keepNext/>
              <w:rPr>
                <w:rFonts w:eastAsia="Times New Roman"/>
              </w:rPr>
            </w:pPr>
            <w:r w:rsidRPr="0040357C">
              <w:t>7 (5.5)</w:t>
            </w:r>
          </w:p>
        </w:tc>
      </w:tr>
      <w:tr w:rsidR="004B5130" w:rsidRPr="0040357C" w14:paraId="0B36BFCF" w14:textId="77777777" w:rsidTr="00D2506A">
        <w:tc>
          <w:tcPr>
            <w:tcW w:w="1583" w:type="pct"/>
          </w:tcPr>
          <w:p w14:paraId="301B99DE" w14:textId="77777777" w:rsidR="004B5130" w:rsidRPr="0040357C" w:rsidRDefault="004B5130" w:rsidP="005C6D96">
            <w:pPr>
              <w:pStyle w:val="Tabletext"/>
              <w:keepNext/>
            </w:pPr>
            <w:r w:rsidRPr="0040357C">
              <w:t>Gastrointestinal disorders</w:t>
            </w:r>
          </w:p>
        </w:tc>
        <w:tc>
          <w:tcPr>
            <w:tcW w:w="853" w:type="pct"/>
          </w:tcPr>
          <w:p w14:paraId="2DEA984A" w14:textId="77777777" w:rsidR="004B5130" w:rsidRPr="0040357C" w:rsidRDefault="004B5130" w:rsidP="005C6D96">
            <w:pPr>
              <w:pStyle w:val="Tabletext"/>
              <w:keepNext/>
            </w:pPr>
          </w:p>
        </w:tc>
        <w:tc>
          <w:tcPr>
            <w:tcW w:w="855" w:type="pct"/>
          </w:tcPr>
          <w:p w14:paraId="1BE12308" w14:textId="77777777" w:rsidR="004B5130" w:rsidRPr="0040357C" w:rsidRDefault="004B5130" w:rsidP="005C6D96">
            <w:pPr>
              <w:pStyle w:val="Tabletext"/>
              <w:keepNext/>
            </w:pPr>
          </w:p>
        </w:tc>
        <w:tc>
          <w:tcPr>
            <w:tcW w:w="853" w:type="pct"/>
          </w:tcPr>
          <w:p w14:paraId="27099CB6" w14:textId="77777777" w:rsidR="004B5130" w:rsidRPr="0040357C" w:rsidRDefault="004B5130" w:rsidP="005C6D96">
            <w:pPr>
              <w:pStyle w:val="Tabletext"/>
              <w:keepNext/>
            </w:pPr>
          </w:p>
        </w:tc>
        <w:tc>
          <w:tcPr>
            <w:tcW w:w="856" w:type="pct"/>
          </w:tcPr>
          <w:p w14:paraId="36CDAB70" w14:textId="77777777" w:rsidR="004B5130" w:rsidRPr="0040357C" w:rsidRDefault="004B5130" w:rsidP="005C6D96">
            <w:pPr>
              <w:pStyle w:val="Tabletext"/>
              <w:keepNext/>
            </w:pPr>
          </w:p>
        </w:tc>
      </w:tr>
      <w:tr w:rsidR="004B5130" w:rsidRPr="0040357C" w14:paraId="51AF5AE0" w14:textId="77777777" w:rsidTr="00D2506A">
        <w:tc>
          <w:tcPr>
            <w:tcW w:w="1583" w:type="pct"/>
          </w:tcPr>
          <w:p w14:paraId="4E690CB0" w14:textId="77777777" w:rsidR="004B5130" w:rsidRPr="0040357C" w:rsidRDefault="004B5130" w:rsidP="005C6D96">
            <w:pPr>
              <w:pStyle w:val="Tabletext"/>
              <w:keepNext/>
              <w:ind w:left="32" w:firstLine="110"/>
            </w:pPr>
            <w:r w:rsidRPr="0040357C">
              <w:t>Diarrhoea</w:t>
            </w:r>
          </w:p>
        </w:tc>
        <w:tc>
          <w:tcPr>
            <w:tcW w:w="853" w:type="pct"/>
          </w:tcPr>
          <w:p w14:paraId="2F18A763" w14:textId="77777777" w:rsidR="004B5130" w:rsidRPr="0040357C" w:rsidRDefault="004B5130" w:rsidP="005C6D96">
            <w:pPr>
              <w:pStyle w:val="Tabletext"/>
              <w:keepNext/>
              <w:rPr>
                <w:rFonts w:eastAsia="Times New Roman"/>
              </w:rPr>
            </w:pPr>
            <w:r w:rsidRPr="0040357C">
              <w:t>4 (3.3)</w:t>
            </w:r>
          </w:p>
        </w:tc>
        <w:tc>
          <w:tcPr>
            <w:tcW w:w="855" w:type="pct"/>
          </w:tcPr>
          <w:p w14:paraId="5FDA4692" w14:textId="77777777" w:rsidR="004B5130" w:rsidRPr="0040357C" w:rsidRDefault="004B5130" w:rsidP="005C6D96">
            <w:pPr>
              <w:pStyle w:val="Tabletext"/>
              <w:keepNext/>
              <w:rPr>
                <w:rFonts w:eastAsia="Times New Roman"/>
              </w:rPr>
            </w:pPr>
            <w:r w:rsidRPr="0040357C">
              <w:t>5 (4.1)</w:t>
            </w:r>
          </w:p>
        </w:tc>
        <w:tc>
          <w:tcPr>
            <w:tcW w:w="853" w:type="pct"/>
          </w:tcPr>
          <w:p w14:paraId="53D2456D" w14:textId="77777777" w:rsidR="004B5130" w:rsidRPr="0040357C" w:rsidRDefault="004B5130" w:rsidP="005C6D96">
            <w:pPr>
              <w:pStyle w:val="Tabletext"/>
              <w:keepNext/>
              <w:rPr>
                <w:rFonts w:eastAsia="Times New Roman"/>
              </w:rPr>
            </w:pPr>
            <w:r w:rsidRPr="0040357C">
              <w:t>6 (4.7)</w:t>
            </w:r>
          </w:p>
        </w:tc>
        <w:tc>
          <w:tcPr>
            <w:tcW w:w="856" w:type="pct"/>
          </w:tcPr>
          <w:p w14:paraId="44BE4023" w14:textId="77777777" w:rsidR="004B5130" w:rsidRPr="0040357C" w:rsidRDefault="004B5130" w:rsidP="005C6D96">
            <w:pPr>
              <w:pStyle w:val="Tabletext"/>
              <w:keepNext/>
              <w:rPr>
                <w:rFonts w:eastAsia="Times New Roman"/>
              </w:rPr>
            </w:pPr>
            <w:r w:rsidRPr="0040357C">
              <w:t>7 (5.5)</w:t>
            </w:r>
          </w:p>
        </w:tc>
      </w:tr>
      <w:tr w:rsidR="004B5130" w:rsidRPr="0040357C" w14:paraId="2F3512A5" w14:textId="77777777" w:rsidTr="00D2506A">
        <w:tc>
          <w:tcPr>
            <w:tcW w:w="1583" w:type="pct"/>
          </w:tcPr>
          <w:p w14:paraId="4F3E2D40" w14:textId="77777777" w:rsidR="004B5130" w:rsidRPr="00EB05A5" w:rsidRDefault="004B5130" w:rsidP="005C6D96">
            <w:pPr>
              <w:pStyle w:val="Tabletext"/>
              <w:keepNext/>
              <w:ind w:left="32" w:firstLine="110"/>
            </w:pPr>
            <w:r w:rsidRPr="00EB05A5">
              <w:t>Gastroesophageal reflux disease</w:t>
            </w:r>
          </w:p>
        </w:tc>
        <w:tc>
          <w:tcPr>
            <w:tcW w:w="853" w:type="pct"/>
          </w:tcPr>
          <w:p w14:paraId="1F5ABCFB" w14:textId="77777777" w:rsidR="004B5130" w:rsidRPr="00EB05A5" w:rsidRDefault="004B5130" w:rsidP="005C6D96">
            <w:pPr>
              <w:pStyle w:val="Tabletext"/>
              <w:keepNext/>
              <w:rPr>
                <w:rFonts w:eastAsia="Times New Roman"/>
                <w:b/>
              </w:rPr>
            </w:pPr>
            <w:r w:rsidRPr="00EB05A5">
              <w:rPr>
                <w:b/>
              </w:rPr>
              <w:t>6 (4.9)</w:t>
            </w:r>
          </w:p>
        </w:tc>
        <w:tc>
          <w:tcPr>
            <w:tcW w:w="855" w:type="pct"/>
          </w:tcPr>
          <w:p w14:paraId="77109CA8" w14:textId="77777777" w:rsidR="004B5130" w:rsidRPr="00EB05A5" w:rsidRDefault="004B5130" w:rsidP="005C6D96">
            <w:pPr>
              <w:pStyle w:val="Tabletext"/>
              <w:keepNext/>
              <w:rPr>
                <w:rFonts w:eastAsia="Times New Roman"/>
                <w:b/>
              </w:rPr>
            </w:pPr>
            <w:r w:rsidRPr="00EB05A5">
              <w:rPr>
                <w:b/>
              </w:rPr>
              <w:t>7 (5.7)</w:t>
            </w:r>
          </w:p>
        </w:tc>
        <w:tc>
          <w:tcPr>
            <w:tcW w:w="853" w:type="pct"/>
          </w:tcPr>
          <w:p w14:paraId="5356D111" w14:textId="77777777" w:rsidR="004B5130" w:rsidRPr="00EB05A5" w:rsidRDefault="004B5130" w:rsidP="005C6D96">
            <w:pPr>
              <w:pStyle w:val="Tabletext"/>
              <w:keepNext/>
              <w:rPr>
                <w:rFonts w:eastAsia="Times New Roman"/>
                <w:b/>
              </w:rPr>
            </w:pPr>
            <w:r w:rsidRPr="00EB05A5">
              <w:rPr>
                <w:b/>
              </w:rPr>
              <w:t>3 (2.3)</w:t>
            </w:r>
          </w:p>
        </w:tc>
        <w:tc>
          <w:tcPr>
            <w:tcW w:w="856" w:type="pct"/>
          </w:tcPr>
          <w:p w14:paraId="449F52B7" w14:textId="77777777" w:rsidR="004B5130" w:rsidRPr="00EB05A5" w:rsidRDefault="004B5130" w:rsidP="005C6D96">
            <w:pPr>
              <w:pStyle w:val="Tabletext"/>
              <w:keepNext/>
              <w:rPr>
                <w:rFonts w:eastAsia="Times New Roman"/>
                <w:b/>
              </w:rPr>
            </w:pPr>
            <w:r w:rsidRPr="00EB05A5">
              <w:rPr>
                <w:b/>
              </w:rPr>
              <w:t>3 (2.3)</w:t>
            </w:r>
          </w:p>
        </w:tc>
      </w:tr>
      <w:tr w:rsidR="004B5130" w:rsidRPr="0040357C" w14:paraId="1F61850B" w14:textId="77777777" w:rsidTr="00D2506A">
        <w:tc>
          <w:tcPr>
            <w:tcW w:w="1583" w:type="pct"/>
          </w:tcPr>
          <w:p w14:paraId="22190774" w14:textId="77777777" w:rsidR="004B5130" w:rsidRPr="0040357C" w:rsidRDefault="004B5130" w:rsidP="005C6D96">
            <w:pPr>
              <w:pStyle w:val="Tabletext"/>
              <w:keepNext/>
            </w:pPr>
            <w:r w:rsidRPr="0040357C">
              <w:t>General disorders and administration site conditions</w:t>
            </w:r>
          </w:p>
        </w:tc>
        <w:tc>
          <w:tcPr>
            <w:tcW w:w="853" w:type="pct"/>
          </w:tcPr>
          <w:p w14:paraId="353FB9DE" w14:textId="77777777" w:rsidR="004B5130" w:rsidRPr="0040357C" w:rsidRDefault="004B5130" w:rsidP="005C6D96">
            <w:pPr>
              <w:pStyle w:val="Tabletext"/>
              <w:keepNext/>
            </w:pPr>
          </w:p>
        </w:tc>
        <w:tc>
          <w:tcPr>
            <w:tcW w:w="855" w:type="pct"/>
          </w:tcPr>
          <w:p w14:paraId="68CA537C" w14:textId="77777777" w:rsidR="004B5130" w:rsidRPr="0040357C" w:rsidRDefault="004B5130" w:rsidP="005C6D96">
            <w:pPr>
              <w:pStyle w:val="Tabletext"/>
              <w:keepNext/>
            </w:pPr>
          </w:p>
        </w:tc>
        <w:tc>
          <w:tcPr>
            <w:tcW w:w="853" w:type="pct"/>
          </w:tcPr>
          <w:p w14:paraId="34F1B415" w14:textId="77777777" w:rsidR="004B5130" w:rsidRPr="0040357C" w:rsidRDefault="004B5130" w:rsidP="005C6D96">
            <w:pPr>
              <w:pStyle w:val="Tabletext"/>
              <w:keepNext/>
            </w:pPr>
          </w:p>
        </w:tc>
        <w:tc>
          <w:tcPr>
            <w:tcW w:w="856" w:type="pct"/>
          </w:tcPr>
          <w:p w14:paraId="37966305" w14:textId="77777777" w:rsidR="004B5130" w:rsidRPr="0040357C" w:rsidRDefault="004B5130" w:rsidP="005C6D96">
            <w:pPr>
              <w:pStyle w:val="Tabletext"/>
              <w:keepNext/>
            </w:pPr>
          </w:p>
        </w:tc>
      </w:tr>
      <w:tr w:rsidR="004B5130" w:rsidRPr="0040357C" w14:paraId="78795B01" w14:textId="77777777" w:rsidTr="00D2506A">
        <w:trPr>
          <w:trHeight w:val="184"/>
        </w:trPr>
        <w:tc>
          <w:tcPr>
            <w:tcW w:w="1583" w:type="pct"/>
          </w:tcPr>
          <w:p w14:paraId="7B39C2BF" w14:textId="77777777" w:rsidR="004B5130" w:rsidRPr="0040357C" w:rsidRDefault="004B5130" w:rsidP="005C6D96">
            <w:pPr>
              <w:pStyle w:val="Tabletext"/>
              <w:keepNext/>
              <w:ind w:firstLine="174"/>
              <w:rPr>
                <w:rFonts w:eastAsia="Times New Roman"/>
              </w:rPr>
            </w:pPr>
            <w:r w:rsidRPr="0040357C">
              <w:t>Fatigue</w:t>
            </w:r>
          </w:p>
        </w:tc>
        <w:tc>
          <w:tcPr>
            <w:tcW w:w="853" w:type="pct"/>
          </w:tcPr>
          <w:p w14:paraId="71F10BB9" w14:textId="77777777" w:rsidR="004B5130" w:rsidRPr="0040357C" w:rsidRDefault="004B5130" w:rsidP="005C6D96">
            <w:pPr>
              <w:pStyle w:val="Tabletext"/>
              <w:keepNext/>
              <w:rPr>
                <w:rFonts w:eastAsia="Times New Roman"/>
              </w:rPr>
            </w:pPr>
            <w:r w:rsidRPr="0040357C">
              <w:t>6 (4.9)</w:t>
            </w:r>
          </w:p>
        </w:tc>
        <w:tc>
          <w:tcPr>
            <w:tcW w:w="855" w:type="pct"/>
          </w:tcPr>
          <w:p w14:paraId="475BBF9A" w14:textId="77777777" w:rsidR="004B5130" w:rsidRPr="0040357C" w:rsidRDefault="004B5130" w:rsidP="005C6D96">
            <w:pPr>
              <w:pStyle w:val="Tabletext"/>
              <w:keepNext/>
              <w:rPr>
                <w:rFonts w:eastAsia="Times New Roman"/>
              </w:rPr>
            </w:pPr>
            <w:r w:rsidRPr="0040357C">
              <w:t>7 (5.7)</w:t>
            </w:r>
          </w:p>
        </w:tc>
        <w:tc>
          <w:tcPr>
            <w:tcW w:w="853" w:type="pct"/>
          </w:tcPr>
          <w:p w14:paraId="25D2597A" w14:textId="77777777" w:rsidR="004B5130" w:rsidRPr="0040357C" w:rsidRDefault="004B5130" w:rsidP="005C6D96">
            <w:pPr>
              <w:pStyle w:val="Tabletext"/>
              <w:keepNext/>
              <w:rPr>
                <w:rFonts w:eastAsia="Times New Roman"/>
              </w:rPr>
            </w:pPr>
            <w:r w:rsidRPr="0040357C">
              <w:t>5 (3.9)</w:t>
            </w:r>
          </w:p>
        </w:tc>
        <w:tc>
          <w:tcPr>
            <w:tcW w:w="856" w:type="pct"/>
          </w:tcPr>
          <w:p w14:paraId="11BF71B1" w14:textId="77777777" w:rsidR="004B5130" w:rsidRPr="0040357C" w:rsidRDefault="004B5130" w:rsidP="005C6D96">
            <w:pPr>
              <w:pStyle w:val="Tabletext"/>
              <w:keepNext/>
              <w:rPr>
                <w:rFonts w:eastAsia="Times New Roman"/>
              </w:rPr>
            </w:pPr>
            <w:r w:rsidRPr="0040357C">
              <w:t>7 (5.5)</w:t>
            </w:r>
          </w:p>
        </w:tc>
      </w:tr>
      <w:tr w:rsidR="004B5130" w:rsidRPr="0040357C" w14:paraId="7EFF1F29" w14:textId="77777777" w:rsidTr="00D2506A">
        <w:tc>
          <w:tcPr>
            <w:tcW w:w="1583" w:type="pct"/>
          </w:tcPr>
          <w:p w14:paraId="62A52F0C" w14:textId="77777777" w:rsidR="004B5130" w:rsidRPr="0040357C" w:rsidRDefault="004B5130" w:rsidP="005C6D96">
            <w:pPr>
              <w:pStyle w:val="Tabletext"/>
              <w:keepNext/>
            </w:pPr>
            <w:r w:rsidRPr="0040357C">
              <w:t>Infections and infestations</w:t>
            </w:r>
          </w:p>
        </w:tc>
        <w:tc>
          <w:tcPr>
            <w:tcW w:w="853" w:type="pct"/>
          </w:tcPr>
          <w:p w14:paraId="760AB899" w14:textId="77777777" w:rsidR="004B5130" w:rsidRPr="0040357C" w:rsidRDefault="004B5130" w:rsidP="005C6D96">
            <w:pPr>
              <w:pStyle w:val="Tabletext"/>
              <w:keepNext/>
            </w:pPr>
          </w:p>
        </w:tc>
        <w:tc>
          <w:tcPr>
            <w:tcW w:w="855" w:type="pct"/>
          </w:tcPr>
          <w:p w14:paraId="1458AC3D" w14:textId="77777777" w:rsidR="004B5130" w:rsidRPr="0040357C" w:rsidRDefault="004B5130" w:rsidP="005C6D96">
            <w:pPr>
              <w:pStyle w:val="Tabletext"/>
              <w:keepNext/>
            </w:pPr>
          </w:p>
        </w:tc>
        <w:tc>
          <w:tcPr>
            <w:tcW w:w="853" w:type="pct"/>
          </w:tcPr>
          <w:p w14:paraId="28D44DF1" w14:textId="77777777" w:rsidR="004B5130" w:rsidRPr="0040357C" w:rsidRDefault="004B5130" w:rsidP="005C6D96">
            <w:pPr>
              <w:pStyle w:val="Tabletext"/>
              <w:keepNext/>
            </w:pPr>
          </w:p>
        </w:tc>
        <w:tc>
          <w:tcPr>
            <w:tcW w:w="856" w:type="pct"/>
          </w:tcPr>
          <w:p w14:paraId="73BEEFB6" w14:textId="77777777" w:rsidR="004B5130" w:rsidRPr="0040357C" w:rsidRDefault="004B5130" w:rsidP="005C6D96">
            <w:pPr>
              <w:pStyle w:val="Tabletext"/>
              <w:keepNext/>
            </w:pPr>
          </w:p>
        </w:tc>
      </w:tr>
      <w:tr w:rsidR="004B5130" w:rsidRPr="0040357C" w14:paraId="2642C7BA" w14:textId="77777777" w:rsidTr="00D2506A">
        <w:tc>
          <w:tcPr>
            <w:tcW w:w="1583" w:type="pct"/>
          </w:tcPr>
          <w:p w14:paraId="1C5B6673" w14:textId="77777777" w:rsidR="004B5130" w:rsidRPr="0040357C" w:rsidRDefault="004B5130" w:rsidP="005C6D96">
            <w:pPr>
              <w:pStyle w:val="Tabletext"/>
              <w:keepNext/>
              <w:ind w:firstLine="174"/>
            </w:pPr>
            <w:r w:rsidRPr="0040357C">
              <w:t>Nasopharyngitis</w:t>
            </w:r>
          </w:p>
        </w:tc>
        <w:tc>
          <w:tcPr>
            <w:tcW w:w="853" w:type="pct"/>
          </w:tcPr>
          <w:p w14:paraId="79761BAC" w14:textId="77777777" w:rsidR="004B5130" w:rsidRPr="0040357C" w:rsidRDefault="004B5130" w:rsidP="005C6D96">
            <w:pPr>
              <w:pStyle w:val="Tabletext"/>
              <w:keepNext/>
              <w:rPr>
                <w:rFonts w:eastAsia="Times New Roman"/>
              </w:rPr>
            </w:pPr>
            <w:r w:rsidRPr="0040357C">
              <w:t>14 (11.4)</w:t>
            </w:r>
          </w:p>
        </w:tc>
        <w:tc>
          <w:tcPr>
            <w:tcW w:w="855" w:type="pct"/>
          </w:tcPr>
          <w:p w14:paraId="431083C7" w14:textId="77777777" w:rsidR="004B5130" w:rsidRPr="0040357C" w:rsidRDefault="004B5130" w:rsidP="005C6D96">
            <w:pPr>
              <w:pStyle w:val="Tabletext"/>
              <w:keepNext/>
              <w:rPr>
                <w:rFonts w:eastAsia="Times New Roman"/>
              </w:rPr>
            </w:pPr>
            <w:r w:rsidRPr="0040357C">
              <w:t>15 (12.2)</w:t>
            </w:r>
          </w:p>
        </w:tc>
        <w:tc>
          <w:tcPr>
            <w:tcW w:w="853" w:type="pct"/>
          </w:tcPr>
          <w:p w14:paraId="6B9C5184" w14:textId="77777777" w:rsidR="004B5130" w:rsidRPr="0040357C" w:rsidRDefault="004B5130" w:rsidP="005C6D96">
            <w:pPr>
              <w:pStyle w:val="Tabletext"/>
              <w:keepNext/>
              <w:rPr>
                <w:rFonts w:eastAsia="Times New Roman"/>
              </w:rPr>
            </w:pPr>
            <w:r w:rsidRPr="0040357C">
              <w:t>15 (11.7)</w:t>
            </w:r>
          </w:p>
        </w:tc>
        <w:tc>
          <w:tcPr>
            <w:tcW w:w="856" w:type="pct"/>
          </w:tcPr>
          <w:p w14:paraId="66F02831" w14:textId="77777777" w:rsidR="004B5130" w:rsidRPr="0040357C" w:rsidRDefault="004B5130" w:rsidP="005C6D96">
            <w:pPr>
              <w:pStyle w:val="Tabletext"/>
              <w:keepNext/>
              <w:rPr>
                <w:rFonts w:eastAsia="Times New Roman"/>
              </w:rPr>
            </w:pPr>
            <w:r w:rsidRPr="0040357C">
              <w:t>19 (14.8)</w:t>
            </w:r>
          </w:p>
        </w:tc>
      </w:tr>
      <w:tr w:rsidR="004B5130" w:rsidRPr="0040357C" w14:paraId="27E9D694" w14:textId="77777777" w:rsidTr="00D2506A">
        <w:tc>
          <w:tcPr>
            <w:tcW w:w="1583" w:type="pct"/>
          </w:tcPr>
          <w:p w14:paraId="6AF501EF" w14:textId="77777777" w:rsidR="004B5130" w:rsidRPr="0040357C" w:rsidRDefault="004B5130" w:rsidP="005C6D96">
            <w:pPr>
              <w:pStyle w:val="Tabletext"/>
              <w:keepNext/>
              <w:ind w:firstLine="174"/>
            </w:pPr>
            <w:r w:rsidRPr="0040357C">
              <w:t>Upper respiratory tract infection</w:t>
            </w:r>
          </w:p>
        </w:tc>
        <w:tc>
          <w:tcPr>
            <w:tcW w:w="853" w:type="pct"/>
          </w:tcPr>
          <w:p w14:paraId="54582615" w14:textId="77777777" w:rsidR="004B5130" w:rsidRPr="00EB05A5" w:rsidRDefault="004B5130" w:rsidP="005C6D96">
            <w:pPr>
              <w:pStyle w:val="Tabletext"/>
              <w:keepNext/>
              <w:rPr>
                <w:b/>
              </w:rPr>
            </w:pPr>
            <w:r w:rsidRPr="00EB05A5">
              <w:rPr>
                <w:b/>
              </w:rPr>
              <w:t>10 (8.1)</w:t>
            </w:r>
          </w:p>
        </w:tc>
        <w:tc>
          <w:tcPr>
            <w:tcW w:w="855" w:type="pct"/>
          </w:tcPr>
          <w:p w14:paraId="54B9E1FF" w14:textId="77777777" w:rsidR="004B5130" w:rsidRPr="00EB05A5" w:rsidRDefault="004B5130" w:rsidP="005C6D96">
            <w:pPr>
              <w:pStyle w:val="Tabletext"/>
              <w:keepNext/>
              <w:rPr>
                <w:b/>
              </w:rPr>
            </w:pPr>
            <w:r w:rsidRPr="00EB05A5">
              <w:rPr>
                <w:b/>
              </w:rPr>
              <w:t>10 (8.1)</w:t>
            </w:r>
          </w:p>
        </w:tc>
        <w:tc>
          <w:tcPr>
            <w:tcW w:w="853" w:type="pct"/>
          </w:tcPr>
          <w:p w14:paraId="7A1FE2D4" w14:textId="77777777" w:rsidR="004B5130" w:rsidRPr="00EB05A5" w:rsidRDefault="004B5130" w:rsidP="005C6D96">
            <w:pPr>
              <w:pStyle w:val="Tabletext"/>
              <w:keepNext/>
              <w:rPr>
                <w:b/>
              </w:rPr>
            </w:pPr>
            <w:r w:rsidRPr="00EB05A5">
              <w:rPr>
                <w:b/>
              </w:rPr>
              <w:t>6 (4.7)</w:t>
            </w:r>
          </w:p>
        </w:tc>
        <w:tc>
          <w:tcPr>
            <w:tcW w:w="856" w:type="pct"/>
          </w:tcPr>
          <w:p w14:paraId="344DCE23" w14:textId="77777777" w:rsidR="004B5130" w:rsidRPr="00EB05A5" w:rsidRDefault="004B5130" w:rsidP="005C6D96">
            <w:pPr>
              <w:pStyle w:val="Tabletext"/>
              <w:keepNext/>
              <w:rPr>
                <w:b/>
              </w:rPr>
            </w:pPr>
            <w:r w:rsidRPr="00EB05A5">
              <w:rPr>
                <w:b/>
              </w:rPr>
              <w:t>6 (4.7)</w:t>
            </w:r>
          </w:p>
        </w:tc>
      </w:tr>
      <w:tr w:rsidR="004B5130" w:rsidRPr="0040357C" w14:paraId="615482D6" w14:textId="77777777" w:rsidTr="00D2506A">
        <w:tc>
          <w:tcPr>
            <w:tcW w:w="1583" w:type="pct"/>
          </w:tcPr>
          <w:p w14:paraId="50D9B8A4" w14:textId="77777777" w:rsidR="004B5130" w:rsidRPr="0040357C" w:rsidRDefault="004B5130" w:rsidP="005C6D96">
            <w:pPr>
              <w:pStyle w:val="Tabletext"/>
              <w:keepNext/>
              <w:rPr>
                <w:rFonts w:eastAsia="Times New Roman"/>
              </w:rPr>
            </w:pPr>
            <w:r w:rsidRPr="0040357C">
              <w:t>Musculoskeletal and connective tissue disorders</w:t>
            </w:r>
          </w:p>
        </w:tc>
        <w:tc>
          <w:tcPr>
            <w:tcW w:w="853" w:type="pct"/>
          </w:tcPr>
          <w:p w14:paraId="4B8D535A" w14:textId="77777777" w:rsidR="004B5130" w:rsidRPr="0040357C" w:rsidRDefault="004B5130" w:rsidP="005C6D96">
            <w:pPr>
              <w:pStyle w:val="Tabletext"/>
              <w:keepNext/>
              <w:rPr>
                <w:rFonts w:eastAsia="Times New Roman"/>
              </w:rPr>
            </w:pPr>
          </w:p>
        </w:tc>
        <w:tc>
          <w:tcPr>
            <w:tcW w:w="855" w:type="pct"/>
          </w:tcPr>
          <w:p w14:paraId="07C3937E" w14:textId="77777777" w:rsidR="004B5130" w:rsidRPr="0040357C" w:rsidRDefault="004B5130" w:rsidP="005C6D96">
            <w:pPr>
              <w:pStyle w:val="Tabletext"/>
              <w:keepNext/>
              <w:rPr>
                <w:rFonts w:eastAsia="Times New Roman"/>
              </w:rPr>
            </w:pPr>
          </w:p>
        </w:tc>
        <w:tc>
          <w:tcPr>
            <w:tcW w:w="853" w:type="pct"/>
          </w:tcPr>
          <w:p w14:paraId="74FDFC8C" w14:textId="77777777" w:rsidR="004B5130" w:rsidRPr="0040357C" w:rsidRDefault="004B5130" w:rsidP="005C6D96">
            <w:pPr>
              <w:pStyle w:val="Tabletext"/>
              <w:keepNext/>
              <w:rPr>
                <w:rFonts w:eastAsia="Times New Roman"/>
              </w:rPr>
            </w:pPr>
          </w:p>
        </w:tc>
        <w:tc>
          <w:tcPr>
            <w:tcW w:w="856" w:type="pct"/>
          </w:tcPr>
          <w:p w14:paraId="4ECE7467" w14:textId="77777777" w:rsidR="004B5130" w:rsidRPr="0040357C" w:rsidRDefault="004B5130" w:rsidP="005C6D96">
            <w:pPr>
              <w:pStyle w:val="Tabletext"/>
              <w:keepNext/>
              <w:rPr>
                <w:rFonts w:eastAsia="Times New Roman"/>
              </w:rPr>
            </w:pPr>
          </w:p>
        </w:tc>
      </w:tr>
      <w:tr w:rsidR="004B5130" w:rsidRPr="0040357C" w14:paraId="4530E6A6" w14:textId="77777777" w:rsidTr="00D2506A">
        <w:tc>
          <w:tcPr>
            <w:tcW w:w="1583" w:type="pct"/>
          </w:tcPr>
          <w:p w14:paraId="022C2968" w14:textId="77777777" w:rsidR="004B5130" w:rsidRPr="0040357C" w:rsidRDefault="004B5130" w:rsidP="005C6D96">
            <w:pPr>
              <w:pStyle w:val="Tabletext"/>
              <w:keepNext/>
              <w:ind w:firstLine="174"/>
            </w:pPr>
            <w:r w:rsidRPr="0040357C">
              <w:t>Back pain</w:t>
            </w:r>
          </w:p>
        </w:tc>
        <w:tc>
          <w:tcPr>
            <w:tcW w:w="853" w:type="pct"/>
          </w:tcPr>
          <w:p w14:paraId="733D3034" w14:textId="77777777" w:rsidR="004B5130" w:rsidRPr="0040357C" w:rsidRDefault="004B5130" w:rsidP="005C6D96">
            <w:pPr>
              <w:pStyle w:val="Tabletext"/>
              <w:keepNext/>
            </w:pPr>
            <w:r w:rsidRPr="0040357C">
              <w:t>9 (7.3)</w:t>
            </w:r>
          </w:p>
        </w:tc>
        <w:tc>
          <w:tcPr>
            <w:tcW w:w="855" w:type="pct"/>
          </w:tcPr>
          <w:p w14:paraId="0D6F284B" w14:textId="77777777" w:rsidR="004B5130" w:rsidRPr="0040357C" w:rsidRDefault="004B5130" w:rsidP="005C6D96">
            <w:pPr>
              <w:pStyle w:val="Tabletext"/>
              <w:keepNext/>
            </w:pPr>
            <w:r w:rsidRPr="0040357C">
              <w:t>10 (8.1)</w:t>
            </w:r>
          </w:p>
        </w:tc>
        <w:tc>
          <w:tcPr>
            <w:tcW w:w="853" w:type="pct"/>
          </w:tcPr>
          <w:p w14:paraId="7C6970ED" w14:textId="77777777" w:rsidR="004B5130" w:rsidRPr="0040357C" w:rsidRDefault="004B5130" w:rsidP="005C6D96">
            <w:pPr>
              <w:pStyle w:val="Tabletext"/>
              <w:keepNext/>
            </w:pPr>
            <w:r w:rsidRPr="0040357C">
              <w:t>7 (5.5)</w:t>
            </w:r>
          </w:p>
        </w:tc>
        <w:tc>
          <w:tcPr>
            <w:tcW w:w="856" w:type="pct"/>
          </w:tcPr>
          <w:p w14:paraId="741E3053" w14:textId="77777777" w:rsidR="004B5130" w:rsidRPr="0040357C" w:rsidRDefault="004B5130" w:rsidP="005C6D96">
            <w:pPr>
              <w:pStyle w:val="Tabletext"/>
              <w:keepNext/>
            </w:pPr>
            <w:r w:rsidRPr="0040357C">
              <w:t>8 (6.3)</w:t>
            </w:r>
          </w:p>
        </w:tc>
      </w:tr>
      <w:tr w:rsidR="004B5130" w:rsidRPr="0040357C" w14:paraId="64001391" w14:textId="77777777" w:rsidTr="00D2506A">
        <w:tc>
          <w:tcPr>
            <w:tcW w:w="1583" w:type="pct"/>
          </w:tcPr>
          <w:p w14:paraId="000D49F2" w14:textId="77777777" w:rsidR="004B5130" w:rsidRPr="0040357C" w:rsidRDefault="004B5130" w:rsidP="005C6D96">
            <w:pPr>
              <w:pStyle w:val="Tabletext"/>
              <w:keepNext/>
              <w:ind w:firstLine="174"/>
            </w:pPr>
            <w:r w:rsidRPr="0040357C">
              <w:t>Arthralgia</w:t>
            </w:r>
          </w:p>
        </w:tc>
        <w:tc>
          <w:tcPr>
            <w:tcW w:w="853" w:type="pct"/>
          </w:tcPr>
          <w:p w14:paraId="18DA8203" w14:textId="77777777" w:rsidR="004B5130" w:rsidRPr="00EB05A5" w:rsidRDefault="004B5130" w:rsidP="005C6D96">
            <w:pPr>
              <w:pStyle w:val="Tabletext"/>
              <w:keepNext/>
              <w:rPr>
                <w:rFonts w:eastAsia="Times New Roman"/>
                <w:b/>
              </w:rPr>
            </w:pPr>
            <w:r w:rsidRPr="00EB05A5">
              <w:rPr>
                <w:b/>
              </w:rPr>
              <w:t>5 (4.1)</w:t>
            </w:r>
          </w:p>
        </w:tc>
        <w:tc>
          <w:tcPr>
            <w:tcW w:w="855" w:type="pct"/>
          </w:tcPr>
          <w:p w14:paraId="11BA704E" w14:textId="77777777" w:rsidR="004B5130" w:rsidRPr="00EB05A5" w:rsidRDefault="004B5130" w:rsidP="005C6D96">
            <w:pPr>
              <w:pStyle w:val="Tabletext"/>
              <w:keepNext/>
              <w:rPr>
                <w:rFonts w:eastAsia="Times New Roman"/>
                <w:b/>
              </w:rPr>
            </w:pPr>
            <w:r w:rsidRPr="00EB05A5">
              <w:rPr>
                <w:b/>
              </w:rPr>
              <w:t>7 (5.7)</w:t>
            </w:r>
          </w:p>
        </w:tc>
        <w:tc>
          <w:tcPr>
            <w:tcW w:w="853" w:type="pct"/>
          </w:tcPr>
          <w:p w14:paraId="38731ED8" w14:textId="77777777" w:rsidR="004B5130" w:rsidRPr="00EB05A5" w:rsidRDefault="004B5130" w:rsidP="005C6D96">
            <w:pPr>
              <w:pStyle w:val="Tabletext"/>
              <w:keepNext/>
              <w:rPr>
                <w:rFonts w:eastAsia="Times New Roman"/>
                <w:b/>
              </w:rPr>
            </w:pPr>
            <w:r w:rsidRPr="00EB05A5">
              <w:rPr>
                <w:b/>
              </w:rPr>
              <w:t>1 (0.8)</w:t>
            </w:r>
          </w:p>
        </w:tc>
        <w:tc>
          <w:tcPr>
            <w:tcW w:w="856" w:type="pct"/>
          </w:tcPr>
          <w:p w14:paraId="33732931" w14:textId="77777777" w:rsidR="004B5130" w:rsidRPr="00EB05A5" w:rsidRDefault="004B5130" w:rsidP="005C6D96">
            <w:pPr>
              <w:pStyle w:val="Tabletext"/>
              <w:keepNext/>
              <w:rPr>
                <w:rFonts w:eastAsia="Times New Roman"/>
                <w:b/>
              </w:rPr>
            </w:pPr>
            <w:r w:rsidRPr="00EB05A5">
              <w:rPr>
                <w:b/>
              </w:rPr>
              <w:t>2 (1.6)</w:t>
            </w:r>
          </w:p>
        </w:tc>
      </w:tr>
      <w:tr w:rsidR="004B5130" w:rsidRPr="0040357C" w14:paraId="3F1BB7EE" w14:textId="77777777" w:rsidTr="00D2506A">
        <w:tc>
          <w:tcPr>
            <w:tcW w:w="1583" w:type="pct"/>
          </w:tcPr>
          <w:p w14:paraId="71FB888D" w14:textId="77777777" w:rsidR="004B5130" w:rsidRPr="0040357C" w:rsidRDefault="004B5130" w:rsidP="005C6D96">
            <w:pPr>
              <w:pStyle w:val="Tabletext"/>
              <w:keepNext/>
              <w:rPr>
                <w:rFonts w:eastAsia="Times New Roman"/>
              </w:rPr>
            </w:pPr>
            <w:r w:rsidRPr="0040357C">
              <w:t>Nervous system disorders</w:t>
            </w:r>
          </w:p>
        </w:tc>
        <w:tc>
          <w:tcPr>
            <w:tcW w:w="853" w:type="pct"/>
          </w:tcPr>
          <w:p w14:paraId="59B2721F" w14:textId="77777777" w:rsidR="004B5130" w:rsidRPr="0040357C" w:rsidRDefault="004B5130" w:rsidP="005C6D96">
            <w:pPr>
              <w:pStyle w:val="Tabletext"/>
              <w:keepNext/>
            </w:pPr>
          </w:p>
        </w:tc>
        <w:tc>
          <w:tcPr>
            <w:tcW w:w="855" w:type="pct"/>
          </w:tcPr>
          <w:p w14:paraId="2DD0F47E" w14:textId="77777777" w:rsidR="004B5130" w:rsidRPr="0040357C" w:rsidRDefault="004B5130" w:rsidP="005C6D96">
            <w:pPr>
              <w:pStyle w:val="Tabletext"/>
              <w:keepNext/>
            </w:pPr>
          </w:p>
        </w:tc>
        <w:tc>
          <w:tcPr>
            <w:tcW w:w="853" w:type="pct"/>
          </w:tcPr>
          <w:p w14:paraId="44404876" w14:textId="77777777" w:rsidR="004B5130" w:rsidRPr="0040357C" w:rsidRDefault="004B5130" w:rsidP="005C6D96">
            <w:pPr>
              <w:pStyle w:val="Tabletext"/>
              <w:keepNext/>
            </w:pPr>
          </w:p>
        </w:tc>
        <w:tc>
          <w:tcPr>
            <w:tcW w:w="856" w:type="pct"/>
          </w:tcPr>
          <w:p w14:paraId="7128A3AA" w14:textId="77777777" w:rsidR="004B5130" w:rsidRPr="0040357C" w:rsidRDefault="004B5130" w:rsidP="005C6D96">
            <w:pPr>
              <w:pStyle w:val="Tabletext"/>
              <w:keepNext/>
            </w:pPr>
          </w:p>
        </w:tc>
      </w:tr>
      <w:tr w:rsidR="004B5130" w:rsidRPr="0040357C" w14:paraId="03A6FEA3" w14:textId="77777777" w:rsidTr="00D2506A">
        <w:tc>
          <w:tcPr>
            <w:tcW w:w="1583" w:type="pct"/>
          </w:tcPr>
          <w:p w14:paraId="256BF303" w14:textId="77777777" w:rsidR="004B5130" w:rsidRPr="0040357C" w:rsidRDefault="004B5130" w:rsidP="005C6D96">
            <w:pPr>
              <w:pStyle w:val="Tabletext"/>
              <w:keepNext/>
              <w:ind w:firstLine="174"/>
            </w:pPr>
            <w:r w:rsidRPr="0040357C">
              <w:t>Dizziness</w:t>
            </w:r>
          </w:p>
        </w:tc>
        <w:tc>
          <w:tcPr>
            <w:tcW w:w="853" w:type="pct"/>
          </w:tcPr>
          <w:p w14:paraId="395693DB" w14:textId="77777777" w:rsidR="004B5130" w:rsidRPr="00EB05A5" w:rsidRDefault="004B5130" w:rsidP="005C6D96">
            <w:pPr>
              <w:pStyle w:val="Tabletext"/>
              <w:keepNext/>
              <w:rPr>
                <w:rFonts w:eastAsia="Times New Roman"/>
                <w:b/>
              </w:rPr>
            </w:pPr>
            <w:r w:rsidRPr="00EB05A5">
              <w:rPr>
                <w:b/>
              </w:rPr>
              <w:t>21 (17.1)</w:t>
            </w:r>
          </w:p>
        </w:tc>
        <w:tc>
          <w:tcPr>
            <w:tcW w:w="855" w:type="pct"/>
          </w:tcPr>
          <w:p w14:paraId="49730343" w14:textId="77777777" w:rsidR="004B5130" w:rsidRPr="00EB05A5" w:rsidRDefault="004B5130" w:rsidP="005C6D96">
            <w:pPr>
              <w:pStyle w:val="Tabletext"/>
              <w:keepNext/>
              <w:rPr>
                <w:rFonts w:eastAsia="Times New Roman"/>
                <w:b/>
              </w:rPr>
            </w:pPr>
            <w:r w:rsidRPr="00EB05A5">
              <w:rPr>
                <w:b/>
              </w:rPr>
              <w:t>26 (21.1)</w:t>
            </w:r>
          </w:p>
        </w:tc>
        <w:tc>
          <w:tcPr>
            <w:tcW w:w="853" w:type="pct"/>
          </w:tcPr>
          <w:p w14:paraId="5C50FED9" w14:textId="77777777" w:rsidR="004B5130" w:rsidRPr="00EB05A5" w:rsidRDefault="004B5130" w:rsidP="005C6D96">
            <w:pPr>
              <w:pStyle w:val="Tabletext"/>
              <w:keepNext/>
              <w:rPr>
                <w:rFonts w:eastAsia="Times New Roman"/>
                <w:b/>
              </w:rPr>
            </w:pPr>
            <w:r w:rsidRPr="00EB05A5">
              <w:rPr>
                <w:b/>
              </w:rPr>
              <w:t>15 (11.7)</w:t>
            </w:r>
          </w:p>
        </w:tc>
        <w:tc>
          <w:tcPr>
            <w:tcW w:w="856" w:type="pct"/>
          </w:tcPr>
          <w:p w14:paraId="2A4DBF0C" w14:textId="77777777" w:rsidR="004B5130" w:rsidRPr="00EB05A5" w:rsidRDefault="004B5130" w:rsidP="005C6D96">
            <w:pPr>
              <w:pStyle w:val="Tabletext"/>
              <w:keepNext/>
              <w:rPr>
                <w:rFonts w:eastAsia="Times New Roman"/>
                <w:b/>
              </w:rPr>
            </w:pPr>
            <w:r w:rsidRPr="00EB05A5">
              <w:rPr>
                <w:b/>
              </w:rPr>
              <w:t>17 (13.3)</w:t>
            </w:r>
          </w:p>
        </w:tc>
      </w:tr>
      <w:tr w:rsidR="004B5130" w:rsidRPr="0040357C" w14:paraId="5FAD8872" w14:textId="77777777" w:rsidTr="00D2506A">
        <w:tc>
          <w:tcPr>
            <w:tcW w:w="1583" w:type="pct"/>
          </w:tcPr>
          <w:p w14:paraId="38836D6F" w14:textId="77777777" w:rsidR="004B5130" w:rsidRPr="0040357C" w:rsidRDefault="004B5130" w:rsidP="005C6D96">
            <w:pPr>
              <w:pStyle w:val="Tabletext"/>
              <w:keepNext/>
              <w:ind w:firstLine="174"/>
            </w:pPr>
            <w:r w:rsidRPr="0040357C">
              <w:t>Headache</w:t>
            </w:r>
          </w:p>
        </w:tc>
        <w:tc>
          <w:tcPr>
            <w:tcW w:w="853" w:type="pct"/>
          </w:tcPr>
          <w:p w14:paraId="250A1A56" w14:textId="77777777" w:rsidR="004B5130" w:rsidRPr="0040357C" w:rsidRDefault="004B5130" w:rsidP="005C6D96">
            <w:pPr>
              <w:pStyle w:val="Tabletext"/>
              <w:keepNext/>
            </w:pPr>
            <w:r w:rsidRPr="0040357C">
              <w:t>14 (11.4)</w:t>
            </w:r>
          </w:p>
        </w:tc>
        <w:tc>
          <w:tcPr>
            <w:tcW w:w="855" w:type="pct"/>
          </w:tcPr>
          <w:p w14:paraId="0FA11502" w14:textId="77777777" w:rsidR="004B5130" w:rsidRPr="0040357C" w:rsidRDefault="004B5130" w:rsidP="005C6D96">
            <w:pPr>
              <w:pStyle w:val="Tabletext"/>
              <w:keepNext/>
            </w:pPr>
            <w:r w:rsidRPr="0040357C">
              <w:t>15 (12.2)</w:t>
            </w:r>
          </w:p>
        </w:tc>
        <w:tc>
          <w:tcPr>
            <w:tcW w:w="853" w:type="pct"/>
          </w:tcPr>
          <w:p w14:paraId="31AFB74F" w14:textId="77777777" w:rsidR="004B5130" w:rsidRPr="0040357C" w:rsidRDefault="004B5130" w:rsidP="005C6D96">
            <w:pPr>
              <w:pStyle w:val="Tabletext"/>
              <w:keepNext/>
            </w:pPr>
            <w:r w:rsidRPr="0040357C">
              <w:t>10 (7.8)</w:t>
            </w:r>
          </w:p>
        </w:tc>
        <w:tc>
          <w:tcPr>
            <w:tcW w:w="856" w:type="pct"/>
          </w:tcPr>
          <w:p w14:paraId="3D181369" w14:textId="77777777" w:rsidR="004B5130" w:rsidRPr="0040357C" w:rsidRDefault="004B5130" w:rsidP="005C6D96">
            <w:pPr>
              <w:pStyle w:val="Tabletext"/>
              <w:keepNext/>
            </w:pPr>
            <w:r w:rsidRPr="0040357C">
              <w:t>10 (7.8)</w:t>
            </w:r>
          </w:p>
        </w:tc>
      </w:tr>
      <w:tr w:rsidR="004B5130" w:rsidRPr="0040357C" w14:paraId="47A3D47D" w14:textId="77777777" w:rsidTr="00D2506A">
        <w:trPr>
          <w:trHeight w:val="100"/>
        </w:trPr>
        <w:tc>
          <w:tcPr>
            <w:tcW w:w="1583" w:type="pct"/>
          </w:tcPr>
          <w:p w14:paraId="1F586D6F" w14:textId="77777777" w:rsidR="004B5130" w:rsidRPr="0040357C" w:rsidRDefault="004B5130" w:rsidP="005C6D96">
            <w:pPr>
              <w:pStyle w:val="Tabletext"/>
              <w:keepNext/>
              <w:ind w:firstLine="174"/>
            </w:pPr>
            <w:r w:rsidRPr="0040357C">
              <w:t>Syncope</w:t>
            </w:r>
          </w:p>
        </w:tc>
        <w:tc>
          <w:tcPr>
            <w:tcW w:w="853" w:type="pct"/>
          </w:tcPr>
          <w:p w14:paraId="1E6B0402" w14:textId="77777777" w:rsidR="004B5130" w:rsidRPr="00EB05A5" w:rsidRDefault="004B5130" w:rsidP="005C6D96">
            <w:pPr>
              <w:pStyle w:val="Tabletext"/>
              <w:keepNext/>
              <w:rPr>
                <w:rFonts w:eastAsia="Times New Roman"/>
                <w:b/>
              </w:rPr>
            </w:pPr>
            <w:r w:rsidRPr="00EB05A5">
              <w:rPr>
                <w:b/>
              </w:rPr>
              <w:t>4 (3.3)</w:t>
            </w:r>
          </w:p>
        </w:tc>
        <w:tc>
          <w:tcPr>
            <w:tcW w:w="855" w:type="pct"/>
          </w:tcPr>
          <w:p w14:paraId="0A857B8D" w14:textId="77777777" w:rsidR="004B5130" w:rsidRPr="00EB05A5" w:rsidRDefault="004B5130" w:rsidP="005C6D96">
            <w:pPr>
              <w:pStyle w:val="Tabletext"/>
              <w:keepNext/>
              <w:rPr>
                <w:rFonts w:eastAsia="Times New Roman"/>
                <w:b/>
              </w:rPr>
            </w:pPr>
            <w:r w:rsidRPr="00EB05A5">
              <w:rPr>
                <w:b/>
              </w:rPr>
              <w:t>7 (5.7)</w:t>
            </w:r>
          </w:p>
        </w:tc>
        <w:tc>
          <w:tcPr>
            <w:tcW w:w="853" w:type="pct"/>
          </w:tcPr>
          <w:p w14:paraId="3DE173E4" w14:textId="77777777" w:rsidR="004B5130" w:rsidRPr="00EB05A5" w:rsidRDefault="004B5130" w:rsidP="005C6D96">
            <w:pPr>
              <w:pStyle w:val="Tabletext"/>
              <w:keepNext/>
              <w:rPr>
                <w:rFonts w:eastAsia="Times New Roman"/>
                <w:b/>
              </w:rPr>
            </w:pPr>
            <w:r w:rsidRPr="00EB05A5">
              <w:rPr>
                <w:b/>
              </w:rPr>
              <w:t>2 (1.6)</w:t>
            </w:r>
          </w:p>
        </w:tc>
        <w:tc>
          <w:tcPr>
            <w:tcW w:w="856" w:type="pct"/>
          </w:tcPr>
          <w:p w14:paraId="0D27B6FE" w14:textId="77777777" w:rsidR="004B5130" w:rsidRPr="00EB05A5" w:rsidRDefault="004B5130" w:rsidP="005C6D96">
            <w:pPr>
              <w:pStyle w:val="Tabletext"/>
              <w:keepNext/>
              <w:rPr>
                <w:rFonts w:eastAsia="Times New Roman"/>
                <w:b/>
              </w:rPr>
            </w:pPr>
            <w:r w:rsidRPr="00EB05A5">
              <w:rPr>
                <w:b/>
              </w:rPr>
              <w:t>2 (1.6)</w:t>
            </w:r>
          </w:p>
        </w:tc>
      </w:tr>
      <w:tr w:rsidR="004B5130" w:rsidRPr="0040357C" w14:paraId="0519B0F5" w14:textId="77777777" w:rsidTr="00D2506A">
        <w:tc>
          <w:tcPr>
            <w:tcW w:w="1583" w:type="pct"/>
          </w:tcPr>
          <w:p w14:paraId="731B8B4F" w14:textId="77777777" w:rsidR="004B5130" w:rsidRPr="0040357C" w:rsidRDefault="004B5130" w:rsidP="005C6D96">
            <w:pPr>
              <w:pStyle w:val="Tabletext"/>
              <w:keepNext/>
              <w:rPr>
                <w:rFonts w:eastAsia="Times New Roman"/>
              </w:rPr>
            </w:pPr>
            <w:r w:rsidRPr="0040357C">
              <w:t>Respiratory, thoracic and mediastinal disorders</w:t>
            </w:r>
          </w:p>
        </w:tc>
        <w:tc>
          <w:tcPr>
            <w:tcW w:w="853" w:type="pct"/>
          </w:tcPr>
          <w:p w14:paraId="02BC55FB" w14:textId="77777777" w:rsidR="004B5130" w:rsidRPr="0040357C" w:rsidRDefault="004B5130" w:rsidP="005C6D96">
            <w:pPr>
              <w:pStyle w:val="Tabletext"/>
              <w:keepNext/>
              <w:rPr>
                <w:rFonts w:eastAsia="Times New Roman"/>
              </w:rPr>
            </w:pPr>
          </w:p>
        </w:tc>
        <w:tc>
          <w:tcPr>
            <w:tcW w:w="855" w:type="pct"/>
          </w:tcPr>
          <w:p w14:paraId="0E3B3077" w14:textId="77777777" w:rsidR="004B5130" w:rsidRPr="0040357C" w:rsidRDefault="004B5130" w:rsidP="005C6D96">
            <w:pPr>
              <w:pStyle w:val="Tabletext"/>
              <w:keepNext/>
              <w:rPr>
                <w:rFonts w:eastAsia="Times New Roman"/>
              </w:rPr>
            </w:pPr>
          </w:p>
        </w:tc>
        <w:tc>
          <w:tcPr>
            <w:tcW w:w="853" w:type="pct"/>
          </w:tcPr>
          <w:p w14:paraId="0FBEF424" w14:textId="77777777" w:rsidR="004B5130" w:rsidRPr="0040357C" w:rsidRDefault="004B5130" w:rsidP="005C6D96">
            <w:pPr>
              <w:pStyle w:val="Tabletext"/>
              <w:keepNext/>
              <w:rPr>
                <w:rFonts w:eastAsia="Times New Roman"/>
              </w:rPr>
            </w:pPr>
          </w:p>
        </w:tc>
        <w:tc>
          <w:tcPr>
            <w:tcW w:w="856" w:type="pct"/>
          </w:tcPr>
          <w:p w14:paraId="2BA8C852" w14:textId="77777777" w:rsidR="004B5130" w:rsidRPr="0040357C" w:rsidRDefault="004B5130" w:rsidP="005C6D96">
            <w:pPr>
              <w:pStyle w:val="Tabletext"/>
              <w:keepNext/>
              <w:rPr>
                <w:rFonts w:eastAsia="Times New Roman"/>
              </w:rPr>
            </w:pPr>
          </w:p>
        </w:tc>
      </w:tr>
      <w:tr w:rsidR="004B5130" w:rsidRPr="0040357C" w14:paraId="0E9483FC" w14:textId="77777777" w:rsidTr="00D2506A">
        <w:trPr>
          <w:trHeight w:val="345"/>
        </w:trPr>
        <w:tc>
          <w:tcPr>
            <w:tcW w:w="1583" w:type="pct"/>
          </w:tcPr>
          <w:p w14:paraId="45A65F33" w14:textId="77777777" w:rsidR="004B5130" w:rsidRPr="0040357C" w:rsidRDefault="004B5130" w:rsidP="005C6D96">
            <w:pPr>
              <w:pStyle w:val="Tabletext"/>
              <w:keepNext/>
              <w:ind w:firstLine="174"/>
            </w:pPr>
            <w:r w:rsidRPr="0040357C">
              <w:t>Dyspnoea</w:t>
            </w:r>
          </w:p>
        </w:tc>
        <w:tc>
          <w:tcPr>
            <w:tcW w:w="853" w:type="pct"/>
          </w:tcPr>
          <w:p w14:paraId="1A9F0A36" w14:textId="77777777" w:rsidR="004B5130" w:rsidRPr="0040357C" w:rsidRDefault="004B5130" w:rsidP="005C6D96">
            <w:pPr>
              <w:pStyle w:val="Tabletext"/>
              <w:keepNext/>
              <w:rPr>
                <w:rFonts w:eastAsia="Times New Roman"/>
              </w:rPr>
            </w:pPr>
            <w:r w:rsidRPr="0040357C">
              <w:t>8 (6.5)</w:t>
            </w:r>
          </w:p>
        </w:tc>
        <w:tc>
          <w:tcPr>
            <w:tcW w:w="855" w:type="pct"/>
          </w:tcPr>
          <w:p w14:paraId="6257758F" w14:textId="77777777" w:rsidR="004B5130" w:rsidRPr="0040357C" w:rsidRDefault="004B5130" w:rsidP="005C6D96">
            <w:pPr>
              <w:pStyle w:val="Tabletext"/>
              <w:keepNext/>
              <w:rPr>
                <w:rFonts w:eastAsia="Times New Roman"/>
              </w:rPr>
            </w:pPr>
            <w:r w:rsidRPr="0040357C">
              <w:t>18 (14.6)</w:t>
            </w:r>
          </w:p>
        </w:tc>
        <w:tc>
          <w:tcPr>
            <w:tcW w:w="853" w:type="pct"/>
          </w:tcPr>
          <w:p w14:paraId="5045D4C7" w14:textId="77777777" w:rsidR="004B5130" w:rsidRPr="0040357C" w:rsidRDefault="004B5130" w:rsidP="005C6D96">
            <w:pPr>
              <w:pStyle w:val="Tabletext"/>
              <w:keepNext/>
              <w:rPr>
                <w:rFonts w:eastAsia="Times New Roman"/>
              </w:rPr>
            </w:pPr>
            <w:r w:rsidRPr="0040357C">
              <w:t>10 (7.8)</w:t>
            </w:r>
          </w:p>
        </w:tc>
        <w:tc>
          <w:tcPr>
            <w:tcW w:w="856" w:type="pct"/>
          </w:tcPr>
          <w:p w14:paraId="2200AA5D" w14:textId="77777777" w:rsidR="004B5130" w:rsidRPr="0040357C" w:rsidRDefault="004B5130" w:rsidP="005C6D96">
            <w:pPr>
              <w:pStyle w:val="Tabletext"/>
              <w:keepNext/>
              <w:rPr>
                <w:rFonts w:eastAsia="Times New Roman"/>
              </w:rPr>
            </w:pPr>
            <w:r w:rsidRPr="0040357C">
              <w:t>13 (10.2)</w:t>
            </w:r>
          </w:p>
        </w:tc>
      </w:tr>
      <w:tr w:rsidR="004B5130" w:rsidRPr="0040357C" w14:paraId="4CF42B22" w14:textId="77777777" w:rsidTr="00D2506A">
        <w:tc>
          <w:tcPr>
            <w:tcW w:w="1583" w:type="pct"/>
          </w:tcPr>
          <w:p w14:paraId="729817FC" w14:textId="77777777" w:rsidR="004B5130" w:rsidRPr="0040357C" w:rsidRDefault="004B5130" w:rsidP="005C6D96">
            <w:pPr>
              <w:pStyle w:val="Tabletext"/>
              <w:keepNext/>
              <w:ind w:firstLine="174"/>
            </w:pPr>
            <w:r w:rsidRPr="0040357C">
              <w:t>Cough</w:t>
            </w:r>
          </w:p>
        </w:tc>
        <w:tc>
          <w:tcPr>
            <w:tcW w:w="853" w:type="pct"/>
          </w:tcPr>
          <w:p w14:paraId="4FDD1CA7" w14:textId="77777777" w:rsidR="004B5130" w:rsidRPr="0040357C" w:rsidRDefault="004B5130" w:rsidP="005C6D96">
            <w:pPr>
              <w:pStyle w:val="Tabletext"/>
              <w:keepNext/>
            </w:pPr>
            <w:r w:rsidRPr="0040357C">
              <w:t>8 (6.5)</w:t>
            </w:r>
          </w:p>
        </w:tc>
        <w:tc>
          <w:tcPr>
            <w:tcW w:w="855" w:type="pct"/>
          </w:tcPr>
          <w:p w14:paraId="70A1011E" w14:textId="77777777" w:rsidR="004B5130" w:rsidRPr="0040357C" w:rsidRDefault="004B5130" w:rsidP="005C6D96">
            <w:pPr>
              <w:pStyle w:val="Tabletext"/>
              <w:keepNext/>
            </w:pPr>
            <w:r w:rsidRPr="0040357C">
              <w:t>10 (8.1)</w:t>
            </w:r>
          </w:p>
        </w:tc>
        <w:tc>
          <w:tcPr>
            <w:tcW w:w="853" w:type="pct"/>
          </w:tcPr>
          <w:p w14:paraId="6BB4BC8E" w14:textId="77777777" w:rsidR="004B5130" w:rsidRPr="0040357C" w:rsidRDefault="004B5130" w:rsidP="005C6D96">
            <w:pPr>
              <w:pStyle w:val="Tabletext"/>
              <w:keepNext/>
            </w:pPr>
            <w:r w:rsidRPr="0040357C">
              <w:t>4 (3.1)</w:t>
            </w:r>
          </w:p>
        </w:tc>
        <w:tc>
          <w:tcPr>
            <w:tcW w:w="856" w:type="pct"/>
          </w:tcPr>
          <w:p w14:paraId="0FB279B7" w14:textId="77777777" w:rsidR="004B5130" w:rsidRPr="0040357C" w:rsidRDefault="004B5130" w:rsidP="005C6D96">
            <w:pPr>
              <w:pStyle w:val="Tabletext"/>
              <w:keepNext/>
            </w:pPr>
            <w:r w:rsidRPr="0040357C">
              <w:t>4 (3.1)</w:t>
            </w:r>
          </w:p>
        </w:tc>
      </w:tr>
    </w:tbl>
    <w:p w14:paraId="4E27A665" w14:textId="77777777" w:rsidR="004B5130" w:rsidRPr="00121487" w:rsidRDefault="004B5130" w:rsidP="004B5130">
      <w:pPr>
        <w:pStyle w:val="FooterTableFigure"/>
        <w:rPr>
          <w:rFonts w:cs="Times New Roman"/>
          <w:color w:val="000000"/>
          <w:szCs w:val="18"/>
        </w:rPr>
      </w:pPr>
      <w:r w:rsidRPr="00121487">
        <w:rPr>
          <w:rFonts w:cs="Times New Roman"/>
          <w:color w:val="000000"/>
          <w:szCs w:val="18"/>
        </w:rPr>
        <w:t>Source: Table 62, pp127-128 of the submission</w:t>
      </w:r>
    </w:p>
    <w:p w14:paraId="25987A16" w14:textId="58100222" w:rsidR="00617D16" w:rsidRDefault="00121487" w:rsidP="00121487">
      <w:pPr>
        <w:pStyle w:val="FooterTableFigure"/>
        <w:rPr>
          <w:rFonts w:cs="Times New Roman"/>
          <w:color w:val="000000"/>
          <w:szCs w:val="18"/>
        </w:rPr>
      </w:pPr>
      <w:r w:rsidRPr="00121487">
        <w:rPr>
          <w:rFonts w:cs="Times New Roman"/>
          <w:color w:val="000000"/>
          <w:szCs w:val="18"/>
        </w:rPr>
        <w:t>N = number of patients in total; n = number of patients experiencing adverse event; TEAE = treatment-emergent adverse event</w:t>
      </w:r>
    </w:p>
    <w:p w14:paraId="54E72E4A" w14:textId="00A70075" w:rsidR="00A9788D" w:rsidRPr="00121487" w:rsidRDefault="00121487" w:rsidP="00121487">
      <w:pPr>
        <w:pStyle w:val="FooterTableFigure"/>
        <w:rPr>
          <w:szCs w:val="18"/>
          <w:highlight w:val="yellow"/>
        </w:rPr>
      </w:pPr>
      <w:r w:rsidRPr="00121487">
        <w:rPr>
          <w:rFonts w:cs="Times New Roman"/>
          <w:color w:val="000000"/>
          <w:szCs w:val="18"/>
        </w:rPr>
        <w:t xml:space="preserve">Adverse events experienced at over double the rate in one arm than the other are </w:t>
      </w:r>
      <w:r w:rsidRPr="00121487">
        <w:rPr>
          <w:rFonts w:cs="Times New Roman"/>
          <w:b/>
          <w:color w:val="000000"/>
          <w:szCs w:val="18"/>
        </w:rPr>
        <w:t>bolded</w:t>
      </w:r>
    </w:p>
    <w:p w14:paraId="04908C7F" w14:textId="0A6F157C" w:rsidR="007F1017" w:rsidRPr="00A9788D" w:rsidRDefault="007F1017">
      <w:pPr>
        <w:pStyle w:val="4-SubsectionHeading"/>
      </w:pPr>
      <w:bookmarkStart w:id="35" w:name="_Toc113979743"/>
      <w:r w:rsidRPr="00A9788D">
        <w:t>Benefits/harms</w:t>
      </w:r>
      <w:bookmarkEnd w:id="32"/>
      <w:bookmarkEnd w:id="35"/>
    </w:p>
    <w:p w14:paraId="55AA987D" w14:textId="64E0877C" w:rsidR="00CA7A2B" w:rsidRPr="009F3CA5" w:rsidRDefault="00D2506A" w:rsidP="009F3CA5">
      <w:pPr>
        <w:pStyle w:val="3-BodyText"/>
        <w:rPr>
          <w:snapToGrid/>
        </w:rPr>
      </w:pPr>
      <w:bookmarkStart w:id="36" w:name="_Toc22897644"/>
      <w:r w:rsidRPr="009F3CA5">
        <w:rPr>
          <w:snapToGrid/>
        </w:rPr>
        <w:t xml:space="preserve">A summary of the comparative benefits and harms for mavacamten ± BB/CCB versus placebo ± BB/CCB is presented in </w:t>
      </w:r>
      <w:r w:rsidRPr="009F3CA5">
        <w:rPr>
          <w:snapToGrid/>
        </w:rPr>
        <w:fldChar w:fldCharType="begin"/>
      </w:r>
      <w:r w:rsidRPr="009F3CA5">
        <w:rPr>
          <w:snapToGrid/>
        </w:rPr>
        <w:instrText xml:space="preserve"> REF _Ref104805037 \h </w:instrText>
      </w:r>
      <w:r w:rsidRPr="009F3CA5">
        <w:rPr>
          <w:snapToGrid/>
        </w:rPr>
      </w:r>
      <w:r w:rsidR="009F3CA5">
        <w:instrText xml:space="preserve"> \* MERGEFORMAT </w:instrText>
      </w:r>
      <w:r w:rsidRPr="009F3CA5">
        <w:rPr>
          <w:snapToGrid/>
        </w:rPr>
        <w:fldChar w:fldCharType="separate"/>
      </w:r>
      <w:r w:rsidR="00645E50" w:rsidRPr="00645E50">
        <w:rPr>
          <w:snapToGrid/>
        </w:rPr>
        <w:t>Table 15</w:t>
      </w:r>
      <w:r w:rsidRPr="009F3CA5">
        <w:rPr>
          <w:snapToGrid/>
        </w:rPr>
        <w:fldChar w:fldCharType="end"/>
      </w:r>
      <w:r w:rsidRPr="009F3CA5">
        <w:rPr>
          <w:snapToGrid/>
        </w:rPr>
        <w:t>.</w:t>
      </w:r>
    </w:p>
    <w:p w14:paraId="5F614559" w14:textId="77777777" w:rsidR="00CA7A2B" w:rsidRDefault="00CA7A2B">
      <w:pPr>
        <w:jc w:val="left"/>
      </w:pPr>
      <w:r>
        <w:br w:type="page"/>
      </w:r>
    </w:p>
    <w:p w14:paraId="0CA8D33F" w14:textId="62059751" w:rsidR="00D2506A" w:rsidRPr="00D2155B" w:rsidRDefault="00D2506A" w:rsidP="003916BE">
      <w:pPr>
        <w:pStyle w:val="Caption"/>
        <w:keepNext w:val="0"/>
        <w:spacing w:before="120"/>
        <w:rPr>
          <w:rStyle w:val="CommentReference"/>
          <w:b/>
          <w:szCs w:val="24"/>
        </w:rPr>
      </w:pPr>
      <w:bookmarkStart w:id="37" w:name="_Ref104805037"/>
      <w:r>
        <w:lastRenderedPageBreak/>
        <w:t xml:space="preserve">Table </w:t>
      </w:r>
      <w:r w:rsidR="00645E50">
        <w:fldChar w:fldCharType="begin"/>
      </w:r>
      <w:r w:rsidR="00645E50">
        <w:instrText xml:space="preserve"> SEQ Table \* ARABIC </w:instrText>
      </w:r>
      <w:r w:rsidR="00645E50">
        <w:fldChar w:fldCharType="separate"/>
      </w:r>
      <w:r w:rsidR="00645E50">
        <w:rPr>
          <w:noProof/>
        </w:rPr>
        <w:t>15</w:t>
      </w:r>
      <w:r w:rsidR="00645E50">
        <w:rPr>
          <w:noProof/>
        </w:rPr>
        <w:fldChar w:fldCharType="end"/>
      </w:r>
      <w:bookmarkEnd w:id="37"/>
      <w:r>
        <w:t xml:space="preserve">: </w:t>
      </w:r>
      <w:r w:rsidRPr="00D2155B">
        <w:rPr>
          <w:rStyle w:val="CommentReference"/>
          <w:b/>
          <w:szCs w:val="24"/>
        </w:rPr>
        <w:t xml:space="preserve">Summary of comparative benefits and harms for </w:t>
      </w:r>
      <w:r>
        <w:rPr>
          <w:rStyle w:val="CommentReference"/>
          <w:b/>
          <w:szCs w:val="24"/>
        </w:rPr>
        <w:t>mavacamten</w:t>
      </w:r>
      <w:r w:rsidRPr="00D2155B">
        <w:rPr>
          <w:rStyle w:val="CommentReference"/>
          <w:b/>
          <w:szCs w:val="24"/>
        </w:rPr>
        <w:t xml:space="preserve"> </w:t>
      </w:r>
      <w:r w:rsidR="00617D16">
        <w:rPr>
          <w:rStyle w:val="CommentReference"/>
          <w:b/>
          <w:szCs w:val="24"/>
        </w:rPr>
        <w:t>versus</w:t>
      </w:r>
      <w:r w:rsidR="00617D16" w:rsidRPr="00D2155B">
        <w:rPr>
          <w:rStyle w:val="CommentReference"/>
          <w:b/>
          <w:szCs w:val="24"/>
        </w:rPr>
        <w:t xml:space="preserve"> </w:t>
      </w:r>
      <w:r>
        <w:rPr>
          <w:rStyle w:val="CommentReference"/>
          <w:b/>
          <w:szCs w:val="24"/>
        </w:rPr>
        <w:t>placebo</w:t>
      </w:r>
    </w:p>
    <w:tbl>
      <w:tblPr>
        <w:tblW w:w="4951" w:type="pct"/>
        <w:tblLayout w:type="fixed"/>
        <w:tblCellMar>
          <w:left w:w="28" w:type="dxa"/>
          <w:right w:w="28" w:type="dxa"/>
        </w:tblCellMar>
        <w:tblLook w:val="04A0" w:firstRow="1" w:lastRow="0" w:firstColumn="1" w:lastColumn="0" w:noHBand="0" w:noVBand="1"/>
      </w:tblPr>
      <w:tblGrid>
        <w:gridCol w:w="1837"/>
        <w:gridCol w:w="426"/>
        <w:gridCol w:w="713"/>
        <w:gridCol w:w="704"/>
        <w:gridCol w:w="143"/>
        <w:gridCol w:w="143"/>
        <w:gridCol w:w="288"/>
        <w:gridCol w:w="502"/>
        <w:gridCol w:w="386"/>
        <w:gridCol w:w="98"/>
        <w:gridCol w:w="998"/>
        <w:gridCol w:w="123"/>
        <w:gridCol w:w="454"/>
        <w:gridCol w:w="684"/>
        <w:gridCol w:w="1430"/>
      </w:tblGrid>
      <w:tr w:rsidR="00B9002A" w:rsidRPr="00E2771E" w14:paraId="10A67E5B" w14:textId="77777777" w:rsidTr="00993F38">
        <w:trPr>
          <w:trHeight w:val="150"/>
        </w:trPr>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CD793" w14:textId="77777777" w:rsidR="00D2506A" w:rsidRPr="00E2771E" w:rsidRDefault="00D2506A" w:rsidP="003916BE">
            <w:pPr>
              <w:pStyle w:val="In-tableHeading"/>
              <w:keepNext w:val="0"/>
            </w:pPr>
            <w:r>
              <w:t>Outcome</w:t>
            </w:r>
          </w:p>
        </w:tc>
        <w:tc>
          <w:tcPr>
            <w:tcW w:w="638" w:type="pct"/>
            <w:gridSpan w:val="2"/>
            <w:vMerge w:val="restart"/>
            <w:tcBorders>
              <w:top w:val="single" w:sz="4" w:space="0" w:color="auto"/>
              <w:left w:val="single" w:sz="4" w:space="0" w:color="auto"/>
              <w:bottom w:val="single" w:sz="4" w:space="0" w:color="auto"/>
              <w:right w:val="single" w:sz="4" w:space="0" w:color="auto"/>
            </w:tcBorders>
            <w:vAlign w:val="center"/>
          </w:tcPr>
          <w:p w14:paraId="3EA70B61" w14:textId="77777777" w:rsidR="00D2506A" w:rsidRDefault="00D2506A" w:rsidP="003916BE">
            <w:pPr>
              <w:pStyle w:val="In-tableHeading"/>
              <w:keepNext w:val="0"/>
              <w:jc w:val="center"/>
            </w:pPr>
            <w:r>
              <w:t>Mavacamten</w:t>
            </w:r>
          </w:p>
          <w:p w14:paraId="296C4E13" w14:textId="77777777" w:rsidR="00D2506A" w:rsidRPr="00E2771E" w:rsidRDefault="00D2506A" w:rsidP="003916BE">
            <w:pPr>
              <w:pStyle w:val="In-tableHeading"/>
              <w:keepNext w:val="0"/>
              <w:jc w:val="center"/>
            </w:pPr>
            <w:r>
              <w:t>n/N</w:t>
            </w:r>
          </w:p>
        </w:tc>
        <w:tc>
          <w:tcPr>
            <w:tcW w:w="473" w:type="pct"/>
            <w:gridSpan w:val="2"/>
            <w:vMerge w:val="restart"/>
            <w:tcBorders>
              <w:top w:val="single" w:sz="4" w:space="0" w:color="auto"/>
              <w:left w:val="single" w:sz="4" w:space="0" w:color="auto"/>
              <w:bottom w:val="single" w:sz="4" w:space="0" w:color="auto"/>
              <w:right w:val="single" w:sz="4" w:space="0" w:color="auto"/>
            </w:tcBorders>
            <w:vAlign w:val="center"/>
          </w:tcPr>
          <w:p w14:paraId="3AFBED78" w14:textId="77777777" w:rsidR="00D2506A" w:rsidRDefault="00D2506A" w:rsidP="003916BE">
            <w:pPr>
              <w:pStyle w:val="In-tableHeading"/>
              <w:keepNext w:val="0"/>
              <w:jc w:val="center"/>
            </w:pPr>
            <w:r>
              <w:t>Placebo</w:t>
            </w:r>
          </w:p>
          <w:p w14:paraId="6DD1E1C4" w14:textId="77777777" w:rsidR="00D2506A" w:rsidRPr="00E2771E" w:rsidRDefault="00D2506A" w:rsidP="003916BE">
            <w:pPr>
              <w:pStyle w:val="In-tableHeading"/>
              <w:keepNext w:val="0"/>
              <w:jc w:val="center"/>
            </w:pPr>
            <w:r>
              <w:t>n/N</w:t>
            </w:r>
          </w:p>
        </w:tc>
        <w:tc>
          <w:tcPr>
            <w:tcW w:w="738" w:type="pct"/>
            <w:gridSpan w:val="4"/>
            <w:vMerge w:val="restart"/>
            <w:tcBorders>
              <w:top w:val="single" w:sz="4" w:space="0" w:color="auto"/>
              <w:left w:val="single" w:sz="4" w:space="0" w:color="auto"/>
              <w:bottom w:val="single" w:sz="4" w:space="0" w:color="auto"/>
              <w:right w:val="single" w:sz="4" w:space="0" w:color="auto"/>
            </w:tcBorders>
            <w:vAlign w:val="center"/>
          </w:tcPr>
          <w:p w14:paraId="27CF1FDB" w14:textId="77777777" w:rsidR="00D2506A" w:rsidRPr="00E2771E" w:rsidRDefault="00D2506A" w:rsidP="003916BE">
            <w:pPr>
              <w:pStyle w:val="In-tableHeading"/>
              <w:keepNext w:val="0"/>
              <w:jc w:val="center"/>
            </w:pPr>
            <w:r w:rsidRPr="00E2771E">
              <w:t>RR</w:t>
            </w:r>
          </w:p>
          <w:p w14:paraId="5005CD94" w14:textId="77777777" w:rsidR="00D2506A" w:rsidRPr="00E2771E" w:rsidRDefault="00D2506A" w:rsidP="003916BE">
            <w:pPr>
              <w:pStyle w:val="In-tableHeading"/>
              <w:keepNext w:val="0"/>
              <w:jc w:val="center"/>
            </w:pPr>
            <w:r w:rsidRPr="00E2771E">
              <w:t>(95% CI)</w:t>
            </w:r>
          </w:p>
        </w:tc>
        <w:tc>
          <w:tcPr>
            <w:tcW w:w="1319" w:type="pct"/>
            <w:gridSpan w:val="5"/>
            <w:tcBorders>
              <w:top w:val="single" w:sz="4" w:space="0" w:color="auto"/>
              <w:left w:val="single" w:sz="4" w:space="0" w:color="auto"/>
              <w:bottom w:val="single" w:sz="4" w:space="0" w:color="auto"/>
              <w:right w:val="single" w:sz="4" w:space="0" w:color="auto"/>
            </w:tcBorders>
            <w:vAlign w:val="center"/>
          </w:tcPr>
          <w:p w14:paraId="09AC8960" w14:textId="137AFB8C" w:rsidR="00D2506A" w:rsidRPr="00E2771E" w:rsidRDefault="00D2506A" w:rsidP="003916BE">
            <w:pPr>
              <w:pStyle w:val="In-tableHeading"/>
              <w:keepNext w:val="0"/>
              <w:jc w:val="center"/>
            </w:pPr>
            <w:r w:rsidRPr="00E2771E">
              <w:t>Event rate/100 patients</w:t>
            </w:r>
          </w:p>
        </w:tc>
        <w:tc>
          <w:tcPr>
            <w:tcW w:w="802" w:type="pct"/>
            <w:vMerge w:val="restart"/>
            <w:tcBorders>
              <w:top w:val="single" w:sz="4" w:space="0" w:color="auto"/>
              <w:left w:val="single" w:sz="4" w:space="0" w:color="auto"/>
              <w:bottom w:val="single" w:sz="4" w:space="0" w:color="auto"/>
              <w:right w:val="single" w:sz="4" w:space="0" w:color="auto"/>
            </w:tcBorders>
            <w:vAlign w:val="center"/>
          </w:tcPr>
          <w:p w14:paraId="3B1EDCDA" w14:textId="77777777" w:rsidR="00D2506A" w:rsidRPr="00E2771E" w:rsidRDefault="00D2506A" w:rsidP="003916BE">
            <w:pPr>
              <w:pStyle w:val="In-tableHeading"/>
              <w:keepNext w:val="0"/>
              <w:jc w:val="center"/>
            </w:pPr>
            <w:r w:rsidRPr="00E2771E">
              <w:t>RD</w:t>
            </w:r>
          </w:p>
          <w:p w14:paraId="2A0B5AC8" w14:textId="77777777" w:rsidR="00D2506A" w:rsidRPr="00E2771E" w:rsidRDefault="00D2506A" w:rsidP="003916BE">
            <w:pPr>
              <w:pStyle w:val="In-tableHeading"/>
              <w:keepNext w:val="0"/>
              <w:jc w:val="center"/>
            </w:pPr>
            <w:r w:rsidRPr="00E2771E">
              <w:t>(95% CI)</w:t>
            </w:r>
          </w:p>
        </w:tc>
      </w:tr>
      <w:tr w:rsidR="002E396B" w:rsidRPr="00E2771E" w14:paraId="09F4A4E1" w14:textId="77777777" w:rsidTr="00993F38">
        <w:trPr>
          <w:trHeight w:val="315"/>
        </w:trPr>
        <w:tc>
          <w:tcPr>
            <w:tcW w:w="10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4A1869" w14:textId="77777777" w:rsidR="00D2506A" w:rsidRPr="00E2771E" w:rsidRDefault="00D2506A" w:rsidP="003916BE">
            <w:pPr>
              <w:pStyle w:val="In-tableHeading"/>
              <w:keepNext w:val="0"/>
              <w:jc w:val="center"/>
            </w:pPr>
          </w:p>
        </w:tc>
        <w:tc>
          <w:tcPr>
            <w:tcW w:w="638" w:type="pct"/>
            <w:gridSpan w:val="2"/>
            <w:vMerge/>
            <w:tcBorders>
              <w:top w:val="single" w:sz="4" w:space="0" w:color="auto"/>
              <w:left w:val="single" w:sz="4" w:space="0" w:color="auto"/>
              <w:bottom w:val="single" w:sz="4" w:space="0" w:color="auto"/>
              <w:right w:val="single" w:sz="4" w:space="0" w:color="auto"/>
            </w:tcBorders>
            <w:vAlign w:val="center"/>
          </w:tcPr>
          <w:p w14:paraId="5B976C8E" w14:textId="77777777" w:rsidR="00D2506A" w:rsidRPr="00E2771E" w:rsidRDefault="00D2506A" w:rsidP="003916BE">
            <w:pPr>
              <w:pStyle w:val="In-tableHeading"/>
              <w:keepNext w:val="0"/>
              <w:jc w:val="center"/>
            </w:pPr>
          </w:p>
        </w:tc>
        <w:tc>
          <w:tcPr>
            <w:tcW w:w="473" w:type="pct"/>
            <w:gridSpan w:val="2"/>
            <w:vMerge/>
            <w:tcBorders>
              <w:top w:val="single" w:sz="4" w:space="0" w:color="auto"/>
              <w:left w:val="single" w:sz="4" w:space="0" w:color="auto"/>
              <w:bottom w:val="single" w:sz="4" w:space="0" w:color="auto"/>
              <w:right w:val="single" w:sz="4" w:space="0" w:color="auto"/>
            </w:tcBorders>
            <w:vAlign w:val="center"/>
          </w:tcPr>
          <w:p w14:paraId="5B2C5974" w14:textId="77777777" w:rsidR="00D2506A" w:rsidRPr="00E2771E" w:rsidRDefault="00D2506A" w:rsidP="003916BE">
            <w:pPr>
              <w:pStyle w:val="In-tableHeading"/>
              <w:keepNext w:val="0"/>
              <w:jc w:val="center"/>
            </w:pPr>
          </w:p>
        </w:tc>
        <w:tc>
          <w:tcPr>
            <w:tcW w:w="738" w:type="pct"/>
            <w:gridSpan w:val="4"/>
            <w:vMerge/>
            <w:tcBorders>
              <w:top w:val="single" w:sz="4" w:space="0" w:color="auto"/>
              <w:left w:val="single" w:sz="4" w:space="0" w:color="auto"/>
              <w:bottom w:val="single" w:sz="4" w:space="0" w:color="auto"/>
              <w:right w:val="single" w:sz="4" w:space="0" w:color="auto"/>
            </w:tcBorders>
            <w:vAlign w:val="center"/>
          </w:tcPr>
          <w:p w14:paraId="4F709720" w14:textId="77777777" w:rsidR="00D2506A" w:rsidRPr="00E2771E" w:rsidRDefault="00D2506A" w:rsidP="003916BE">
            <w:pPr>
              <w:pStyle w:val="In-tableHeading"/>
              <w:keepNext w:val="0"/>
              <w:jc w:val="center"/>
            </w:pPr>
          </w:p>
        </w:tc>
        <w:tc>
          <w:tcPr>
            <w:tcW w:w="683" w:type="pct"/>
            <w:gridSpan w:val="3"/>
            <w:tcBorders>
              <w:top w:val="single" w:sz="4" w:space="0" w:color="auto"/>
              <w:left w:val="single" w:sz="4" w:space="0" w:color="auto"/>
              <w:bottom w:val="single" w:sz="4" w:space="0" w:color="auto"/>
              <w:right w:val="single" w:sz="4" w:space="0" w:color="auto"/>
            </w:tcBorders>
            <w:vAlign w:val="center"/>
          </w:tcPr>
          <w:p w14:paraId="2D627441" w14:textId="77777777" w:rsidR="00D2506A" w:rsidRPr="00E2771E" w:rsidRDefault="00D2506A" w:rsidP="003916BE">
            <w:pPr>
              <w:pStyle w:val="In-tableHeading"/>
              <w:keepNext w:val="0"/>
              <w:jc w:val="center"/>
            </w:pPr>
            <w:r>
              <w:t>Mavacamten</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35129BFC" w14:textId="77777777" w:rsidR="00D2506A" w:rsidRPr="00E2771E" w:rsidRDefault="00D2506A" w:rsidP="003916BE">
            <w:pPr>
              <w:pStyle w:val="In-tableHeading"/>
              <w:keepNext w:val="0"/>
              <w:jc w:val="center"/>
            </w:pPr>
            <w:r>
              <w:t>Placebo</w:t>
            </w:r>
          </w:p>
        </w:tc>
        <w:tc>
          <w:tcPr>
            <w:tcW w:w="802" w:type="pct"/>
            <w:vMerge/>
            <w:tcBorders>
              <w:top w:val="single" w:sz="4" w:space="0" w:color="auto"/>
              <w:left w:val="single" w:sz="4" w:space="0" w:color="auto"/>
              <w:bottom w:val="single" w:sz="4" w:space="0" w:color="auto"/>
              <w:right w:val="single" w:sz="4" w:space="0" w:color="auto"/>
            </w:tcBorders>
            <w:vAlign w:val="center"/>
          </w:tcPr>
          <w:p w14:paraId="25F6D922" w14:textId="77777777" w:rsidR="00D2506A" w:rsidRPr="00E2771E" w:rsidRDefault="00D2506A" w:rsidP="003916BE">
            <w:pPr>
              <w:pStyle w:val="In-tableHeading"/>
              <w:keepNext w:val="0"/>
              <w:jc w:val="center"/>
            </w:pPr>
          </w:p>
        </w:tc>
      </w:tr>
      <w:tr w:rsidR="00D2506A" w:rsidRPr="00E2771E" w14:paraId="26A9AD6D" w14:textId="77777777" w:rsidTr="00993F38">
        <w:tc>
          <w:tcPr>
            <w:tcW w:w="5000" w:type="pct"/>
            <w:gridSpan w:val="15"/>
            <w:tcBorders>
              <w:top w:val="single" w:sz="4" w:space="0" w:color="auto"/>
              <w:left w:val="single" w:sz="4" w:space="0" w:color="auto"/>
              <w:bottom w:val="double" w:sz="4" w:space="0" w:color="auto"/>
              <w:right w:val="single" w:sz="4" w:space="0" w:color="auto"/>
            </w:tcBorders>
            <w:shd w:val="clear" w:color="auto" w:fill="auto"/>
            <w:vAlign w:val="center"/>
          </w:tcPr>
          <w:p w14:paraId="0965EFB5" w14:textId="77777777" w:rsidR="00D2506A" w:rsidRPr="00E2771E" w:rsidRDefault="00D2506A" w:rsidP="003916BE">
            <w:pPr>
              <w:pStyle w:val="In-tableHeading"/>
              <w:keepNext w:val="0"/>
            </w:pPr>
            <w:r w:rsidRPr="00E2771E">
              <w:t>Benefits</w:t>
            </w:r>
          </w:p>
        </w:tc>
      </w:tr>
      <w:tr w:rsidR="00D2506A" w:rsidRPr="00E2771E" w14:paraId="782E55B3" w14:textId="77777777" w:rsidTr="00993F38">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566EEAB0" w14:textId="77777777" w:rsidR="00D2506A" w:rsidRPr="00E2771E" w:rsidRDefault="00D2506A" w:rsidP="003916BE">
            <w:pPr>
              <w:pStyle w:val="In-tableHeading"/>
              <w:keepNext w:val="0"/>
            </w:pPr>
            <w:r w:rsidRPr="00E2771E">
              <w:t xml:space="preserve">Dichotomous </w:t>
            </w:r>
            <w:r>
              <w:t>o</w:t>
            </w:r>
            <w:r w:rsidRPr="00E2771E">
              <w:t>utcome</w:t>
            </w:r>
            <w:r>
              <w:t>s</w:t>
            </w:r>
          </w:p>
        </w:tc>
      </w:tr>
      <w:tr w:rsidR="002E396B" w:rsidRPr="00E2771E" w14:paraId="544BDAC6" w14:textId="77777777" w:rsidTr="00993F38">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249AA638" w14:textId="77777777" w:rsidR="00D2506A" w:rsidRPr="00E2771E" w:rsidRDefault="00D2506A" w:rsidP="003916BE">
            <w:pPr>
              <w:pStyle w:val="TableText0"/>
              <w:keepNext w:val="0"/>
            </w:pPr>
            <w:r>
              <w:t>Achieved composite functional endpoint</w:t>
            </w:r>
            <w:r>
              <w:rPr>
                <w:rFonts w:eastAsia="Calibri"/>
                <w:vertAlign w:val="superscript"/>
              </w:rPr>
              <w:t>a</w:t>
            </w:r>
          </w:p>
        </w:tc>
        <w:tc>
          <w:tcPr>
            <w:tcW w:w="638" w:type="pct"/>
            <w:gridSpan w:val="2"/>
            <w:tcBorders>
              <w:top w:val="single" w:sz="4" w:space="0" w:color="auto"/>
              <w:left w:val="single" w:sz="4" w:space="0" w:color="auto"/>
              <w:bottom w:val="single" w:sz="4" w:space="0" w:color="auto"/>
              <w:right w:val="single" w:sz="4" w:space="0" w:color="auto"/>
            </w:tcBorders>
            <w:vAlign w:val="center"/>
          </w:tcPr>
          <w:p w14:paraId="5BE7854A" w14:textId="77777777" w:rsidR="00D2506A" w:rsidRPr="00E2771E" w:rsidRDefault="00D2506A" w:rsidP="003916BE">
            <w:pPr>
              <w:pStyle w:val="TableText0"/>
              <w:keepNext w:val="0"/>
              <w:jc w:val="center"/>
            </w:pPr>
            <w:r>
              <w:t>45/123</w:t>
            </w:r>
          </w:p>
        </w:tc>
        <w:tc>
          <w:tcPr>
            <w:tcW w:w="473" w:type="pct"/>
            <w:gridSpan w:val="2"/>
            <w:tcBorders>
              <w:top w:val="single" w:sz="4" w:space="0" w:color="auto"/>
              <w:left w:val="single" w:sz="4" w:space="0" w:color="auto"/>
              <w:bottom w:val="single" w:sz="4" w:space="0" w:color="auto"/>
              <w:right w:val="single" w:sz="4" w:space="0" w:color="auto"/>
            </w:tcBorders>
            <w:vAlign w:val="center"/>
          </w:tcPr>
          <w:p w14:paraId="5BF144A5" w14:textId="77777777" w:rsidR="00D2506A" w:rsidRPr="00E2771E" w:rsidRDefault="00D2506A" w:rsidP="003916BE">
            <w:pPr>
              <w:pStyle w:val="TableText0"/>
              <w:keepNext w:val="0"/>
              <w:jc w:val="center"/>
            </w:pPr>
            <w:r>
              <w:t>22/128</w:t>
            </w:r>
          </w:p>
        </w:tc>
        <w:tc>
          <w:tcPr>
            <w:tcW w:w="738" w:type="pct"/>
            <w:gridSpan w:val="4"/>
            <w:tcBorders>
              <w:top w:val="single" w:sz="4" w:space="0" w:color="auto"/>
              <w:left w:val="single" w:sz="4" w:space="0" w:color="auto"/>
              <w:bottom w:val="single" w:sz="4" w:space="0" w:color="auto"/>
              <w:right w:val="single" w:sz="4" w:space="0" w:color="auto"/>
            </w:tcBorders>
            <w:vAlign w:val="center"/>
          </w:tcPr>
          <w:p w14:paraId="51E342D6" w14:textId="77777777" w:rsidR="00D2506A" w:rsidRPr="00E2771E" w:rsidRDefault="00D2506A" w:rsidP="003916BE">
            <w:pPr>
              <w:pStyle w:val="TableText0"/>
              <w:keepNext w:val="0"/>
              <w:jc w:val="center"/>
            </w:pPr>
            <w:r w:rsidRPr="007C7BFF">
              <w:rPr>
                <w:b/>
              </w:rPr>
              <w:t>2.13 (1.36, 3.32)</w:t>
            </w:r>
          </w:p>
        </w:tc>
        <w:tc>
          <w:tcPr>
            <w:tcW w:w="683" w:type="pct"/>
            <w:gridSpan w:val="3"/>
            <w:tcBorders>
              <w:top w:val="single" w:sz="4" w:space="0" w:color="auto"/>
              <w:left w:val="single" w:sz="4" w:space="0" w:color="auto"/>
              <w:bottom w:val="single" w:sz="4" w:space="0" w:color="auto"/>
              <w:right w:val="single" w:sz="4" w:space="0" w:color="auto"/>
            </w:tcBorders>
            <w:vAlign w:val="center"/>
          </w:tcPr>
          <w:p w14:paraId="1687DDDE" w14:textId="77777777" w:rsidR="00D2506A" w:rsidRPr="00E2771E" w:rsidRDefault="00D2506A" w:rsidP="003916BE">
            <w:pPr>
              <w:pStyle w:val="TableText0"/>
              <w:keepNext w:val="0"/>
              <w:jc w:val="center"/>
            </w:pPr>
            <w:r>
              <w:t>36.6</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7557441E" w14:textId="77777777" w:rsidR="00D2506A" w:rsidRPr="00E2771E" w:rsidRDefault="00D2506A" w:rsidP="003916BE">
            <w:pPr>
              <w:pStyle w:val="TableText0"/>
              <w:keepNext w:val="0"/>
              <w:jc w:val="center"/>
            </w:pPr>
            <w:r>
              <w:t>17.2</w:t>
            </w:r>
          </w:p>
        </w:tc>
        <w:tc>
          <w:tcPr>
            <w:tcW w:w="802" w:type="pct"/>
            <w:tcBorders>
              <w:top w:val="single" w:sz="4" w:space="0" w:color="auto"/>
              <w:left w:val="single" w:sz="4" w:space="0" w:color="auto"/>
              <w:bottom w:val="single" w:sz="4" w:space="0" w:color="auto"/>
              <w:right w:val="single" w:sz="4" w:space="0" w:color="auto"/>
            </w:tcBorders>
            <w:vAlign w:val="center"/>
          </w:tcPr>
          <w:p w14:paraId="2FDD3520" w14:textId="77777777" w:rsidR="00D2506A" w:rsidRPr="00E2771E" w:rsidRDefault="00D2506A" w:rsidP="003916BE">
            <w:pPr>
              <w:pStyle w:val="TableText0"/>
              <w:keepNext w:val="0"/>
              <w:jc w:val="center"/>
            </w:pPr>
            <w:r w:rsidRPr="007C7BFF">
              <w:rPr>
                <w:b/>
                <w:color w:val="000000"/>
                <w:lang w:val="en-US"/>
              </w:rPr>
              <w:t>19.4 (8.67, 30.13)</w:t>
            </w:r>
          </w:p>
        </w:tc>
      </w:tr>
      <w:tr w:rsidR="002E396B" w:rsidRPr="00E2771E" w14:paraId="746457B5" w14:textId="77777777" w:rsidTr="00993F38">
        <w:tc>
          <w:tcPr>
            <w:tcW w:w="1029" w:type="pct"/>
            <w:tcBorders>
              <w:top w:val="single" w:sz="4" w:space="0" w:color="auto"/>
              <w:left w:val="single" w:sz="4" w:space="0" w:color="auto"/>
              <w:bottom w:val="double" w:sz="4" w:space="0" w:color="auto"/>
              <w:right w:val="single" w:sz="4" w:space="0" w:color="auto"/>
            </w:tcBorders>
            <w:shd w:val="clear" w:color="auto" w:fill="auto"/>
            <w:vAlign w:val="center"/>
          </w:tcPr>
          <w:p w14:paraId="7D14C913" w14:textId="22F44B92" w:rsidR="00D2506A" w:rsidRPr="00E2771E" w:rsidRDefault="00D2506A" w:rsidP="003916BE">
            <w:pPr>
              <w:pStyle w:val="TableText0"/>
              <w:keepNext w:val="0"/>
            </w:pPr>
            <w:r w:rsidRPr="004B5317">
              <w:rPr>
                <w:lang w:val="en-US"/>
              </w:rPr>
              <w:t>Proportion of patients with</w:t>
            </w:r>
            <w:r w:rsidR="002E396B">
              <w:rPr>
                <w:lang w:val="en-US"/>
              </w:rPr>
              <w:t xml:space="preserve"> </w:t>
            </w:r>
            <w:r w:rsidRPr="004B5317">
              <w:rPr>
                <w:lang w:val="en-US"/>
              </w:rPr>
              <w:t>≥3</w:t>
            </w:r>
            <w:r w:rsidR="0060679E">
              <w:rPr>
                <w:lang w:val="en-US"/>
              </w:rPr>
              <w:t> </w:t>
            </w:r>
            <w:r w:rsidRPr="004B5317">
              <w:rPr>
                <w:lang w:val="en-US"/>
              </w:rPr>
              <w:t>mL/kg/min in pVO</w:t>
            </w:r>
            <w:r w:rsidRPr="004B5317">
              <w:rPr>
                <w:vertAlign w:val="subscript"/>
                <w:lang w:val="en-US"/>
              </w:rPr>
              <w:t>2</w:t>
            </w:r>
            <w:r w:rsidRPr="004B5317">
              <w:rPr>
                <w:lang w:val="en-US"/>
              </w:rPr>
              <w:t xml:space="preserve"> and improvement ≥1 NYHA class</w:t>
            </w:r>
            <w:r>
              <w:rPr>
                <w:rFonts w:cs="Arial"/>
                <w:position w:val="-1"/>
                <w:vertAlign w:val="superscript"/>
                <w:lang w:val="en-US"/>
              </w:rPr>
              <w:t>b</w:t>
            </w:r>
          </w:p>
        </w:tc>
        <w:tc>
          <w:tcPr>
            <w:tcW w:w="638" w:type="pct"/>
            <w:gridSpan w:val="2"/>
            <w:tcBorders>
              <w:top w:val="single" w:sz="4" w:space="0" w:color="auto"/>
              <w:left w:val="single" w:sz="4" w:space="0" w:color="auto"/>
              <w:bottom w:val="double" w:sz="4" w:space="0" w:color="auto"/>
              <w:right w:val="single" w:sz="4" w:space="0" w:color="auto"/>
            </w:tcBorders>
            <w:vAlign w:val="center"/>
          </w:tcPr>
          <w:p w14:paraId="2172D45E" w14:textId="77777777" w:rsidR="00D2506A" w:rsidRPr="00E2771E" w:rsidRDefault="00D2506A" w:rsidP="003916BE">
            <w:pPr>
              <w:pStyle w:val="TableText0"/>
              <w:keepNext w:val="0"/>
              <w:jc w:val="center"/>
            </w:pPr>
            <w:r>
              <w:t>25/123</w:t>
            </w:r>
          </w:p>
        </w:tc>
        <w:tc>
          <w:tcPr>
            <w:tcW w:w="473" w:type="pct"/>
            <w:gridSpan w:val="2"/>
            <w:tcBorders>
              <w:top w:val="single" w:sz="4" w:space="0" w:color="auto"/>
              <w:left w:val="single" w:sz="4" w:space="0" w:color="auto"/>
              <w:bottom w:val="double" w:sz="4" w:space="0" w:color="auto"/>
              <w:right w:val="single" w:sz="4" w:space="0" w:color="auto"/>
            </w:tcBorders>
            <w:vAlign w:val="center"/>
          </w:tcPr>
          <w:p w14:paraId="4D49D45E" w14:textId="77777777" w:rsidR="00D2506A" w:rsidRPr="00E2771E" w:rsidRDefault="00D2506A" w:rsidP="003916BE">
            <w:pPr>
              <w:pStyle w:val="TableText0"/>
              <w:keepNext w:val="0"/>
              <w:jc w:val="center"/>
            </w:pPr>
            <w:r>
              <w:t>10/128</w:t>
            </w:r>
          </w:p>
        </w:tc>
        <w:tc>
          <w:tcPr>
            <w:tcW w:w="738" w:type="pct"/>
            <w:gridSpan w:val="4"/>
            <w:tcBorders>
              <w:top w:val="single" w:sz="4" w:space="0" w:color="auto"/>
              <w:left w:val="single" w:sz="4" w:space="0" w:color="auto"/>
              <w:bottom w:val="double" w:sz="4" w:space="0" w:color="auto"/>
              <w:right w:val="single" w:sz="4" w:space="0" w:color="auto"/>
            </w:tcBorders>
            <w:vAlign w:val="center"/>
          </w:tcPr>
          <w:p w14:paraId="2464F929" w14:textId="77777777" w:rsidR="00D2506A" w:rsidRPr="00E2771E" w:rsidRDefault="00D2506A" w:rsidP="003916BE">
            <w:pPr>
              <w:pStyle w:val="TableText0"/>
              <w:keepNext w:val="0"/>
              <w:jc w:val="center"/>
            </w:pPr>
            <w:r w:rsidRPr="007C7BFF">
              <w:rPr>
                <w:b/>
              </w:rPr>
              <w:t>2.60 (1.30, 5.19)</w:t>
            </w:r>
          </w:p>
        </w:tc>
        <w:tc>
          <w:tcPr>
            <w:tcW w:w="683" w:type="pct"/>
            <w:gridSpan w:val="3"/>
            <w:tcBorders>
              <w:top w:val="single" w:sz="4" w:space="0" w:color="auto"/>
              <w:left w:val="single" w:sz="4" w:space="0" w:color="auto"/>
              <w:bottom w:val="double" w:sz="4" w:space="0" w:color="auto"/>
              <w:right w:val="single" w:sz="4" w:space="0" w:color="auto"/>
            </w:tcBorders>
            <w:vAlign w:val="center"/>
          </w:tcPr>
          <w:p w14:paraId="50B759A8" w14:textId="77777777" w:rsidR="00D2506A" w:rsidRPr="00E2771E" w:rsidRDefault="00D2506A" w:rsidP="003916BE">
            <w:pPr>
              <w:pStyle w:val="TableText0"/>
              <w:keepNext w:val="0"/>
              <w:jc w:val="center"/>
            </w:pPr>
            <w:r>
              <w:t>20.3</w:t>
            </w:r>
          </w:p>
        </w:tc>
        <w:tc>
          <w:tcPr>
            <w:tcW w:w="637" w:type="pct"/>
            <w:gridSpan w:val="2"/>
            <w:tcBorders>
              <w:top w:val="single" w:sz="4" w:space="0" w:color="auto"/>
              <w:left w:val="single" w:sz="4" w:space="0" w:color="auto"/>
              <w:bottom w:val="double" w:sz="4" w:space="0" w:color="auto"/>
              <w:right w:val="single" w:sz="4" w:space="0" w:color="auto"/>
            </w:tcBorders>
            <w:vAlign w:val="center"/>
          </w:tcPr>
          <w:p w14:paraId="24F771FA" w14:textId="77777777" w:rsidR="00D2506A" w:rsidRPr="00E2771E" w:rsidRDefault="00D2506A" w:rsidP="003916BE">
            <w:pPr>
              <w:pStyle w:val="TableText0"/>
              <w:keepNext w:val="0"/>
              <w:jc w:val="center"/>
            </w:pPr>
            <w:r>
              <w:t>7.8</w:t>
            </w:r>
          </w:p>
        </w:tc>
        <w:tc>
          <w:tcPr>
            <w:tcW w:w="802" w:type="pct"/>
            <w:tcBorders>
              <w:top w:val="single" w:sz="4" w:space="0" w:color="auto"/>
              <w:left w:val="single" w:sz="4" w:space="0" w:color="auto"/>
              <w:bottom w:val="double" w:sz="4" w:space="0" w:color="auto"/>
              <w:right w:val="single" w:sz="4" w:space="0" w:color="auto"/>
            </w:tcBorders>
            <w:vAlign w:val="center"/>
          </w:tcPr>
          <w:p w14:paraId="43DC4588" w14:textId="77777777" w:rsidR="00D2506A" w:rsidRPr="00E2771E" w:rsidRDefault="00D2506A" w:rsidP="003916BE">
            <w:pPr>
              <w:pStyle w:val="TableText0"/>
              <w:keepNext w:val="0"/>
              <w:jc w:val="center"/>
            </w:pPr>
            <w:r w:rsidRPr="007C7BFF">
              <w:rPr>
                <w:b/>
                <w:color w:val="000000"/>
                <w:lang w:val="en-US"/>
              </w:rPr>
              <w:t>12.5 (4.02, 21.01)</w:t>
            </w:r>
          </w:p>
        </w:tc>
      </w:tr>
      <w:tr w:rsidR="00D2506A" w:rsidRPr="00E2771E" w14:paraId="4AF536AF" w14:textId="77777777" w:rsidTr="00993F38">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4885AAC6" w14:textId="77777777" w:rsidR="00D2506A" w:rsidRPr="00E2771E" w:rsidRDefault="00D2506A" w:rsidP="003916BE">
            <w:pPr>
              <w:pStyle w:val="In-tableHeading"/>
              <w:keepNext w:val="0"/>
            </w:pPr>
            <w:r w:rsidRPr="00E2771E">
              <w:t xml:space="preserve">Continuous </w:t>
            </w:r>
            <w:r>
              <w:t>o</w:t>
            </w:r>
            <w:r w:rsidRPr="00E2771E">
              <w:t>utcome</w:t>
            </w:r>
            <w:r>
              <w:t>s</w:t>
            </w:r>
            <w:r w:rsidRPr="00E2771E">
              <w:t xml:space="preserve">: change from baseline </w:t>
            </w:r>
            <w:r>
              <w:t xml:space="preserve">to Week 30 </w:t>
            </w:r>
          </w:p>
        </w:tc>
      </w:tr>
      <w:tr w:rsidR="00B9002A" w:rsidRPr="00E2771E" w14:paraId="46C498D7" w14:textId="77777777" w:rsidTr="00993F38">
        <w:trPr>
          <w:trHeight w:val="225"/>
        </w:trPr>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3FBFBA" w14:textId="77777777" w:rsidR="00D2506A" w:rsidRPr="00E2771E" w:rsidRDefault="00D2506A" w:rsidP="003916BE">
            <w:pPr>
              <w:pStyle w:val="TableText0"/>
              <w:keepNext w:val="0"/>
            </w:pPr>
          </w:p>
        </w:tc>
        <w:tc>
          <w:tcPr>
            <w:tcW w:w="1353" w:type="pct"/>
            <w:gridSpan w:val="6"/>
            <w:tcBorders>
              <w:top w:val="single" w:sz="4" w:space="0" w:color="auto"/>
              <w:left w:val="single" w:sz="4" w:space="0" w:color="auto"/>
              <w:bottom w:val="single" w:sz="4" w:space="0" w:color="auto"/>
              <w:right w:val="single" w:sz="4" w:space="0" w:color="auto"/>
            </w:tcBorders>
            <w:vAlign w:val="center"/>
          </w:tcPr>
          <w:p w14:paraId="74AB087A" w14:textId="77777777" w:rsidR="00D2506A" w:rsidRPr="00E2771E" w:rsidRDefault="00D2506A" w:rsidP="003916BE">
            <w:pPr>
              <w:pStyle w:val="In-tableHeading"/>
              <w:keepNext w:val="0"/>
              <w:jc w:val="center"/>
            </w:pPr>
            <w:r>
              <w:t xml:space="preserve">Mavacamten </w:t>
            </w:r>
          </w:p>
        </w:tc>
        <w:tc>
          <w:tcPr>
            <w:tcW w:w="1434" w:type="pct"/>
            <w:gridSpan w:val="6"/>
            <w:tcBorders>
              <w:top w:val="single" w:sz="4" w:space="0" w:color="auto"/>
              <w:left w:val="single" w:sz="4" w:space="0" w:color="auto"/>
              <w:bottom w:val="single" w:sz="4" w:space="0" w:color="auto"/>
              <w:right w:val="single" w:sz="4" w:space="0" w:color="auto"/>
            </w:tcBorders>
            <w:vAlign w:val="center"/>
          </w:tcPr>
          <w:p w14:paraId="60711C37" w14:textId="77777777" w:rsidR="00D2506A" w:rsidRPr="00E2771E" w:rsidRDefault="00D2506A" w:rsidP="003916BE">
            <w:pPr>
              <w:pStyle w:val="In-tableHeading"/>
              <w:keepNext w:val="0"/>
              <w:jc w:val="center"/>
            </w:pPr>
            <w:r>
              <w:t>Placebo</w:t>
            </w:r>
          </w:p>
        </w:tc>
        <w:tc>
          <w:tcPr>
            <w:tcW w:w="1184" w:type="pct"/>
            <w:gridSpan w:val="2"/>
            <w:tcBorders>
              <w:top w:val="single" w:sz="4" w:space="0" w:color="auto"/>
              <w:left w:val="single" w:sz="4" w:space="0" w:color="auto"/>
              <w:bottom w:val="single" w:sz="4" w:space="0" w:color="auto"/>
              <w:right w:val="single" w:sz="4" w:space="0" w:color="auto"/>
            </w:tcBorders>
            <w:vAlign w:val="center"/>
          </w:tcPr>
          <w:p w14:paraId="6E545965" w14:textId="7C6DA68A" w:rsidR="00D2506A" w:rsidRPr="00E2771E" w:rsidRDefault="00D2506A" w:rsidP="003916BE">
            <w:pPr>
              <w:pStyle w:val="In-tableHeading"/>
              <w:keepNext w:val="0"/>
              <w:jc w:val="center"/>
            </w:pPr>
            <w:r w:rsidRPr="00E2771E">
              <w:t>Mean difference:</w:t>
            </w:r>
          </w:p>
          <w:p w14:paraId="34F67BB7" w14:textId="77777777" w:rsidR="00D2506A" w:rsidRPr="00E2771E" w:rsidRDefault="00D2506A" w:rsidP="003916BE">
            <w:pPr>
              <w:pStyle w:val="In-tableHeading"/>
              <w:keepNext w:val="0"/>
              <w:jc w:val="center"/>
              <w:rPr>
                <w:szCs w:val="18"/>
              </w:rPr>
            </w:pPr>
            <w:r>
              <w:rPr>
                <w:szCs w:val="18"/>
              </w:rPr>
              <w:t>Mavacamten</w:t>
            </w:r>
            <w:r w:rsidRPr="00E2771E">
              <w:rPr>
                <w:szCs w:val="18"/>
              </w:rPr>
              <w:t xml:space="preserve"> vs. </w:t>
            </w:r>
            <w:r>
              <w:rPr>
                <w:szCs w:val="18"/>
              </w:rPr>
              <w:t>placebo</w:t>
            </w:r>
          </w:p>
          <w:p w14:paraId="6EF4F76A" w14:textId="77777777" w:rsidR="00D2506A" w:rsidRPr="00E2771E" w:rsidRDefault="00D2506A" w:rsidP="003916BE">
            <w:pPr>
              <w:pStyle w:val="In-tableHeading"/>
              <w:keepNext w:val="0"/>
              <w:jc w:val="center"/>
              <w:rPr>
                <w:szCs w:val="18"/>
              </w:rPr>
            </w:pPr>
            <w:r w:rsidRPr="00E2771E">
              <w:rPr>
                <w:szCs w:val="18"/>
              </w:rPr>
              <w:t>(95% CI)</w:t>
            </w:r>
          </w:p>
        </w:tc>
      </w:tr>
      <w:tr w:rsidR="002E396B" w:rsidRPr="00E2771E" w14:paraId="1E7617C0" w14:textId="77777777" w:rsidTr="00993F38">
        <w:trPr>
          <w:trHeight w:val="225"/>
        </w:trPr>
        <w:tc>
          <w:tcPr>
            <w:tcW w:w="10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284957" w14:textId="77777777" w:rsidR="00D2506A" w:rsidRPr="00E2771E" w:rsidRDefault="00D2506A" w:rsidP="003916BE">
            <w:pPr>
              <w:keepLines/>
              <w:rPr>
                <w:rFonts w:ascii="Arial Narrow" w:hAnsi="Arial Narrow"/>
                <w:color w:val="000000"/>
                <w:sz w:val="20"/>
                <w:szCs w:val="18"/>
              </w:rPr>
            </w:pPr>
          </w:p>
        </w:tc>
        <w:tc>
          <w:tcPr>
            <w:tcW w:w="239" w:type="pct"/>
            <w:tcBorders>
              <w:top w:val="single" w:sz="4" w:space="0" w:color="auto"/>
              <w:left w:val="single" w:sz="4" w:space="0" w:color="auto"/>
              <w:bottom w:val="single" w:sz="4" w:space="0" w:color="auto"/>
              <w:right w:val="single" w:sz="4" w:space="0" w:color="auto"/>
            </w:tcBorders>
            <w:vAlign w:val="center"/>
          </w:tcPr>
          <w:p w14:paraId="47929B9F" w14:textId="77777777" w:rsidR="00D2506A" w:rsidRPr="00E2771E" w:rsidRDefault="00D2506A" w:rsidP="003916BE">
            <w:pPr>
              <w:pStyle w:val="In-tableHeading"/>
              <w:keepNext w:val="0"/>
              <w:jc w:val="center"/>
            </w:pPr>
            <w:r>
              <w:t>N</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5E68F6E8" w14:textId="77777777" w:rsidR="00D2506A" w:rsidRPr="00E2771E" w:rsidRDefault="00D2506A" w:rsidP="003916BE">
            <w:pPr>
              <w:pStyle w:val="In-tableHeading"/>
              <w:keepNext w:val="0"/>
              <w:jc w:val="center"/>
            </w:pPr>
            <w:r w:rsidRPr="00E2771E">
              <w:t xml:space="preserve">Mean ∆ baseline </w:t>
            </w:r>
            <w:r>
              <w:t>LVOT (mmHg)</w:t>
            </w:r>
          </w:p>
        </w:tc>
        <w:tc>
          <w:tcPr>
            <w:tcW w:w="321" w:type="pct"/>
            <w:gridSpan w:val="3"/>
            <w:tcBorders>
              <w:top w:val="single" w:sz="4" w:space="0" w:color="auto"/>
              <w:left w:val="single" w:sz="4" w:space="0" w:color="auto"/>
              <w:bottom w:val="single" w:sz="4" w:space="0" w:color="auto"/>
              <w:right w:val="single" w:sz="4" w:space="0" w:color="auto"/>
            </w:tcBorders>
            <w:vAlign w:val="center"/>
          </w:tcPr>
          <w:p w14:paraId="7BD4FB71" w14:textId="77777777" w:rsidR="00D2506A" w:rsidRPr="00E2771E" w:rsidRDefault="00D2506A" w:rsidP="003916BE">
            <w:pPr>
              <w:pStyle w:val="In-tableHeading"/>
              <w:keepNext w:val="0"/>
              <w:jc w:val="center"/>
            </w:pPr>
            <w:r w:rsidRPr="00E2771E">
              <w:t>SD</w:t>
            </w:r>
          </w:p>
        </w:tc>
        <w:tc>
          <w:tcPr>
            <w:tcW w:w="281" w:type="pct"/>
            <w:tcBorders>
              <w:top w:val="single" w:sz="4" w:space="0" w:color="auto"/>
              <w:left w:val="single" w:sz="4" w:space="0" w:color="auto"/>
              <w:bottom w:val="single" w:sz="4" w:space="0" w:color="auto"/>
              <w:right w:val="single" w:sz="4" w:space="0" w:color="auto"/>
            </w:tcBorders>
            <w:vAlign w:val="center"/>
          </w:tcPr>
          <w:p w14:paraId="34BF2419" w14:textId="77777777" w:rsidR="00D2506A" w:rsidRPr="00E2771E" w:rsidRDefault="00D2506A" w:rsidP="003916BE">
            <w:pPr>
              <w:pStyle w:val="In-tableHeading"/>
              <w:keepNext w:val="0"/>
              <w:jc w:val="center"/>
            </w:pPr>
            <w:r>
              <w:t>N</w:t>
            </w:r>
          </w:p>
        </w:tc>
        <w:tc>
          <w:tcPr>
            <w:tcW w:w="830" w:type="pct"/>
            <w:gridSpan w:val="3"/>
            <w:tcBorders>
              <w:top w:val="single" w:sz="4" w:space="0" w:color="auto"/>
              <w:left w:val="single" w:sz="4" w:space="0" w:color="auto"/>
              <w:bottom w:val="single" w:sz="4" w:space="0" w:color="auto"/>
              <w:right w:val="single" w:sz="4" w:space="0" w:color="auto"/>
            </w:tcBorders>
            <w:vAlign w:val="center"/>
          </w:tcPr>
          <w:p w14:paraId="23D8AB46" w14:textId="77777777" w:rsidR="00D2506A" w:rsidRPr="00E2771E" w:rsidRDefault="00D2506A" w:rsidP="003916BE">
            <w:pPr>
              <w:pStyle w:val="In-tableHeading"/>
              <w:keepNext w:val="0"/>
              <w:jc w:val="center"/>
            </w:pPr>
            <w:r w:rsidRPr="00E2771E">
              <w:t xml:space="preserve">Mean ∆ baseline </w:t>
            </w:r>
            <w:r>
              <w:t>LVOT (mmHg)</w:t>
            </w:r>
          </w:p>
        </w:tc>
        <w:tc>
          <w:tcPr>
            <w:tcW w:w="323" w:type="pct"/>
            <w:gridSpan w:val="2"/>
            <w:tcBorders>
              <w:top w:val="single" w:sz="4" w:space="0" w:color="auto"/>
              <w:left w:val="single" w:sz="4" w:space="0" w:color="auto"/>
              <w:bottom w:val="single" w:sz="4" w:space="0" w:color="auto"/>
              <w:right w:val="single" w:sz="4" w:space="0" w:color="auto"/>
            </w:tcBorders>
            <w:vAlign w:val="center"/>
          </w:tcPr>
          <w:p w14:paraId="4A2F6E40" w14:textId="77777777" w:rsidR="00D2506A" w:rsidRPr="00E2771E" w:rsidRDefault="00D2506A" w:rsidP="003916BE">
            <w:pPr>
              <w:pStyle w:val="In-tableHeading"/>
              <w:keepNext w:val="0"/>
              <w:jc w:val="center"/>
            </w:pPr>
            <w:r w:rsidRPr="00E2771E">
              <w:t>SD</w:t>
            </w:r>
          </w:p>
        </w:tc>
        <w:tc>
          <w:tcPr>
            <w:tcW w:w="1184" w:type="pct"/>
            <w:gridSpan w:val="2"/>
            <w:tcBorders>
              <w:top w:val="single" w:sz="4" w:space="0" w:color="auto"/>
              <w:left w:val="single" w:sz="4" w:space="0" w:color="auto"/>
              <w:bottom w:val="single" w:sz="4" w:space="0" w:color="auto"/>
              <w:right w:val="single" w:sz="4" w:space="0" w:color="auto"/>
            </w:tcBorders>
            <w:vAlign w:val="center"/>
          </w:tcPr>
          <w:p w14:paraId="18A57494" w14:textId="77777777" w:rsidR="00D2506A" w:rsidRPr="00E2771E" w:rsidRDefault="00D2506A" w:rsidP="003916BE">
            <w:pPr>
              <w:keepLines/>
              <w:jc w:val="center"/>
              <w:rPr>
                <w:rFonts w:ascii="Arial Narrow" w:hAnsi="Arial Narrow"/>
                <w:b/>
                <w:sz w:val="20"/>
                <w:szCs w:val="18"/>
              </w:rPr>
            </w:pPr>
          </w:p>
        </w:tc>
      </w:tr>
      <w:tr w:rsidR="002E396B" w:rsidRPr="00E2771E" w14:paraId="33644D94" w14:textId="77777777" w:rsidTr="00993F38">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3379ED41" w14:textId="0AB249B0" w:rsidR="00D2506A" w:rsidRPr="00E2771E" w:rsidRDefault="00D2506A" w:rsidP="003916BE">
            <w:pPr>
              <w:pStyle w:val="TableText0"/>
              <w:keepNext w:val="0"/>
            </w:pPr>
            <w:r>
              <w:t>Post exercise LVOT peak gradient</w:t>
            </w:r>
            <w:r w:rsidR="006F67A2">
              <w:t xml:space="preserve"> (mm</w:t>
            </w:r>
            <w:r w:rsidR="00904579">
              <w:t>Hg)</w:t>
            </w:r>
          </w:p>
        </w:tc>
        <w:tc>
          <w:tcPr>
            <w:tcW w:w="239" w:type="pct"/>
            <w:tcBorders>
              <w:top w:val="single" w:sz="4" w:space="0" w:color="auto"/>
              <w:left w:val="single" w:sz="4" w:space="0" w:color="auto"/>
              <w:bottom w:val="single" w:sz="4" w:space="0" w:color="auto"/>
              <w:right w:val="single" w:sz="4" w:space="0" w:color="auto"/>
            </w:tcBorders>
            <w:vAlign w:val="center"/>
          </w:tcPr>
          <w:p w14:paraId="678F9B8C" w14:textId="77777777" w:rsidR="00D2506A" w:rsidRPr="00E2771E" w:rsidRDefault="00D2506A" w:rsidP="003916BE">
            <w:pPr>
              <w:pStyle w:val="TableText0"/>
              <w:keepNext w:val="0"/>
              <w:jc w:val="center"/>
            </w:pPr>
            <w:r>
              <w:t>117</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0B4F27E6" w14:textId="77777777" w:rsidR="00D2506A" w:rsidRPr="00E2771E" w:rsidRDefault="00D2506A" w:rsidP="003916BE">
            <w:pPr>
              <w:pStyle w:val="TableText0"/>
              <w:keepNext w:val="0"/>
              <w:jc w:val="center"/>
            </w:pPr>
            <w:r>
              <w:t>-47</w:t>
            </w:r>
          </w:p>
        </w:tc>
        <w:tc>
          <w:tcPr>
            <w:tcW w:w="321" w:type="pct"/>
            <w:gridSpan w:val="3"/>
            <w:tcBorders>
              <w:top w:val="single" w:sz="4" w:space="0" w:color="auto"/>
              <w:left w:val="single" w:sz="4" w:space="0" w:color="auto"/>
              <w:bottom w:val="single" w:sz="4" w:space="0" w:color="auto"/>
              <w:right w:val="single" w:sz="4" w:space="0" w:color="auto"/>
            </w:tcBorders>
            <w:vAlign w:val="center"/>
          </w:tcPr>
          <w:p w14:paraId="76BA5474" w14:textId="77777777" w:rsidR="00D2506A" w:rsidRPr="00E2771E" w:rsidRDefault="00D2506A" w:rsidP="003916BE">
            <w:pPr>
              <w:pStyle w:val="TableText0"/>
              <w:keepNext w:val="0"/>
              <w:jc w:val="center"/>
            </w:pPr>
            <w:r>
              <w:t>40.3</w:t>
            </w:r>
          </w:p>
        </w:tc>
        <w:tc>
          <w:tcPr>
            <w:tcW w:w="281" w:type="pct"/>
            <w:tcBorders>
              <w:top w:val="single" w:sz="4" w:space="0" w:color="auto"/>
              <w:left w:val="single" w:sz="4" w:space="0" w:color="auto"/>
              <w:bottom w:val="single" w:sz="4" w:space="0" w:color="auto"/>
              <w:right w:val="single" w:sz="4" w:space="0" w:color="auto"/>
            </w:tcBorders>
            <w:vAlign w:val="center"/>
          </w:tcPr>
          <w:p w14:paraId="6546E54B" w14:textId="77777777" w:rsidR="00D2506A" w:rsidRPr="00E2771E" w:rsidRDefault="00D2506A" w:rsidP="003916BE">
            <w:pPr>
              <w:pStyle w:val="TableText0"/>
              <w:keepNext w:val="0"/>
              <w:jc w:val="center"/>
            </w:pPr>
            <w:r>
              <w:t>122</w:t>
            </w:r>
          </w:p>
        </w:tc>
        <w:tc>
          <w:tcPr>
            <w:tcW w:w="830" w:type="pct"/>
            <w:gridSpan w:val="3"/>
            <w:tcBorders>
              <w:top w:val="single" w:sz="4" w:space="0" w:color="auto"/>
              <w:left w:val="single" w:sz="4" w:space="0" w:color="auto"/>
              <w:bottom w:val="single" w:sz="4" w:space="0" w:color="auto"/>
              <w:right w:val="single" w:sz="4" w:space="0" w:color="auto"/>
            </w:tcBorders>
            <w:vAlign w:val="center"/>
          </w:tcPr>
          <w:p w14:paraId="6BD75186" w14:textId="77777777" w:rsidR="00D2506A" w:rsidRPr="00E2771E" w:rsidRDefault="00D2506A" w:rsidP="003916BE">
            <w:pPr>
              <w:pStyle w:val="TableText0"/>
              <w:keepNext w:val="0"/>
              <w:jc w:val="center"/>
            </w:pPr>
            <w:r w:rsidRPr="00E2771E">
              <w:t>-0.30</w:t>
            </w:r>
          </w:p>
        </w:tc>
        <w:tc>
          <w:tcPr>
            <w:tcW w:w="323" w:type="pct"/>
            <w:gridSpan w:val="2"/>
            <w:tcBorders>
              <w:top w:val="single" w:sz="4" w:space="0" w:color="auto"/>
              <w:left w:val="single" w:sz="4" w:space="0" w:color="auto"/>
              <w:bottom w:val="single" w:sz="4" w:space="0" w:color="auto"/>
              <w:right w:val="single" w:sz="4" w:space="0" w:color="auto"/>
            </w:tcBorders>
            <w:vAlign w:val="center"/>
          </w:tcPr>
          <w:p w14:paraId="3E5F755F" w14:textId="77777777" w:rsidR="00D2506A" w:rsidRPr="00E2771E" w:rsidRDefault="00D2506A" w:rsidP="003916BE">
            <w:pPr>
              <w:pStyle w:val="TableText0"/>
              <w:keepNext w:val="0"/>
              <w:jc w:val="center"/>
            </w:pPr>
            <w:r>
              <w:t>29.6</w:t>
            </w:r>
          </w:p>
        </w:tc>
        <w:tc>
          <w:tcPr>
            <w:tcW w:w="1184" w:type="pct"/>
            <w:gridSpan w:val="2"/>
            <w:tcBorders>
              <w:top w:val="single" w:sz="4" w:space="0" w:color="auto"/>
              <w:left w:val="single" w:sz="4" w:space="0" w:color="auto"/>
              <w:bottom w:val="single" w:sz="4" w:space="0" w:color="auto"/>
              <w:right w:val="single" w:sz="4" w:space="0" w:color="auto"/>
            </w:tcBorders>
            <w:vAlign w:val="center"/>
          </w:tcPr>
          <w:p w14:paraId="6F26825E" w14:textId="77777777" w:rsidR="00D2506A" w:rsidRPr="007C7BFF" w:rsidRDefault="00D2506A" w:rsidP="003916BE">
            <w:pPr>
              <w:pStyle w:val="TableText0"/>
              <w:keepNext w:val="0"/>
              <w:jc w:val="center"/>
              <w:rPr>
                <w:b/>
              </w:rPr>
            </w:pPr>
            <w:r w:rsidRPr="007C7BFF">
              <w:rPr>
                <w:b/>
                <w:color w:val="000000"/>
                <w:lang w:val="en-US"/>
              </w:rPr>
              <w:t>-35 (-43.2, -28.1)</w:t>
            </w:r>
          </w:p>
        </w:tc>
      </w:tr>
      <w:tr w:rsidR="002E396B" w:rsidRPr="00E2771E" w14:paraId="19251E80" w14:textId="77777777" w:rsidTr="00993F38">
        <w:tc>
          <w:tcPr>
            <w:tcW w:w="1029" w:type="pct"/>
            <w:tcBorders>
              <w:top w:val="single" w:sz="4" w:space="0" w:color="auto"/>
              <w:left w:val="single" w:sz="4" w:space="0" w:color="auto"/>
              <w:bottom w:val="double" w:sz="4" w:space="0" w:color="auto"/>
              <w:right w:val="single" w:sz="4" w:space="0" w:color="auto"/>
            </w:tcBorders>
            <w:shd w:val="clear" w:color="auto" w:fill="auto"/>
            <w:vAlign w:val="center"/>
          </w:tcPr>
          <w:p w14:paraId="2A01034E" w14:textId="796BE5BF" w:rsidR="00D2506A" w:rsidRPr="003949CA" w:rsidRDefault="00D2506A" w:rsidP="003916BE">
            <w:pPr>
              <w:pStyle w:val="TableText0"/>
              <w:keepNext w:val="0"/>
            </w:pPr>
            <w:r>
              <w:t xml:space="preserve">Peak oxygen </w:t>
            </w:r>
            <w:r w:rsidR="00051379">
              <w:t>consumption</w:t>
            </w:r>
            <w:r>
              <w:t xml:space="preserve"> (pVO</w:t>
            </w:r>
            <w:r>
              <w:rPr>
                <w:vertAlign w:val="subscript"/>
              </w:rPr>
              <w:t>2</w:t>
            </w:r>
            <w:r>
              <w:t>)</w:t>
            </w:r>
          </w:p>
        </w:tc>
        <w:tc>
          <w:tcPr>
            <w:tcW w:w="239" w:type="pct"/>
            <w:tcBorders>
              <w:top w:val="single" w:sz="4" w:space="0" w:color="auto"/>
              <w:left w:val="single" w:sz="4" w:space="0" w:color="auto"/>
              <w:bottom w:val="double" w:sz="4" w:space="0" w:color="auto"/>
              <w:right w:val="single" w:sz="4" w:space="0" w:color="auto"/>
            </w:tcBorders>
            <w:vAlign w:val="center"/>
          </w:tcPr>
          <w:p w14:paraId="03E88754" w14:textId="77777777" w:rsidR="00D2506A" w:rsidRPr="00E2771E" w:rsidRDefault="00D2506A" w:rsidP="003916BE">
            <w:pPr>
              <w:pStyle w:val="TableText0"/>
              <w:keepNext w:val="0"/>
              <w:jc w:val="center"/>
            </w:pPr>
            <w:r>
              <w:t>120</w:t>
            </w:r>
          </w:p>
        </w:tc>
        <w:tc>
          <w:tcPr>
            <w:tcW w:w="793" w:type="pct"/>
            <w:gridSpan w:val="2"/>
            <w:tcBorders>
              <w:top w:val="single" w:sz="4" w:space="0" w:color="auto"/>
              <w:left w:val="single" w:sz="4" w:space="0" w:color="auto"/>
              <w:bottom w:val="double" w:sz="4" w:space="0" w:color="auto"/>
              <w:right w:val="single" w:sz="4" w:space="0" w:color="auto"/>
            </w:tcBorders>
            <w:vAlign w:val="center"/>
          </w:tcPr>
          <w:p w14:paraId="0A9C59A4" w14:textId="77777777" w:rsidR="00D2506A" w:rsidRPr="00E2771E" w:rsidRDefault="00D2506A" w:rsidP="003916BE">
            <w:pPr>
              <w:pStyle w:val="TableText0"/>
              <w:keepNext w:val="0"/>
              <w:jc w:val="center"/>
            </w:pPr>
            <w:r>
              <w:t>1.4</w:t>
            </w:r>
          </w:p>
        </w:tc>
        <w:tc>
          <w:tcPr>
            <w:tcW w:w="321" w:type="pct"/>
            <w:gridSpan w:val="3"/>
            <w:tcBorders>
              <w:top w:val="single" w:sz="4" w:space="0" w:color="auto"/>
              <w:left w:val="single" w:sz="4" w:space="0" w:color="auto"/>
              <w:bottom w:val="double" w:sz="4" w:space="0" w:color="auto"/>
              <w:right w:val="single" w:sz="4" w:space="0" w:color="auto"/>
            </w:tcBorders>
            <w:vAlign w:val="center"/>
          </w:tcPr>
          <w:p w14:paraId="2B279DEE" w14:textId="77777777" w:rsidR="00D2506A" w:rsidRPr="00E2771E" w:rsidRDefault="00D2506A" w:rsidP="003916BE">
            <w:pPr>
              <w:pStyle w:val="TableText0"/>
              <w:keepNext w:val="0"/>
              <w:jc w:val="center"/>
            </w:pPr>
            <w:r>
              <w:t>3.12</w:t>
            </w:r>
          </w:p>
        </w:tc>
        <w:tc>
          <w:tcPr>
            <w:tcW w:w="281" w:type="pct"/>
            <w:tcBorders>
              <w:top w:val="single" w:sz="4" w:space="0" w:color="auto"/>
              <w:left w:val="single" w:sz="4" w:space="0" w:color="auto"/>
              <w:bottom w:val="double" w:sz="4" w:space="0" w:color="auto"/>
              <w:right w:val="single" w:sz="4" w:space="0" w:color="auto"/>
            </w:tcBorders>
            <w:vAlign w:val="center"/>
          </w:tcPr>
          <w:p w14:paraId="29E27387" w14:textId="77777777" w:rsidR="00D2506A" w:rsidRPr="00E2771E" w:rsidRDefault="00D2506A" w:rsidP="003916BE">
            <w:pPr>
              <w:pStyle w:val="TableText0"/>
              <w:keepNext w:val="0"/>
              <w:jc w:val="center"/>
            </w:pPr>
            <w:r>
              <w:t>125</w:t>
            </w:r>
          </w:p>
        </w:tc>
        <w:tc>
          <w:tcPr>
            <w:tcW w:w="830" w:type="pct"/>
            <w:gridSpan w:val="3"/>
            <w:tcBorders>
              <w:top w:val="single" w:sz="4" w:space="0" w:color="auto"/>
              <w:left w:val="single" w:sz="4" w:space="0" w:color="auto"/>
              <w:bottom w:val="double" w:sz="4" w:space="0" w:color="auto"/>
              <w:right w:val="single" w:sz="4" w:space="0" w:color="auto"/>
            </w:tcBorders>
            <w:vAlign w:val="center"/>
          </w:tcPr>
          <w:p w14:paraId="6F76C121" w14:textId="77777777" w:rsidR="00D2506A" w:rsidRPr="00E2771E" w:rsidRDefault="00D2506A" w:rsidP="003916BE">
            <w:pPr>
              <w:pStyle w:val="TableText0"/>
              <w:keepNext w:val="0"/>
              <w:jc w:val="center"/>
            </w:pPr>
            <w:r>
              <w:t>-0.05</w:t>
            </w:r>
          </w:p>
        </w:tc>
        <w:tc>
          <w:tcPr>
            <w:tcW w:w="323" w:type="pct"/>
            <w:gridSpan w:val="2"/>
            <w:tcBorders>
              <w:top w:val="single" w:sz="4" w:space="0" w:color="auto"/>
              <w:left w:val="single" w:sz="4" w:space="0" w:color="auto"/>
              <w:bottom w:val="double" w:sz="4" w:space="0" w:color="auto"/>
              <w:right w:val="single" w:sz="4" w:space="0" w:color="auto"/>
            </w:tcBorders>
            <w:vAlign w:val="center"/>
          </w:tcPr>
          <w:p w14:paraId="39DC0CF2" w14:textId="77777777" w:rsidR="00D2506A" w:rsidRPr="00E2771E" w:rsidRDefault="00D2506A" w:rsidP="003916BE">
            <w:pPr>
              <w:pStyle w:val="TableText0"/>
              <w:keepNext w:val="0"/>
              <w:jc w:val="center"/>
            </w:pPr>
            <w:r>
              <w:t>3.02</w:t>
            </w:r>
          </w:p>
        </w:tc>
        <w:tc>
          <w:tcPr>
            <w:tcW w:w="1184" w:type="pct"/>
            <w:gridSpan w:val="2"/>
            <w:tcBorders>
              <w:top w:val="single" w:sz="4" w:space="0" w:color="auto"/>
              <w:left w:val="single" w:sz="4" w:space="0" w:color="auto"/>
              <w:bottom w:val="double" w:sz="4" w:space="0" w:color="auto"/>
              <w:right w:val="single" w:sz="4" w:space="0" w:color="auto"/>
            </w:tcBorders>
            <w:vAlign w:val="center"/>
          </w:tcPr>
          <w:p w14:paraId="49E9606D" w14:textId="77777777" w:rsidR="00D2506A" w:rsidRPr="007C7BFF" w:rsidRDefault="00D2506A" w:rsidP="003916BE">
            <w:pPr>
              <w:pStyle w:val="TableText0"/>
              <w:keepNext w:val="0"/>
              <w:jc w:val="center"/>
              <w:rPr>
                <w:b/>
              </w:rPr>
            </w:pPr>
            <w:r w:rsidRPr="007C7BFF">
              <w:rPr>
                <w:b/>
                <w:color w:val="000000"/>
                <w:lang w:val="en-US"/>
              </w:rPr>
              <w:t>1.4 (0.59, 2.12)</w:t>
            </w:r>
          </w:p>
        </w:tc>
      </w:tr>
      <w:tr w:rsidR="00D2506A" w:rsidRPr="00E2771E" w14:paraId="3A2C7FD6" w14:textId="77777777" w:rsidTr="00993F38">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00FD35D" w14:textId="77777777" w:rsidR="00D2506A" w:rsidRPr="004B5317" w:rsidRDefault="00D2506A" w:rsidP="003916BE">
            <w:pPr>
              <w:pStyle w:val="In-tableHeading"/>
              <w:keepNext w:val="0"/>
              <w:rPr>
                <w:color w:val="000000"/>
              </w:rPr>
            </w:pPr>
            <w:r w:rsidRPr="00FF1104">
              <w:t>Categorical outcomes: NYHA class: proportion reduced from baseline to Week 30</w:t>
            </w:r>
            <w:r>
              <w:rPr>
                <w:color w:val="000000"/>
              </w:rPr>
              <w:t xml:space="preserve"> </w:t>
            </w:r>
          </w:p>
        </w:tc>
      </w:tr>
      <w:tr w:rsidR="00B9002A" w:rsidRPr="00E2771E" w14:paraId="710FA701" w14:textId="77777777" w:rsidTr="00993F38">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831018B" w14:textId="77777777" w:rsidR="00D2506A" w:rsidRPr="00E2771E" w:rsidDel="003949CA" w:rsidRDefault="00D2506A" w:rsidP="003916BE">
            <w:pPr>
              <w:pStyle w:val="TableText0"/>
              <w:keepNext w:val="0"/>
            </w:pPr>
          </w:p>
        </w:tc>
        <w:tc>
          <w:tcPr>
            <w:tcW w:w="1192" w:type="pct"/>
            <w:gridSpan w:val="5"/>
            <w:tcBorders>
              <w:top w:val="single" w:sz="4" w:space="0" w:color="auto"/>
              <w:left w:val="single" w:sz="4" w:space="0" w:color="auto"/>
              <w:bottom w:val="single" w:sz="4" w:space="0" w:color="auto"/>
              <w:right w:val="single" w:sz="4" w:space="0" w:color="auto"/>
            </w:tcBorders>
            <w:vAlign w:val="center"/>
          </w:tcPr>
          <w:p w14:paraId="6B15124D" w14:textId="77777777" w:rsidR="00D2506A" w:rsidRPr="00FF1104" w:rsidDel="003949CA" w:rsidRDefault="00D2506A" w:rsidP="003916BE">
            <w:pPr>
              <w:pStyle w:val="TableText0"/>
              <w:keepNext w:val="0"/>
              <w:jc w:val="center"/>
              <w:rPr>
                <w:b/>
              </w:rPr>
            </w:pPr>
            <w:r w:rsidRPr="00FF1104">
              <w:rPr>
                <w:b/>
              </w:rPr>
              <w:t xml:space="preserve">Mavacamten </w:t>
            </w:r>
          </w:p>
        </w:tc>
        <w:tc>
          <w:tcPr>
            <w:tcW w:w="1595" w:type="pct"/>
            <w:gridSpan w:val="7"/>
            <w:tcBorders>
              <w:top w:val="single" w:sz="4" w:space="0" w:color="auto"/>
              <w:left w:val="single" w:sz="4" w:space="0" w:color="auto"/>
              <w:bottom w:val="single" w:sz="4" w:space="0" w:color="auto"/>
              <w:right w:val="single" w:sz="4" w:space="0" w:color="auto"/>
            </w:tcBorders>
            <w:vAlign w:val="center"/>
          </w:tcPr>
          <w:p w14:paraId="226C07E4" w14:textId="77777777" w:rsidR="00D2506A" w:rsidRPr="00FF1104" w:rsidDel="003949CA" w:rsidRDefault="00D2506A" w:rsidP="003916BE">
            <w:pPr>
              <w:pStyle w:val="TableText0"/>
              <w:keepNext w:val="0"/>
              <w:jc w:val="center"/>
              <w:rPr>
                <w:b/>
              </w:rPr>
            </w:pPr>
            <w:r w:rsidRPr="00FF1104">
              <w:rPr>
                <w:b/>
              </w:rPr>
              <w:t>Placebo</w:t>
            </w:r>
          </w:p>
        </w:tc>
        <w:tc>
          <w:tcPr>
            <w:tcW w:w="1184" w:type="pct"/>
            <w:gridSpan w:val="2"/>
            <w:tcBorders>
              <w:top w:val="single" w:sz="4" w:space="0" w:color="auto"/>
              <w:left w:val="single" w:sz="4" w:space="0" w:color="auto"/>
              <w:bottom w:val="single" w:sz="4" w:space="0" w:color="auto"/>
              <w:right w:val="single" w:sz="4" w:space="0" w:color="auto"/>
            </w:tcBorders>
            <w:vAlign w:val="center"/>
          </w:tcPr>
          <w:p w14:paraId="2577694E" w14:textId="77777777" w:rsidR="00D2506A" w:rsidRPr="00CB1F05" w:rsidRDefault="00D2506A" w:rsidP="003916BE">
            <w:pPr>
              <w:pStyle w:val="TableText0"/>
              <w:keepNext w:val="0"/>
              <w:jc w:val="center"/>
              <w:rPr>
                <w:b/>
                <w:color w:val="000000"/>
                <w:lang w:val="en-US"/>
              </w:rPr>
            </w:pPr>
            <w:r w:rsidRPr="00CB1F05">
              <w:rPr>
                <w:b/>
                <w:color w:val="000000"/>
                <w:lang w:val="en-US"/>
              </w:rPr>
              <w:t>RR (95%CI)</w:t>
            </w:r>
          </w:p>
        </w:tc>
      </w:tr>
      <w:tr w:rsidR="00B9002A" w:rsidRPr="00885192" w14:paraId="3863AF1B" w14:textId="77777777" w:rsidTr="00993F38">
        <w:tc>
          <w:tcPr>
            <w:tcW w:w="1029" w:type="pct"/>
            <w:tcBorders>
              <w:top w:val="single" w:sz="4" w:space="0" w:color="auto"/>
              <w:left w:val="single" w:sz="4" w:space="0" w:color="auto"/>
              <w:bottom w:val="double" w:sz="4" w:space="0" w:color="auto"/>
              <w:right w:val="single" w:sz="4" w:space="0" w:color="auto"/>
            </w:tcBorders>
            <w:shd w:val="clear" w:color="auto" w:fill="auto"/>
            <w:vAlign w:val="center"/>
          </w:tcPr>
          <w:p w14:paraId="78DD3337" w14:textId="77777777" w:rsidR="00D2506A" w:rsidRPr="00885192" w:rsidRDefault="00D2506A" w:rsidP="003916BE">
            <w:pPr>
              <w:pStyle w:val="TableText0"/>
              <w:keepNext w:val="0"/>
            </w:pPr>
            <w:r w:rsidRPr="00885192">
              <w:t>Downgraded ≥1 class</w:t>
            </w:r>
          </w:p>
        </w:tc>
        <w:tc>
          <w:tcPr>
            <w:tcW w:w="1192" w:type="pct"/>
            <w:gridSpan w:val="5"/>
            <w:tcBorders>
              <w:top w:val="single" w:sz="4" w:space="0" w:color="auto"/>
              <w:left w:val="single" w:sz="4" w:space="0" w:color="auto"/>
              <w:bottom w:val="double" w:sz="4" w:space="0" w:color="auto"/>
              <w:right w:val="single" w:sz="4" w:space="0" w:color="auto"/>
            </w:tcBorders>
            <w:vAlign w:val="center"/>
          </w:tcPr>
          <w:p w14:paraId="5902D032" w14:textId="77777777" w:rsidR="00D2506A" w:rsidRPr="00885192" w:rsidRDefault="00D2506A" w:rsidP="003916BE">
            <w:pPr>
              <w:pStyle w:val="TableText0"/>
              <w:keepNext w:val="0"/>
              <w:jc w:val="center"/>
            </w:pPr>
            <w:r w:rsidRPr="00885192">
              <w:t>80/123 (65.0%)</w:t>
            </w:r>
          </w:p>
        </w:tc>
        <w:tc>
          <w:tcPr>
            <w:tcW w:w="1595" w:type="pct"/>
            <w:gridSpan w:val="7"/>
            <w:tcBorders>
              <w:top w:val="single" w:sz="4" w:space="0" w:color="auto"/>
              <w:left w:val="single" w:sz="4" w:space="0" w:color="auto"/>
              <w:bottom w:val="double" w:sz="4" w:space="0" w:color="auto"/>
              <w:right w:val="single" w:sz="4" w:space="0" w:color="auto"/>
            </w:tcBorders>
            <w:vAlign w:val="center"/>
          </w:tcPr>
          <w:p w14:paraId="5BF9FAE2" w14:textId="77777777" w:rsidR="00D2506A" w:rsidRPr="00885192" w:rsidRDefault="00D2506A" w:rsidP="003916BE">
            <w:pPr>
              <w:pStyle w:val="TableText0"/>
              <w:keepNext w:val="0"/>
              <w:jc w:val="center"/>
            </w:pPr>
            <w:r w:rsidRPr="00885192">
              <w:t>40/128 (31.3%)</w:t>
            </w:r>
          </w:p>
        </w:tc>
        <w:tc>
          <w:tcPr>
            <w:tcW w:w="1184" w:type="pct"/>
            <w:gridSpan w:val="2"/>
            <w:tcBorders>
              <w:top w:val="single" w:sz="4" w:space="0" w:color="auto"/>
              <w:left w:val="single" w:sz="4" w:space="0" w:color="auto"/>
              <w:bottom w:val="double" w:sz="4" w:space="0" w:color="auto"/>
              <w:right w:val="single" w:sz="4" w:space="0" w:color="auto"/>
            </w:tcBorders>
            <w:vAlign w:val="center"/>
          </w:tcPr>
          <w:p w14:paraId="201A9F73" w14:textId="15211963" w:rsidR="00D2506A" w:rsidRPr="00885192" w:rsidRDefault="00D2506A" w:rsidP="003916BE">
            <w:pPr>
              <w:pStyle w:val="TableText0"/>
              <w:keepNext w:val="0"/>
              <w:jc w:val="center"/>
              <w:rPr>
                <w:b/>
                <w:color w:val="000000"/>
                <w:lang w:val="en-US"/>
              </w:rPr>
            </w:pPr>
            <w:r w:rsidRPr="00885192">
              <w:rPr>
                <w:b/>
                <w:color w:val="000000"/>
                <w:lang w:val="en-US"/>
              </w:rPr>
              <w:t>2.08 (1.56, 2.78)</w:t>
            </w:r>
            <w:r w:rsidR="008A685A" w:rsidRPr="008A685A">
              <w:rPr>
                <w:b/>
                <w:color w:val="000000"/>
                <w:vertAlign w:val="superscript"/>
                <w:lang w:val="en-US"/>
              </w:rPr>
              <w:t>a</w:t>
            </w:r>
          </w:p>
        </w:tc>
      </w:tr>
      <w:tr w:rsidR="00D2506A" w:rsidRPr="00E2771E" w14:paraId="62A71F80" w14:textId="77777777" w:rsidTr="00993F38">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63417EB7" w14:textId="77777777" w:rsidR="00D2506A" w:rsidRPr="00E2771E" w:rsidRDefault="00D2506A" w:rsidP="003916BE">
            <w:pPr>
              <w:pStyle w:val="In-tableHeading"/>
              <w:keepNext w:val="0"/>
            </w:pPr>
            <w:r w:rsidRPr="00E2771E">
              <w:t xml:space="preserve">Harms </w:t>
            </w:r>
          </w:p>
        </w:tc>
      </w:tr>
      <w:tr w:rsidR="00B9002A" w:rsidRPr="00E2771E" w14:paraId="57FD99A9" w14:textId="77777777" w:rsidTr="00993F38">
        <w:trPr>
          <w:trHeight w:val="70"/>
        </w:trPr>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70565B" w14:textId="77777777" w:rsidR="00D2506A" w:rsidRPr="00E2771E" w:rsidRDefault="00D2506A" w:rsidP="003916BE">
            <w:pPr>
              <w:pStyle w:val="In-tableHeading"/>
              <w:keepNext w:val="0"/>
            </w:pPr>
          </w:p>
        </w:tc>
        <w:tc>
          <w:tcPr>
            <w:tcW w:w="638" w:type="pct"/>
            <w:gridSpan w:val="2"/>
            <w:vMerge w:val="restart"/>
            <w:tcBorders>
              <w:top w:val="single" w:sz="4" w:space="0" w:color="auto"/>
              <w:left w:val="single" w:sz="4" w:space="0" w:color="auto"/>
              <w:bottom w:val="single" w:sz="4" w:space="0" w:color="auto"/>
              <w:right w:val="single" w:sz="4" w:space="0" w:color="auto"/>
            </w:tcBorders>
            <w:vAlign w:val="center"/>
          </w:tcPr>
          <w:p w14:paraId="30ADA745" w14:textId="77777777" w:rsidR="00D2506A" w:rsidRDefault="00D2506A" w:rsidP="003916BE">
            <w:pPr>
              <w:pStyle w:val="In-tableHeading"/>
              <w:keepNext w:val="0"/>
              <w:jc w:val="center"/>
            </w:pPr>
            <w:r>
              <w:t>Mavacamten</w:t>
            </w:r>
          </w:p>
          <w:p w14:paraId="10F6BD1D" w14:textId="77777777" w:rsidR="00D2506A" w:rsidRPr="00E2771E" w:rsidRDefault="00D2506A" w:rsidP="003916BE">
            <w:pPr>
              <w:pStyle w:val="In-tableHeading"/>
              <w:keepNext w:val="0"/>
              <w:jc w:val="center"/>
            </w:pPr>
            <w:r>
              <w:t>n/N</w:t>
            </w:r>
          </w:p>
        </w:tc>
        <w:tc>
          <w:tcPr>
            <w:tcW w:w="474" w:type="pct"/>
            <w:gridSpan w:val="2"/>
            <w:vMerge w:val="restart"/>
            <w:tcBorders>
              <w:top w:val="single" w:sz="4" w:space="0" w:color="auto"/>
              <w:left w:val="single" w:sz="4" w:space="0" w:color="auto"/>
              <w:bottom w:val="single" w:sz="4" w:space="0" w:color="auto"/>
              <w:right w:val="single" w:sz="4" w:space="0" w:color="auto"/>
            </w:tcBorders>
            <w:vAlign w:val="center"/>
          </w:tcPr>
          <w:p w14:paraId="64C1BA1B" w14:textId="77777777" w:rsidR="00D2506A" w:rsidRDefault="00D2506A" w:rsidP="003916BE">
            <w:pPr>
              <w:pStyle w:val="In-tableHeading"/>
              <w:keepNext w:val="0"/>
              <w:jc w:val="center"/>
            </w:pPr>
            <w:r>
              <w:t>Placebo</w:t>
            </w:r>
          </w:p>
          <w:p w14:paraId="770D7CF7" w14:textId="77777777" w:rsidR="00D2506A" w:rsidRPr="00E2771E" w:rsidRDefault="00D2506A" w:rsidP="003916BE">
            <w:pPr>
              <w:pStyle w:val="In-tableHeading"/>
              <w:keepNext w:val="0"/>
              <w:jc w:val="center"/>
            </w:pPr>
            <w:r>
              <w:t>n/N</w:t>
            </w:r>
          </w:p>
        </w:tc>
        <w:tc>
          <w:tcPr>
            <w:tcW w:w="793" w:type="pct"/>
            <w:gridSpan w:val="5"/>
            <w:vMerge w:val="restart"/>
            <w:tcBorders>
              <w:top w:val="single" w:sz="4" w:space="0" w:color="auto"/>
              <w:left w:val="single" w:sz="4" w:space="0" w:color="auto"/>
              <w:bottom w:val="single" w:sz="4" w:space="0" w:color="auto"/>
              <w:right w:val="single" w:sz="4" w:space="0" w:color="auto"/>
            </w:tcBorders>
            <w:vAlign w:val="center"/>
          </w:tcPr>
          <w:p w14:paraId="5B8003CB" w14:textId="77777777" w:rsidR="00D2506A" w:rsidRPr="00E2771E" w:rsidRDefault="00D2506A" w:rsidP="003916BE">
            <w:pPr>
              <w:pStyle w:val="In-tableHeading"/>
              <w:keepNext w:val="0"/>
              <w:jc w:val="center"/>
            </w:pPr>
            <w:r w:rsidRPr="00E2771E">
              <w:t>RR</w:t>
            </w:r>
          </w:p>
          <w:p w14:paraId="591E6A85" w14:textId="77777777" w:rsidR="00D2506A" w:rsidRPr="00E2771E" w:rsidRDefault="00D2506A" w:rsidP="003916BE">
            <w:pPr>
              <w:pStyle w:val="In-tableHeading"/>
              <w:keepNext w:val="0"/>
              <w:jc w:val="center"/>
            </w:pPr>
            <w:r w:rsidRPr="00E2771E">
              <w:t>(95% CI)</w:t>
            </w:r>
          </w:p>
        </w:tc>
        <w:tc>
          <w:tcPr>
            <w:tcW w:w="1263" w:type="pct"/>
            <w:gridSpan w:val="4"/>
            <w:tcBorders>
              <w:top w:val="single" w:sz="4" w:space="0" w:color="auto"/>
              <w:left w:val="single" w:sz="4" w:space="0" w:color="auto"/>
              <w:bottom w:val="single" w:sz="4" w:space="0" w:color="auto"/>
              <w:right w:val="single" w:sz="4" w:space="0" w:color="auto"/>
            </w:tcBorders>
            <w:vAlign w:val="center"/>
          </w:tcPr>
          <w:p w14:paraId="7EE9601B" w14:textId="159B021C" w:rsidR="00D2506A" w:rsidRPr="00E2771E" w:rsidRDefault="00D2506A" w:rsidP="003916BE">
            <w:pPr>
              <w:pStyle w:val="In-tableHeading"/>
              <w:keepNext w:val="0"/>
              <w:jc w:val="center"/>
            </w:pPr>
            <w:r w:rsidRPr="00E2771E">
              <w:t>Event rate/100 patients</w:t>
            </w:r>
          </w:p>
        </w:tc>
        <w:tc>
          <w:tcPr>
            <w:tcW w:w="802" w:type="pct"/>
            <w:vMerge w:val="restart"/>
            <w:tcBorders>
              <w:top w:val="single" w:sz="4" w:space="0" w:color="auto"/>
              <w:left w:val="single" w:sz="4" w:space="0" w:color="auto"/>
              <w:bottom w:val="single" w:sz="4" w:space="0" w:color="auto"/>
              <w:right w:val="single" w:sz="4" w:space="0" w:color="auto"/>
            </w:tcBorders>
            <w:vAlign w:val="center"/>
          </w:tcPr>
          <w:p w14:paraId="5A18EC4F" w14:textId="77777777" w:rsidR="00D2506A" w:rsidRPr="00E2771E" w:rsidRDefault="00D2506A" w:rsidP="003916BE">
            <w:pPr>
              <w:pStyle w:val="In-tableHeading"/>
              <w:keepNext w:val="0"/>
              <w:jc w:val="center"/>
            </w:pPr>
            <w:r w:rsidRPr="00E2771E">
              <w:t>RD</w:t>
            </w:r>
          </w:p>
          <w:p w14:paraId="092E8053" w14:textId="77777777" w:rsidR="00D2506A" w:rsidRPr="00E2771E" w:rsidRDefault="00D2506A" w:rsidP="003916BE">
            <w:pPr>
              <w:pStyle w:val="In-tableHeading"/>
              <w:keepNext w:val="0"/>
              <w:jc w:val="center"/>
            </w:pPr>
            <w:r w:rsidRPr="00E2771E">
              <w:t>(95% CI)</w:t>
            </w:r>
          </w:p>
        </w:tc>
      </w:tr>
      <w:tr w:rsidR="002E396B" w:rsidRPr="00E2771E" w14:paraId="6E9A8B75" w14:textId="77777777" w:rsidTr="00993F38">
        <w:trPr>
          <w:trHeight w:val="390"/>
        </w:trPr>
        <w:tc>
          <w:tcPr>
            <w:tcW w:w="10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FCDA5D" w14:textId="77777777" w:rsidR="00D2506A" w:rsidRPr="00E2771E" w:rsidRDefault="00D2506A" w:rsidP="003916BE">
            <w:pPr>
              <w:pStyle w:val="In-tableHeading"/>
              <w:keepNext w:val="0"/>
            </w:pPr>
          </w:p>
        </w:tc>
        <w:tc>
          <w:tcPr>
            <w:tcW w:w="638" w:type="pct"/>
            <w:gridSpan w:val="2"/>
            <w:vMerge/>
            <w:tcBorders>
              <w:top w:val="single" w:sz="4" w:space="0" w:color="auto"/>
              <w:left w:val="single" w:sz="4" w:space="0" w:color="auto"/>
              <w:bottom w:val="single" w:sz="4" w:space="0" w:color="auto"/>
              <w:right w:val="single" w:sz="4" w:space="0" w:color="auto"/>
            </w:tcBorders>
            <w:vAlign w:val="center"/>
          </w:tcPr>
          <w:p w14:paraId="1D51DFD4" w14:textId="77777777" w:rsidR="00D2506A" w:rsidRPr="00E2771E" w:rsidRDefault="00D2506A" w:rsidP="003916BE">
            <w:pPr>
              <w:pStyle w:val="In-tableHeading"/>
              <w:keepNext w:val="0"/>
            </w:pPr>
          </w:p>
        </w:tc>
        <w:tc>
          <w:tcPr>
            <w:tcW w:w="474" w:type="pct"/>
            <w:gridSpan w:val="2"/>
            <w:vMerge/>
            <w:tcBorders>
              <w:top w:val="single" w:sz="4" w:space="0" w:color="auto"/>
              <w:left w:val="single" w:sz="4" w:space="0" w:color="auto"/>
              <w:bottom w:val="single" w:sz="4" w:space="0" w:color="auto"/>
              <w:right w:val="single" w:sz="4" w:space="0" w:color="auto"/>
            </w:tcBorders>
            <w:vAlign w:val="center"/>
          </w:tcPr>
          <w:p w14:paraId="69048AC6" w14:textId="77777777" w:rsidR="00D2506A" w:rsidRPr="00E2771E" w:rsidRDefault="00D2506A" w:rsidP="003916BE">
            <w:pPr>
              <w:pStyle w:val="In-tableHeading"/>
              <w:keepNext w:val="0"/>
            </w:pPr>
          </w:p>
        </w:tc>
        <w:tc>
          <w:tcPr>
            <w:tcW w:w="793" w:type="pct"/>
            <w:gridSpan w:val="5"/>
            <w:vMerge/>
            <w:tcBorders>
              <w:top w:val="single" w:sz="4" w:space="0" w:color="auto"/>
              <w:left w:val="single" w:sz="4" w:space="0" w:color="auto"/>
              <w:bottom w:val="single" w:sz="4" w:space="0" w:color="auto"/>
              <w:right w:val="single" w:sz="4" w:space="0" w:color="auto"/>
            </w:tcBorders>
            <w:vAlign w:val="center"/>
          </w:tcPr>
          <w:p w14:paraId="6E4CC80F" w14:textId="77777777" w:rsidR="00D2506A" w:rsidRPr="00E2771E" w:rsidRDefault="00D2506A" w:rsidP="003916BE">
            <w:pPr>
              <w:pStyle w:val="In-tableHeading"/>
              <w:keepNext w:val="0"/>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12A3EA80" w14:textId="77777777" w:rsidR="00D2506A" w:rsidRPr="00E2771E" w:rsidRDefault="00D2506A" w:rsidP="003916BE">
            <w:pPr>
              <w:pStyle w:val="In-tableHeading"/>
              <w:keepNext w:val="0"/>
              <w:jc w:val="center"/>
            </w:pPr>
            <w:r>
              <w:t>Mavacamten</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3567FE80" w14:textId="77777777" w:rsidR="00D2506A" w:rsidRPr="00E2771E" w:rsidRDefault="00D2506A" w:rsidP="003916BE">
            <w:pPr>
              <w:pStyle w:val="In-tableHeading"/>
              <w:keepNext w:val="0"/>
              <w:jc w:val="center"/>
            </w:pPr>
            <w:r>
              <w:t>Placebo</w:t>
            </w:r>
          </w:p>
        </w:tc>
        <w:tc>
          <w:tcPr>
            <w:tcW w:w="802" w:type="pct"/>
            <w:vMerge/>
            <w:tcBorders>
              <w:top w:val="single" w:sz="4" w:space="0" w:color="auto"/>
              <w:left w:val="single" w:sz="4" w:space="0" w:color="auto"/>
              <w:bottom w:val="single" w:sz="4" w:space="0" w:color="auto"/>
              <w:right w:val="single" w:sz="4" w:space="0" w:color="auto"/>
            </w:tcBorders>
            <w:vAlign w:val="center"/>
          </w:tcPr>
          <w:p w14:paraId="719B51B5" w14:textId="77777777" w:rsidR="00D2506A" w:rsidRPr="00E2771E" w:rsidRDefault="00D2506A" w:rsidP="003916BE">
            <w:pPr>
              <w:pStyle w:val="In-tableHeading"/>
              <w:keepNext w:val="0"/>
            </w:pPr>
          </w:p>
        </w:tc>
      </w:tr>
      <w:tr w:rsidR="00D2506A" w:rsidRPr="00E2771E" w14:paraId="1D8BB45F" w14:textId="77777777" w:rsidTr="00993F38">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9E4E757" w14:textId="77777777" w:rsidR="00D2506A" w:rsidRPr="00E2771E" w:rsidRDefault="00D2506A" w:rsidP="003916BE">
            <w:pPr>
              <w:pStyle w:val="In-tableHeading"/>
              <w:keepNext w:val="0"/>
              <w:jc w:val="both"/>
            </w:pPr>
            <w:r w:rsidRPr="00E2771E">
              <w:t xml:space="preserve">Adverse event </w:t>
            </w:r>
            <w:r>
              <w:t>between baseline and Week 30</w:t>
            </w:r>
          </w:p>
        </w:tc>
      </w:tr>
      <w:tr w:rsidR="002E396B" w:rsidRPr="00885192" w14:paraId="6E816879" w14:textId="77777777" w:rsidTr="00993F38">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13936A18" w14:textId="77777777" w:rsidR="00D2506A" w:rsidRPr="00885192" w:rsidRDefault="00D2506A" w:rsidP="003916BE">
            <w:pPr>
              <w:pStyle w:val="TableText0"/>
              <w:keepNext w:val="0"/>
            </w:pPr>
            <w:r w:rsidRPr="00885192">
              <w:t>Patients with ≥1 TEAE</w:t>
            </w:r>
          </w:p>
        </w:tc>
        <w:tc>
          <w:tcPr>
            <w:tcW w:w="638" w:type="pct"/>
            <w:gridSpan w:val="2"/>
            <w:tcBorders>
              <w:top w:val="single" w:sz="4" w:space="0" w:color="auto"/>
              <w:left w:val="single" w:sz="4" w:space="0" w:color="auto"/>
              <w:bottom w:val="single" w:sz="4" w:space="0" w:color="auto"/>
              <w:right w:val="single" w:sz="4" w:space="0" w:color="auto"/>
            </w:tcBorders>
            <w:vAlign w:val="center"/>
          </w:tcPr>
          <w:p w14:paraId="1959DC6F" w14:textId="77777777" w:rsidR="00D2506A" w:rsidRPr="00885192" w:rsidRDefault="00D2506A" w:rsidP="003916BE">
            <w:pPr>
              <w:pStyle w:val="TableText0"/>
              <w:keepNext w:val="0"/>
              <w:jc w:val="center"/>
            </w:pPr>
            <w:r w:rsidRPr="00885192">
              <w:t>108/123</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276A4D44" w14:textId="77777777" w:rsidR="00D2506A" w:rsidRPr="00885192" w:rsidRDefault="00D2506A" w:rsidP="003916BE">
            <w:pPr>
              <w:pStyle w:val="TableText0"/>
              <w:keepNext w:val="0"/>
              <w:jc w:val="center"/>
            </w:pPr>
            <w:r w:rsidRPr="00885192">
              <w:t>101/128</w:t>
            </w:r>
          </w:p>
        </w:tc>
        <w:tc>
          <w:tcPr>
            <w:tcW w:w="793" w:type="pct"/>
            <w:gridSpan w:val="5"/>
            <w:tcBorders>
              <w:top w:val="single" w:sz="4" w:space="0" w:color="auto"/>
              <w:left w:val="single" w:sz="4" w:space="0" w:color="auto"/>
              <w:bottom w:val="single" w:sz="4" w:space="0" w:color="auto"/>
              <w:right w:val="single" w:sz="4" w:space="0" w:color="auto"/>
            </w:tcBorders>
            <w:vAlign w:val="center"/>
          </w:tcPr>
          <w:p w14:paraId="3422F35C" w14:textId="783E2E5D" w:rsidR="00D2506A" w:rsidRPr="008A685A" w:rsidRDefault="00D2506A" w:rsidP="003916BE">
            <w:pPr>
              <w:pStyle w:val="TableText0"/>
              <w:keepNext w:val="0"/>
              <w:jc w:val="center"/>
              <w:rPr>
                <w:vertAlign w:val="superscript"/>
              </w:rPr>
            </w:pPr>
            <w:r w:rsidRPr="00885192">
              <w:t>1.11 (1.00, 1.24)</w:t>
            </w:r>
            <w:r w:rsidR="008A685A">
              <w:rPr>
                <w:vertAlign w:val="superscript"/>
              </w:rPr>
              <w:t>a</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3BDED91A" w14:textId="77777777" w:rsidR="00D2506A" w:rsidRPr="00885192" w:rsidRDefault="00D2506A" w:rsidP="003916BE">
            <w:pPr>
              <w:pStyle w:val="TableText0"/>
              <w:keepNext w:val="0"/>
              <w:jc w:val="center"/>
            </w:pPr>
            <w:r w:rsidRPr="00885192">
              <w:t>87.8</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6F3B9BA0" w14:textId="77777777" w:rsidR="00D2506A" w:rsidRPr="00885192" w:rsidRDefault="00D2506A" w:rsidP="003916BE">
            <w:pPr>
              <w:pStyle w:val="TableText0"/>
              <w:keepNext w:val="0"/>
              <w:jc w:val="center"/>
            </w:pPr>
            <w:r w:rsidRPr="00885192">
              <w:t>78.9</w:t>
            </w:r>
          </w:p>
        </w:tc>
        <w:tc>
          <w:tcPr>
            <w:tcW w:w="802" w:type="pct"/>
            <w:tcBorders>
              <w:top w:val="single" w:sz="4" w:space="0" w:color="auto"/>
              <w:left w:val="single" w:sz="4" w:space="0" w:color="auto"/>
              <w:bottom w:val="single" w:sz="4" w:space="0" w:color="auto"/>
              <w:right w:val="single" w:sz="4" w:space="0" w:color="auto"/>
            </w:tcBorders>
            <w:vAlign w:val="center"/>
          </w:tcPr>
          <w:p w14:paraId="5CCE3984" w14:textId="31D7B658" w:rsidR="00D2506A" w:rsidRPr="008A685A" w:rsidRDefault="00D2506A" w:rsidP="003916BE">
            <w:pPr>
              <w:pStyle w:val="TableText0"/>
              <w:keepNext w:val="0"/>
              <w:jc w:val="center"/>
              <w:rPr>
                <w:vertAlign w:val="superscript"/>
              </w:rPr>
            </w:pPr>
            <w:r w:rsidRPr="00885192">
              <w:t>8.9 (-0.27, 18.07)</w:t>
            </w:r>
            <w:r w:rsidR="008A685A">
              <w:rPr>
                <w:vertAlign w:val="superscript"/>
              </w:rPr>
              <w:t>a</w:t>
            </w:r>
          </w:p>
        </w:tc>
      </w:tr>
      <w:tr w:rsidR="002E396B" w:rsidRPr="00885192" w14:paraId="0B0514F8" w14:textId="77777777" w:rsidTr="00993F38">
        <w:trPr>
          <w:trHeight w:val="396"/>
        </w:trPr>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7591DCE5" w14:textId="77777777" w:rsidR="00D2506A" w:rsidRPr="00885192" w:rsidRDefault="00D2506A" w:rsidP="003916BE">
            <w:pPr>
              <w:pStyle w:val="TableText0"/>
              <w:keepNext w:val="0"/>
            </w:pPr>
            <w:r w:rsidRPr="00885192">
              <w:t>Patients with serious TEAE</w:t>
            </w:r>
          </w:p>
        </w:tc>
        <w:tc>
          <w:tcPr>
            <w:tcW w:w="638" w:type="pct"/>
            <w:gridSpan w:val="2"/>
            <w:tcBorders>
              <w:top w:val="single" w:sz="4" w:space="0" w:color="auto"/>
              <w:left w:val="single" w:sz="4" w:space="0" w:color="auto"/>
              <w:bottom w:val="single" w:sz="4" w:space="0" w:color="auto"/>
              <w:right w:val="single" w:sz="4" w:space="0" w:color="auto"/>
            </w:tcBorders>
            <w:vAlign w:val="center"/>
          </w:tcPr>
          <w:p w14:paraId="77D42F9B" w14:textId="77777777" w:rsidR="00D2506A" w:rsidRPr="00885192" w:rsidRDefault="00D2506A" w:rsidP="003916BE">
            <w:pPr>
              <w:pStyle w:val="TableText0"/>
              <w:keepNext w:val="0"/>
              <w:jc w:val="center"/>
            </w:pPr>
            <w:r w:rsidRPr="00885192">
              <w:t>14/123</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2233353C" w14:textId="77777777" w:rsidR="00D2506A" w:rsidRPr="00885192" w:rsidRDefault="00D2506A" w:rsidP="003916BE">
            <w:pPr>
              <w:pStyle w:val="TableText0"/>
              <w:keepNext w:val="0"/>
              <w:jc w:val="center"/>
            </w:pPr>
            <w:r w:rsidRPr="00885192">
              <w:t>12/128</w:t>
            </w:r>
          </w:p>
        </w:tc>
        <w:tc>
          <w:tcPr>
            <w:tcW w:w="793" w:type="pct"/>
            <w:gridSpan w:val="5"/>
            <w:tcBorders>
              <w:top w:val="single" w:sz="4" w:space="0" w:color="auto"/>
              <w:left w:val="single" w:sz="4" w:space="0" w:color="auto"/>
              <w:bottom w:val="single" w:sz="4" w:space="0" w:color="auto"/>
              <w:right w:val="single" w:sz="4" w:space="0" w:color="auto"/>
            </w:tcBorders>
            <w:vAlign w:val="center"/>
          </w:tcPr>
          <w:p w14:paraId="218E163E" w14:textId="04859E93" w:rsidR="00D2506A" w:rsidRPr="008A685A" w:rsidRDefault="00D2506A" w:rsidP="003916BE">
            <w:pPr>
              <w:pStyle w:val="TableText0"/>
              <w:keepNext w:val="0"/>
              <w:jc w:val="center"/>
              <w:rPr>
                <w:vertAlign w:val="superscript"/>
              </w:rPr>
            </w:pPr>
            <w:r w:rsidRPr="00885192">
              <w:t>1.21 (0.58, 2.52)</w:t>
            </w:r>
            <w:r w:rsidR="008A685A">
              <w:rPr>
                <w:vertAlign w:val="superscript"/>
              </w:rPr>
              <w:t>a</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62F7FB06" w14:textId="77777777" w:rsidR="00D2506A" w:rsidRPr="00885192" w:rsidRDefault="00D2506A" w:rsidP="003916BE">
            <w:pPr>
              <w:pStyle w:val="TableText0"/>
              <w:keepNext w:val="0"/>
              <w:jc w:val="center"/>
            </w:pPr>
            <w:r w:rsidRPr="00885192">
              <w:t>11.4</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5E65FF5A" w14:textId="77777777" w:rsidR="00D2506A" w:rsidRPr="00885192" w:rsidRDefault="00D2506A" w:rsidP="003916BE">
            <w:pPr>
              <w:pStyle w:val="TableText0"/>
              <w:keepNext w:val="0"/>
              <w:jc w:val="center"/>
            </w:pPr>
            <w:r w:rsidRPr="00885192">
              <w:t>9.4</w:t>
            </w:r>
          </w:p>
        </w:tc>
        <w:tc>
          <w:tcPr>
            <w:tcW w:w="802" w:type="pct"/>
            <w:tcBorders>
              <w:top w:val="single" w:sz="4" w:space="0" w:color="auto"/>
              <w:left w:val="single" w:sz="4" w:space="0" w:color="auto"/>
              <w:bottom w:val="single" w:sz="4" w:space="0" w:color="auto"/>
              <w:right w:val="single" w:sz="4" w:space="0" w:color="auto"/>
            </w:tcBorders>
            <w:vAlign w:val="center"/>
          </w:tcPr>
          <w:p w14:paraId="0A02084C" w14:textId="3B7B1D78" w:rsidR="00D2506A" w:rsidRPr="008A685A" w:rsidRDefault="00D2506A" w:rsidP="003916BE">
            <w:pPr>
              <w:pStyle w:val="TableText0"/>
              <w:keepNext w:val="0"/>
              <w:jc w:val="center"/>
              <w:rPr>
                <w:vertAlign w:val="superscript"/>
              </w:rPr>
            </w:pPr>
            <w:r w:rsidRPr="00885192">
              <w:t>2.00 (-5.53, 9.54)</w:t>
            </w:r>
            <w:r w:rsidR="008A685A">
              <w:rPr>
                <w:vertAlign w:val="superscript"/>
              </w:rPr>
              <w:t>a</w:t>
            </w:r>
          </w:p>
        </w:tc>
      </w:tr>
    </w:tbl>
    <w:p w14:paraId="7D9A5A97" w14:textId="77777777" w:rsidR="00D2506A" w:rsidRPr="00842869" w:rsidRDefault="00D2506A" w:rsidP="003916BE">
      <w:pPr>
        <w:pStyle w:val="FooterTableFigure"/>
      </w:pPr>
      <w:r>
        <w:t xml:space="preserve">Source: </w:t>
      </w:r>
      <w:r w:rsidRPr="00A1674F">
        <w:t>Ta</w:t>
      </w:r>
      <w:r>
        <w:t xml:space="preserve">ble 43, p101 of the submission, </w:t>
      </w:r>
      <w:r w:rsidRPr="00D35C59">
        <w:rPr>
          <w:rFonts w:eastAsia="Calibri"/>
        </w:rPr>
        <w:t>T</w:t>
      </w:r>
      <w:r>
        <w:rPr>
          <w:rFonts w:eastAsia="Calibri"/>
        </w:rPr>
        <w:t xml:space="preserve">able 44, p102 of the submission, </w:t>
      </w:r>
      <w:r>
        <w:t>Table 45, p103 of the submission, Table 47, p106 of the submission, Table 61, p127 of the submission, T</w:t>
      </w:r>
      <w:r w:rsidRPr="00C72A7E">
        <w:t xml:space="preserve">able </w:t>
      </w:r>
      <w:r>
        <w:t>62, pp127-128 of the submission</w:t>
      </w:r>
    </w:p>
    <w:p w14:paraId="259253A9" w14:textId="77777777" w:rsidR="00D2506A" w:rsidRPr="0072416F" w:rsidRDefault="00D2506A" w:rsidP="003916BE">
      <w:pPr>
        <w:pStyle w:val="FooterTableFigure"/>
      </w:pPr>
      <w:r w:rsidRPr="00B40358">
        <w:rPr>
          <w:rFonts w:eastAsia="Calibri"/>
        </w:rPr>
        <w:t>CI = confidence interval; n = number of participants with event; N = total participants in group</w:t>
      </w:r>
      <w:r>
        <w:rPr>
          <w:rFonts w:eastAsia="Calibri"/>
        </w:rPr>
        <w:t xml:space="preserve">; </w:t>
      </w:r>
      <w:r w:rsidRPr="00A1674F">
        <w:rPr>
          <w:rFonts w:eastAsia="Calibri"/>
        </w:rPr>
        <w:t>NYHA = New York Heart Association, pVO</w:t>
      </w:r>
      <w:r w:rsidRPr="00BF2787">
        <w:rPr>
          <w:rFonts w:eastAsia="Calibri"/>
          <w:vertAlign w:val="subscript"/>
        </w:rPr>
        <w:t>2</w:t>
      </w:r>
      <w:r w:rsidRPr="00A1674F">
        <w:rPr>
          <w:rFonts w:eastAsia="Calibri"/>
        </w:rPr>
        <w:t xml:space="preserve"> = peak oxygen consumption</w:t>
      </w:r>
      <w:r>
        <w:rPr>
          <w:rFonts w:eastAsia="Calibri"/>
        </w:rPr>
        <w:t xml:space="preserve">; </w:t>
      </w:r>
      <w:r w:rsidRPr="0072416F">
        <w:t>RD = risk difference; RR = risk ratio</w:t>
      </w:r>
    </w:p>
    <w:p w14:paraId="79A03728" w14:textId="77777777" w:rsidR="00D2506A" w:rsidRPr="00A1674F" w:rsidRDefault="00D2506A" w:rsidP="003916BE">
      <w:pPr>
        <w:pStyle w:val="FooterTableFigure"/>
        <w:rPr>
          <w:rFonts w:eastAsia="Calibri"/>
        </w:rPr>
      </w:pPr>
      <w:r w:rsidRPr="004C5F0E">
        <w:rPr>
          <w:rFonts w:eastAsia="Calibri"/>
        </w:rPr>
        <w:t>Bold</w:t>
      </w:r>
      <w:r w:rsidRPr="00B83739">
        <w:rPr>
          <w:rFonts w:eastAsia="Calibri"/>
        </w:rPr>
        <w:t xml:space="preserve"> indicates statistically significant results.</w:t>
      </w:r>
    </w:p>
    <w:p w14:paraId="127105A6" w14:textId="5C5D2F09" w:rsidR="00D2506A" w:rsidRPr="00A1674F" w:rsidRDefault="008A685A" w:rsidP="003916BE">
      <w:pPr>
        <w:pStyle w:val="FooterTableFigure"/>
        <w:rPr>
          <w:rFonts w:eastAsia="Calibri"/>
        </w:rPr>
      </w:pPr>
      <w:r w:rsidRPr="008A685A">
        <w:rPr>
          <w:rFonts w:eastAsia="Calibri"/>
        </w:rPr>
        <w:t>Note:</w:t>
      </w:r>
      <w:r>
        <w:rPr>
          <w:rFonts w:eastAsia="Calibri"/>
        </w:rPr>
        <w:t xml:space="preserve"> </w:t>
      </w:r>
      <w:r w:rsidR="00D2506A" w:rsidRPr="00A1674F">
        <w:rPr>
          <w:rFonts w:eastAsia="Calibri"/>
        </w:rPr>
        <w:t>The composite functional endpoint was defined as either: Type 1) an improvement of at least 1.5</w:t>
      </w:r>
      <w:r w:rsidR="0060679E">
        <w:rPr>
          <w:rFonts w:eastAsia="Calibri"/>
        </w:rPr>
        <w:t> </w:t>
      </w:r>
      <w:r w:rsidR="00D2506A" w:rsidRPr="00A1674F">
        <w:rPr>
          <w:rFonts w:eastAsia="Calibri"/>
        </w:rPr>
        <w:t>mL/kg/min in pVO</w:t>
      </w:r>
      <w:r w:rsidR="00D2506A" w:rsidRPr="008940B9">
        <w:rPr>
          <w:rFonts w:eastAsia="Calibri"/>
          <w:vertAlign w:val="subscript"/>
        </w:rPr>
        <w:t>2</w:t>
      </w:r>
      <w:r w:rsidR="00D2506A" w:rsidRPr="00A1674F">
        <w:rPr>
          <w:rFonts w:eastAsia="Calibri"/>
        </w:rPr>
        <w:t xml:space="preserve"> and improvement of one or more NYHA class</w:t>
      </w:r>
      <w:r w:rsidR="00BF2787">
        <w:rPr>
          <w:rFonts w:eastAsia="Calibri"/>
        </w:rPr>
        <w:t>,</w:t>
      </w:r>
      <w:r w:rsidR="00D2506A" w:rsidRPr="00A1674F">
        <w:rPr>
          <w:rFonts w:eastAsia="Calibri"/>
        </w:rPr>
        <w:t xml:space="preserve"> or Type 2) an improvement of at least 3.0</w:t>
      </w:r>
      <w:r w:rsidR="0060679E">
        <w:rPr>
          <w:rFonts w:eastAsia="Calibri"/>
        </w:rPr>
        <w:t> </w:t>
      </w:r>
      <w:r w:rsidR="00D2506A" w:rsidRPr="00A1674F">
        <w:rPr>
          <w:rFonts w:eastAsia="Calibri"/>
        </w:rPr>
        <w:t>mL/kg/min in pVO</w:t>
      </w:r>
      <w:r w:rsidR="00D2506A" w:rsidRPr="009B3AC2">
        <w:rPr>
          <w:rFonts w:eastAsia="Calibri"/>
          <w:vertAlign w:val="subscript"/>
        </w:rPr>
        <w:t>2</w:t>
      </w:r>
      <w:r w:rsidR="00D2506A" w:rsidRPr="00A1674F">
        <w:rPr>
          <w:rFonts w:eastAsia="Calibri"/>
        </w:rPr>
        <w:t xml:space="preserve"> with no worsening in NYHA class, unless otherwise denoted. Missing NYHA class at Week 30 was imputed using available NYHA class at Week 26. After the imputation, the patients whose response status at Week 30 was still missing were classified as non-responders.</w:t>
      </w:r>
    </w:p>
    <w:p w14:paraId="14F27E8F" w14:textId="79A1552B" w:rsidR="00D2506A" w:rsidRDefault="008A685A" w:rsidP="003916BE">
      <w:pPr>
        <w:pStyle w:val="FooterTableFigure"/>
        <w:rPr>
          <w:rFonts w:eastAsia="Calibri"/>
        </w:rPr>
      </w:pPr>
      <w:r w:rsidRPr="008A685A">
        <w:rPr>
          <w:rFonts w:eastAsia="Calibri"/>
        </w:rPr>
        <w:t xml:space="preserve">Note: </w:t>
      </w:r>
      <w:r w:rsidR="00D2506A" w:rsidRPr="005518CE">
        <w:rPr>
          <w:rFonts w:eastAsia="Calibri"/>
        </w:rPr>
        <w:t>These are the most stringent pVO2 and NYHA class components of the composite functional endpoint</w:t>
      </w:r>
      <w:r w:rsidR="008C274E">
        <w:rPr>
          <w:rFonts w:eastAsia="Calibri"/>
        </w:rPr>
        <w:t xml:space="preserve"> combined</w:t>
      </w:r>
      <w:r w:rsidR="009B75B8" w:rsidRPr="00885192">
        <w:rPr>
          <w:rFonts w:eastAsia="Calibri"/>
        </w:rPr>
        <w:t xml:space="preserve"> and do not reflect either component 1 or component 2 of the composite functional endpoint</w:t>
      </w:r>
      <w:r w:rsidR="00D2506A" w:rsidRPr="005518CE">
        <w:rPr>
          <w:rFonts w:eastAsia="Calibri"/>
        </w:rPr>
        <w:t>.</w:t>
      </w:r>
    </w:p>
    <w:p w14:paraId="3D4D5585" w14:textId="3578D989" w:rsidR="008A685A" w:rsidRDefault="008A685A" w:rsidP="003916BE">
      <w:pPr>
        <w:pStyle w:val="FooterTableFigure"/>
        <w:rPr>
          <w:rFonts w:eastAsia="Calibri"/>
        </w:rPr>
      </w:pPr>
      <w:r>
        <w:rPr>
          <w:rFonts w:eastAsia="Calibri"/>
        </w:rPr>
        <w:t>a Calculated during the evaluation</w:t>
      </w:r>
    </w:p>
    <w:p w14:paraId="7D093941" w14:textId="458506F3" w:rsidR="00D2506A" w:rsidRDefault="00D2506A" w:rsidP="00D2506A">
      <w:pPr>
        <w:pStyle w:val="3-BodyText"/>
      </w:pPr>
      <w:r>
        <w:t>On the basis of direct evidence presented by the submission, for every 100 patients treated with</w:t>
      </w:r>
      <w:r w:rsidR="00AE1C09">
        <w:t xml:space="preserve"> symptomatic obstructive hypertrophic cardiomyopathy treated with</w:t>
      </w:r>
      <w:r>
        <w:t xml:space="preserve"> mavacamten ± BB/CCB in comparison with placebo ± BB/CCB over a 30 Week period:</w:t>
      </w:r>
    </w:p>
    <w:p w14:paraId="12208597" w14:textId="69B7C9CE" w:rsidR="00E21DE2" w:rsidRDefault="00D2506A" w:rsidP="00D2506A">
      <w:pPr>
        <w:pStyle w:val="ListParagraph"/>
        <w:ind w:left="1134"/>
      </w:pPr>
      <w:r w:rsidRPr="00184B0E">
        <w:t>Approximately</w:t>
      </w:r>
      <w:r>
        <w:t xml:space="preserve"> 19 additional patients will</w:t>
      </w:r>
      <w:r w:rsidR="009B3AC2">
        <w:t xml:space="preserve"> </w:t>
      </w:r>
      <w:r w:rsidR="00E21DE2">
        <w:t>achieve</w:t>
      </w:r>
      <w:r w:rsidR="009B3AC2">
        <w:t xml:space="preserve"> either</w:t>
      </w:r>
      <w:r w:rsidR="00C1748F">
        <w:t>:</w:t>
      </w:r>
      <w:r w:rsidR="009B3AC2">
        <w:t xml:space="preserve"> </w:t>
      </w:r>
    </w:p>
    <w:p w14:paraId="3ED14EA1" w14:textId="7DE254A4" w:rsidR="00E21DE2" w:rsidRDefault="009B3AC2" w:rsidP="00E21DE2">
      <w:pPr>
        <w:pStyle w:val="ListParagraph"/>
        <w:numPr>
          <w:ilvl w:val="1"/>
          <w:numId w:val="3"/>
        </w:numPr>
      </w:pPr>
      <w:r>
        <w:t>a small (at least 1.5</w:t>
      </w:r>
      <w:r w:rsidR="0060679E">
        <w:t> </w:t>
      </w:r>
      <w:r>
        <w:t xml:space="preserve">mL/kg/min in </w:t>
      </w:r>
      <w:r w:rsidRPr="00A1674F">
        <w:rPr>
          <w:rFonts w:eastAsia="Calibri"/>
        </w:rPr>
        <w:t>pVO</w:t>
      </w:r>
      <w:r w:rsidRPr="008940B9">
        <w:rPr>
          <w:rFonts w:eastAsia="Calibri"/>
          <w:vertAlign w:val="subscript"/>
        </w:rPr>
        <w:t>2</w:t>
      </w:r>
      <w:r>
        <w:t xml:space="preserve">) improvement in the maximum amount of oxygen that </w:t>
      </w:r>
      <w:r w:rsidR="00BF2787">
        <w:t>a</w:t>
      </w:r>
      <w:r>
        <w:t>n individual can utilise dur</w:t>
      </w:r>
      <w:r w:rsidR="00C1748F">
        <w:t>ing intense or maximal exercise</w:t>
      </w:r>
      <w:r>
        <w:t xml:space="preserve"> </w:t>
      </w:r>
      <w:r>
        <w:lastRenderedPageBreak/>
        <w:t>combined with an increase in the ability to do physical activities (shown by an improvement of NYHA class)</w:t>
      </w:r>
      <w:r w:rsidR="00C1748F">
        <w:t xml:space="preserve">, or </w:t>
      </w:r>
    </w:p>
    <w:p w14:paraId="65E674E9" w14:textId="6ED618C1" w:rsidR="00D2506A" w:rsidRDefault="00C1748F" w:rsidP="005A795E">
      <w:pPr>
        <w:pStyle w:val="ListParagraph"/>
        <w:numPr>
          <w:ilvl w:val="1"/>
          <w:numId w:val="3"/>
        </w:numPr>
      </w:pPr>
      <w:r>
        <w:t>a larger (at least 3.0</w:t>
      </w:r>
      <w:r w:rsidR="0060679E">
        <w:t> </w:t>
      </w:r>
      <w:r>
        <w:t xml:space="preserve">mL/kg/min in </w:t>
      </w:r>
      <w:r w:rsidRPr="00A1674F">
        <w:rPr>
          <w:rFonts w:eastAsia="Calibri"/>
        </w:rPr>
        <w:t>pVO</w:t>
      </w:r>
      <w:r w:rsidRPr="008940B9">
        <w:rPr>
          <w:rFonts w:eastAsia="Calibri"/>
          <w:vertAlign w:val="subscript"/>
        </w:rPr>
        <w:t>2</w:t>
      </w:r>
      <w:r>
        <w:t xml:space="preserve">) improvement in the maximum amount of oxygen that </w:t>
      </w:r>
      <w:r w:rsidR="00BF2787">
        <w:t>a</w:t>
      </w:r>
      <w:r>
        <w:t>n individual can utilise during intense or maximal exercise, with no worsening in physical activities.</w:t>
      </w:r>
    </w:p>
    <w:p w14:paraId="41407666" w14:textId="268083A6" w:rsidR="00C1748F" w:rsidRDefault="0038544E" w:rsidP="00A85EEE">
      <w:pPr>
        <w:pStyle w:val="ListParagraph"/>
        <w:ind w:left="1134"/>
      </w:pPr>
      <w:r>
        <w:t xml:space="preserve">Approximately </w:t>
      </w:r>
      <w:r w:rsidR="00BE33F0">
        <w:t xml:space="preserve">13 additional patients will achieve a significant improvement in the maximum amount of oxygen that </w:t>
      </w:r>
      <w:r w:rsidR="00BF2787">
        <w:t>a</w:t>
      </w:r>
      <w:r w:rsidR="00BE33F0">
        <w:t>n individual can utilise during intense or maximal exercise (at least 3.0</w:t>
      </w:r>
      <w:r w:rsidR="0060679E">
        <w:t> </w:t>
      </w:r>
      <w:r w:rsidR="00BE33F0">
        <w:t xml:space="preserve">mL/kg/min in </w:t>
      </w:r>
      <w:r w:rsidR="00BE33F0" w:rsidRPr="00A85EEE">
        <w:t xml:space="preserve">pVO2) and </w:t>
      </w:r>
      <w:r w:rsidR="00A85EEE">
        <w:t>an increase in the ability to do physical activities (shown by an improvement of NYHA class).</w:t>
      </w:r>
    </w:p>
    <w:p w14:paraId="562E74AD" w14:textId="3E80B945" w:rsidR="00B275CD" w:rsidRPr="00B275CD" w:rsidRDefault="00F45C64" w:rsidP="00B275CD">
      <w:pPr>
        <w:pStyle w:val="ListParagraph"/>
        <w:ind w:left="1134"/>
      </w:pPr>
      <w:r>
        <w:t>Approximately 34 additional patients would have a</w:t>
      </w:r>
      <w:r w:rsidR="00FD5614">
        <w:t xml:space="preserve"> measurable improvement in the ability to do physical activities (shown by an improvement of NYHA class)</w:t>
      </w:r>
      <w:r w:rsidR="00B275CD">
        <w:t>.</w:t>
      </w:r>
    </w:p>
    <w:p w14:paraId="3D8F4C52" w14:textId="29DEA151" w:rsidR="00B275CD" w:rsidRPr="00B275CD" w:rsidRDefault="00B275CD" w:rsidP="00B275CD">
      <w:pPr>
        <w:pStyle w:val="ListParagraph"/>
        <w:ind w:left="1134"/>
      </w:pPr>
      <w:r w:rsidRPr="00B275CD">
        <w:t>Approxim</w:t>
      </w:r>
      <w:r>
        <w:t>ately 9 additional patients may</w:t>
      </w:r>
      <w:r w:rsidRPr="00B275CD">
        <w:t xml:space="preserve"> </w:t>
      </w:r>
      <w:r w:rsidR="00E3568C">
        <w:t>experience a</w:t>
      </w:r>
      <w:r w:rsidRPr="00B275CD">
        <w:t xml:space="preserve"> </w:t>
      </w:r>
      <w:r w:rsidR="00E3568C">
        <w:t xml:space="preserve">treatment-emergent </w:t>
      </w:r>
      <w:r w:rsidRPr="00B275CD">
        <w:t xml:space="preserve">adverse event </w:t>
      </w:r>
      <w:r>
        <w:t>(not statistically significant)</w:t>
      </w:r>
      <w:r w:rsidRPr="00B275CD">
        <w:t>.</w:t>
      </w:r>
    </w:p>
    <w:p w14:paraId="452D20A1" w14:textId="3B87E491" w:rsidR="00A9788D" w:rsidRPr="00A9788D" w:rsidRDefault="00B275CD" w:rsidP="00A9788D">
      <w:pPr>
        <w:pStyle w:val="ListParagraph"/>
        <w:ind w:left="1134"/>
      </w:pPr>
      <w:r w:rsidRPr="00B275CD">
        <w:t xml:space="preserve">Approximately 2 additional patients may </w:t>
      </w:r>
      <w:r w:rsidR="00E3568C">
        <w:t>experience</w:t>
      </w:r>
      <w:r w:rsidR="00E3568C" w:rsidRPr="00B275CD">
        <w:t xml:space="preserve"> </w:t>
      </w:r>
      <w:r w:rsidRPr="00B275CD">
        <w:t xml:space="preserve">a </w:t>
      </w:r>
      <w:r w:rsidR="00E3568C">
        <w:t xml:space="preserve">treatment-emergent </w:t>
      </w:r>
      <w:r w:rsidRPr="00B275CD">
        <w:t xml:space="preserve">serious adverse event </w:t>
      </w:r>
      <w:r>
        <w:t>(not statistically significant)</w:t>
      </w:r>
      <w:r w:rsidRPr="00B275CD">
        <w:t>.</w:t>
      </w:r>
    </w:p>
    <w:p w14:paraId="7A1772B6" w14:textId="7FC0F517" w:rsidR="00B60939" w:rsidRPr="00C379F4" w:rsidRDefault="00B60939" w:rsidP="00C379F4">
      <w:pPr>
        <w:pStyle w:val="4-SubsectionHeading"/>
      </w:pPr>
      <w:bookmarkStart w:id="38" w:name="_Toc113979744"/>
      <w:r w:rsidRPr="00C379F4">
        <w:t>Clinical claim</w:t>
      </w:r>
      <w:bookmarkEnd w:id="36"/>
      <w:bookmarkEnd w:id="38"/>
    </w:p>
    <w:p w14:paraId="0D3B783D" w14:textId="2280D446" w:rsidR="00D1349A" w:rsidRPr="00885192" w:rsidRDefault="005F7588" w:rsidP="00CF7C44">
      <w:pPr>
        <w:pStyle w:val="3-BodyText"/>
        <w:rPr>
          <w:rFonts w:eastAsia="Calibri"/>
        </w:rPr>
      </w:pPr>
      <w:r w:rsidRPr="00CF7C44">
        <w:rPr>
          <w:rFonts w:eastAsia="Calibri"/>
        </w:rPr>
        <w:t xml:space="preserve">The submission described </w:t>
      </w:r>
      <w:r w:rsidR="005B500A" w:rsidRPr="00CF7C44">
        <w:rPr>
          <w:rFonts w:eastAsia="Calibri"/>
        </w:rPr>
        <w:t>mavacamten ± BB/CCB</w:t>
      </w:r>
      <w:r w:rsidRPr="00CF7C44">
        <w:rPr>
          <w:rFonts w:eastAsia="Calibri"/>
        </w:rPr>
        <w:t xml:space="preserve"> as superior in terms of effectiveness compared to </w:t>
      </w:r>
      <w:r w:rsidR="005B500A" w:rsidRPr="00CF7C44">
        <w:rPr>
          <w:rFonts w:eastAsia="Calibri"/>
        </w:rPr>
        <w:t>standard of care alone (BB/CCB)</w:t>
      </w:r>
      <w:r w:rsidRPr="00CF7C44">
        <w:rPr>
          <w:rFonts w:eastAsia="Calibri"/>
        </w:rPr>
        <w:t xml:space="preserve">. </w:t>
      </w:r>
      <w:r w:rsidR="00211D89" w:rsidRPr="00F72968">
        <w:rPr>
          <w:rFonts w:eastAsia="Calibri"/>
          <w:iCs/>
        </w:rPr>
        <w:t>The ESC considered this claim was supported. However, a number of key issues persisted</w:t>
      </w:r>
      <w:r w:rsidR="00ED28BB" w:rsidRPr="00F72968">
        <w:rPr>
          <w:rFonts w:eastAsia="Calibri"/>
          <w:iCs/>
        </w:rPr>
        <w:t>:</w:t>
      </w:r>
    </w:p>
    <w:p w14:paraId="41DB596A" w14:textId="675867C3" w:rsidR="00D1349A" w:rsidRDefault="00870DBF" w:rsidP="00E638B3">
      <w:pPr>
        <w:pStyle w:val="3-BodyText"/>
        <w:numPr>
          <w:ilvl w:val="0"/>
          <w:numId w:val="9"/>
        </w:numPr>
        <w:rPr>
          <w:rFonts w:eastAsia="Calibri"/>
        </w:rPr>
      </w:pPr>
      <w:r w:rsidRPr="00F72968">
        <w:rPr>
          <w:iCs/>
        </w:rPr>
        <w:t>T</w:t>
      </w:r>
      <w:r w:rsidR="00AB5076" w:rsidRPr="00F72968">
        <w:rPr>
          <w:iCs/>
        </w:rPr>
        <w:t>he key trial was small and had a short duration of follow-up.</w:t>
      </w:r>
      <w:r w:rsidR="00AB5076" w:rsidRPr="00885192">
        <w:t xml:space="preserve"> </w:t>
      </w:r>
      <w:r w:rsidR="00AB5076" w:rsidRPr="00F72968">
        <w:rPr>
          <w:iCs/>
        </w:rPr>
        <w:t>Patients (N=251) received 30 weeks of treatment and were followed up for an additional 8 weeks (8 week wash-out period)</w:t>
      </w:r>
      <w:r w:rsidRPr="00F72968">
        <w:rPr>
          <w:iCs/>
        </w:rPr>
        <w:t xml:space="preserve">. </w:t>
      </w:r>
      <w:r w:rsidR="00243E04" w:rsidRPr="00F72968">
        <w:rPr>
          <w:iCs/>
        </w:rPr>
        <w:t xml:space="preserve">There are </w:t>
      </w:r>
      <w:r w:rsidR="00243E04">
        <w:rPr>
          <w:rFonts w:eastAsia="Calibri"/>
        </w:rPr>
        <w:t>n</w:t>
      </w:r>
      <w:r w:rsidRPr="00885192">
        <w:rPr>
          <w:rFonts w:eastAsia="Calibri"/>
        </w:rPr>
        <w:t xml:space="preserve">o long-term </w:t>
      </w:r>
      <w:r w:rsidRPr="00F72968">
        <w:rPr>
          <w:rFonts w:eastAsia="Calibri"/>
          <w:iCs/>
        </w:rPr>
        <w:t xml:space="preserve">comparative effectiveness and safety </w:t>
      </w:r>
      <w:r w:rsidRPr="00885192">
        <w:rPr>
          <w:rFonts w:eastAsia="Calibri"/>
        </w:rPr>
        <w:t>data</w:t>
      </w:r>
    </w:p>
    <w:p w14:paraId="5D325B27" w14:textId="4591A2EB" w:rsidR="00AB5076" w:rsidRPr="00211D89" w:rsidRDefault="00211D89" w:rsidP="00F37981">
      <w:pPr>
        <w:pStyle w:val="ListBullet"/>
        <w:numPr>
          <w:ilvl w:val="0"/>
          <w:numId w:val="9"/>
        </w:numPr>
        <w:ind w:right="113"/>
        <w:rPr>
          <w:rFonts w:eastAsia="Calibri"/>
        </w:rPr>
      </w:pPr>
      <w:r w:rsidRPr="00F72968">
        <w:rPr>
          <w:rFonts w:eastAsia="Calibri"/>
          <w:iCs/>
        </w:rPr>
        <w:t xml:space="preserve">A slight </w:t>
      </w:r>
      <w:r w:rsidR="00A96A65">
        <w:rPr>
          <w:rFonts w:eastAsia="Calibri"/>
        </w:rPr>
        <w:t>i</w:t>
      </w:r>
      <w:r w:rsidR="00AB5076" w:rsidRPr="00211D89">
        <w:rPr>
          <w:rFonts w:eastAsia="Calibri"/>
        </w:rPr>
        <w:t>mbalance in the percentage of patients without concomitant SOC (BB/CCB) in the arms of the key trial (12.5% placebo ± BB/CCB arm; 3.3% mavacamten ± BB/CCB arm)</w:t>
      </w:r>
    </w:p>
    <w:p w14:paraId="5DC0E4DD" w14:textId="446B8149" w:rsidR="00D1349A" w:rsidRPr="00885192" w:rsidRDefault="007A5178" w:rsidP="00E638B3">
      <w:pPr>
        <w:pStyle w:val="3-BodyText"/>
        <w:numPr>
          <w:ilvl w:val="0"/>
          <w:numId w:val="9"/>
        </w:numPr>
        <w:rPr>
          <w:rFonts w:eastAsia="Calibri"/>
        </w:rPr>
      </w:pPr>
      <w:r w:rsidRPr="00885192">
        <w:t xml:space="preserve">The applicability of the population in the key clinical trial (restricted to patients with more severe disease) to the proposed PBS population (which also included less severe </w:t>
      </w:r>
      <w:r w:rsidRPr="00F72968">
        <w:rPr>
          <w:iCs/>
        </w:rPr>
        <w:t>disease</w:t>
      </w:r>
      <w:r w:rsidR="00211D89" w:rsidRPr="00F72968">
        <w:rPr>
          <w:iCs/>
        </w:rPr>
        <w:t xml:space="preserve"> if an LVOT gradient &gt;30</w:t>
      </w:r>
      <w:r w:rsidR="0060679E">
        <w:rPr>
          <w:iCs/>
        </w:rPr>
        <w:t> </w:t>
      </w:r>
      <w:r w:rsidR="00211D89" w:rsidRPr="00F72968">
        <w:rPr>
          <w:iCs/>
        </w:rPr>
        <w:t>mmHg is included in the restriction</w:t>
      </w:r>
      <w:r w:rsidR="00870DBF">
        <w:t>)</w:t>
      </w:r>
      <w:r w:rsidR="00950460">
        <w:rPr>
          <w:rFonts w:eastAsia="Calibri"/>
        </w:rPr>
        <w:t>.</w:t>
      </w:r>
      <w:r w:rsidR="005F6828" w:rsidRPr="00885192">
        <w:rPr>
          <w:rFonts w:eastAsia="Calibri"/>
        </w:rPr>
        <w:t xml:space="preserve"> </w:t>
      </w:r>
    </w:p>
    <w:p w14:paraId="46F25C92" w14:textId="435C4517" w:rsidR="00CF7C44" w:rsidRPr="00CF7C44" w:rsidRDefault="00CF7C44" w:rsidP="00CF7C44">
      <w:pPr>
        <w:pStyle w:val="3-BodyText"/>
        <w:rPr>
          <w:b/>
          <w:bCs/>
          <w:color w:val="000000" w:themeColor="text1"/>
          <w:lang w:val="en-US"/>
        </w:rPr>
      </w:pPr>
      <w:r w:rsidRPr="00CF7C44">
        <w:rPr>
          <w:rFonts w:eastAsia="Calibri"/>
        </w:rPr>
        <w:t xml:space="preserve">The submission described mavacamten ± BB/CCB as non-inferior in terms of safety compared to standard of care alone (BB/CCB). </w:t>
      </w:r>
      <w:r w:rsidR="00515473" w:rsidRPr="00F72968">
        <w:rPr>
          <w:rFonts w:eastAsia="Calibri"/>
          <w:iCs/>
        </w:rPr>
        <w:t>The E</w:t>
      </w:r>
      <w:r w:rsidR="00F37981" w:rsidRPr="00F72968">
        <w:rPr>
          <w:rFonts w:eastAsia="Calibri"/>
          <w:iCs/>
        </w:rPr>
        <w:t>SC</w:t>
      </w:r>
      <w:r w:rsidR="00515473" w:rsidRPr="00F72968">
        <w:rPr>
          <w:rFonts w:eastAsia="Calibri"/>
          <w:iCs/>
        </w:rPr>
        <w:t xml:space="preserve"> considered </w:t>
      </w:r>
      <w:r w:rsidR="00515473">
        <w:rPr>
          <w:rFonts w:eastAsia="Calibri"/>
        </w:rPr>
        <w:t>t</w:t>
      </w:r>
      <w:r w:rsidRPr="00885192">
        <w:rPr>
          <w:rFonts w:eastAsia="Calibri"/>
        </w:rPr>
        <w:t xml:space="preserve">his claim was </w:t>
      </w:r>
      <w:r w:rsidR="00515473" w:rsidRPr="00F72968">
        <w:rPr>
          <w:rFonts w:eastAsia="Calibri"/>
          <w:iCs/>
        </w:rPr>
        <w:t xml:space="preserve">inadequately </w:t>
      </w:r>
      <w:r w:rsidR="00515473">
        <w:rPr>
          <w:rFonts w:eastAsia="Calibri"/>
        </w:rPr>
        <w:t>supported</w:t>
      </w:r>
      <w:r w:rsidRPr="00885192">
        <w:rPr>
          <w:rFonts w:eastAsia="Calibri"/>
        </w:rPr>
        <w:t>. The key issues were:</w:t>
      </w:r>
    </w:p>
    <w:p w14:paraId="6A8A250D" w14:textId="7F23ED9B" w:rsidR="002343A6" w:rsidRPr="00F72968" w:rsidRDefault="002343A6" w:rsidP="002343A6">
      <w:pPr>
        <w:pStyle w:val="3-BodyText"/>
        <w:numPr>
          <w:ilvl w:val="0"/>
          <w:numId w:val="9"/>
        </w:numPr>
        <w:rPr>
          <w:rFonts w:eastAsia="Calibri"/>
          <w:iCs/>
        </w:rPr>
      </w:pPr>
      <w:bookmarkStart w:id="39" w:name="_Toc22897645"/>
      <w:r w:rsidRPr="00F72968">
        <w:rPr>
          <w:iCs/>
        </w:rPr>
        <w:t>A greater proportion of patients in the mavacamten arm (87.8%) experienced at least one TEAE compared with the placebo arm (78.9%)</w:t>
      </w:r>
    </w:p>
    <w:p w14:paraId="04FBC4FB" w14:textId="01C654ED" w:rsidR="00515473" w:rsidRPr="00F72968" w:rsidRDefault="00515473" w:rsidP="00515473">
      <w:pPr>
        <w:pStyle w:val="3-BodyText"/>
        <w:numPr>
          <w:ilvl w:val="0"/>
          <w:numId w:val="9"/>
        </w:numPr>
        <w:snapToGrid w:val="0"/>
        <w:rPr>
          <w:rFonts w:eastAsia="Calibri"/>
          <w:iCs/>
        </w:rPr>
      </w:pPr>
      <w:r w:rsidRPr="00F72968">
        <w:rPr>
          <w:rFonts w:eastAsia="Calibri"/>
          <w:iCs/>
        </w:rPr>
        <w:t>There is a small but definite risk of a fall in LVEF (left ventricular dysfunction) developing with mavacamten</w:t>
      </w:r>
    </w:p>
    <w:p w14:paraId="638843FA" w14:textId="22B1CF61" w:rsidR="00D1349A" w:rsidRDefault="00276D54" w:rsidP="00E638B3">
      <w:pPr>
        <w:pStyle w:val="3-BodyText"/>
        <w:numPr>
          <w:ilvl w:val="0"/>
          <w:numId w:val="9"/>
        </w:numPr>
        <w:rPr>
          <w:rFonts w:eastAsia="Calibri"/>
        </w:rPr>
      </w:pPr>
      <w:r w:rsidRPr="00885192">
        <w:rPr>
          <w:rFonts w:eastAsia="Calibri"/>
        </w:rPr>
        <w:lastRenderedPageBreak/>
        <w:t>No long-term comparative safety data were available</w:t>
      </w:r>
      <w:r w:rsidR="00D1349A" w:rsidRPr="00885192">
        <w:rPr>
          <w:rFonts w:eastAsia="Calibri"/>
        </w:rPr>
        <w:t>, and the extended safety data were non-comparative</w:t>
      </w:r>
    </w:p>
    <w:p w14:paraId="536D04FB" w14:textId="73CB0C7E" w:rsidR="00D1349A" w:rsidRDefault="00D1349A" w:rsidP="00E638B3">
      <w:pPr>
        <w:pStyle w:val="3-BodyText"/>
        <w:numPr>
          <w:ilvl w:val="0"/>
          <w:numId w:val="9"/>
        </w:numPr>
        <w:rPr>
          <w:rFonts w:eastAsia="Calibri"/>
        </w:rPr>
      </w:pPr>
      <w:r w:rsidRPr="00885192">
        <w:rPr>
          <w:rFonts w:eastAsia="Calibri"/>
        </w:rPr>
        <w:t>No survival</w:t>
      </w:r>
      <w:r w:rsidR="00365D7D" w:rsidRPr="00885192">
        <w:rPr>
          <w:rFonts w:eastAsia="Calibri"/>
        </w:rPr>
        <w:t xml:space="preserve"> or hospitalisation</w:t>
      </w:r>
      <w:r w:rsidRPr="00885192">
        <w:rPr>
          <w:rFonts w:eastAsia="Calibri"/>
        </w:rPr>
        <w:t xml:space="preserve"> data w</w:t>
      </w:r>
      <w:r w:rsidR="00365D7D" w:rsidRPr="00885192">
        <w:rPr>
          <w:rFonts w:eastAsia="Calibri"/>
        </w:rPr>
        <w:t>ere</w:t>
      </w:r>
      <w:r w:rsidRPr="00885192">
        <w:rPr>
          <w:rFonts w:eastAsia="Calibri"/>
        </w:rPr>
        <w:t xml:space="preserve"> available</w:t>
      </w:r>
    </w:p>
    <w:p w14:paraId="3AF1D7D2" w14:textId="450034DA" w:rsidR="00F42084" w:rsidRPr="008278AA" w:rsidRDefault="00F42084" w:rsidP="00E638B3">
      <w:pPr>
        <w:pStyle w:val="3-BodyText"/>
        <w:numPr>
          <w:ilvl w:val="0"/>
          <w:numId w:val="9"/>
        </w:numPr>
        <w:rPr>
          <w:rFonts w:eastAsia="Calibri"/>
        </w:rPr>
      </w:pPr>
      <w:r w:rsidRPr="00F72968">
        <w:rPr>
          <w:iCs/>
        </w:rPr>
        <w:t>The risk of heart failure due to systolic dysfunction, which is being managed in the US with mavacamten only available through a restricted program under a Risk Evaluation and Mitigation Strategy (REMS).</w:t>
      </w:r>
    </w:p>
    <w:p w14:paraId="757FFD2F" w14:textId="00D31189" w:rsidR="008278AA" w:rsidRPr="008278AA" w:rsidRDefault="008278AA" w:rsidP="008278AA">
      <w:pPr>
        <w:pStyle w:val="3-BodyText"/>
        <w:rPr>
          <w:rFonts w:eastAsia="Calibri"/>
        </w:rPr>
      </w:pPr>
      <w:bookmarkStart w:id="40" w:name="_Hlk76376200"/>
      <w:r w:rsidRPr="008278AA">
        <w:rPr>
          <w:rFonts w:eastAsia="Calibri"/>
        </w:rPr>
        <w:t>The PBAC considered that the claim of superior comparative effectiveness was reasonable</w:t>
      </w:r>
      <w:r w:rsidR="002C45D5">
        <w:rPr>
          <w:rFonts w:eastAsia="Calibri"/>
        </w:rPr>
        <w:t>.</w:t>
      </w:r>
    </w:p>
    <w:p w14:paraId="0F0326BE" w14:textId="181F65AD" w:rsidR="00A9788D" w:rsidRPr="008278AA" w:rsidRDefault="008278AA" w:rsidP="008278AA">
      <w:pPr>
        <w:pStyle w:val="3-BodyText"/>
        <w:rPr>
          <w:rFonts w:eastAsia="Calibri"/>
        </w:rPr>
      </w:pPr>
      <w:r w:rsidRPr="008278AA">
        <w:rPr>
          <w:rFonts w:eastAsia="Calibri"/>
        </w:rPr>
        <w:t>The PBAC considered that the claim of non-inferior comparative safety was not adequately supported by the data.</w:t>
      </w:r>
      <w:bookmarkEnd w:id="40"/>
    </w:p>
    <w:p w14:paraId="74A1172E" w14:textId="394DF8CE" w:rsidR="00B60939" w:rsidRPr="00C9624D" w:rsidRDefault="00B60939" w:rsidP="00A9788D">
      <w:pPr>
        <w:pStyle w:val="4-SubsectionHeading"/>
      </w:pPr>
      <w:bookmarkStart w:id="41" w:name="_Toc113979745"/>
      <w:r w:rsidRPr="00C9624D">
        <w:t>Economic analysis</w:t>
      </w:r>
      <w:bookmarkEnd w:id="39"/>
      <w:bookmarkEnd w:id="41"/>
      <w:r w:rsidR="00491B3A" w:rsidRPr="00C9624D">
        <w:t xml:space="preserve"> </w:t>
      </w:r>
    </w:p>
    <w:p w14:paraId="06D7998A" w14:textId="3E69C647" w:rsidR="00D41BD9" w:rsidRPr="00A92AC2" w:rsidRDefault="00D41BD9" w:rsidP="00D41BD9">
      <w:pPr>
        <w:pStyle w:val="3-BodyText"/>
        <w:rPr>
          <w:b/>
          <w:bCs/>
          <w:color w:val="000000" w:themeColor="text1"/>
          <w:lang w:val="en-US"/>
        </w:rPr>
      </w:pPr>
      <w:bookmarkStart w:id="42" w:name="_Toc22897646"/>
      <w:bookmarkStart w:id="43" w:name="_Toc22897647"/>
      <w:r w:rsidRPr="00AB775E">
        <w:t xml:space="preserve">The submission presented a </w:t>
      </w:r>
      <w:r>
        <w:t>stepped</w:t>
      </w:r>
      <w:r w:rsidRPr="00AB775E">
        <w:t xml:space="preserve"> economic evaluation of mavacamten </w:t>
      </w:r>
      <w:r w:rsidRPr="00A92AC2">
        <w:rPr>
          <w:rFonts w:cstheme="minorHAnsi"/>
        </w:rPr>
        <w:t>±</w:t>
      </w:r>
      <w:r w:rsidRPr="00AB775E">
        <w:t xml:space="preserve"> BB/CCB compared with BB/CCB alone for treatment of symptomatic obstructive HCM. The economic evaluation was based on </w:t>
      </w:r>
      <w:r w:rsidR="00A74379">
        <w:t>the</w:t>
      </w:r>
      <w:r>
        <w:t xml:space="preserve"> </w:t>
      </w:r>
      <w:r w:rsidRPr="00AB775E">
        <w:t xml:space="preserve">direct randomised trial (EXPLORER-HCM) with additional modelled data. The economic evaluation was presented as a cost-effectiveness analysis and a cost-utility analysis. </w:t>
      </w:r>
      <w:r w:rsidRPr="00885192">
        <w:rPr>
          <w:color w:val="000000" w:themeColor="text1"/>
        </w:rPr>
        <w:t>In the economic model, it was assumed that all patients in both treatment arms receive either BB or CCB.</w:t>
      </w:r>
      <w:r w:rsidRPr="00A92AC2">
        <w:rPr>
          <w:color w:val="000000" w:themeColor="text1"/>
        </w:rPr>
        <w:t xml:space="preserve"> </w:t>
      </w:r>
      <w:r w:rsidRPr="00885192">
        <w:rPr>
          <w:color w:val="000000" w:themeColor="text1"/>
        </w:rPr>
        <w:t>Thus, the treatments compared in the economic evaluation w</w:t>
      </w:r>
      <w:r w:rsidR="00293DE2" w:rsidRPr="00885192">
        <w:rPr>
          <w:color w:val="000000" w:themeColor="text1"/>
        </w:rPr>
        <w:t>ere</w:t>
      </w:r>
      <w:r w:rsidRPr="00885192">
        <w:rPr>
          <w:color w:val="000000" w:themeColor="text1"/>
        </w:rPr>
        <w:t xml:space="preserve"> effectively mavacamten + BB/CCB versus BB/CCB alone. </w:t>
      </w:r>
      <w:r w:rsidRPr="00A92AC2">
        <w:rPr>
          <w:color w:val="000000" w:themeColor="text1"/>
        </w:rPr>
        <w:t xml:space="preserve">The key components of the economic evaluation are summarised in </w:t>
      </w:r>
      <w:r w:rsidRPr="00A92AC2">
        <w:rPr>
          <w:color w:val="000000" w:themeColor="text1"/>
        </w:rPr>
        <w:fldChar w:fldCharType="begin"/>
      </w:r>
      <w:r w:rsidRPr="00A92AC2">
        <w:rPr>
          <w:color w:val="000000" w:themeColor="text1"/>
        </w:rPr>
        <w:instrText xml:space="preserve"> REF _Ref110507116 \h </w:instrText>
      </w:r>
      <w:r w:rsidRPr="00A92AC2">
        <w:rPr>
          <w:color w:val="000000" w:themeColor="text1"/>
        </w:rPr>
      </w:r>
      <w:r w:rsidRPr="00A92AC2">
        <w:rPr>
          <w:color w:val="000000" w:themeColor="text1"/>
        </w:rPr>
        <w:fldChar w:fldCharType="separate"/>
      </w:r>
      <w:r w:rsidR="00645E50">
        <w:t xml:space="preserve">Table </w:t>
      </w:r>
      <w:r w:rsidR="00645E50">
        <w:rPr>
          <w:noProof/>
        </w:rPr>
        <w:t>16</w:t>
      </w:r>
      <w:r w:rsidRPr="00A92AC2">
        <w:rPr>
          <w:color w:val="000000" w:themeColor="text1"/>
        </w:rPr>
        <w:fldChar w:fldCharType="end"/>
      </w:r>
      <w:r w:rsidRPr="00A92AC2">
        <w:rPr>
          <w:color w:val="000000" w:themeColor="text1"/>
        </w:rPr>
        <w:t xml:space="preserve">, </w:t>
      </w:r>
      <w:r w:rsidRPr="00885192">
        <w:rPr>
          <w:color w:val="000000" w:themeColor="text1"/>
        </w:rPr>
        <w:t>with major economic issues discussed in the following paragraphs</w:t>
      </w:r>
      <w:r w:rsidRPr="00A92AC2">
        <w:rPr>
          <w:color w:val="000000" w:themeColor="text1"/>
        </w:rPr>
        <w:t xml:space="preserve">. </w:t>
      </w:r>
    </w:p>
    <w:p w14:paraId="1829ECA5" w14:textId="3CCD80C0" w:rsidR="00D41BD9" w:rsidRPr="00641FB3" w:rsidRDefault="00D41BD9" w:rsidP="00D41BD9">
      <w:pPr>
        <w:pStyle w:val="Caption"/>
        <w:jc w:val="left"/>
        <w:rPr>
          <w:rStyle w:val="CommentReference"/>
          <w:b/>
          <w:szCs w:val="24"/>
        </w:rPr>
      </w:pPr>
      <w:bookmarkStart w:id="44" w:name="_Ref110507116"/>
      <w:r>
        <w:t xml:space="preserve">Table </w:t>
      </w:r>
      <w:r w:rsidR="00645E50">
        <w:fldChar w:fldCharType="begin"/>
      </w:r>
      <w:r w:rsidR="00645E50">
        <w:instrText xml:space="preserve"> SEQ Table \* ARABIC </w:instrText>
      </w:r>
      <w:r w:rsidR="00645E50">
        <w:fldChar w:fldCharType="separate"/>
      </w:r>
      <w:r w:rsidR="00645E50">
        <w:rPr>
          <w:noProof/>
        </w:rPr>
        <w:t>16</w:t>
      </w:r>
      <w:r w:rsidR="00645E50">
        <w:rPr>
          <w:noProof/>
        </w:rPr>
        <w:fldChar w:fldCharType="end"/>
      </w:r>
      <w:bookmarkEnd w:id="44"/>
      <w:r>
        <w:t>:</w:t>
      </w:r>
      <w:r w:rsidRPr="00641FB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95"/>
        <w:gridCol w:w="7322"/>
      </w:tblGrid>
      <w:tr w:rsidR="00D41BD9" w:rsidRPr="003D1DE4" w14:paraId="739741AD" w14:textId="77777777" w:rsidTr="00D41BD9">
        <w:trPr>
          <w:cantSplit/>
          <w:tblHeader/>
        </w:trPr>
        <w:tc>
          <w:tcPr>
            <w:tcW w:w="940" w:type="pct"/>
            <w:shd w:val="clear" w:color="auto" w:fill="auto"/>
            <w:vAlign w:val="center"/>
          </w:tcPr>
          <w:p w14:paraId="1B68418C" w14:textId="77777777" w:rsidR="00D41BD9" w:rsidRPr="00641FB3" w:rsidRDefault="00D41BD9" w:rsidP="00D41BD9">
            <w:pPr>
              <w:pStyle w:val="In-tableHeading"/>
              <w:keepNext w:val="0"/>
            </w:pPr>
            <w:r w:rsidRPr="00641FB3">
              <w:t>Component</w:t>
            </w:r>
          </w:p>
        </w:tc>
        <w:tc>
          <w:tcPr>
            <w:tcW w:w="4060" w:type="pct"/>
            <w:shd w:val="clear" w:color="auto" w:fill="auto"/>
            <w:vAlign w:val="center"/>
          </w:tcPr>
          <w:p w14:paraId="09A755E7" w14:textId="77777777" w:rsidR="00D41BD9" w:rsidRPr="00641FB3" w:rsidRDefault="00D41BD9" w:rsidP="00D41BD9">
            <w:pPr>
              <w:pStyle w:val="In-tableHeading"/>
              <w:keepNext w:val="0"/>
            </w:pPr>
            <w:r w:rsidRPr="00641FB3">
              <w:t>Summary</w:t>
            </w:r>
          </w:p>
        </w:tc>
      </w:tr>
      <w:tr w:rsidR="00D41BD9" w:rsidRPr="000B0AD7" w14:paraId="1D94C8AE" w14:textId="77777777" w:rsidTr="00D41BD9">
        <w:trPr>
          <w:cantSplit/>
        </w:trPr>
        <w:tc>
          <w:tcPr>
            <w:tcW w:w="940" w:type="pct"/>
            <w:shd w:val="clear" w:color="auto" w:fill="auto"/>
            <w:vAlign w:val="center"/>
          </w:tcPr>
          <w:p w14:paraId="0CBF83FC" w14:textId="77777777" w:rsidR="00D41BD9" w:rsidRPr="00E2771E" w:rsidRDefault="00D41BD9" w:rsidP="00D41BD9">
            <w:pPr>
              <w:pStyle w:val="TableText0"/>
              <w:keepNext w:val="0"/>
            </w:pPr>
            <w:r>
              <w:t>Treatments</w:t>
            </w:r>
          </w:p>
        </w:tc>
        <w:tc>
          <w:tcPr>
            <w:tcW w:w="4060" w:type="pct"/>
            <w:shd w:val="clear" w:color="auto" w:fill="auto"/>
            <w:vAlign w:val="center"/>
          </w:tcPr>
          <w:p w14:paraId="2A371105" w14:textId="4F4C8063" w:rsidR="00D41BD9" w:rsidRPr="00B27650" w:rsidRDefault="00D41BD9" w:rsidP="00D41BD9">
            <w:pPr>
              <w:pStyle w:val="TableText0"/>
              <w:keepNext w:val="0"/>
              <w:rPr>
                <w:i/>
                <w:iCs/>
              </w:rPr>
            </w:pPr>
            <w:r w:rsidRPr="006F755E">
              <w:t xml:space="preserve">Mavacamten </w:t>
            </w:r>
            <w:r>
              <w:t>+</w:t>
            </w:r>
            <w:r w:rsidRPr="006F755E">
              <w:t xml:space="preserve"> BB/CCB</w:t>
            </w:r>
            <w:r w:rsidRPr="006D4DDF">
              <w:t xml:space="preserve"> </w:t>
            </w:r>
            <w:r w:rsidRPr="00885192">
              <w:t xml:space="preserve">vs. </w:t>
            </w:r>
            <w:r w:rsidRPr="006D4DDF">
              <w:t>BB/CCB alone</w:t>
            </w:r>
          </w:p>
        </w:tc>
      </w:tr>
      <w:tr w:rsidR="00D41BD9" w:rsidRPr="00E2771E" w14:paraId="1ACCD25C" w14:textId="77777777" w:rsidTr="00D41BD9">
        <w:trPr>
          <w:cantSplit/>
        </w:trPr>
        <w:tc>
          <w:tcPr>
            <w:tcW w:w="940" w:type="pct"/>
            <w:shd w:val="clear" w:color="auto" w:fill="auto"/>
            <w:vAlign w:val="center"/>
          </w:tcPr>
          <w:p w14:paraId="6FE38935" w14:textId="77777777" w:rsidR="00D41BD9" w:rsidRPr="00E2771E" w:rsidRDefault="00D41BD9" w:rsidP="00D41BD9">
            <w:pPr>
              <w:pStyle w:val="TableText0"/>
              <w:keepNext w:val="0"/>
            </w:pPr>
            <w:r w:rsidRPr="00E2771E">
              <w:t>Time horizon</w:t>
            </w:r>
          </w:p>
        </w:tc>
        <w:tc>
          <w:tcPr>
            <w:tcW w:w="4060" w:type="pct"/>
            <w:shd w:val="clear" w:color="auto" w:fill="auto"/>
          </w:tcPr>
          <w:p w14:paraId="0713B9D5" w14:textId="77777777" w:rsidR="00D41BD9" w:rsidRPr="00E2771E" w:rsidRDefault="00D41BD9" w:rsidP="00D41BD9">
            <w:pPr>
              <w:pStyle w:val="TableText0"/>
              <w:keepNext w:val="0"/>
            </w:pPr>
            <w:r w:rsidRPr="003D37D6">
              <w:t xml:space="preserve">25 years in the model base case </w:t>
            </w:r>
            <w:r w:rsidRPr="00885192">
              <w:t>versus</w:t>
            </w:r>
            <w:r w:rsidRPr="003D37D6">
              <w:t xml:space="preserve"> </w:t>
            </w:r>
            <w:r>
              <w:t xml:space="preserve">38 weeks in the key trial EXPLORER-HCM (30-week treatment period + 8-week follow-up) </w:t>
            </w:r>
          </w:p>
        </w:tc>
      </w:tr>
      <w:tr w:rsidR="00D41BD9" w:rsidRPr="00E2771E" w14:paraId="013B32D4" w14:textId="77777777" w:rsidTr="00D41BD9">
        <w:trPr>
          <w:cantSplit/>
        </w:trPr>
        <w:tc>
          <w:tcPr>
            <w:tcW w:w="940" w:type="pct"/>
            <w:shd w:val="clear" w:color="auto" w:fill="auto"/>
            <w:vAlign w:val="center"/>
          </w:tcPr>
          <w:p w14:paraId="3EAECCD1" w14:textId="77777777" w:rsidR="00D41BD9" w:rsidRPr="00E2771E" w:rsidRDefault="00D41BD9" w:rsidP="00D41BD9">
            <w:pPr>
              <w:pStyle w:val="TableText0"/>
              <w:keepNext w:val="0"/>
            </w:pPr>
            <w:r w:rsidRPr="00E2771E">
              <w:t>Outcomes</w:t>
            </w:r>
          </w:p>
        </w:tc>
        <w:tc>
          <w:tcPr>
            <w:tcW w:w="4060" w:type="pct"/>
            <w:shd w:val="clear" w:color="auto" w:fill="auto"/>
            <w:vAlign w:val="center"/>
          </w:tcPr>
          <w:p w14:paraId="52F44D02" w14:textId="77777777" w:rsidR="00D41BD9" w:rsidRPr="00E2771E" w:rsidRDefault="00D41BD9" w:rsidP="00D41BD9">
            <w:pPr>
              <w:pStyle w:val="TableText0"/>
              <w:keepNext w:val="0"/>
            </w:pPr>
            <w:r>
              <w:t>Number of r</w:t>
            </w:r>
            <w:r w:rsidRPr="0003419C">
              <w:t>esponder</w:t>
            </w:r>
            <w:r>
              <w:t>s</w:t>
            </w:r>
            <w:r w:rsidRPr="0003419C">
              <w:t>, life years gained, quality-adjusted life years</w:t>
            </w:r>
            <w:r>
              <w:t xml:space="preserve"> gained</w:t>
            </w:r>
          </w:p>
        </w:tc>
      </w:tr>
      <w:tr w:rsidR="00D41BD9" w:rsidRPr="00E2771E" w14:paraId="2D1DB102" w14:textId="77777777" w:rsidTr="00D41BD9">
        <w:trPr>
          <w:cantSplit/>
        </w:trPr>
        <w:tc>
          <w:tcPr>
            <w:tcW w:w="940" w:type="pct"/>
            <w:shd w:val="clear" w:color="auto" w:fill="auto"/>
            <w:vAlign w:val="center"/>
          </w:tcPr>
          <w:p w14:paraId="57198E1C" w14:textId="77777777" w:rsidR="00D41BD9" w:rsidRPr="00E2771E" w:rsidRDefault="00D41BD9" w:rsidP="00D41BD9">
            <w:pPr>
              <w:pStyle w:val="TableText0"/>
              <w:keepNext w:val="0"/>
            </w:pPr>
            <w:r w:rsidRPr="00E2771E">
              <w:t>Methods used to generate results</w:t>
            </w:r>
          </w:p>
        </w:tc>
        <w:tc>
          <w:tcPr>
            <w:tcW w:w="4060" w:type="pct"/>
            <w:shd w:val="clear" w:color="auto" w:fill="auto"/>
            <w:vAlign w:val="center"/>
          </w:tcPr>
          <w:p w14:paraId="0A6DB0A0" w14:textId="77777777" w:rsidR="00D41BD9" w:rsidRPr="00E2771E" w:rsidRDefault="00D41BD9" w:rsidP="00D41BD9">
            <w:pPr>
              <w:pStyle w:val="TableText0"/>
              <w:keepNext w:val="0"/>
            </w:pPr>
            <w:r w:rsidRPr="0003419C">
              <w:t>Markov state transition model</w:t>
            </w:r>
          </w:p>
        </w:tc>
      </w:tr>
      <w:tr w:rsidR="00D41BD9" w:rsidRPr="00E2771E" w14:paraId="4F04C420" w14:textId="77777777" w:rsidTr="00D41BD9">
        <w:trPr>
          <w:cantSplit/>
        </w:trPr>
        <w:tc>
          <w:tcPr>
            <w:tcW w:w="940" w:type="pct"/>
            <w:shd w:val="clear" w:color="auto" w:fill="auto"/>
            <w:vAlign w:val="center"/>
          </w:tcPr>
          <w:p w14:paraId="671C6D1F" w14:textId="77777777" w:rsidR="00D41BD9" w:rsidRPr="00E2771E" w:rsidRDefault="00D41BD9" w:rsidP="00D41BD9">
            <w:pPr>
              <w:pStyle w:val="TableText0"/>
              <w:keepNext w:val="0"/>
            </w:pPr>
            <w:r w:rsidRPr="00E2771E">
              <w:t>Health states</w:t>
            </w:r>
          </w:p>
        </w:tc>
        <w:tc>
          <w:tcPr>
            <w:tcW w:w="4060" w:type="pct"/>
            <w:shd w:val="clear" w:color="auto" w:fill="auto"/>
            <w:vAlign w:val="center"/>
          </w:tcPr>
          <w:p w14:paraId="48931E78" w14:textId="77777777" w:rsidR="00D41BD9" w:rsidRPr="00E2771E" w:rsidRDefault="00D41BD9" w:rsidP="00D41BD9">
            <w:pPr>
              <w:pStyle w:val="TableText0"/>
              <w:keepNext w:val="0"/>
            </w:pPr>
            <w:r w:rsidRPr="0003419C">
              <w:t>Four health states: NYHA class I, NYHA class II, NYHA class III/IV, death</w:t>
            </w:r>
          </w:p>
        </w:tc>
      </w:tr>
      <w:tr w:rsidR="00D41BD9" w:rsidRPr="00E2771E" w14:paraId="18DC9420" w14:textId="77777777" w:rsidTr="00D41BD9">
        <w:trPr>
          <w:cantSplit/>
        </w:trPr>
        <w:tc>
          <w:tcPr>
            <w:tcW w:w="940" w:type="pct"/>
            <w:shd w:val="clear" w:color="auto" w:fill="auto"/>
            <w:vAlign w:val="center"/>
          </w:tcPr>
          <w:p w14:paraId="04E4D400" w14:textId="77777777" w:rsidR="00D41BD9" w:rsidRPr="00E2771E" w:rsidRDefault="00D41BD9" w:rsidP="00D41BD9">
            <w:pPr>
              <w:pStyle w:val="TableText0"/>
              <w:keepNext w:val="0"/>
            </w:pPr>
            <w:r w:rsidRPr="00E2771E">
              <w:t>Cycle length</w:t>
            </w:r>
          </w:p>
        </w:tc>
        <w:tc>
          <w:tcPr>
            <w:tcW w:w="4060" w:type="pct"/>
            <w:shd w:val="clear" w:color="auto" w:fill="auto"/>
            <w:vAlign w:val="center"/>
          </w:tcPr>
          <w:p w14:paraId="59A5A558" w14:textId="77777777" w:rsidR="00D41BD9" w:rsidRDefault="00D41BD9" w:rsidP="00D41BD9">
            <w:pPr>
              <w:pStyle w:val="TableText0"/>
              <w:keepNext w:val="0"/>
            </w:pPr>
            <w:r>
              <w:t xml:space="preserve">Short-term (within 30 weeks, </w:t>
            </w:r>
            <w:r w:rsidRPr="00885192">
              <w:t xml:space="preserve">i.e. </w:t>
            </w:r>
            <w:r>
              <w:t>the treatment period in the trial): consistent with the visit schedule for efficacy measures in EXPLORER-HCM (either 2 weeks or 4 weeks)</w:t>
            </w:r>
          </w:p>
          <w:p w14:paraId="42C4F44A" w14:textId="77777777" w:rsidR="00D41BD9" w:rsidRPr="00E2771E" w:rsidRDefault="00D41BD9" w:rsidP="00D41BD9">
            <w:pPr>
              <w:pStyle w:val="TableText0"/>
              <w:keepNext w:val="0"/>
            </w:pPr>
            <w:r>
              <w:t xml:space="preserve">Long-term (beyond 30 weeks): 4 weeks </w:t>
            </w:r>
          </w:p>
        </w:tc>
      </w:tr>
      <w:tr w:rsidR="00D41BD9" w:rsidRPr="00E2771E" w14:paraId="4CC52997" w14:textId="77777777" w:rsidTr="00D41BD9">
        <w:trPr>
          <w:cantSplit/>
        </w:trPr>
        <w:tc>
          <w:tcPr>
            <w:tcW w:w="940" w:type="pct"/>
            <w:shd w:val="clear" w:color="auto" w:fill="auto"/>
            <w:vAlign w:val="center"/>
          </w:tcPr>
          <w:p w14:paraId="612B4FE9" w14:textId="77777777" w:rsidR="00D41BD9" w:rsidRPr="00E2771E" w:rsidRDefault="00D41BD9" w:rsidP="00D41BD9">
            <w:pPr>
              <w:pStyle w:val="TableText0"/>
              <w:keepNext w:val="0"/>
            </w:pPr>
            <w:r w:rsidRPr="00E2771E">
              <w:t>Transition probabilities</w:t>
            </w:r>
          </w:p>
        </w:tc>
        <w:tc>
          <w:tcPr>
            <w:tcW w:w="4060" w:type="pct"/>
            <w:shd w:val="clear" w:color="auto" w:fill="auto"/>
            <w:vAlign w:val="center"/>
          </w:tcPr>
          <w:p w14:paraId="55A59800" w14:textId="7683E58B" w:rsidR="00D41BD9" w:rsidRPr="00E2771E" w:rsidRDefault="00D41BD9" w:rsidP="00D41BD9">
            <w:pPr>
              <w:pStyle w:val="TableText0"/>
              <w:keepNext w:val="0"/>
            </w:pPr>
            <w:r>
              <w:t>Transition probabilities among NYHA health states were estimated based on the trial data from EXPLORER-HCM up to 30 weeks for mavacamten + BB/CCB and up to 46 weeks for SOC (</w:t>
            </w:r>
            <w:r w:rsidRPr="00885192">
              <w:t xml:space="preserve">i.e. </w:t>
            </w:r>
            <w:r>
              <w:t xml:space="preserve">BB/CCB). </w:t>
            </w:r>
          </w:p>
        </w:tc>
      </w:tr>
      <w:tr w:rsidR="00D41BD9" w:rsidRPr="00E2771E" w14:paraId="7706DDFF" w14:textId="77777777" w:rsidTr="00D41BD9">
        <w:trPr>
          <w:cantSplit/>
        </w:trPr>
        <w:tc>
          <w:tcPr>
            <w:tcW w:w="940" w:type="pct"/>
            <w:shd w:val="clear" w:color="auto" w:fill="auto"/>
            <w:vAlign w:val="center"/>
          </w:tcPr>
          <w:p w14:paraId="42D96DC8" w14:textId="77777777" w:rsidR="00D41BD9" w:rsidRPr="00E2771E" w:rsidRDefault="00D41BD9" w:rsidP="00D41BD9">
            <w:pPr>
              <w:pStyle w:val="TableText0"/>
              <w:keepNext w:val="0"/>
            </w:pPr>
            <w:r>
              <w:lastRenderedPageBreak/>
              <w:t>Extrapolation method</w:t>
            </w:r>
          </w:p>
        </w:tc>
        <w:tc>
          <w:tcPr>
            <w:tcW w:w="4060" w:type="pct"/>
            <w:shd w:val="clear" w:color="auto" w:fill="auto"/>
            <w:vAlign w:val="center"/>
          </w:tcPr>
          <w:p w14:paraId="2A556906" w14:textId="5B91F6E1" w:rsidR="00D41BD9" w:rsidRPr="00F72968" w:rsidRDefault="00D41BD9" w:rsidP="00D41BD9">
            <w:pPr>
              <w:pStyle w:val="TableText0"/>
              <w:keepNext w:val="0"/>
              <w:rPr>
                <w:iCs/>
              </w:rPr>
            </w:pPr>
            <w:r>
              <w:t xml:space="preserve">After the trial data truncation time point, the model assumed that patients receiving mavacamten + BB/CCB or BB/CCB alone experienced no further NYHA class change except for underlying natural disease progression. The estimate of the disease progression rate in patients treated with BB/CCB was sourced from an external </w:t>
            </w:r>
            <w:r w:rsidR="00B27650">
              <w:t xml:space="preserve">US </w:t>
            </w:r>
            <w:r>
              <w:t xml:space="preserve">study by Maron </w:t>
            </w:r>
            <w:r w:rsidRPr="00885192">
              <w:t>et al</w:t>
            </w:r>
            <w:r>
              <w:t xml:space="preserve"> (2016). The rate of natural disease progression for mavacamten + BB/CCB was estimated by applying a relative difference of 50.85% (derived from the key trial) to the assumed disease progression rate for BB/CCB.</w:t>
            </w:r>
            <w:r w:rsidR="004F42FC">
              <w:t xml:space="preserve"> </w:t>
            </w:r>
          </w:p>
          <w:p w14:paraId="29AADD14" w14:textId="77777777" w:rsidR="00D41BD9" w:rsidRDefault="00D41BD9" w:rsidP="00D41BD9">
            <w:pPr>
              <w:pStyle w:val="TableText0"/>
              <w:keepNext w:val="0"/>
            </w:pPr>
          </w:p>
          <w:p w14:paraId="0542A4B0" w14:textId="6BC9762C" w:rsidR="00FA24A3" w:rsidRDefault="00D41BD9" w:rsidP="00D41BD9">
            <w:pPr>
              <w:pStyle w:val="TableText0"/>
              <w:keepNext w:val="0"/>
            </w:pPr>
            <w:r>
              <w:t xml:space="preserve">The submission assumed that patients would remain on their initial treatment with mavacamten + BB/CCB or BB/CCB alone for the first 30 weeks. Thereafter, patients have a probability of discontinuing mavacamten treatment, due to AEs or lack of efficacy, and receive subsequent therapy with BB/CCB, disopyramide + BB/CCB or SRT + BB/CCB. </w:t>
            </w:r>
          </w:p>
          <w:p w14:paraId="190B50AE" w14:textId="77777777" w:rsidR="00FA24A3" w:rsidRDefault="00FA24A3" w:rsidP="00D41BD9">
            <w:pPr>
              <w:pStyle w:val="TableText0"/>
              <w:keepNext w:val="0"/>
            </w:pPr>
          </w:p>
          <w:p w14:paraId="1AF01033" w14:textId="2AC75CB6" w:rsidR="00D41BD9" w:rsidRDefault="00D41BD9" w:rsidP="00D41BD9">
            <w:pPr>
              <w:pStyle w:val="TableText0"/>
              <w:keepNext w:val="0"/>
            </w:pPr>
            <w:r>
              <w:t xml:space="preserve">Patients </w:t>
            </w:r>
            <w:r w:rsidRPr="00830B18">
              <w:t xml:space="preserve">not responding to </w:t>
            </w:r>
            <w:r>
              <w:t xml:space="preserve">BB/CCB monotherapy have a probability of receiving </w:t>
            </w:r>
            <w:r w:rsidRPr="00830B18">
              <w:t>subsequent treatments (</w:t>
            </w:r>
            <w:r w:rsidRPr="00885192">
              <w:t>i.e.</w:t>
            </w:r>
            <w:r w:rsidRPr="00830B18">
              <w:t xml:space="preserve"> disopyramide </w:t>
            </w:r>
            <w:r>
              <w:t xml:space="preserve">+ BB/CCB or </w:t>
            </w:r>
            <w:r w:rsidRPr="00830B18">
              <w:t>and SRT</w:t>
            </w:r>
            <w:r>
              <w:t xml:space="preserve"> +</w:t>
            </w:r>
            <w:r w:rsidRPr="00830B18">
              <w:t xml:space="preserve"> BB/CCB</w:t>
            </w:r>
            <w:r>
              <w:t>)</w:t>
            </w:r>
            <w:r w:rsidRPr="00830B18">
              <w:t xml:space="preserve">. </w:t>
            </w:r>
            <w:r>
              <w:t>The proportion of patients who would receive subsequent therapies and the market share of subsequent therapies were estimated based on the EXPLORER-HCM trial, and expert opinion from an Advisory Board.</w:t>
            </w:r>
            <w:r w:rsidR="008D45AD">
              <w:t xml:space="preserve"> </w:t>
            </w:r>
          </w:p>
          <w:p w14:paraId="06AA3665" w14:textId="77777777" w:rsidR="00D41BD9" w:rsidRDefault="00D41BD9" w:rsidP="00D41BD9">
            <w:pPr>
              <w:pStyle w:val="TableText0"/>
              <w:keepNext w:val="0"/>
            </w:pPr>
          </w:p>
          <w:p w14:paraId="43851DAB" w14:textId="304E5E36" w:rsidR="00D41BD9" w:rsidRDefault="00D41BD9" w:rsidP="00D41BD9">
            <w:pPr>
              <w:pStyle w:val="TableText0"/>
              <w:keepNext w:val="0"/>
            </w:pPr>
            <w:r>
              <w:t xml:space="preserve">The submission assumed that patients treated with disopyramide + BB/CCB experienced no improvement in NYHA class but followed the natural disease progression. The transition probabilities among NYHA class health states in patients receiving SRT + BB/CCB were sourced from a Ukrainian study (Knyshov </w:t>
            </w:r>
            <w:r w:rsidRPr="00885192">
              <w:t>et al</w:t>
            </w:r>
            <w:r>
              <w:t>., 2013).</w:t>
            </w:r>
            <w:r w:rsidR="008D45AD">
              <w:t xml:space="preserve"> </w:t>
            </w:r>
            <w:r w:rsidR="008D45AD" w:rsidRPr="00F72968">
              <w:rPr>
                <w:iCs/>
              </w:rPr>
              <w:t xml:space="preserve">The ESC considered the data sourced for NYHA transitions probabilities </w:t>
            </w:r>
            <w:r w:rsidR="009A32C1" w:rsidRPr="00F72968">
              <w:rPr>
                <w:iCs/>
              </w:rPr>
              <w:t>for</w:t>
            </w:r>
            <w:r w:rsidR="008D45AD" w:rsidRPr="00F72968">
              <w:rPr>
                <w:iCs/>
              </w:rPr>
              <w:t xml:space="preserve"> patients </w:t>
            </w:r>
            <w:r w:rsidR="00706FD9" w:rsidRPr="00F72968">
              <w:rPr>
                <w:iCs/>
              </w:rPr>
              <w:t>receiving</w:t>
            </w:r>
            <w:r w:rsidR="008D45AD" w:rsidRPr="00F72968">
              <w:rPr>
                <w:iCs/>
              </w:rPr>
              <w:t xml:space="preserve"> SRT + BB/CCB </w:t>
            </w:r>
            <w:r w:rsidR="009A32C1" w:rsidRPr="00F72968">
              <w:rPr>
                <w:iCs/>
              </w:rPr>
              <w:t xml:space="preserve">were </w:t>
            </w:r>
            <w:r w:rsidR="008D45AD" w:rsidRPr="00F72968">
              <w:rPr>
                <w:iCs/>
              </w:rPr>
              <w:t>unreliable and not representative of Australian patients.</w:t>
            </w:r>
          </w:p>
          <w:p w14:paraId="2B887E95" w14:textId="77777777" w:rsidR="008D45AD" w:rsidRDefault="008D45AD" w:rsidP="00D41BD9">
            <w:pPr>
              <w:pStyle w:val="TableText0"/>
              <w:keepNext w:val="0"/>
            </w:pPr>
          </w:p>
          <w:p w14:paraId="64CFF28D" w14:textId="4EBF1234" w:rsidR="00D41BD9" w:rsidRDefault="00D41BD9" w:rsidP="00D41BD9">
            <w:pPr>
              <w:pStyle w:val="TableText0"/>
              <w:keepNext w:val="0"/>
            </w:pPr>
            <w:r>
              <w:t>The mortality rate in NYHA class I patients was the general population mortality rate obtained from ABS Life Tables. Hazard ratios were used to reflect the excess mortality associated with NYHA class II and NYHA class III/IV, based on adjusted analyses using the Sarcomeric Human Cardiomyopathy Registry.</w:t>
            </w:r>
          </w:p>
          <w:p w14:paraId="7A82AB43" w14:textId="77777777" w:rsidR="00690208" w:rsidRDefault="00690208" w:rsidP="00D41BD9">
            <w:pPr>
              <w:pStyle w:val="TableText0"/>
              <w:keepNext w:val="0"/>
            </w:pPr>
          </w:p>
          <w:p w14:paraId="3CA3E7F8" w14:textId="77777777" w:rsidR="00D41BD9" w:rsidRPr="00E2771E" w:rsidRDefault="00D41BD9" w:rsidP="00D41BD9">
            <w:pPr>
              <w:pStyle w:val="TableText0"/>
              <w:keepNext w:val="0"/>
            </w:pPr>
            <w:r>
              <w:t>98% of the incremental QALYs and 77% of the incremental costs occurred in the extrapolated period (</w:t>
            </w:r>
            <w:r w:rsidRPr="00885192">
              <w:t>i.e.</w:t>
            </w:r>
            <w:r>
              <w:t xml:space="preserve"> from 30 weeks to 25 years).</w:t>
            </w:r>
          </w:p>
        </w:tc>
      </w:tr>
      <w:tr w:rsidR="00D41BD9" w:rsidRPr="00E2771E" w14:paraId="516F5B27" w14:textId="77777777" w:rsidTr="00D41BD9">
        <w:trPr>
          <w:cantSplit/>
        </w:trPr>
        <w:tc>
          <w:tcPr>
            <w:tcW w:w="940" w:type="pct"/>
            <w:shd w:val="clear" w:color="auto" w:fill="auto"/>
            <w:vAlign w:val="center"/>
          </w:tcPr>
          <w:p w14:paraId="5D7F75B9" w14:textId="77777777" w:rsidR="00D41BD9" w:rsidRPr="001F4081" w:rsidRDefault="00D41BD9" w:rsidP="00D41BD9">
            <w:pPr>
              <w:pStyle w:val="TableText0"/>
              <w:keepNext w:val="0"/>
            </w:pPr>
            <w:r>
              <w:t>Health related quality of life</w:t>
            </w:r>
          </w:p>
        </w:tc>
        <w:tc>
          <w:tcPr>
            <w:tcW w:w="4060" w:type="pct"/>
            <w:shd w:val="clear" w:color="auto" w:fill="auto"/>
            <w:vAlign w:val="center"/>
          </w:tcPr>
          <w:p w14:paraId="7DD41E3C" w14:textId="77777777" w:rsidR="00D41BD9" w:rsidRDefault="00D41BD9" w:rsidP="00D41BD9">
            <w:pPr>
              <w:pStyle w:val="TableText0"/>
              <w:keepNext w:val="0"/>
            </w:pPr>
            <w:r w:rsidRPr="001B3B4B">
              <w:t xml:space="preserve">Utilities were NYHA functional class dependent, regardless of the treatments the patients received. </w:t>
            </w:r>
            <w:r>
              <w:t xml:space="preserve">No AE-associated utility decrements were included in the economic model. Health state utility values were estimated based on the EQ-5D data from </w:t>
            </w:r>
            <w:r w:rsidRPr="001B3B4B">
              <w:t>the EXPLORER-HCM trial</w:t>
            </w:r>
            <w:r>
              <w:t>.</w:t>
            </w:r>
          </w:p>
          <w:p w14:paraId="4D98D071" w14:textId="77777777" w:rsidR="00D41BD9" w:rsidRDefault="00D41BD9" w:rsidP="00D41BD9">
            <w:pPr>
              <w:pStyle w:val="TableText0"/>
              <w:keepNext w:val="0"/>
            </w:pPr>
          </w:p>
          <w:p w14:paraId="7A816793" w14:textId="77777777" w:rsidR="00D41BD9" w:rsidRPr="00E2771E" w:rsidRDefault="00D41BD9" w:rsidP="00D41BD9">
            <w:pPr>
              <w:pStyle w:val="TableText0"/>
              <w:keepNext w:val="0"/>
            </w:pPr>
            <w:r>
              <w:t>NYHA class I: 0.909; NYHA class II: 0.827; NYHA class III/IV: 0.730</w:t>
            </w:r>
          </w:p>
        </w:tc>
      </w:tr>
      <w:tr w:rsidR="00D41BD9" w:rsidRPr="00E2771E" w14:paraId="3CF17C80" w14:textId="77777777" w:rsidTr="00D41BD9">
        <w:trPr>
          <w:cantSplit/>
        </w:trPr>
        <w:tc>
          <w:tcPr>
            <w:tcW w:w="940" w:type="pct"/>
            <w:shd w:val="clear" w:color="auto" w:fill="auto"/>
            <w:vAlign w:val="center"/>
          </w:tcPr>
          <w:p w14:paraId="3808BE9C" w14:textId="77777777" w:rsidR="00D41BD9" w:rsidRPr="00E2771E" w:rsidRDefault="00D41BD9" w:rsidP="00D41BD9">
            <w:pPr>
              <w:pStyle w:val="TableText0"/>
              <w:keepNext w:val="0"/>
            </w:pPr>
            <w:r>
              <w:t xml:space="preserve">Costs </w:t>
            </w:r>
          </w:p>
        </w:tc>
        <w:tc>
          <w:tcPr>
            <w:tcW w:w="4060" w:type="pct"/>
            <w:shd w:val="clear" w:color="auto" w:fill="auto"/>
            <w:vAlign w:val="center"/>
          </w:tcPr>
          <w:p w14:paraId="42853F89" w14:textId="77777777" w:rsidR="00D41BD9" w:rsidRDefault="00D41BD9" w:rsidP="00D41BD9">
            <w:pPr>
              <w:pStyle w:val="TableText0"/>
              <w:keepNext w:val="0"/>
            </w:pPr>
            <w:r>
              <w:t xml:space="preserve">Drug costs were estimated based on the proposed or published PBS prices. </w:t>
            </w:r>
          </w:p>
          <w:p w14:paraId="0CE354F2" w14:textId="77777777" w:rsidR="00D41BD9" w:rsidRDefault="00D41BD9" w:rsidP="00D41BD9">
            <w:pPr>
              <w:pStyle w:val="TableText0"/>
              <w:keepNext w:val="0"/>
            </w:pPr>
          </w:p>
          <w:p w14:paraId="083E8A28" w14:textId="3D80B010" w:rsidR="00D41BD9" w:rsidRPr="00F72968" w:rsidRDefault="00D41BD9" w:rsidP="00D41BD9">
            <w:pPr>
              <w:pStyle w:val="TableText0"/>
              <w:keepNext w:val="0"/>
              <w:rPr>
                <w:iCs/>
              </w:rPr>
            </w:pPr>
            <w:r>
              <w:t xml:space="preserve">The health care resource use associated with treatment monitoring and management of disease was sourced from the mavacamten PI and expert opinion from the Advisory Board. MBS Schedule fees were used to cost related medical services. The cost of cardiovascular hospitalisation for disease management and the cost for SRT were estimated as the weighted average of selected AR-DRGs items. </w:t>
            </w:r>
          </w:p>
          <w:p w14:paraId="6246C385" w14:textId="77777777" w:rsidR="00D41BD9" w:rsidRDefault="00D41BD9" w:rsidP="00D41BD9">
            <w:pPr>
              <w:pStyle w:val="TableText0"/>
              <w:keepNext w:val="0"/>
            </w:pPr>
          </w:p>
          <w:p w14:paraId="4FC7BED9" w14:textId="77777777" w:rsidR="00D41BD9" w:rsidRPr="00E2771E" w:rsidRDefault="00D41BD9" w:rsidP="00D41BD9">
            <w:pPr>
              <w:pStyle w:val="TableText0"/>
              <w:keepNext w:val="0"/>
            </w:pPr>
            <w:r>
              <w:t xml:space="preserve">The terminal care cost was sourced from an Australian study </w:t>
            </w:r>
            <w:r w:rsidRPr="00587B8E">
              <w:t xml:space="preserve">which </w:t>
            </w:r>
            <w:r>
              <w:t>reported</w:t>
            </w:r>
            <w:r w:rsidRPr="00587B8E">
              <w:t xml:space="preserve"> the hospital inpatient costs among older people in </w:t>
            </w:r>
            <w:r>
              <w:t xml:space="preserve">their last year of life. </w:t>
            </w:r>
          </w:p>
        </w:tc>
      </w:tr>
    </w:tbl>
    <w:p w14:paraId="17420309" w14:textId="77777777" w:rsidR="00D41BD9" w:rsidRDefault="00D41BD9" w:rsidP="00D41BD9">
      <w:pPr>
        <w:pStyle w:val="FooterTableFigure"/>
      </w:pPr>
      <w:r>
        <w:t xml:space="preserve">Source: Table 81, p189 and Sections 3.4 to 3.6, pp191-217 of the submission. </w:t>
      </w:r>
    </w:p>
    <w:p w14:paraId="5A7B1D26" w14:textId="77777777" w:rsidR="00D41BD9" w:rsidRDefault="00D41BD9" w:rsidP="00D41BD9">
      <w:pPr>
        <w:pStyle w:val="FooterTableFigure"/>
      </w:pPr>
      <w:r>
        <w:t xml:space="preserve">ABS = Australian Bureau of Statistics; AR-DRGs = </w:t>
      </w:r>
      <w:r w:rsidRPr="00587B8E">
        <w:t>Australian Refined Diagnosis Related Groups</w:t>
      </w:r>
      <w:r>
        <w:t xml:space="preserve">; BB = beta-blocker; CCB = calcium channel blocker; EQ-5D = </w:t>
      </w:r>
      <w:r w:rsidRPr="001B3B4B">
        <w:t>EuroQol 5-Dimensions</w:t>
      </w:r>
      <w:r>
        <w:t>;</w:t>
      </w:r>
      <w:r w:rsidRPr="001B3B4B">
        <w:t xml:space="preserve"> </w:t>
      </w:r>
      <w:r>
        <w:t>HCM = hypertrophic cardiomyopathy; NYHA = New York Heart Association; PI = Product Information; SOC = standard of care; SRT = septal reduction therapy</w:t>
      </w:r>
    </w:p>
    <w:p w14:paraId="436B02E4" w14:textId="1B466CDC" w:rsidR="002013D8" w:rsidRDefault="00D41BD9" w:rsidP="00C43B33">
      <w:pPr>
        <w:pStyle w:val="3-BodyText"/>
      </w:pPr>
      <w:bookmarkStart w:id="45" w:name="_Ref116299766"/>
      <w:r w:rsidRPr="006A2995">
        <w:t xml:space="preserve">The economic model assumed a 25-year time horizon. </w:t>
      </w:r>
      <w:r w:rsidRPr="00C37AF2">
        <w:t xml:space="preserve">This was </w:t>
      </w:r>
      <w:r>
        <w:t xml:space="preserve">selected based on the </w:t>
      </w:r>
      <w:r w:rsidRPr="00C37AF2">
        <w:t xml:space="preserve">mean age of the </w:t>
      </w:r>
      <w:r>
        <w:t>trial</w:t>
      </w:r>
      <w:r w:rsidRPr="00C37AF2">
        <w:t xml:space="preserve"> population (</w:t>
      </w:r>
      <w:r w:rsidR="0060679E" w:rsidRPr="00C37AF2">
        <w:t>59</w:t>
      </w:r>
      <w:r w:rsidR="0060679E">
        <w:t> </w:t>
      </w:r>
      <w:r w:rsidRPr="00C37AF2">
        <w:t>year</w:t>
      </w:r>
      <w:r>
        <w:t>s</w:t>
      </w:r>
      <w:r w:rsidRPr="00C37AF2">
        <w:t xml:space="preserve">) and the average life expectancy of the Australian population. </w:t>
      </w:r>
      <w:r w:rsidRPr="00885192">
        <w:t xml:space="preserve">This was longer than the time horizon used in the economic </w:t>
      </w:r>
      <w:r w:rsidRPr="00885192">
        <w:lastRenderedPageBreak/>
        <w:t xml:space="preserve">evaluation in the PBAC submissions for tafamidis (for treatment of transthyretin amyloid cardiomyopathy) (20-year time horizon), which represented an older age patient population (mean baseline age in the key trial ATTR-ACT: </w:t>
      </w:r>
      <w:r w:rsidR="0060679E" w:rsidRPr="00885192">
        <w:t>74</w:t>
      </w:r>
      <w:r w:rsidR="0060679E">
        <w:t> </w:t>
      </w:r>
      <w:r w:rsidRPr="00885192">
        <w:t xml:space="preserve">years vs. </w:t>
      </w:r>
      <w:r w:rsidR="0060679E" w:rsidRPr="00885192">
        <w:t>59</w:t>
      </w:r>
      <w:r w:rsidR="0060679E">
        <w:t> </w:t>
      </w:r>
      <w:r w:rsidRPr="00885192">
        <w:t xml:space="preserve">years in EXPLORER-HCM). </w:t>
      </w:r>
      <w:r w:rsidR="0087219C" w:rsidRPr="00F72968">
        <w:rPr>
          <w:iCs/>
        </w:rPr>
        <w:t>The</w:t>
      </w:r>
      <w:r w:rsidR="0087219C" w:rsidRPr="00885192">
        <w:t xml:space="preserve"> </w:t>
      </w:r>
      <w:r w:rsidR="00490B8B" w:rsidRPr="00F72968">
        <w:rPr>
          <w:iCs/>
        </w:rPr>
        <w:t xml:space="preserve">ESC </w:t>
      </w:r>
      <w:r w:rsidR="0087219C" w:rsidRPr="00F72968">
        <w:rPr>
          <w:iCs/>
        </w:rPr>
        <w:t>advis</w:t>
      </w:r>
      <w:r w:rsidR="00490B8B" w:rsidRPr="00F72968">
        <w:rPr>
          <w:iCs/>
        </w:rPr>
        <w:t xml:space="preserve">ed </w:t>
      </w:r>
      <w:r w:rsidR="0087219C" w:rsidRPr="00F72968">
        <w:rPr>
          <w:iCs/>
        </w:rPr>
        <w:t xml:space="preserve">that </w:t>
      </w:r>
      <w:r w:rsidR="00663EF2" w:rsidRPr="00F72968">
        <w:rPr>
          <w:iCs/>
        </w:rPr>
        <w:t>whilst a</w:t>
      </w:r>
      <w:r w:rsidR="00490B8B" w:rsidRPr="00F72968">
        <w:rPr>
          <w:iCs/>
        </w:rPr>
        <w:t xml:space="preserve"> </w:t>
      </w:r>
      <w:r w:rsidRPr="00885192">
        <w:t xml:space="preserve">25-year time horizon </w:t>
      </w:r>
      <w:r w:rsidR="00663EF2" w:rsidRPr="00F72968">
        <w:rPr>
          <w:iCs/>
        </w:rPr>
        <w:t xml:space="preserve">is appropriate to </w:t>
      </w:r>
      <w:r w:rsidRPr="00885192">
        <w:t>capture the costs and benefits expected to occur throughout the disease course of symptomatic obstructive HCM</w:t>
      </w:r>
      <w:r w:rsidR="00663EF2">
        <w:t>,</w:t>
      </w:r>
      <w:r w:rsidRPr="00885192">
        <w:t xml:space="preserve"> the clinical data from EXPLORER-HCM were inadequate to inform long-term estimates for the nominated time horizon</w:t>
      </w:r>
      <w:r w:rsidR="00DC5CEB">
        <w:t xml:space="preserve">. </w:t>
      </w:r>
      <w:r w:rsidR="00DC5CEB" w:rsidRPr="00F72968">
        <w:rPr>
          <w:iCs/>
        </w:rPr>
        <w:t>The ESC therefore suggested that, given the uncertainty in the data</w:t>
      </w:r>
      <w:r w:rsidR="00551479" w:rsidRPr="00F72968">
        <w:rPr>
          <w:iCs/>
        </w:rPr>
        <w:t>,</w:t>
      </w:r>
      <w:r w:rsidR="00DC5CEB" w:rsidRPr="00F72968">
        <w:rPr>
          <w:iCs/>
        </w:rPr>
        <w:t xml:space="preserve"> a time horizon of </w:t>
      </w:r>
      <w:r w:rsidR="0060679E" w:rsidRPr="00F72968">
        <w:rPr>
          <w:iCs/>
        </w:rPr>
        <w:t>10</w:t>
      </w:r>
      <w:r w:rsidR="0060679E">
        <w:rPr>
          <w:iCs/>
        </w:rPr>
        <w:t> </w:t>
      </w:r>
      <w:r w:rsidR="007708FD" w:rsidRPr="00F72968">
        <w:rPr>
          <w:iCs/>
        </w:rPr>
        <w:t xml:space="preserve">years </w:t>
      </w:r>
      <w:r w:rsidR="00DC5CEB" w:rsidRPr="00F72968">
        <w:rPr>
          <w:iCs/>
        </w:rPr>
        <w:t>should also be explored</w:t>
      </w:r>
      <w:r w:rsidRPr="00885192">
        <w:t xml:space="preserve">. </w:t>
      </w:r>
      <w:r w:rsidR="00065583" w:rsidRPr="00F72968">
        <w:rPr>
          <w:iCs/>
        </w:rPr>
        <w:t>The ESC noted that almost</w:t>
      </w:r>
      <w:r w:rsidR="00065583" w:rsidRPr="00885192">
        <w:t xml:space="preserve"> all incremental life years (LYs) and incremental quality-adjusted life years (QALYs) between the treatment arms accumulated during the extrapolation period.</w:t>
      </w:r>
    </w:p>
    <w:p w14:paraId="401A3371" w14:textId="77CAFDB9" w:rsidR="00D41BD9" w:rsidRPr="00885192" w:rsidRDefault="00065583" w:rsidP="002A6640">
      <w:pPr>
        <w:pStyle w:val="3-BodyText"/>
      </w:pPr>
      <w:r>
        <w:t>T</w:t>
      </w:r>
      <w:r w:rsidR="00D41BD9" w:rsidRPr="00885192">
        <w:t>he economic model assumed an overall survival benefit associated with mavacamten over SOC that was not shown in the clinical data</w:t>
      </w:r>
      <w:r w:rsidR="00663EF2">
        <w:t xml:space="preserve">, </w:t>
      </w:r>
      <w:r w:rsidR="00663EF2" w:rsidRPr="002013D8">
        <w:rPr>
          <w:iCs/>
        </w:rPr>
        <w:t xml:space="preserve">nor is </w:t>
      </w:r>
      <w:r w:rsidRPr="002013D8">
        <w:rPr>
          <w:iCs/>
        </w:rPr>
        <w:t>survival</w:t>
      </w:r>
      <w:r w:rsidR="00663EF2" w:rsidRPr="008D69B6">
        <w:rPr>
          <w:iCs/>
        </w:rPr>
        <w:t xml:space="preserve"> expected to be impacted by mavacamten treatment</w:t>
      </w:r>
      <w:r w:rsidRPr="00662FB3">
        <w:rPr>
          <w:iCs/>
        </w:rPr>
        <w:t>;</w:t>
      </w:r>
      <w:r w:rsidR="00161C16" w:rsidRPr="00662FB3">
        <w:rPr>
          <w:iCs/>
        </w:rPr>
        <w:t xml:space="preserve"> as noted in the PSCR,</w:t>
      </w:r>
      <w:r w:rsidR="00663EF2" w:rsidRPr="00662FB3">
        <w:rPr>
          <w:iCs/>
        </w:rPr>
        <w:t xml:space="preserve"> the treatment goal </w:t>
      </w:r>
      <w:r w:rsidRPr="00662FB3">
        <w:rPr>
          <w:iCs/>
        </w:rPr>
        <w:t>is</w:t>
      </w:r>
      <w:r w:rsidR="00663EF2" w:rsidRPr="00662FB3">
        <w:rPr>
          <w:iCs/>
        </w:rPr>
        <w:t xml:space="preserve"> </w:t>
      </w:r>
      <w:r w:rsidR="00161C16" w:rsidRPr="00662FB3">
        <w:rPr>
          <w:iCs/>
        </w:rPr>
        <w:t>to reduce disease severity through symptomatic improvement</w:t>
      </w:r>
      <w:r w:rsidR="00D41BD9" w:rsidRPr="00885192">
        <w:t xml:space="preserve">. </w:t>
      </w:r>
      <w:r w:rsidR="00D94C43" w:rsidRPr="002013D8">
        <w:rPr>
          <w:iCs/>
        </w:rPr>
        <w:t>The PSCR also</w:t>
      </w:r>
      <w:r w:rsidR="00161C16" w:rsidRPr="002013D8">
        <w:rPr>
          <w:iCs/>
        </w:rPr>
        <w:t xml:space="preserve"> acknowledged </w:t>
      </w:r>
      <w:r w:rsidR="002A39B0" w:rsidRPr="00662FB3">
        <w:rPr>
          <w:iCs/>
        </w:rPr>
        <w:t>that obstructive HCM is associated with normal life expectancy</w:t>
      </w:r>
      <w:r w:rsidR="00663EF2" w:rsidRPr="00662FB3">
        <w:rPr>
          <w:iCs/>
        </w:rPr>
        <w:t xml:space="preserve">. </w:t>
      </w:r>
      <w:r w:rsidR="002013D8" w:rsidRPr="00220A20">
        <w:t>The ESC advised that the improvements in functional end points would not necessarily translate into mortality benefits and therefore considered the extrapolated survival gains inappropriate</w:t>
      </w:r>
      <w:r w:rsidR="002A39B0" w:rsidRPr="00662FB3">
        <w:rPr>
          <w:iCs/>
        </w:rPr>
        <w:t xml:space="preserve">. </w:t>
      </w:r>
      <w:bookmarkEnd w:id="45"/>
      <w:r w:rsidR="00673FD2" w:rsidRPr="00662FB3">
        <w:rPr>
          <w:iCs/>
        </w:rPr>
        <w:t xml:space="preserve">The pre-PBAC response maintained </w:t>
      </w:r>
      <w:r w:rsidR="00493E21" w:rsidRPr="00662FB3">
        <w:rPr>
          <w:iCs/>
        </w:rPr>
        <w:t xml:space="preserve">that the </w:t>
      </w:r>
      <w:r w:rsidR="00673FD2" w:rsidRPr="00662FB3">
        <w:rPr>
          <w:iCs/>
        </w:rPr>
        <w:t xml:space="preserve">mortality rates </w:t>
      </w:r>
      <w:r w:rsidR="00493E21" w:rsidRPr="00662FB3">
        <w:rPr>
          <w:iCs/>
        </w:rPr>
        <w:t>associated with</w:t>
      </w:r>
      <w:r w:rsidR="00673FD2" w:rsidRPr="00662FB3">
        <w:rPr>
          <w:iCs/>
        </w:rPr>
        <w:t xml:space="preserve"> </w:t>
      </w:r>
      <w:r w:rsidR="00493E21" w:rsidRPr="00662FB3">
        <w:rPr>
          <w:iCs/>
        </w:rPr>
        <w:t xml:space="preserve">the </w:t>
      </w:r>
      <w:r w:rsidR="00C43B33" w:rsidRPr="00C43B33">
        <w:rPr>
          <w:iCs/>
        </w:rPr>
        <w:t xml:space="preserve">different NYHA classes </w:t>
      </w:r>
      <w:r w:rsidR="00493E21" w:rsidRPr="00662FB3">
        <w:rPr>
          <w:iCs/>
        </w:rPr>
        <w:t>in the economic model</w:t>
      </w:r>
      <w:r w:rsidR="00673FD2" w:rsidRPr="00662FB3">
        <w:rPr>
          <w:iCs/>
        </w:rPr>
        <w:t xml:space="preserve"> were appropriate. </w:t>
      </w:r>
    </w:p>
    <w:p w14:paraId="5310D82C" w14:textId="31236C20" w:rsidR="00616D58" w:rsidRPr="00885192" w:rsidRDefault="00D41BD9" w:rsidP="00D41BD9">
      <w:pPr>
        <w:pStyle w:val="3-BodyText"/>
        <w:rPr>
          <w:iCs/>
        </w:rPr>
      </w:pPr>
      <w:r w:rsidRPr="00885192">
        <w:rPr>
          <w:iCs/>
        </w:rPr>
        <w:t>Results of change in NYHA class applied to the economic model w</w:t>
      </w:r>
      <w:r w:rsidR="00616D58" w:rsidRPr="00885192">
        <w:rPr>
          <w:iCs/>
        </w:rPr>
        <w:t>ere</w:t>
      </w:r>
      <w:r w:rsidRPr="00885192">
        <w:rPr>
          <w:iCs/>
        </w:rPr>
        <w:t xml:space="preserve"> from a trial with relatively small sample size (N=123</w:t>
      </w:r>
      <w:r w:rsidR="007E5232">
        <w:rPr>
          <w:iCs/>
        </w:rPr>
        <w:t>–</w:t>
      </w:r>
      <w:r w:rsidRPr="00885192">
        <w:rPr>
          <w:iCs/>
        </w:rPr>
        <w:t xml:space="preserve">128 in each treatment arm) </w:t>
      </w:r>
      <w:r w:rsidR="00616D58" w:rsidRPr="00885192">
        <w:rPr>
          <w:iCs/>
        </w:rPr>
        <w:t xml:space="preserve">resulting in a small number of patients in each NYHA class </w:t>
      </w:r>
      <w:r w:rsidRPr="00885192">
        <w:rPr>
          <w:iCs/>
        </w:rPr>
        <w:t xml:space="preserve">and </w:t>
      </w:r>
      <w:r w:rsidR="00616D58" w:rsidRPr="00885192">
        <w:rPr>
          <w:iCs/>
        </w:rPr>
        <w:t xml:space="preserve">with </w:t>
      </w:r>
      <w:r w:rsidRPr="00885192">
        <w:rPr>
          <w:iCs/>
        </w:rPr>
        <w:t xml:space="preserve">a limited follow-up period (38 weeks). </w:t>
      </w:r>
      <w:r w:rsidR="00920187">
        <w:t>After the trial data truncation time point, the model assumed that patients receiving mavacamten + BB/CCB or BB/CCB alone experienced no further NYHA class change except for underlying natural disease progression. The estimate of the disease progression rate in patients treated with BB/CCB was sourced from an external US study by Maron et al (2016). The rate of natural disease progression for mavacamten + BB/CCB was estimated by applying a relative difference of 50.85% (derived from the key trial) to the assumed disease progression rate for BB/CCB.</w:t>
      </w:r>
      <w:r w:rsidR="00920187" w:rsidRPr="00920187">
        <w:rPr>
          <w:iCs/>
        </w:rPr>
        <w:t xml:space="preserve"> The ESC considered that a constant relative difference over the entire duration of the model was not appropriate. It was also considered that the risk of disease progression would likely increase over time.</w:t>
      </w:r>
    </w:p>
    <w:p w14:paraId="2143A0AF" w14:textId="1883AFA9" w:rsidR="00B611DF" w:rsidRPr="00F72968" w:rsidRDefault="00D41BD9" w:rsidP="00576A6C">
      <w:pPr>
        <w:pStyle w:val="3-BodyText"/>
        <w:rPr>
          <w:iCs/>
        </w:rPr>
      </w:pPr>
      <w:r>
        <w:t xml:space="preserve">Data related to change in NYHA functional class from the EXPLORER-HCM trial was used up to the end of the treatment period, </w:t>
      </w:r>
      <w:r w:rsidRPr="00885192">
        <w:t xml:space="preserve">i.e. </w:t>
      </w:r>
      <w:r>
        <w:t>30 weeks, for the mavacamten + BB/CCB arm. The submission argued that a potential placebo effect on NYHA class may still be observed for the placebo + BB/CCB group after 30 weeks, and this was supported by the continued worsening of NYHA class (</w:t>
      </w:r>
      <w:r w:rsidRPr="00115B49">
        <w:fldChar w:fldCharType="begin"/>
      </w:r>
      <w:r w:rsidRPr="00115B49">
        <w:instrText xml:space="preserve"> REF _Ref110515844 \h  \* MERGEFORMAT </w:instrText>
      </w:r>
      <w:r w:rsidRPr="00115B49">
        <w:fldChar w:fldCharType="separate"/>
      </w:r>
      <w:r w:rsidR="00645E50" w:rsidRPr="00885192">
        <w:t xml:space="preserve">Figure </w:t>
      </w:r>
      <w:r w:rsidR="00645E50">
        <w:rPr>
          <w:noProof/>
        </w:rPr>
        <w:t>1</w:t>
      </w:r>
      <w:r w:rsidRPr="00115B49">
        <w:fldChar w:fldCharType="end"/>
      </w:r>
      <w:r>
        <w:t>). The transition probabilities</w:t>
      </w:r>
      <w:r w:rsidRPr="00177B2A">
        <w:t xml:space="preserve"> for BB/CCB monotherapy between </w:t>
      </w:r>
      <w:r>
        <w:t>W</w:t>
      </w:r>
      <w:r w:rsidRPr="00177B2A">
        <w:t xml:space="preserve">eek 30 of the EXPLORER-HCM trial </w:t>
      </w:r>
      <w:r>
        <w:t>and Week</w:t>
      </w:r>
      <w:r w:rsidRPr="00177B2A">
        <w:t xml:space="preserve"> 46</w:t>
      </w:r>
      <w:r>
        <w:t>,</w:t>
      </w:r>
      <w:r w:rsidRPr="00177B2A">
        <w:t xml:space="preserve"> </w:t>
      </w:r>
      <w:r>
        <w:t xml:space="preserve">which was the start of the extension study </w:t>
      </w:r>
      <w:r w:rsidRPr="00177B2A">
        <w:t>MAVA-LTE</w:t>
      </w:r>
      <w:r>
        <w:t>,</w:t>
      </w:r>
      <w:r w:rsidRPr="00177B2A">
        <w:t xml:space="preserve"> </w:t>
      </w:r>
      <w:r>
        <w:t>were also applied to the economic model</w:t>
      </w:r>
      <w:r w:rsidRPr="00177B2A">
        <w:t>.</w:t>
      </w:r>
      <w:r w:rsidRPr="00885192">
        <w:t xml:space="preserve"> </w:t>
      </w:r>
      <w:r>
        <w:t>The submission assumed that</w:t>
      </w:r>
      <w:r w:rsidRPr="004D1187">
        <w:t xml:space="preserve"> </w:t>
      </w:r>
      <w:r>
        <w:t xml:space="preserve">no between-NYHA class transitions occurred after Week 30 for patients </w:t>
      </w:r>
      <w:r>
        <w:lastRenderedPageBreak/>
        <w:t xml:space="preserve">receiving mavacamten + BB/CCB and after Week 48 for patients receiving BB/CCB alone, except for natural disease progression. </w:t>
      </w:r>
      <w:r w:rsidRPr="00885192">
        <w:t>The purpose of the double-blind, placebo-controlled trial design of EXPLORER-HCM was to account for non-specific effects beyond the action of mavacamten, such as the placebo effect and Hawthorne effect, which existed in both treatment arms</w:t>
      </w:r>
      <w:r w:rsidR="0000232D" w:rsidRPr="00885192">
        <w:t>, particularly for outcomes such as NYHA classification</w:t>
      </w:r>
      <w:r w:rsidRPr="00885192">
        <w:t xml:space="preserve">. </w:t>
      </w:r>
      <w:r w:rsidRPr="00885192">
        <w:fldChar w:fldCharType="begin"/>
      </w:r>
      <w:r w:rsidRPr="00885192">
        <w:instrText xml:space="preserve"> REF _Ref110515844 \h  \* MERGEFORMAT </w:instrText>
      </w:r>
      <w:r w:rsidRPr="00885192">
        <w:fldChar w:fldCharType="separate"/>
      </w:r>
      <w:r w:rsidR="00645E50" w:rsidRPr="00885192">
        <w:t xml:space="preserve">Figure </w:t>
      </w:r>
      <w:r w:rsidR="00645E50">
        <w:rPr>
          <w:noProof/>
        </w:rPr>
        <w:t>1</w:t>
      </w:r>
      <w:r w:rsidRPr="00885192">
        <w:fldChar w:fldCharType="end"/>
      </w:r>
      <w:r w:rsidRPr="00885192">
        <w:t xml:space="preserve"> shows that the use of a trial data truncation time point at Week 46 for BB/CCB in the base case, instead of at Week 30 (as that for the mavacamten group), results in fewer patients in the comparator arm remaining in the NYHA I class health state (red solid line vs. red dashed line) and more patients in health states that represent more advanced disease. Therefore</w:t>
      </w:r>
      <w:r w:rsidR="00A14720">
        <w:t>,</w:t>
      </w:r>
      <w:r w:rsidRPr="00885192">
        <w:t xml:space="preserve"> the clinical benefit of mavacamten was likely overestimated. </w:t>
      </w:r>
      <w:r w:rsidR="00B611DF" w:rsidRPr="008A3606">
        <w:rPr>
          <w:iCs/>
        </w:rPr>
        <w:t xml:space="preserve">The ESC considered the inclusion of </w:t>
      </w:r>
      <w:r w:rsidR="009A32C1" w:rsidRPr="008A3606">
        <w:rPr>
          <w:iCs/>
        </w:rPr>
        <w:t>the</w:t>
      </w:r>
      <w:r w:rsidR="00B611DF" w:rsidRPr="008A3606">
        <w:rPr>
          <w:iCs/>
        </w:rPr>
        <w:t xml:space="preserve"> additional 16 weeks of data after the end of the double-blinded treatment period for the comparator arm </w:t>
      </w:r>
      <w:r w:rsidR="007E5232" w:rsidRPr="008A3606">
        <w:rPr>
          <w:iCs/>
        </w:rPr>
        <w:t>wa</w:t>
      </w:r>
      <w:r w:rsidR="009A32C1" w:rsidRPr="008A3606">
        <w:rPr>
          <w:iCs/>
        </w:rPr>
        <w:t>s</w:t>
      </w:r>
      <w:r w:rsidR="00B611DF" w:rsidRPr="008A3606">
        <w:rPr>
          <w:iCs/>
        </w:rPr>
        <w:t xml:space="preserve"> not appropriate as </w:t>
      </w:r>
      <w:r w:rsidR="008A3606" w:rsidRPr="008A3606">
        <w:rPr>
          <w:iCs/>
        </w:rPr>
        <w:t xml:space="preserve">this controlled for </w:t>
      </w:r>
      <w:r w:rsidR="00B611DF" w:rsidRPr="008A3606">
        <w:rPr>
          <w:iCs/>
        </w:rPr>
        <w:t xml:space="preserve">placebo effect in the </w:t>
      </w:r>
      <w:r w:rsidR="008A3606" w:rsidRPr="008A3606">
        <w:rPr>
          <w:iCs/>
        </w:rPr>
        <w:t xml:space="preserve">comparator </w:t>
      </w:r>
      <w:r w:rsidR="00B611DF" w:rsidRPr="008A3606">
        <w:rPr>
          <w:iCs/>
        </w:rPr>
        <w:t xml:space="preserve">arm but not in the mavacamten arm. The ESC noted the </w:t>
      </w:r>
      <w:r w:rsidR="008D69B6" w:rsidRPr="008A3606">
        <w:rPr>
          <w:iCs/>
        </w:rPr>
        <w:t xml:space="preserve">model was very sensitive to this input and </w:t>
      </w:r>
      <w:r w:rsidR="00B611DF" w:rsidRPr="008A3606">
        <w:rPr>
          <w:iCs/>
        </w:rPr>
        <w:t>application of the addition</w:t>
      </w:r>
      <w:r w:rsidR="0078090B" w:rsidRPr="008A3606">
        <w:rPr>
          <w:iCs/>
        </w:rPr>
        <w:t>al</w:t>
      </w:r>
      <w:r w:rsidR="00B611DF" w:rsidRPr="008A3606">
        <w:rPr>
          <w:iCs/>
        </w:rPr>
        <w:t xml:space="preserve"> 16 weeks favoured mavacamten.</w:t>
      </w:r>
      <w:r w:rsidR="007708FD" w:rsidRPr="008A3606">
        <w:rPr>
          <w:iCs/>
        </w:rPr>
        <w:t xml:space="preserve"> The ESC considered a revised base case should include the same truncation point for both arm</w:t>
      </w:r>
      <w:r w:rsidR="00A96A65" w:rsidRPr="008A3606">
        <w:rPr>
          <w:iCs/>
        </w:rPr>
        <w:t>s</w:t>
      </w:r>
      <w:r w:rsidR="007708FD" w:rsidRPr="008A3606">
        <w:rPr>
          <w:iCs/>
        </w:rPr>
        <w:t xml:space="preserve"> of the economic model (30 weeks).</w:t>
      </w:r>
    </w:p>
    <w:p w14:paraId="02544E2A" w14:textId="240EBE52" w:rsidR="00D41BD9" w:rsidRPr="00885192" w:rsidRDefault="00D41BD9" w:rsidP="00F822B5">
      <w:pPr>
        <w:pStyle w:val="Caption"/>
        <w:jc w:val="left"/>
      </w:pPr>
      <w:bookmarkStart w:id="46" w:name="_Ref110515844"/>
      <w:r w:rsidRPr="00885192">
        <w:t xml:space="preserve">Figure </w:t>
      </w:r>
      <w:r w:rsidR="00645E50">
        <w:fldChar w:fldCharType="begin"/>
      </w:r>
      <w:r w:rsidR="00645E50">
        <w:instrText xml:space="preserve"> SEQ Figure \* ARABIC </w:instrText>
      </w:r>
      <w:r w:rsidR="00645E50">
        <w:fldChar w:fldCharType="separate"/>
      </w:r>
      <w:r w:rsidR="00645E50">
        <w:rPr>
          <w:noProof/>
        </w:rPr>
        <w:t>1</w:t>
      </w:r>
      <w:r w:rsidR="00645E50">
        <w:fldChar w:fldCharType="end"/>
      </w:r>
      <w:bookmarkEnd w:id="46"/>
      <w:r w:rsidRPr="00885192">
        <w:t>: Change in the proportion of patients in each health state in the base case (46 week truncation point) versus a truncation time point of 30 weeks for the BB/CCB arm</w:t>
      </w:r>
    </w:p>
    <w:p w14:paraId="7747510F" w14:textId="77777777" w:rsidR="00D41BD9" w:rsidRDefault="00D41BD9" w:rsidP="00D41BD9">
      <w:pPr>
        <w:pStyle w:val="3-BodyText"/>
        <w:numPr>
          <w:ilvl w:val="0"/>
          <w:numId w:val="0"/>
        </w:numPr>
      </w:pPr>
      <w:r>
        <w:rPr>
          <w:noProof/>
        </w:rPr>
        <w:drawing>
          <wp:inline distT="0" distB="0" distL="0" distR="0" wp14:anchorId="658AC3A0" wp14:editId="766A53B1">
            <wp:extent cx="4009697" cy="3010970"/>
            <wp:effectExtent l="0" t="0" r="0" b="0"/>
            <wp:docPr id="6" name="Picture 6" descr="Figure 1: Change in the proportion of patients in each health state in the base case (46 week truncation point) versus a truncation time point of 30 weeks for the BB/CC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Change in the proportion of patients in each health state in the base case (46 week truncation point) versus a truncation time point of 30 weeks for the BB/CCB a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0161" cy="3033846"/>
                    </a:xfrm>
                    <a:prstGeom prst="rect">
                      <a:avLst/>
                    </a:prstGeom>
                    <a:noFill/>
                  </pic:spPr>
                </pic:pic>
              </a:graphicData>
            </a:graphic>
          </wp:inline>
        </w:drawing>
      </w:r>
    </w:p>
    <w:p w14:paraId="05FDA850" w14:textId="77777777" w:rsidR="00D41BD9" w:rsidRPr="00673FC1" w:rsidRDefault="00D41BD9" w:rsidP="00D41BD9">
      <w:pPr>
        <w:pStyle w:val="FooterTableFigure"/>
        <w:rPr>
          <w:iCs/>
        </w:rPr>
      </w:pPr>
      <w:r w:rsidRPr="00673FC1">
        <w:rPr>
          <w:iCs/>
        </w:rPr>
        <w:t>Source: Figure constructed during the evaluation, based on the “Mavacamten oHCM Economic Evaluation” Excel workbook.</w:t>
      </w:r>
    </w:p>
    <w:p w14:paraId="6F2EB2D7" w14:textId="77777777" w:rsidR="00D41BD9" w:rsidRPr="00673FC1" w:rsidRDefault="00D41BD9" w:rsidP="00D41BD9">
      <w:pPr>
        <w:pStyle w:val="FooterTableFigure"/>
        <w:rPr>
          <w:iCs/>
        </w:rPr>
      </w:pPr>
      <w:r w:rsidRPr="00673FC1">
        <w:rPr>
          <w:iCs/>
        </w:rPr>
        <w:t>BB = beta-blocker; CCB = calcium channel blocker; NYHA = New York Heart Association</w:t>
      </w:r>
    </w:p>
    <w:p w14:paraId="637DA020" w14:textId="267E0082" w:rsidR="007E5232" w:rsidRDefault="007E5232" w:rsidP="007E5232">
      <w:pPr>
        <w:pStyle w:val="3-BodyText"/>
      </w:pPr>
      <w:r w:rsidRPr="00885192">
        <w:t xml:space="preserve">In EXPLORER-HCM, the proportion of patients who did not receive BB/CCB was 3.3% in the mavacamten arm and 12.5% in the placebo arm; whereas the economic model assumed 100% of patients were treated </w:t>
      </w:r>
      <w:r w:rsidRPr="00065583">
        <w:t>with a BB</w:t>
      </w:r>
      <w:r>
        <w:t>/</w:t>
      </w:r>
      <w:r w:rsidRPr="00885192">
        <w:t xml:space="preserve">CCB, either in combination with mavacamten or as single-agent therapy for the first 30 weeks. </w:t>
      </w:r>
      <w:r w:rsidR="006225E6">
        <w:t>T</w:t>
      </w:r>
      <w:r w:rsidRPr="00885192">
        <w:t xml:space="preserve">he applicability of the </w:t>
      </w:r>
      <w:r w:rsidRPr="00885192">
        <w:lastRenderedPageBreak/>
        <w:t xml:space="preserve">trial results to the economic model were not addressed as no qualitative adjustment to model inputs or sensitivity analysis has been considered. </w:t>
      </w:r>
    </w:p>
    <w:p w14:paraId="6D8FE1A2" w14:textId="14AA517C" w:rsidR="00D41BD9" w:rsidRDefault="00D41BD9" w:rsidP="00D41BD9">
      <w:pPr>
        <w:pStyle w:val="3-BodyText"/>
      </w:pPr>
      <w:r w:rsidRPr="00034A6A">
        <w:t xml:space="preserve">In the economic model, patients </w:t>
      </w:r>
      <w:r>
        <w:t xml:space="preserve">remained on mavacamten + BB/CCB or BB/CCB alone for 30 weeks. Thereafter, patients </w:t>
      </w:r>
      <w:r w:rsidRPr="00034A6A">
        <w:t xml:space="preserve">in the mavacamten + BB/CCB arm were allowed to discontinue treatment due to </w:t>
      </w:r>
      <w:r>
        <w:t>AEs or lack of efficacy</w:t>
      </w:r>
      <w:r w:rsidRPr="00034A6A">
        <w:t xml:space="preserve"> and receive other HCM treatments</w:t>
      </w:r>
      <w:r>
        <w:t xml:space="preserve">, including BB/CCB alone, disopyramide + BB/CCB and SRT + BB/CCB. The proportion of patients who discontinued mavacamten due to serious AEs and who </w:t>
      </w:r>
      <w:r w:rsidRPr="00796BFB">
        <w:t xml:space="preserve">experienced no NYHA improvement at Week 30 from baseline </w:t>
      </w:r>
      <w:r>
        <w:t xml:space="preserve">was derived from </w:t>
      </w:r>
      <w:r w:rsidRPr="00796BFB">
        <w:t xml:space="preserve">EXPLORER-HCM and applied as a one-off </w:t>
      </w:r>
      <w:r>
        <w:t>rate</w:t>
      </w:r>
      <w:r w:rsidRPr="00796BFB">
        <w:t xml:space="preserve"> to the model</w:t>
      </w:r>
      <w:r>
        <w:t xml:space="preserve"> at Week 30. Thereafter, </w:t>
      </w:r>
      <w:r>
        <w:rPr>
          <w:color w:val="000000" w:themeColor="text1"/>
        </w:rPr>
        <w:t xml:space="preserve">a constant per-cycle rate of AE-related treatment discontinuation was assumed. In addition, discontinuation of mavacamten occurred each cycle for </w:t>
      </w:r>
      <w:r w:rsidRPr="00797EC8">
        <w:rPr>
          <w:color w:val="000000" w:themeColor="text1"/>
        </w:rPr>
        <w:t xml:space="preserve">patients </w:t>
      </w:r>
      <w:r>
        <w:rPr>
          <w:color w:val="000000" w:themeColor="text1"/>
        </w:rPr>
        <w:t>with worsened NY</w:t>
      </w:r>
      <w:r w:rsidRPr="00797EC8">
        <w:rPr>
          <w:color w:val="000000" w:themeColor="text1"/>
        </w:rPr>
        <w:t xml:space="preserve">HA class compared </w:t>
      </w:r>
      <w:r>
        <w:rPr>
          <w:color w:val="000000" w:themeColor="text1"/>
        </w:rPr>
        <w:t>with</w:t>
      </w:r>
      <w:r w:rsidRPr="00797EC8">
        <w:rPr>
          <w:color w:val="000000" w:themeColor="text1"/>
        </w:rPr>
        <w:t xml:space="preserve"> the prior cycle</w:t>
      </w:r>
      <w:r>
        <w:rPr>
          <w:color w:val="000000" w:themeColor="text1"/>
        </w:rPr>
        <w:t xml:space="preserve">. </w:t>
      </w:r>
      <w:r w:rsidRPr="00885192">
        <w:rPr>
          <w:color w:val="000000" w:themeColor="text1"/>
        </w:rPr>
        <w:t xml:space="preserve">The proposed PBS restriction does not include a stopping rule for mavacamten. It is unknown whether the economic model’s assumption for mavacamten treatment discontinuation would reflect clinical practice. </w:t>
      </w:r>
      <w:r w:rsidR="002A00FF" w:rsidRPr="00F72968">
        <w:rPr>
          <w:iCs/>
          <w:color w:val="000000" w:themeColor="text1"/>
        </w:rPr>
        <w:t xml:space="preserve">The ESC did note that 63.4% of mavacamten patients did not achieve the primary composite endpoint and that 48.8% of patients remained NYHA class II/III </w:t>
      </w:r>
      <w:r w:rsidR="00B4648D" w:rsidRPr="00F72968">
        <w:rPr>
          <w:iCs/>
          <w:color w:val="000000" w:themeColor="text1"/>
        </w:rPr>
        <w:t xml:space="preserve">(see </w:t>
      </w:r>
      <w:r w:rsidR="00B4648D" w:rsidRPr="00F72968">
        <w:rPr>
          <w:iCs/>
          <w:color w:val="000000" w:themeColor="text1"/>
        </w:rPr>
        <w:fldChar w:fldCharType="begin"/>
      </w:r>
      <w:r w:rsidR="00B4648D" w:rsidRPr="00F72968">
        <w:rPr>
          <w:iCs/>
          <w:color w:val="000000" w:themeColor="text1"/>
        </w:rPr>
        <w:instrText xml:space="preserve"> REF _Ref116978216 \h  \* MERGEFORMAT </w:instrText>
      </w:r>
      <w:r w:rsidR="00B4648D" w:rsidRPr="00F72968">
        <w:rPr>
          <w:iCs/>
          <w:color w:val="000000" w:themeColor="text1"/>
        </w:rPr>
      </w:r>
      <w:r w:rsidR="00B4648D" w:rsidRPr="00F72968">
        <w:rPr>
          <w:iCs/>
          <w:color w:val="000000" w:themeColor="text1"/>
        </w:rPr>
        <w:fldChar w:fldCharType="separate"/>
      </w:r>
      <w:r w:rsidR="00645E50" w:rsidRPr="00645E50">
        <w:rPr>
          <w:iCs/>
        </w:rPr>
        <w:t xml:space="preserve">Table </w:t>
      </w:r>
      <w:r w:rsidR="00645E50" w:rsidRPr="00645E50">
        <w:rPr>
          <w:iCs/>
          <w:noProof/>
        </w:rPr>
        <w:t>9</w:t>
      </w:r>
      <w:r w:rsidR="00B4648D" w:rsidRPr="00F72968">
        <w:rPr>
          <w:iCs/>
          <w:color w:val="000000" w:themeColor="text1"/>
        </w:rPr>
        <w:fldChar w:fldCharType="end"/>
      </w:r>
      <w:r w:rsidR="00B4648D" w:rsidRPr="00F72968">
        <w:rPr>
          <w:iCs/>
          <w:color w:val="000000" w:themeColor="text1"/>
        </w:rPr>
        <w:t xml:space="preserve">) </w:t>
      </w:r>
      <w:r w:rsidR="002A00FF" w:rsidRPr="00F72968">
        <w:rPr>
          <w:iCs/>
          <w:color w:val="000000" w:themeColor="text1"/>
        </w:rPr>
        <w:t>and that discontinuation (even without a stopping rule) may be higher than modelled.</w:t>
      </w:r>
      <w:r w:rsidR="002A00FF">
        <w:rPr>
          <w:color w:val="000000" w:themeColor="text1"/>
        </w:rPr>
        <w:t xml:space="preserve"> </w:t>
      </w:r>
      <w:r w:rsidR="00AC2C7A" w:rsidRPr="00F72968">
        <w:rPr>
          <w:iCs/>
        </w:rPr>
        <w:t>The ESC considered a revised base case should include stronger justification for long-term treatment discontinuation.</w:t>
      </w:r>
      <w:r w:rsidR="00FB6242">
        <w:rPr>
          <w:iCs/>
        </w:rPr>
        <w:t xml:space="preserve"> </w:t>
      </w:r>
    </w:p>
    <w:p w14:paraId="43CFE3AF" w14:textId="66068D29" w:rsidR="00D41BD9" w:rsidRPr="00305202" w:rsidRDefault="00D41BD9" w:rsidP="00D41BD9">
      <w:pPr>
        <w:pStyle w:val="3-BodyText"/>
      </w:pPr>
      <w:r>
        <w:t>It was assumed that p</w:t>
      </w:r>
      <w:r w:rsidRPr="00034A6A">
        <w:t xml:space="preserve">atients treated with BB/CCB alone in the comparator arm or patients who discontinued mavacamten and received BB/CCB monotherapy </w:t>
      </w:r>
      <w:r>
        <w:t>may subsequently receive</w:t>
      </w:r>
      <w:r w:rsidRPr="00034A6A">
        <w:t xml:space="preserve"> </w:t>
      </w:r>
      <w:r>
        <w:t>additional</w:t>
      </w:r>
      <w:r w:rsidRPr="00034A6A">
        <w:t xml:space="preserve"> </w:t>
      </w:r>
      <w:r>
        <w:t>HCM</w:t>
      </w:r>
      <w:r w:rsidRPr="00034A6A">
        <w:t xml:space="preserve"> treatments</w:t>
      </w:r>
      <w:r>
        <w:t xml:space="preserve">, </w:t>
      </w:r>
      <w:r w:rsidRPr="00885192">
        <w:t>i.e.</w:t>
      </w:r>
      <w:r>
        <w:t xml:space="preserve"> </w:t>
      </w:r>
      <w:r w:rsidRPr="00034A6A">
        <w:t xml:space="preserve">disopyramide </w:t>
      </w:r>
      <w:r>
        <w:t>or</w:t>
      </w:r>
      <w:r w:rsidRPr="00034A6A">
        <w:t xml:space="preserve"> SRT</w:t>
      </w:r>
      <w:r>
        <w:t>,</w:t>
      </w:r>
      <w:r w:rsidRPr="00034A6A">
        <w:t xml:space="preserve"> to BB/CCB monotherapy. </w:t>
      </w:r>
      <w:r w:rsidRPr="00305202">
        <w:t xml:space="preserve">The proportion of patients escalating to </w:t>
      </w:r>
      <w:r>
        <w:t xml:space="preserve">a </w:t>
      </w:r>
      <w:r w:rsidRPr="00305202">
        <w:t xml:space="preserve">subsequent combination and the </w:t>
      </w:r>
      <w:r>
        <w:t xml:space="preserve">market share of </w:t>
      </w:r>
      <w:r w:rsidRPr="00305202">
        <w:t xml:space="preserve">subsequent treatments were sourced from </w:t>
      </w:r>
      <w:r>
        <w:t xml:space="preserve">an </w:t>
      </w:r>
      <w:r w:rsidRPr="00305202">
        <w:t xml:space="preserve">Australian </w:t>
      </w:r>
      <w:r>
        <w:t>a</w:t>
      </w:r>
      <w:r w:rsidRPr="00305202">
        <w:t xml:space="preserve">dvisory </w:t>
      </w:r>
      <w:r>
        <w:t>b</w:t>
      </w:r>
      <w:r w:rsidRPr="00305202">
        <w:t xml:space="preserve">oard survey. </w:t>
      </w:r>
      <w:r w:rsidRPr="00885192">
        <w:rPr>
          <w:color w:val="000000" w:themeColor="text1"/>
        </w:rPr>
        <w:t xml:space="preserve">A total of nine Australian cardiologists completed the survey. It was unknown how these clinicians were selected and, thus, whether the opinions from these clinicians would represent Australian clinical practice. </w:t>
      </w:r>
    </w:p>
    <w:p w14:paraId="195E96B4" w14:textId="09D2CD05" w:rsidR="00D41BD9" w:rsidRPr="00885192" w:rsidRDefault="00D41BD9" w:rsidP="00D41BD9">
      <w:pPr>
        <w:pStyle w:val="3-BodyText"/>
      </w:pPr>
      <w:r>
        <w:t xml:space="preserve">The economic model assumed that patients receiving disopyramide + BB/CCB would experience no improvement in NYHA class from the time of treatment initiation, but have their functional class worsened at the same rate as natural disease progression estimated for the patients receiving only BB/CCB. </w:t>
      </w:r>
      <w:r w:rsidRPr="00885192">
        <w:t xml:space="preserve">There are a number of </w:t>
      </w:r>
      <w:r w:rsidR="00A14720" w:rsidRPr="00F72968">
        <w:rPr>
          <w:iCs/>
        </w:rPr>
        <w:t>cohort</w:t>
      </w:r>
      <w:r w:rsidR="00A14720" w:rsidRPr="00885192">
        <w:t xml:space="preserve"> </w:t>
      </w:r>
      <w:r w:rsidRPr="00885192">
        <w:t>studies</w:t>
      </w:r>
      <w:r w:rsidRPr="00885192">
        <w:rPr>
          <w:rStyle w:val="FootnoteReference"/>
        </w:rPr>
        <w:footnoteReference w:id="6"/>
      </w:r>
      <w:r w:rsidRPr="00885192">
        <w:t xml:space="preserve"> which provide consistent evidence on the treatment benefits of disopyramide, in term</w:t>
      </w:r>
      <w:r w:rsidR="00A96A65">
        <w:t>s</w:t>
      </w:r>
      <w:r w:rsidRPr="00885192">
        <w:t xml:space="preserve"> of NYHA class improvement, for treatment of obstructive HCM. As a higher proportion of patients in the BB/CCB alone arm had worsened NYHA class and received disopyramide + BB/CCB, the assumption of nil treatment effect for </w:t>
      </w:r>
      <w:r w:rsidRPr="00885192">
        <w:lastRenderedPageBreak/>
        <w:t xml:space="preserve">disopyramide favoured mavacamten. </w:t>
      </w:r>
      <w:r w:rsidR="00160C84" w:rsidRPr="00F72968">
        <w:rPr>
          <w:iCs/>
        </w:rPr>
        <w:t xml:space="preserve">The PSCR </w:t>
      </w:r>
      <w:r w:rsidR="002671B3" w:rsidRPr="00F72968">
        <w:rPr>
          <w:iCs/>
        </w:rPr>
        <w:t>disagreed with the evaluation and considered</w:t>
      </w:r>
      <w:r w:rsidR="00100168" w:rsidRPr="00F72968">
        <w:rPr>
          <w:iCs/>
        </w:rPr>
        <w:t xml:space="preserve"> the clinical evidence identified for disopyramide did not conclusively demonstrate an improvement in NYHA class.</w:t>
      </w:r>
      <w:r w:rsidR="00BC53EA" w:rsidRPr="00F72968">
        <w:rPr>
          <w:iCs/>
        </w:rPr>
        <w:t xml:space="preserve"> Therefore, the PSCR maintained the addition of disopyramide to BB/CCB as a subsequent treatment option provides no added clinical benefit.</w:t>
      </w:r>
      <w:r w:rsidR="00F824E6" w:rsidRPr="00F72968">
        <w:rPr>
          <w:iCs/>
        </w:rPr>
        <w:t xml:space="preserve"> The ESC considered </w:t>
      </w:r>
      <w:r w:rsidR="004261B8" w:rsidRPr="00F72968">
        <w:rPr>
          <w:iCs/>
        </w:rPr>
        <w:t>including costs of subsequent therapies</w:t>
      </w:r>
      <w:r w:rsidR="0003492E">
        <w:rPr>
          <w:iCs/>
        </w:rPr>
        <w:t>,</w:t>
      </w:r>
      <w:r w:rsidR="004261B8" w:rsidRPr="00F72968">
        <w:rPr>
          <w:iCs/>
        </w:rPr>
        <w:t xml:space="preserve"> but no benefit</w:t>
      </w:r>
      <w:r w:rsidR="0003492E">
        <w:rPr>
          <w:iCs/>
        </w:rPr>
        <w:t>,</w:t>
      </w:r>
      <w:r w:rsidR="004261B8" w:rsidRPr="00F72968">
        <w:rPr>
          <w:iCs/>
        </w:rPr>
        <w:t xml:space="preserve"> wa</w:t>
      </w:r>
      <w:r w:rsidR="0078090B" w:rsidRPr="00F72968">
        <w:rPr>
          <w:iCs/>
        </w:rPr>
        <w:t>s not appropriate</w:t>
      </w:r>
      <w:r w:rsidR="00F824E6" w:rsidRPr="00F72968">
        <w:rPr>
          <w:iCs/>
        </w:rPr>
        <w:t xml:space="preserve"> </w:t>
      </w:r>
      <w:r w:rsidR="004261B8" w:rsidRPr="00F72968">
        <w:rPr>
          <w:iCs/>
        </w:rPr>
        <w:t xml:space="preserve">and </w:t>
      </w:r>
      <w:r w:rsidR="00DB569A">
        <w:rPr>
          <w:iCs/>
        </w:rPr>
        <w:t xml:space="preserve">that </w:t>
      </w:r>
      <w:r w:rsidR="004261B8" w:rsidRPr="00F72968">
        <w:rPr>
          <w:iCs/>
        </w:rPr>
        <w:t>a more conservative relative treatment benefit should be considered when patients go on to an active subsequent therapy</w:t>
      </w:r>
      <w:r w:rsidR="00F824E6" w:rsidRPr="00F72968">
        <w:rPr>
          <w:iCs/>
        </w:rPr>
        <w:t>.</w:t>
      </w:r>
    </w:p>
    <w:p w14:paraId="5CC840F8" w14:textId="5C0A9CB5" w:rsidR="00D41BD9" w:rsidRDefault="00D41BD9" w:rsidP="00D41BD9">
      <w:pPr>
        <w:pStyle w:val="3-BodyText"/>
      </w:pPr>
      <w:r>
        <w:t>In the economic model, patients treated with SRT transitioned to a post-SRT state and were assumed to receive BB/CCB after one cycle. The transition probabilities among NYHA class health states associated with SRT were derived from a small Ukrainian study</w:t>
      </w:r>
      <w:r>
        <w:rPr>
          <w:rStyle w:val="FootnoteReference"/>
        </w:rPr>
        <w:footnoteReference w:id="7"/>
      </w:r>
      <w:r>
        <w:t xml:space="preserve">. </w:t>
      </w:r>
      <w:r w:rsidRPr="00885192">
        <w:t xml:space="preserve">The majority of the subjects receiving SRT in this study had NYHA class I or II (33 out of 42, 79%). This is not consistent with clinical practice in Australia where SRT is generally considered for patients for whom maximal tolerated medical therapy is not sufficient to relieve significant symptoms, i.e. NYHA class III/IV. The </w:t>
      </w:r>
      <w:r w:rsidR="00706FD9" w:rsidRPr="00F72968">
        <w:rPr>
          <w:iCs/>
        </w:rPr>
        <w:t>ESC considered the</w:t>
      </w:r>
      <w:r w:rsidR="00706FD9">
        <w:t xml:space="preserve"> </w:t>
      </w:r>
      <w:r w:rsidRPr="00885192">
        <w:t xml:space="preserve">transition probabilities sourced from </w:t>
      </w:r>
      <w:r w:rsidR="00DB569A">
        <w:t>this</w:t>
      </w:r>
      <w:r w:rsidRPr="00885192">
        <w:t xml:space="preserve"> study were </w:t>
      </w:r>
      <w:r w:rsidR="00706FD9" w:rsidRPr="00F72968">
        <w:rPr>
          <w:iCs/>
        </w:rPr>
        <w:t>not representative of Australian patients and</w:t>
      </w:r>
      <w:r w:rsidR="00706FD9">
        <w:t xml:space="preserve"> </w:t>
      </w:r>
      <w:r w:rsidR="00706FD9" w:rsidRPr="00F72968">
        <w:rPr>
          <w:iCs/>
        </w:rPr>
        <w:t>were</w:t>
      </w:r>
      <w:r w:rsidR="00706FD9">
        <w:t xml:space="preserve"> </w:t>
      </w:r>
      <w:r w:rsidRPr="00885192">
        <w:t>unreliable</w:t>
      </w:r>
      <w:r w:rsidR="00706FD9">
        <w:t xml:space="preserve">, </w:t>
      </w:r>
      <w:r w:rsidR="00706FD9" w:rsidRPr="00F72968">
        <w:rPr>
          <w:iCs/>
        </w:rPr>
        <w:t>especially</w:t>
      </w:r>
      <w:r w:rsidRPr="00885192">
        <w:t xml:space="preserve"> as these estimates were based on a total of </w:t>
      </w:r>
      <w:r w:rsidR="00A14720" w:rsidRPr="00F72968">
        <w:rPr>
          <w:iCs/>
        </w:rPr>
        <w:t>only</w:t>
      </w:r>
      <w:r w:rsidR="00A14720">
        <w:t xml:space="preserve"> </w:t>
      </w:r>
      <w:r w:rsidRPr="00885192">
        <w:t>nine patients.</w:t>
      </w:r>
      <w:r>
        <w:t xml:space="preserve"> </w:t>
      </w:r>
    </w:p>
    <w:p w14:paraId="0971522C" w14:textId="68E95BF0" w:rsidR="00D41BD9" w:rsidRDefault="00D41BD9" w:rsidP="00D41BD9">
      <w:pPr>
        <w:pStyle w:val="3-BodyText"/>
      </w:pPr>
      <w:r>
        <w:t xml:space="preserve">The economic model assumed different mortality rates based on patient NYHA class in each model cycle. The mortality rate applied to the NYHA class I patients was estimated based on the all-cause mortality rates in the general population derived from Australian Bureau of Statistics (ABS) Life Tables. For patients with NYHA classes II and III/IV, hazard ratios (HRs) were applied to the ABS mortality data to reflect the increased risk of death in these patients. The mortality HRs assumed in the base case were </w:t>
      </w:r>
      <w:r w:rsidRPr="00322B99">
        <w:t xml:space="preserve">based on adjusted analyses using </w:t>
      </w:r>
      <w:r>
        <w:t xml:space="preserve">the </w:t>
      </w:r>
      <w:r w:rsidRPr="00322B99">
        <w:t>Sarcomeric Human Cardiomyopathy Registry</w:t>
      </w:r>
      <w:r>
        <w:t xml:space="preserve"> (SHaRe). </w:t>
      </w:r>
      <w:r w:rsidRPr="00885192">
        <w:t xml:space="preserve">The approach the submission took to estimate a single HR applied to the NYHA III/IV health state of the economic model appeared unreasonable. The distribution of NYHA III and NYHA IV in the combined NYHA III/IV population is expected to vary over time due to disease progression. The application of a constant HR suggesting a constant weighting of NYHA III/IV hazards was not well justified in the submission. </w:t>
      </w:r>
    </w:p>
    <w:p w14:paraId="4B33B04E" w14:textId="0B920D63" w:rsidR="00CA7A2B" w:rsidRDefault="009419D2" w:rsidP="009419D2">
      <w:pPr>
        <w:pStyle w:val="3-BodyText"/>
      </w:pPr>
      <w:r w:rsidRPr="0061779B">
        <w:fldChar w:fldCharType="begin"/>
      </w:r>
      <w:r w:rsidRPr="0061779B">
        <w:instrText xml:space="preserve"> REF _Ref110594013 \h  \* MERGEFORMAT </w:instrText>
      </w:r>
      <w:r w:rsidRPr="0061779B">
        <w:fldChar w:fldCharType="separate"/>
      </w:r>
      <w:r w:rsidR="00645E50" w:rsidRPr="00424AF9">
        <w:t xml:space="preserve">Table </w:t>
      </w:r>
      <w:r w:rsidR="00645E50">
        <w:rPr>
          <w:noProof/>
        </w:rPr>
        <w:t>17</w:t>
      </w:r>
      <w:r w:rsidRPr="0061779B">
        <w:fldChar w:fldCharType="end"/>
      </w:r>
      <w:r>
        <w:t xml:space="preserve"> summarises </w:t>
      </w:r>
      <w:r w:rsidRPr="006D2B3D">
        <w:t xml:space="preserve">the </w:t>
      </w:r>
      <w:r>
        <w:t xml:space="preserve">change in the number of </w:t>
      </w:r>
      <w:r w:rsidRPr="006D2B3D">
        <w:t xml:space="preserve">deaths </w:t>
      </w:r>
      <w:r>
        <w:t>and in the number of SRT procedures received between the two treatment groups over the 25-year time horizon.</w:t>
      </w:r>
    </w:p>
    <w:p w14:paraId="0028A843" w14:textId="77777777" w:rsidR="00CA7A2B" w:rsidRDefault="00CA7A2B">
      <w:pPr>
        <w:jc w:val="left"/>
        <w:rPr>
          <w:rFonts w:asciiTheme="minorHAnsi" w:hAnsiTheme="minorHAnsi"/>
          <w:snapToGrid w:val="0"/>
        </w:rPr>
      </w:pPr>
      <w:r>
        <w:br w:type="page"/>
      </w:r>
    </w:p>
    <w:p w14:paraId="18FF748F" w14:textId="7470B0DB" w:rsidR="009419D2" w:rsidRPr="00424AF9" w:rsidRDefault="009419D2" w:rsidP="009419D2">
      <w:pPr>
        <w:pStyle w:val="Caption"/>
        <w:jc w:val="left"/>
      </w:pPr>
      <w:bookmarkStart w:id="47" w:name="_Ref110594013"/>
      <w:r w:rsidRPr="00424AF9">
        <w:lastRenderedPageBreak/>
        <w:t xml:space="preserve">Table </w:t>
      </w:r>
      <w:r w:rsidR="00645E50">
        <w:fldChar w:fldCharType="begin"/>
      </w:r>
      <w:r w:rsidR="00645E50">
        <w:instrText xml:space="preserve"> SEQ Table \* ARABIC </w:instrText>
      </w:r>
      <w:r w:rsidR="00645E50">
        <w:fldChar w:fldCharType="separate"/>
      </w:r>
      <w:r w:rsidR="00645E50">
        <w:rPr>
          <w:noProof/>
        </w:rPr>
        <w:t>17</w:t>
      </w:r>
      <w:r w:rsidR="00645E50">
        <w:rPr>
          <w:noProof/>
        </w:rPr>
        <w:fldChar w:fldCharType="end"/>
      </w:r>
      <w:bookmarkEnd w:id="47"/>
      <w:r w:rsidRPr="00424AF9">
        <w:t>:</w:t>
      </w:r>
      <w:r w:rsidRPr="00424AF9">
        <w:rPr>
          <w:rStyle w:val="CommentReference"/>
          <w:b/>
          <w:szCs w:val="24"/>
        </w:rPr>
        <w:t xml:space="preserve"> </w:t>
      </w:r>
      <w:r w:rsidRPr="00424AF9">
        <w:t xml:space="preserve">Average cumulative probability of mortality and SRT per patient over time in the economic model </w:t>
      </w:r>
    </w:p>
    <w:tbl>
      <w:tblPr>
        <w:tblStyle w:val="TableGrid"/>
        <w:tblW w:w="9100" w:type="dxa"/>
        <w:tblLook w:val="04A0" w:firstRow="1" w:lastRow="0" w:firstColumn="1" w:lastColumn="0" w:noHBand="0" w:noVBand="1"/>
      </w:tblPr>
      <w:tblGrid>
        <w:gridCol w:w="1129"/>
        <w:gridCol w:w="1276"/>
        <w:gridCol w:w="1134"/>
        <w:gridCol w:w="1418"/>
        <w:gridCol w:w="1494"/>
        <w:gridCol w:w="1231"/>
        <w:gridCol w:w="1418"/>
      </w:tblGrid>
      <w:tr w:rsidR="009419D2" w:rsidRPr="00424AF9" w14:paraId="76100FC2" w14:textId="77777777" w:rsidTr="00D46B4C">
        <w:trPr>
          <w:tblHeader/>
        </w:trPr>
        <w:tc>
          <w:tcPr>
            <w:tcW w:w="1129" w:type="dxa"/>
            <w:tcBorders>
              <w:bottom w:val="nil"/>
            </w:tcBorders>
          </w:tcPr>
          <w:p w14:paraId="1B274BB9" w14:textId="77777777" w:rsidR="009419D2" w:rsidRPr="00424AF9" w:rsidRDefault="009419D2" w:rsidP="00D46B4C">
            <w:pPr>
              <w:rPr>
                <w:rFonts w:ascii="Arial Narrow" w:hAnsi="Arial Narrow"/>
                <w:sz w:val="20"/>
                <w:szCs w:val="20"/>
              </w:rPr>
            </w:pPr>
          </w:p>
        </w:tc>
        <w:tc>
          <w:tcPr>
            <w:tcW w:w="3828" w:type="dxa"/>
            <w:gridSpan w:val="3"/>
          </w:tcPr>
          <w:p w14:paraId="4D90AD68" w14:textId="77777777" w:rsidR="009419D2" w:rsidRPr="00424AF9" w:rsidRDefault="009419D2" w:rsidP="00D46B4C">
            <w:pPr>
              <w:jc w:val="center"/>
              <w:rPr>
                <w:rFonts w:ascii="Arial Narrow" w:hAnsi="Arial Narrow"/>
                <w:b/>
                <w:sz w:val="20"/>
                <w:szCs w:val="20"/>
                <w:vertAlign w:val="superscript"/>
              </w:rPr>
            </w:pPr>
            <w:r w:rsidRPr="00424AF9">
              <w:rPr>
                <w:rFonts w:ascii="Arial Narrow" w:hAnsi="Arial Narrow"/>
                <w:b/>
                <w:sz w:val="20"/>
                <w:szCs w:val="20"/>
              </w:rPr>
              <w:t>Mortality</w:t>
            </w:r>
            <w:r w:rsidRPr="00424AF9">
              <w:rPr>
                <w:rFonts w:ascii="Arial Narrow" w:hAnsi="Arial Narrow"/>
                <w:b/>
                <w:sz w:val="20"/>
                <w:szCs w:val="20"/>
                <w:vertAlign w:val="superscript"/>
              </w:rPr>
              <w:t>a</w:t>
            </w:r>
          </w:p>
        </w:tc>
        <w:tc>
          <w:tcPr>
            <w:tcW w:w="4143" w:type="dxa"/>
            <w:gridSpan w:val="3"/>
          </w:tcPr>
          <w:p w14:paraId="42594746" w14:textId="77777777" w:rsidR="009419D2" w:rsidRPr="00424AF9" w:rsidRDefault="009419D2" w:rsidP="00D46B4C">
            <w:pPr>
              <w:jc w:val="center"/>
              <w:rPr>
                <w:rFonts w:ascii="Arial Narrow" w:hAnsi="Arial Narrow"/>
                <w:b/>
                <w:sz w:val="20"/>
                <w:szCs w:val="20"/>
                <w:vertAlign w:val="superscript"/>
              </w:rPr>
            </w:pPr>
            <w:r w:rsidRPr="00424AF9">
              <w:rPr>
                <w:rFonts w:ascii="Arial Narrow" w:hAnsi="Arial Narrow"/>
                <w:b/>
                <w:sz w:val="20"/>
                <w:szCs w:val="20"/>
              </w:rPr>
              <w:t>SRT</w:t>
            </w:r>
            <w:r w:rsidRPr="00424AF9">
              <w:rPr>
                <w:rFonts w:ascii="Arial Narrow" w:hAnsi="Arial Narrow"/>
                <w:b/>
                <w:sz w:val="20"/>
                <w:szCs w:val="20"/>
                <w:vertAlign w:val="superscript"/>
              </w:rPr>
              <w:t>b</w:t>
            </w:r>
          </w:p>
        </w:tc>
      </w:tr>
      <w:tr w:rsidR="009419D2" w:rsidRPr="00424AF9" w14:paraId="735BF44C" w14:textId="77777777" w:rsidTr="00D46B4C">
        <w:trPr>
          <w:tblHeader/>
        </w:trPr>
        <w:tc>
          <w:tcPr>
            <w:tcW w:w="1129" w:type="dxa"/>
            <w:tcBorders>
              <w:top w:val="nil"/>
            </w:tcBorders>
          </w:tcPr>
          <w:p w14:paraId="613982AE" w14:textId="77777777" w:rsidR="009419D2" w:rsidRPr="00424AF9" w:rsidRDefault="009419D2" w:rsidP="00D46B4C">
            <w:pPr>
              <w:rPr>
                <w:rFonts w:ascii="Arial Narrow" w:hAnsi="Arial Narrow"/>
                <w:sz w:val="20"/>
                <w:szCs w:val="20"/>
              </w:rPr>
            </w:pPr>
          </w:p>
        </w:tc>
        <w:tc>
          <w:tcPr>
            <w:tcW w:w="1276" w:type="dxa"/>
          </w:tcPr>
          <w:p w14:paraId="76573B21" w14:textId="77777777" w:rsidR="009419D2" w:rsidRPr="00424AF9" w:rsidRDefault="009419D2" w:rsidP="00D46B4C">
            <w:pPr>
              <w:ind w:right="-30"/>
              <w:jc w:val="center"/>
              <w:rPr>
                <w:rFonts w:ascii="Arial Narrow" w:hAnsi="Arial Narrow"/>
                <w:b/>
                <w:sz w:val="20"/>
                <w:szCs w:val="20"/>
              </w:rPr>
            </w:pPr>
            <w:r w:rsidRPr="00424AF9">
              <w:rPr>
                <w:rFonts w:ascii="Arial Narrow" w:hAnsi="Arial Narrow"/>
                <w:b/>
                <w:sz w:val="20"/>
                <w:szCs w:val="20"/>
              </w:rPr>
              <w:t>Mavacamten + BB/CC</w:t>
            </w:r>
          </w:p>
        </w:tc>
        <w:tc>
          <w:tcPr>
            <w:tcW w:w="1134" w:type="dxa"/>
          </w:tcPr>
          <w:p w14:paraId="0B844CBD" w14:textId="77777777" w:rsidR="009419D2" w:rsidRPr="00424AF9" w:rsidRDefault="009419D2" w:rsidP="00D46B4C">
            <w:pPr>
              <w:jc w:val="center"/>
              <w:rPr>
                <w:rFonts w:ascii="Arial Narrow" w:hAnsi="Arial Narrow"/>
                <w:b/>
                <w:sz w:val="20"/>
                <w:szCs w:val="20"/>
              </w:rPr>
            </w:pPr>
            <w:r w:rsidRPr="00424AF9">
              <w:rPr>
                <w:rFonts w:ascii="Arial Narrow" w:hAnsi="Arial Narrow"/>
                <w:b/>
                <w:sz w:val="20"/>
                <w:szCs w:val="20"/>
              </w:rPr>
              <w:t>BB/CC</w:t>
            </w:r>
          </w:p>
        </w:tc>
        <w:tc>
          <w:tcPr>
            <w:tcW w:w="1418" w:type="dxa"/>
          </w:tcPr>
          <w:p w14:paraId="6D80A9ED" w14:textId="77777777" w:rsidR="009419D2" w:rsidRPr="00424AF9" w:rsidRDefault="009419D2" w:rsidP="00D46B4C">
            <w:pPr>
              <w:jc w:val="center"/>
              <w:rPr>
                <w:rFonts w:ascii="Arial Narrow" w:hAnsi="Arial Narrow"/>
                <w:b/>
                <w:sz w:val="20"/>
                <w:szCs w:val="20"/>
              </w:rPr>
            </w:pPr>
            <w:r w:rsidRPr="00424AF9">
              <w:rPr>
                <w:rFonts w:ascii="Arial Narrow" w:hAnsi="Arial Narrow"/>
                <w:b/>
                <w:sz w:val="20"/>
                <w:szCs w:val="20"/>
              </w:rPr>
              <w:t>Difference</w:t>
            </w:r>
          </w:p>
        </w:tc>
        <w:tc>
          <w:tcPr>
            <w:tcW w:w="1494" w:type="dxa"/>
          </w:tcPr>
          <w:p w14:paraId="7C03DCEF" w14:textId="77777777" w:rsidR="009419D2" w:rsidRPr="00424AF9" w:rsidRDefault="009419D2" w:rsidP="00D46B4C">
            <w:pPr>
              <w:jc w:val="center"/>
              <w:rPr>
                <w:rFonts w:ascii="Arial Narrow" w:hAnsi="Arial Narrow"/>
                <w:b/>
                <w:sz w:val="20"/>
                <w:szCs w:val="20"/>
              </w:rPr>
            </w:pPr>
            <w:r w:rsidRPr="00424AF9">
              <w:rPr>
                <w:rFonts w:ascii="Arial Narrow" w:hAnsi="Arial Narrow"/>
                <w:b/>
                <w:sz w:val="20"/>
                <w:szCs w:val="20"/>
              </w:rPr>
              <w:t>Mavacamten + BB/CC</w:t>
            </w:r>
          </w:p>
        </w:tc>
        <w:tc>
          <w:tcPr>
            <w:tcW w:w="1231" w:type="dxa"/>
          </w:tcPr>
          <w:p w14:paraId="3B3FB622" w14:textId="77777777" w:rsidR="009419D2" w:rsidRPr="00424AF9" w:rsidRDefault="009419D2" w:rsidP="00D46B4C">
            <w:pPr>
              <w:jc w:val="center"/>
              <w:rPr>
                <w:rFonts w:ascii="Arial Narrow" w:hAnsi="Arial Narrow"/>
                <w:b/>
                <w:sz w:val="20"/>
                <w:szCs w:val="20"/>
              </w:rPr>
            </w:pPr>
            <w:r w:rsidRPr="00424AF9">
              <w:rPr>
                <w:rFonts w:ascii="Arial Narrow" w:hAnsi="Arial Narrow"/>
                <w:b/>
                <w:sz w:val="20"/>
                <w:szCs w:val="20"/>
              </w:rPr>
              <w:t>BB/CC</w:t>
            </w:r>
          </w:p>
        </w:tc>
        <w:tc>
          <w:tcPr>
            <w:tcW w:w="1418" w:type="dxa"/>
          </w:tcPr>
          <w:p w14:paraId="163B1331" w14:textId="77777777" w:rsidR="009419D2" w:rsidRPr="00424AF9" w:rsidRDefault="009419D2" w:rsidP="00D46B4C">
            <w:pPr>
              <w:jc w:val="center"/>
              <w:rPr>
                <w:rFonts w:ascii="Arial Narrow" w:hAnsi="Arial Narrow"/>
                <w:b/>
                <w:sz w:val="20"/>
                <w:szCs w:val="20"/>
              </w:rPr>
            </w:pPr>
            <w:r w:rsidRPr="00424AF9">
              <w:rPr>
                <w:rFonts w:ascii="Arial Narrow" w:hAnsi="Arial Narrow"/>
                <w:b/>
                <w:sz w:val="20"/>
                <w:szCs w:val="20"/>
              </w:rPr>
              <w:t>Difference</w:t>
            </w:r>
          </w:p>
        </w:tc>
      </w:tr>
      <w:tr w:rsidR="009419D2" w:rsidRPr="00424AF9" w14:paraId="734C2418" w14:textId="77777777" w:rsidTr="00D46B4C">
        <w:tc>
          <w:tcPr>
            <w:tcW w:w="1129" w:type="dxa"/>
          </w:tcPr>
          <w:p w14:paraId="29B7FBFA"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Week 30</w:t>
            </w:r>
          </w:p>
        </w:tc>
        <w:tc>
          <w:tcPr>
            <w:tcW w:w="1276" w:type="dxa"/>
          </w:tcPr>
          <w:p w14:paraId="124A5CBF"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0.4%</w:t>
            </w:r>
          </w:p>
        </w:tc>
        <w:tc>
          <w:tcPr>
            <w:tcW w:w="1134" w:type="dxa"/>
          </w:tcPr>
          <w:p w14:paraId="49D4C455"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0.5%</w:t>
            </w:r>
          </w:p>
        </w:tc>
        <w:tc>
          <w:tcPr>
            <w:tcW w:w="1418" w:type="dxa"/>
          </w:tcPr>
          <w:p w14:paraId="027CCC85"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-0.1%</w:t>
            </w:r>
          </w:p>
        </w:tc>
        <w:tc>
          <w:tcPr>
            <w:tcW w:w="1494" w:type="dxa"/>
          </w:tcPr>
          <w:p w14:paraId="08BEC36A"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0.0%</w:t>
            </w:r>
          </w:p>
        </w:tc>
        <w:tc>
          <w:tcPr>
            <w:tcW w:w="1231" w:type="dxa"/>
          </w:tcPr>
          <w:p w14:paraId="195B7CB9"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0.0%</w:t>
            </w:r>
          </w:p>
        </w:tc>
        <w:tc>
          <w:tcPr>
            <w:tcW w:w="1418" w:type="dxa"/>
          </w:tcPr>
          <w:p w14:paraId="65CC8D0D"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0.0%</w:t>
            </w:r>
          </w:p>
        </w:tc>
      </w:tr>
      <w:tr w:rsidR="009419D2" w:rsidRPr="00424AF9" w14:paraId="2F4513CE" w14:textId="77777777" w:rsidTr="00D46B4C">
        <w:tc>
          <w:tcPr>
            <w:tcW w:w="1129" w:type="dxa"/>
          </w:tcPr>
          <w:p w14:paraId="4B119252"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Year 1</w:t>
            </w:r>
          </w:p>
        </w:tc>
        <w:tc>
          <w:tcPr>
            <w:tcW w:w="1276" w:type="dxa"/>
          </w:tcPr>
          <w:p w14:paraId="7C273950"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0.8%</w:t>
            </w:r>
          </w:p>
        </w:tc>
        <w:tc>
          <w:tcPr>
            <w:tcW w:w="1134" w:type="dxa"/>
          </w:tcPr>
          <w:p w14:paraId="07CEB6FD"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0.9%</w:t>
            </w:r>
          </w:p>
        </w:tc>
        <w:tc>
          <w:tcPr>
            <w:tcW w:w="1418" w:type="dxa"/>
          </w:tcPr>
          <w:p w14:paraId="204EC461"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-0.1%</w:t>
            </w:r>
          </w:p>
        </w:tc>
        <w:tc>
          <w:tcPr>
            <w:tcW w:w="1494" w:type="dxa"/>
          </w:tcPr>
          <w:p w14:paraId="08D0871F"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7.4%</w:t>
            </w:r>
          </w:p>
        </w:tc>
        <w:tc>
          <w:tcPr>
            <w:tcW w:w="1231" w:type="dxa"/>
          </w:tcPr>
          <w:p w14:paraId="42DC677C"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1.2%</w:t>
            </w:r>
          </w:p>
        </w:tc>
        <w:tc>
          <w:tcPr>
            <w:tcW w:w="1418" w:type="dxa"/>
          </w:tcPr>
          <w:p w14:paraId="1C7AD4DE"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6.2%</w:t>
            </w:r>
          </w:p>
        </w:tc>
      </w:tr>
      <w:tr w:rsidR="009419D2" w:rsidRPr="00424AF9" w14:paraId="76F3FCA9" w14:textId="77777777" w:rsidTr="00D46B4C">
        <w:tc>
          <w:tcPr>
            <w:tcW w:w="1129" w:type="dxa"/>
          </w:tcPr>
          <w:p w14:paraId="0815806F"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Year 5</w:t>
            </w:r>
          </w:p>
        </w:tc>
        <w:tc>
          <w:tcPr>
            <w:tcW w:w="1276" w:type="dxa"/>
          </w:tcPr>
          <w:p w14:paraId="3BECD773"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4.8%</w:t>
            </w:r>
          </w:p>
        </w:tc>
        <w:tc>
          <w:tcPr>
            <w:tcW w:w="1134" w:type="dxa"/>
          </w:tcPr>
          <w:p w14:paraId="0812284E"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6.5%</w:t>
            </w:r>
          </w:p>
        </w:tc>
        <w:tc>
          <w:tcPr>
            <w:tcW w:w="1418" w:type="dxa"/>
          </w:tcPr>
          <w:p w14:paraId="3BA0DD6D"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-1.7%</w:t>
            </w:r>
          </w:p>
        </w:tc>
        <w:tc>
          <w:tcPr>
            <w:tcW w:w="1494" w:type="dxa"/>
          </w:tcPr>
          <w:p w14:paraId="255B7511"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15.8%</w:t>
            </w:r>
          </w:p>
        </w:tc>
        <w:tc>
          <w:tcPr>
            <w:tcW w:w="1231" w:type="dxa"/>
          </w:tcPr>
          <w:p w14:paraId="40A6D82E"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19.4%</w:t>
            </w:r>
          </w:p>
        </w:tc>
        <w:tc>
          <w:tcPr>
            <w:tcW w:w="1418" w:type="dxa"/>
          </w:tcPr>
          <w:p w14:paraId="5BC02FBB"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-3.6%</w:t>
            </w:r>
          </w:p>
        </w:tc>
      </w:tr>
      <w:tr w:rsidR="009419D2" w:rsidRPr="00424AF9" w14:paraId="793380B7" w14:textId="77777777" w:rsidTr="00D46B4C">
        <w:tc>
          <w:tcPr>
            <w:tcW w:w="1129" w:type="dxa"/>
          </w:tcPr>
          <w:p w14:paraId="0930D689"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Year 10</w:t>
            </w:r>
          </w:p>
        </w:tc>
        <w:tc>
          <w:tcPr>
            <w:tcW w:w="1276" w:type="dxa"/>
          </w:tcPr>
          <w:p w14:paraId="31A2F20E"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12.0%</w:t>
            </w:r>
          </w:p>
        </w:tc>
        <w:tc>
          <w:tcPr>
            <w:tcW w:w="1134" w:type="dxa"/>
          </w:tcPr>
          <w:p w14:paraId="532CC3F9"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15.7%</w:t>
            </w:r>
          </w:p>
        </w:tc>
        <w:tc>
          <w:tcPr>
            <w:tcW w:w="1418" w:type="dxa"/>
          </w:tcPr>
          <w:p w14:paraId="77670CD5"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-3.7%</w:t>
            </w:r>
          </w:p>
        </w:tc>
        <w:tc>
          <w:tcPr>
            <w:tcW w:w="1494" w:type="dxa"/>
          </w:tcPr>
          <w:p w14:paraId="47643E5D"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26.5%</w:t>
            </w:r>
          </w:p>
        </w:tc>
        <w:tc>
          <w:tcPr>
            <w:tcW w:w="1231" w:type="dxa"/>
          </w:tcPr>
          <w:p w14:paraId="6BB960B5"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42.2%</w:t>
            </w:r>
          </w:p>
        </w:tc>
        <w:tc>
          <w:tcPr>
            <w:tcW w:w="1418" w:type="dxa"/>
          </w:tcPr>
          <w:p w14:paraId="41BFE150"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-15.7%</w:t>
            </w:r>
          </w:p>
        </w:tc>
      </w:tr>
      <w:tr w:rsidR="009419D2" w:rsidRPr="00424AF9" w14:paraId="2D24B4F8" w14:textId="77777777" w:rsidTr="00D46B4C">
        <w:tc>
          <w:tcPr>
            <w:tcW w:w="1129" w:type="dxa"/>
          </w:tcPr>
          <w:p w14:paraId="47DDF7B2"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Year 15</w:t>
            </w:r>
          </w:p>
        </w:tc>
        <w:tc>
          <w:tcPr>
            <w:tcW w:w="1276" w:type="dxa"/>
          </w:tcPr>
          <w:p w14:paraId="29745463"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22.7%</w:t>
            </w:r>
          </w:p>
        </w:tc>
        <w:tc>
          <w:tcPr>
            <w:tcW w:w="1134" w:type="dxa"/>
          </w:tcPr>
          <w:p w14:paraId="6ED622F1"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28.5%</w:t>
            </w:r>
          </w:p>
        </w:tc>
        <w:tc>
          <w:tcPr>
            <w:tcW w:w="1418" w:type="dxa"/>
          </w:tcPr>
          <w:p w14:paraId="2807749C"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-5.7%</w:t>
            </w:r>
          </w:p>
        </w:tc>
        <w:tc>
          <w:tcPr>
            <w:tcW w:w="1494" w:type="dxa"/>
          </w:tcPr>
          <w:p w14:paraId="41113E4B"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35.5%</w:t>
            </w:r>
          </w:p>
        </w:tc>
        <w:tc>
          <w:tcPr>
            <w:tcW w:w="1231" w:type="dxa"/>
          </w:tcPr>
          <w:p w14:paraId="4D8F90DF"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57.6%</w:t>
            </w:r>
          </w:p>
        </w:tc>
        <w:tc>
          <w:tcPr>
            <w:tcW w:w="1418" w:type="dxa"/>
          </w:tcPr>
          <w:p w14:paraId="17B59BBF"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-22.1%</w:t>
            </w:r>
          </w:p>
        </w:tc>
      </w:tr>
      <w:tr w:rsidR="009419D2" w:rsidRPr="00424AF9" w14:paraId="0804EEDD" w14:textId="77777777" w:rsidTr="00D46B4C">
        <w:tc>
          <w:tcPr>
            <w:tcW w:w="1129" w:type="dxa"/>
          </w:tcPr>
          <w:p w14:paraId="743F6BFA"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Year 20</w:t>
            </w:r>
          </w:p>
        </w:tc>
        <w:tc>
          <w:tcPr>
            <w:tcW w:w="1276" w:type="dxa"/>
          </w:tcPr>
          <w:p w14:paraId="401E4683"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38.3%</w:t>
            </w:r>
          </w:p>
        </w:tc>
        <w:tc>
          <w:tcPr>
            <w:tcW w:w="1134" w:type="dxa"/>
          </w:tcPr>
          <w:p w14:paraId="6483F09F"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45.8%</w:t>
            </w:r>
          </w:p>
        </w:tc>
        <w:tc>
          <w:tcPr>
            <w:tcW w:w="1418" w:type="dxa"/>
          </w:tcPr>
          <w:p w14:paraId="34B2E638"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-7.5%</w:t>
            </w:r>
          </w:p>
        </w:tc>
        <w:tc>
          <w:tcPr>
            <w:tcW w:w="1494" w:type="dxa"/>
          </w:tcPr>
          <w:p w14:paraId="4E36BFBE"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42.0%</w:t>
            </w:r>
          </w:p>
        </w:tc>
        <w:tc>
          <w:tcPr>
            <w:tcW w:w="1231" w:type="dxa"/>
          </w:tcPr>
          <w:p w14:paraId="2566CE37"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65.6%</w:t>
            </w:r>
          </w:p>
        </w:tc>
        <w:tc>
          <w:tcPr>
            <w:tcW w:w="1418" w:type="dxa"/>
          </w:tcPr>
          <w:p w14:paraId="7401E6EC"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-23.7%</w:t>
            </w:r>
          </w:p>
        </w:tc>
      </w:tr>
      <w:tr w:rsidR="009419D2" w:rsidRPr="00424AF9" w14:paraId="02EC0254" w14:textId="77777777" w:rsidTr="00D46B4C">
        <w:tc>
          <w:tcPr>
            <w:tcW w:w="1129" w:type="dxa"/>
          </w:tcPr>
          <w:p w14:paraId="404C42F7" w14:textId="77777777" w:rsidR="009419D2" w:rsidRPr="00424AF9" w:rsidRDefault="009419D2" w:rsidP="00D46B4C">
            <w:pPr>
              <w:rPr>
                <w:rFonts w:ascii="Arial Narrow" w:hAnsi="Arial Narrow"/>
                <w:sz w:val="20"/>
                <w:szCs w:val="20"/>
              </w:rPr>
            </w:pPr>
            <w:r w:rsidRPr="00424AF9">
              <w:rPr>
                <w:rFonts w:ascii="Arial Narrow" w:hAnsi="Arial Narrow"/>
                <w:sz w:val="20"/>
                <w:szCs w:val="20"/>
              </w:rPr>
              <w:t>Year 25</w:t>
            </w:r>
          </w:p>
        </w:tc>
        <w:tc>
          <w:tcPr>
            <w:tcW w:w="1276" w:type="dxa"/>
          </w:tcPr>
          <w:p w14:paraId="48B1DDCA"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59.1%</w:t>
            </w:r>
          </w:p>
        </w:tc>
        <w:tc>
          <w:tcPr>
            <w:tcW w:w="1134" w:type="dxa"/>
          </w:tcPr>
          <w:p w14:paraId="6A9662F9"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67.3%</w:t>
            </w:r>
          </w:p>
        </w:tc>
        <w:tc>
          <w:tcPr>
            <w:tcW w:w="1418" w:type="dxa"/>
          </w:tcPr>
          <w:p w14:paraId="265FED6F"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-8.1%</w:t>
            </w:r>
          </w:p>
        </w:tc>
        <w:tc>
          <w:tcPr>
            <w:tcW w:w="1494" w:type="dxa"/>
          </w:tcPr>
          <w:p w14:paraId="49248248"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46.1%</w:t>
            </w:r>
          </w:p>
        </w:tc>
        <w:tc>
          <w:tcPr>
            <w:tcW w:w="1231" w:type="dxa"/>
          </w:tcPr>
          <w:p w14:paraId="18A6DE86"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69.1%</w:t>
            </w:r>
          </w:p>
        </w:tc>
        <w:tc>
          <w:tcPr>
            <w:tcW w:w="1418" w:type="dxa"/>
          </w:tcPr>
          <w:p w14:paraId="54B37067" w14:textId="77777777" w:rsidR="009419D2" w:rsidRPr="00424AF9" w:rsidRDefault="009419D2" w:rsidP="00D46B4C">
            <w:pPr>
              <w:jc w:val="center"/>
              <w:rPr>
                <w:rFonts w:ascii="Arial Narrow" w:hAnsi="Arial Narrow"/>
                <w:sz w:val="20"/>
                <w:szCs w:val="20"/>
              </w:rPr>
            </w:pPr>
            <w:r w:rsidRPr="00424AF9">
              <w:rPr>
                <w:rFonts w:ascii="Arial Narrow" w:hAnsi="Arial Narrow"/>
                <w:sz w:val="20"/>
                <w:szCs w:val="20"/>
              </w:rPr>
              <w:t>-23.0%</w:t>
            </w:r>
          </w:p>
        </w:tc>
      </w:tr>
    </w:tbl>
    <w:p w14:paraId="3321FB00" w14:textId="77777777" w:rsidR="009419D2" w:rsidRPr="00424AF9" w:rsidRDefault="009419D2" w:rsidP="009419D2">
      <w:pPr>
        <w:pStyle w:val="FooterTableFigure"/>
      </w:pPr>
      <w:r w:rsidRPr="00424AF9">
        <w:t>Source: Table compiled during the evaluation, based on the “Mavacamten oHCM Economic Evaluation” Excel workbook</w:t>
      </w:r>
    </w:p>
    <w:p w14:paraId="39A70878" w14:textId="77777777" w:rsidR="009419D2" w:rsidRPr="00424AF9" w:rsidRDefault="009419D2" w:rsidP="009419D2">
      <w:pPr>
        <w:pStyle w:val="FooterTableFigure"/>
      </w:pPr>
      <w:r w:rsidRPr="00424AF9">
        <w:t>BB = beta-blocker; CCB = calcium-channel blocker; SRT = septal reduction therapy</w:t>
      </w:r>
    </w:p>
    <w:p w14:paraId="57FCA96D" w14:textId="77777777" w:rsidR="009419D2" w:rsidRPr="00424AF9" w:rsidRDefault="009419D2" w:rsidP="009419D2">
      <w:pPr>
        <w:pStyle w:val="FooterTableFigure"/>
      </w:pPr>
      <w:r w:rsidRPr="00424AF9">
        <w:rPr>
          <w:vertAlign w:val="superscript"/>
        </w:rPr>
        <w:t xml:space="preserve">a </w:t>
      </w:r>
      <w:r w:rsidRPr="00424AF9">
        <w:t>Cumulative deaths were derived from Cells T30:T39 and Cells AZ52:AZ369 in the ‘MAVA’ and ‘Comparator’ spreadsheets</w:t>
      </w:r>
    </w:p>
    <w:p w14:paraId="12FC9F87" w14:textId="77777777" w:rsidR="009419D2" w:rsidRPr="00424AF9" w:rsidRDefault="009419D2" w:rsidP="009419D2">
      <w:pPr>
        <w:pStyle w:val="FooterTableFigure"/>
      </w:pPr>
      <w:r w:rsidRPr="00424AF9">
        <w:rPr>
          <w:vertAlign w:val="superscript"/>
        </w:rPr>
        <w:t xml:space="preserve">b </w:t>
      </w:r>
      <w:r w:rsidRPr="00424AF9">
        <w:t>Proportion of patients receiving SRT was sourced from Cells AR52:AP369 in the ‘MAVA’ and ‘Comparator’ spreadsheets</w:t>
      </w:r>
    </w:p>
    <w:p w14:paraId="75AF49D0" w14:textId="562E11B5" w:rsidR="009419D2" w:rsidRDefault="009419D2" w:rsidP="009419D2">
      <w:pPr>
        <w:pStyle w:val="3-BodyText"/>
      </w:pPr>
      <w:r w:rsidRPr="00424AF9">
        <w:t xml:space="preserve">In the economic model, the cumulative percentage of death avoided for mavacamten + BB/CCB versus BB/CCB alone increased over time, from 0.1% at Week 30 to 8.1% at Year 25. </w:t>
      </w:r>
      <w:r w:rsidRPr="00F72968">
        <w:rPr>
          <w:iCs/>
        </w:rPr>
        <w:t>The ESC advised it was inappropriate to model mortality gains with mavac</w:t>
      </w:r>
      <w:r w:rsidR="00F14FD5" w:rsidRPr="00F72968">
        <w:rPr>
          <w:iCs/>
        </w:rPr>
        <w:t>a</w:t>
      </w:r>
      <w:r w:rsidRPr="00F72968">
        <w:rPr>
          <w:iCs/>
        </w:rPr>
        <w:t>mten treatment.</w:t>
      </w:r>
    </w:p>
    <w:p w14:paraId="0080CB39" w14:textId="1C9AB21A" w:rsidR="009419D2" w:rsidRPr="00424AF9" w:rsidRDefault="009419D2" w:rsidP="009419D2">
      <w:pPr>
        <w:pStyle w:val="3-BodyText"/>
      </w:pPr>
      <w:r w:rsidRPr="00424AF9">
        <w:t xml:space="preserve">The percentage of patients who received SRT was higher in the mavacamten + BB/CCB arm than in the BB/CCB arm at Year 1 (7.4% vs. 1.2%), due to the application of the one-off treatment discontinuation rate to the mavacamten + BB/CCB arm, but not to the comparator arm, at Week 30. Given the modelled slower natural disease progression associated with mavacamten during the extrapolation period, the cumulative percentage of patients who received SRT became lower in the mavacamten + BB/CCB arm than in the BB/CCB arm from Year 3.7, with the difference reaching a maximum of -23.7% at around Year 20. Thereafter, the difference in cumulative percentage of patients receiving SRT gradually decreased to -23.0% at Year 25 because of the diminishing group of patients remaining on mavacamten therapy in the intervention arm. </w:t>
      </w:r>
    </w:p>
    <w:p w14:paraId="1C6E471E" w14:textId="3C528173" w:rsidR="00690208" w:rsidRPr="00F72968" w:rsidRDefault="00D41BD9" w:rsidP="00690208">
      <w:pPr>
        <w:pStyle w:val="3-BodyText"/>
        <w:rPr>
          <w:iCs/>
        </w:rPr>
      </w:pPr>
      <w:r>
        <w:fldChar w:fldCharType="begin"/>
      </w:r>
      <w:r>
        <w:instrText xml:space="preserve"> REF _Ref110525693 \h </w:instrText>
      </w:r>
      <w:r>
        <w:fldChar w:fldCharType="separate"/>
      </w:r>
      <w:r w:rsidR="00645E50">
        <w:t xml:space="preserve">Figure </w:t>
      </w:r>
      <w:r w:rsidR="00645E50">
        <w:rPr>
          <w:noProof/>
        </w:rPr>
        <w:t>2</w:t>
      </w:r>
      <w:r>
        <w:fldChar w:fldCharType="end"/>
      </w:r>
      <w:r>
        <w:t xml:space="preserve"> provides the distribution of patients in each </w:t>
      </w:r>
      <w:r w:rsidRPr="00FD3E5F">
        <w:t xml:space="preserve">health state over the model time horizon. </w:t>
      </w:r>
    </w:p>
    <w:p w14:paraId="117DEDC1" w14:textId="21404586" w:rsidR="00D41BD9" w:rsidRDefault="00D41BD9" w:rsidP="00D41BD9">
      <w:pPr>
        <w:pStyle w:val="Caption"/>
      </w:pPr>
      <w:bookmarkStart w:id="48" w:name="_Ref110525693"/>
      <w:r>
        <w:lastRenderedPageBreak/>
        <w:t xml:space="preserve">Figure </w:t>
      </w:r>
      <w:r w:rsidR="00645E50">
        <w:fldChar w:fldCharType="begin"/>
      </w:r>
      <w:r w:rsidR="00645E50">
        <w:instrText xml:space="preserve"> SEQ Figure \* ARABIC </w:instrText>
      </w:r>
      <w:r w:rsidR="00645E50">
        <w:fldChar w:fldCharType="separate"/>
      </w:r>
      <w:r w:rsidR="00645E50">
        <w:rPr>
          <w:noProof/>
        </w:rPr>
        <w:t>2</w:t>
      </w:r>
      <w:r w:rsidR="00645E50">
        <w:rPr>
          <w:noProof/>
        </w:rPr>
        <w:fldChar w:fldCharType="end"/>
      </w:r>
      <w:bookmarkEnd w:id="48"/>
      <w:r>
        <w:t>: Proportion of patients in each health state over time</w:t>
      </w:r>
    </w:p>
    <w:p w14:paraId="159D3963" w14:textId="4D5AFB71" w:rsidR="00200300" w:rsidRDefault="00200300" w:rsidP="00D41BD9">
      <w:pPr>
        <w:pStyle w:val="Caption"/>
        <w:rPr>
          <w:noProof/>
        </w:rPr>
      </w:pPr>
      <w:r>
        <w:rPr>
          <w:noProof/>
        </w:rPr>
        <w:drawing>
          <wp:inline distT="0" distB="0" distL="0" distR="0" wp14:anchorId="1EDB309C" wp14:editId="1D549E46">
            <wp:extent cx="5760000" cy="1981704"/>
            <wp:effectExtent l="0" t="0" r="0" b="0"/>
            <wp:docPr id="2" name="Picture 2" descr="Figure 2: Proportion of patients in each health stat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roportion of patients in each health state over tim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60000" cy="1981704"/>
                    </a:xfrm>
                    <a:prstGeom prst="rect">
                      <a:avLst/>
                    </a:prstGeom>
                  </pic:spPr>
                </pic:pic>
              </a:graphicData>
            </a:graphic>
          </wp:inline>
        </w:drawing>
      </w:r>
    </w:p>
    <w:p w14:paraId="2716CDCC" w14:textId="695C5106" w:rsidR="00D41BD9" w:rsidRPr="00DD4861" w:rsidRDefault="00D41BD9" w:rsidP="00D41BD9">
      <w:pPr>
        <w:pStyle w:val="Caption"/>
        <w:rPr>
          <w:b w:val="0"/>
          <w:snapToGrid w:val="0"/>
          <w:sz w:val="18"/>
          <w:szCs w:val="24"/>
        </w:rPr>
      </w:pPr>
      <w:r w:rsidRPr="00DD4861">
        <w:rPr>
          <w:b w:val="0"/>
          <w:snapToGrid w:val="0"/>
          <w:sz w:val="18"/>
          <w:szCs w:val="24"/>
        </w:rPr>
        <w:t>Source: Figure 53, p218 of the submission</w:t>
      </w:r>
    </w:p>
    <w:p w14:paraId="6073057D" w14:textId="52CF3A06" w:rsidR="00D41BD9" w:rsidRDefault="00D41BD9" w:rsidP="00D41BD9">
      <w:pPr>
        <w:pStyle w:val="TableFooter"/>
      </w:pPr>
      <w:r>
        <w:t>NYHA = New York Heart Association</w:t>
      </w:r>
    </w:p>
    <w:p w14:paraId="37A677EF" w14:textId="016263A9" w:rsidR="00D41BD9" w:rsidRDefault="00D41BD9" w:rsidP="00D41BD9">
      <w:pPr>
        <w:pStyle w:val="3-BodyText"/>
      </w:pPr>
      <w:r w:rsidRPr="000F4EA6">
        <w:t xml:space="preserve">The health state utility values applied to the economic model </w:t>
      </w:r>
      <w:r>
        <w:t>were</w:t>
      </w:r>
      <w:r w:rsidRPr="000F4EA6">
        <w:t xml:space="preserve"> based on the EQ-5D data from </w:t>
      </w:r>
      <w:r>
        <w:t>EXPLORER-HCM</w:t>
      </w:r>
      <w:r w:rsidRPr="000F4EA6">
        <w:t xml:space="preserve">, using an Australian </w:t>
      </w:r>
      <w:r>
        <w:t>value set</w:t>
      </w:r>
      <w:r>
        <w:rPr>
          <w:rStyle w:val="FootnoteReference"/>
        </w:rPr>
        <w:footnoteReference w:id="8"/>
      </w:r>
      <w:r w:rsidRPr="000F4EA6">
        <w:t xml:space="preserve">. </w:t>
      </w:r>
      <w:r w:rsidRPr="00885192">
        <w:t xml:space="preserve">Given the short follow-up period of the key trial, the utility decrement associated with deterioration in HCM patients over time was not fully captured in the trial. In addition, patients with NYHA class IV were underrepresented in EXPLORER-HCM, as the clinical study report indicated that none of the trial subjects worsened from NYHA II/III at baseline to NYHA IV at Week 30. Overall, the health state utility values applied to the model may have been overestimated in the economic evaluation, especially the utility associated with the NYHA III/IV health state. </w:t>
      </w:r>
    </w:p>
    <w:p w14:paraId="0853D868" w14:textId="5D1929D6" w:rsidR="00CA7A2B" w:rsidRDefault="00D41BD9" w:rsidP="00D41BD9">
      <w:pPr>
        <w:pStyle w:val="3-BodyText"/>
        <w:rPr>
          <w:iCs/>
        </w:rPr>
      </w:pPr>
      <w:bookmarkStart w:id="49" w:name="_Ref116299790"/>
      <w:r>
        <w:t xml:space="preserve">Cost offsets for mavacamten + BB/CCB </w:t>
      </w:r>
      <w:r w:rsidRPr="00885192">
        <w:t xml:space="preserve">versus </w:t>
      </w:r>
      <w:r>
        <w:t xml:space="preserve">BB/CCB alone were </w:t>
      </w:r>
      <w:r w:rsidRPr="007F3791">
        <w:t xml:space="preserve">primarily due to the </w:t>
      </w:r>
      <w:r>
        <w:t xml:space="preserve">reduced health care resource use </w:t>
      </w:r>
      <w:r w:rsidRPr="007F3791">
        <w:t xml:space="preserve">associated with disease </w:t>
      </w:r>
      <w:r>
        <w:t>management in patients of NYHA classes II and III/IV (</w:t>
      </w:r>
      <w:r>
        <w:fldChar w:fldCharType="begin"/>
      </w:r>
      <w:r>
        <w:instrText xml:space="preserve"> REF _Ref110528288 \h </w:instrText>
      </w:r>
      <w:r>
        <w:fldChar w:fldCharType="separate"/>
      </w:r>
      <w:r w:rsidR="00645E50">
        <w:t xml:space="preserve">Table </w:t>
      </w:r>
      <w:r w:rsidR="00645E50">
        <w:rPr>
          <w:noProof/>
        </w:rPr>
        <w:t>18</w:t>
      </w:r>
      <w:r>
        <w:fldChar w:fldCharType="end"/>
      </w:r>
      <w:r>
        <w:t xml:space="preserve">). The main cost source of disease management was from cardiovascular hospitalisations. The cost per cardiovascular hospital admission was estimated based on the </w:t>
      </w:r>
      <w:r w:rsidRPr="00635226">
        <w:t xml:space="preserve">Australian Refined Diagnosis Related Groups </w:t>
      </w:r>
      <w:r>
        <w:t xml:space="preserve">(AR-DRGs) Round 23 (2018-19) </w:t>
      </w:r>
      <w:r w:rsidRPr="00635226">
        <w:t>National Hospitals Cost Data Collection (NHCDC)</w:t>
      </w:r>
      <w:r>
        <w:t xml:space="preserve"> Report, using the weighted average of F09A/F09B relating to “Other cardiothoracic interventions without cardiopulmonary bypass pump”. </w:t>
      </w:r>
      <w:r w:rsidRPr="00885192">
        <w:t>The selection of these AR-DRG codes was not justified in the submission. The average costs per hospital admission for heart failure reported by the Australian Institute of Health and Welfare (AIHW) (2015)</w:t>
      </w:r>
      <w:r w:rsidRPr="00885192">
        <w:rPr>
          <w:rStyle w:val="FootnoteReference"/>
        </w:rPr>
        <w:footnoteReference w:id="9"/>
      </w:r>
      <w:r w:rsidRPr="00885192">
        <w:t xml:space="preserve"> ($5,600-$12,900 depending on the presence/absence of complications), after taking into account the inflation factor, are between a quarter and a half of the submission’s estimate ($27,780). Given that the mean time in NYHA classes II and III/IV was much longer for patients in the comparator BB/CCB arm than for mavacamten patients (</w:t>
      </w:r>
      <w:r w:rsidRPr="00885192">
        <w:fldChar w:fldCharType="begin"/>
      </w:r>
      <w:r w:rsidRPr="00885192">
        <w:instrText xml:space="preserve"> REF _Ref110528288 \h  \* MERGEFORMAT </w:instrText>
      </w:r>
      <w:r w:rsidRPr="00885192">
        <w:fldChar w:fldCharType="separate"/>
      </w:r>
      <w:r w:rsidR="00645E50">
        <w:t xml:space="preserve">Table </w:t>
      </w:r>
      <w:r w:rsidR="00645E50">
        <w:rPr>
          <w:noProof/>
        </w:rPr>
        <w:t>18</w:t>
      </w:r>
      <w:r w:rsidRPr="00885192">
        <w:fldChar w:fldCharType="end"/>
      </w:r>
      <w:r w:rsidRPr="00885192">
        <w:t xml:space="preserve">), patients in the comparator arm incurred more hospitalisations due to cardiovascular events. This </w:t>
      </w:r>
      <w:r w:rsidRPr="00885192">
        <w:lastRenderedPageBreak/>
        <w:t xml:space="preserve">overestimation of the hospitalisation cost per episode </w:t>
      </w:r>
      <w:r w:rsidR="00734761">
        <w:t xml:space="preserve">therefore </w:t>
      </w:r>
      <w:r w:rsidRPr="00885192">
        <w:t>favoured mavacamten.</w:t>
      </w:r>
      <w:r>
        <w:t xml:space="preserve"> </w:t>
      </w:r>
      <w:r w:rsidR="00690208" w:rsidRPr="00F72968">
        <w:rPr>
          <w:iCs/>
        </w:rPr>
        <w:t>The E</w:t>
      </w:r>
      <w:r w:rsidR="00DD2AE8" w:rsidRPr="00F72968">
        <w:rPr>
          <w:iCs/>
        </w:rPr>
        <w:t xml:space="preserve">SC </w:t>
      </w:r>
      <w:r w:rsidR="00F02BC8" w:rsidRPr="00F72968">
        <w:rPr>
          <w:iCs/>
        </w:rPr>
        <w:t xml:space="preserve">agreed with the evaluation and </w:t>
      </w:r>
      <w:r w:rsidR="00DD2AE8" w:rsidRPr="00F72968">
        <w:rPr>
          <w:iCs/>
        </w:rPr>
        <w:t>considered that the cost assumed for cardiovascular hospitalisation</w:t>
      </w:r>
      <w:r w:rsidR="00F02BC8" w:rsidRPr="00F72968">
        <w:rPr>
          <w:iCs/>
        </w:rPr>
        <w:t xml:space="preserve"> </w:t>
      </w:r>
      <w:r w:rsidR="00DD2AE8" w:rsidRPr="00F72968">
        <w:rPr>
          <w:iCs/>
        </w:rPr>
        <w:t>was overestimated</w:t>
      </w:r>
      <w:r w:rsidR="00F02BC8" w:rsidRPr="00F72968">
        <w:rPr>
          <w:iCs/>
        </w:rPr>
        <w:t>.</w:t>
      </w:r>
      <w:bookmarkEnd w:id="49"/>
      <w:r w:rsidR="007708FD" w:rsidRPr="00F72968">
        <w:rPr>
          <w:iCs/>
        </w:rPr>
        <w:t xml:space="preserve"> </w:t>
      </w:r>
      <w:r w:rsidR="00A14720" w:rsidRPr="00F72968">
        <w:rPr>
          <w:iCs/>
        </w:rPr>
        <w:t xml:space="preserve">The ESC advised it was inappropriate to equate hospitalisation rates in HFrEF or HFpEF with those in HCM for the same degree of NYHA severity. </w:t>
      </w:r>
      <w:r w:rsidR="007708FD" w:rsidRPr="00F72968">
        <w:rPr>
          <w:iCs/>
        </w:rPr>
        <w:t xml:space="preserve">The ESC considered a revised base case should </w:t>
      </w:r>
      <w:r w:rsidR="002A00FF" w:rsidRPr="00F72968">
        <w:rPr>
          <w:iCs/>
        </w:rPr>
        <w:t>remove differences in hospitalisations given the lack of clinical trial evidence or clinical experience of hospitalisation due to HCM</w:t>
      </w:r>
      <w:r w:rsidR="00AC2C7A" w:rsidRPr="00F72968">
        <w:rPr>
          <w:iCs/>
        </w:rPr>
        <w:t>.</w:t>
      </w:r>
    </w:p>
    <w:p w14:paraId="65325414" w14:textId="77777777" w:rsidR="00CA7A2B" w:rsidRDefault="00CA7A2B">
      <w:pPr>
        <w:jc w:val="left"/>
        <w:rPr>
          <w:rFonts w:asciiTheme="minorHAnsi" w:hAnsiTheme="minorHAnsi"/>
          <w:iCs/>
          <w:snapToGrid w:val="0"/>
        </w:rPr>
      </w:pPr>
      <w:r>
        <w:rPr>
          <w:iCs/>
        </w:rPr>
        <w:br w:type="page"/>
      </w:r>
    </w:p>
    <w:p w14:paraId="13A1B353" w14:textId="75F546A8" w:rsidR="00D41BD9" w:rsidRPr="00B514EC" w:rsidRDefault="00D41BD9" w:rsidP="00D41BD9">
      <w:pPr>
        <w:pStyle w:val="Caption"/>
      </w:pPr>
      <w:bookmarkStart w:id="50" w:name="_Ref110528288"/>
      <w:r>
        <w:lastRenderedPageBreak/>
        <w:t xml:space="preserve">Table </w:t>
      </w:r>
      <w:r w:rsidR="00645E50">
        <w:fldChar w:fldCharType="begin"/>
      </w:r>
      <w:r w:rsidR="00645E50">
        <w:instrText xml:space="preserve"> SEQ Table \* ARABIC </w:instrText>
      </w:r>
      <w:r w:rsidR="00645E50">
        <w:fldChar w:fldCharType="separate"/>
      </w:r>
      <w:r w:rsidR="00645E50">
        <w:rPr>
          <w:noProof/>
        </w:rPr>
        <w:t>18</w:t>
      </w:r>
      <w:r w:rsidR="00645E50">
        <w:rPr>
          <w:noProof/>
        </w:rPr>
        <w:fldChar w:fldCharType="end"/>
      </w:r>
      <w:bookmarkEnd w:id="50"/>
      <w:r>
        <w:t xml:space="preserve">: </w:t>
      </w:r>
      <w:r w:rsidRPr="00B514EC">
        <w:t xml:space="preserve">Disaggregated </w:t>
      </w:r>
      <w:r>
        <w:t xml:space="preserve">summary of </w:t>
      </w:r>
      <w:r w:rsidRPr="00B514EC">
        <w:t>cost</w:t>
      </w:r>
      <w:r>
        <w:t xml:space="preserve"> impact</w:t>
      </w:r>
      <w:r w:rsidRPr="00B514EC">
        <w:t xml:space="preserve">s </w:t>
      </w:r>
      <w:r>
        <w:t>and health outcome impacts in t</w:t>
      </w:r>
      <w:r w:rsidRPr="00B514EC">
        <w:t>he economic evaluation</w:t>
      </w:r>
      <w:r>
        <w:t xml:space="preserve"> (discounted)</w:t>
      </w:r>
    </w:p>
    <w:tbl>
      <w:tblPr>
        <w:tblStyle w:val="PBACtable9"/>
        <w:tblW w:w="5000" w:type="pct"/>
        <w:shd w:val="clear" w:color="auto" w:fill="FFFFFF" w:themeFill="background1"/>
        <w:tblLook w:val="04A0" w:firstRow="1" w:lastRow="0" w:firstColumn="1" w:lastColumn="0" w:noHBand="0" w:noVBand="1"/>
      </w:tblPr>
      <w:tblGrid>
        <w:gridCol w:w="2428"/>
        <w:gridCol w:w="1714"/>
        <w:gridCol w:w="1427"/>
        <w:gridCol w:w="1814"/>
        <w:gridCol w:w="1634"/>
      </w:tblGrid>
      <w:tr w:rsidR="00D41BD9" w:rsidRPr="00005DE8" w14:paraId="15DAEAF7" w14:textId="77777777" w:rsidTr="004D1A7C">
        <w:trPr>
          <w:tblHeader/>
        </w:trPr>
        <w:tc>
          <w:tcPr>
            <w:tcW w:w="2428" w:type="dxa"/>
            <w:tcBorders>
              <w:bottom w:val="single" w:sz="4" w:space="0" w:color="auto"/>
            </w:tcBorders>
            <w:shd w:val="clear" w:color="auto" w:fill="FFFFFF" w:themeFill="background1"/>
          </w:tcPr>
          <w:p w14:paraId="3D692AB4" w14:textId="77777777" w:rsidR="00D41BD9" w:rsidRPr="00005DE8" w:rsidRDefault="00D41BD9" w:rsidP="00D41BD9">
            <w:pPr>
              <w:rPr>
                <w:rFonts w:ascii="Arial Narrow" w:hAnsi="Arial Narrow"/>
                <w:b/>
                <w:color w:val="000000"/>
                <w:sz w:val="20"/>
                <w:szCs w:val="18"/>
              </w:rPr>
            </w:pPr>
            <w:r w:rsidRPr="00005DE8">
              <w:rPr>
                <w:rFonts w:ascii="Arial Narrow" w:hAnsi="Arial Narrow"/>
                <w:b/>
                <w:color w:val="000000"/>
                <w:sz w:val="20"/>
                <w:szCs w:val="18"/>
              </w:rPr>
              <w:t>Cost (discounted)</w:t>
            </w:r>
          </w:p>
        </w:tc>
        <w:tc>
          <w:tcPr>
            <w:tcW w:w="1714" w:type="dxa"/>
            <w:tcBorders>
              <w:bottom w:val="single" w:sz="4" w:space="0" w:color="auto"/>
            </w:tcBorders>
            <w:shd w:val="clear" w:color="auto" w:fill="FFFFFF" w:themeFill="background1"/>
          </w:tcPr>
          <w:p w14:paraId="06981409" w14:textId="77777777" w:rsidR="00D41BD9" w:rsidRPr="00005DE8" w:rsidRDefault="00D41BD9" w:rsidP="00D41BD9">
            <w:pPr>
              <w:jc w:val="center"/>
              <w:rPr>
                <w:rFonts w:ascii="Arial Narrow" w:hAnsi="Arial Narrow"/>
                <w:b/>
                <w:color w:val="000000"/>
                <w:sz w:val="20"/>
                <w:szCs w:val="18"/>
              </w:rPr>
            </w:pPr>
            <w:r w:rsidRPr="00005DE8">
              <w:rPr>
                <w:rFonts w:ascii="Arial Narrow" w:hAnsi="Arial Narrow"/>
                <w:b/>
                <w:color w:val="000000"/>
                <w:sz w:val="20"/>
                <w:szCs w:val="18"/>
              </w:rPr>
              <w:t xml:space="preserve">Mavacamten </w:t>
            </w:r>
            <w:r>
              <w:rPr>
                <w:rFonts w:ascii="Arial Narrow" w:hAnsi="Arial Narrow"/>
                <w:b/>
                <w:color w:val="000000"/>
                <w:sz w:val="20"/>
                <w:szCs w:val="18"/>
              </w:rPr>
              <w:t>+ BB/CCB</w:t>
            </w:r>
          </w:p>
        </w:tc>
        <w:tc>
          <w:tcPr>
            <w:tcW w:w="1427" w:type="dxa"/>
            <w:tcBorders>
              <w:bottom w:val="single" w:sz="4" w:space="0" w:color="auto"/>
            </w:tcBorders>
            <w:shd w:val="clear" w:color="auto" w:fill="FFFFFF" w:themeFill="background1"/>
          </w:tcPr>
          <w:p w14:paraId="13454C2D" w14:textId="77777777" w:rsidR="00D41BD9" w:rsidRPr="00005DE8" w:rsidRDefault="00D41BD9" w:rsidP="00D41BD9">
            <w:pPr>
              <w:jc w:val="center"/>
              <w:rPr>
                <w:rFonts w:ascii="Arial Narrow" w:hAnsi="Arial Narrow"/>
                <w:b/>
                <w:color w:val="000000"/>
                <w:sz w:val="20"/>
                <w:szCs w:val="18"/>
              </w:rPr>
            </w:pPr>
            <w:r>
              <w:rPr>
                <w:rFonts w:ascii="Arial Narrow" w:hAnsi="Arial Narrow"/>
                <w:b/>
                <w:color w:val="000000"/>
                <w:sz w:val="20"/>
                <w:szCs w:val="18"/>
              </w:rPr>
              <w:t>BB/CCB</w:t>
            </w:r>
            <w:r w:rsidRPr="00005DE8">
              <w:rPr>
                <w:rFonts w:ascii="Arial Narrow" w:hAnsi="Arial Narrow"/>
                <w:b/>
                <w:color w:val="000000"/>
                <w:sz w:val="20"/>
                <w:szCs w:val="18"/>
              </w:rPr>
              <w:t xml:space="preserve"> </w:t>
            </w:r>
          </w:p>
        </w:tc>
        <w:tc>
          <w:tcPr>
            <w:tcW w:w="1814" w:type="dxa"/>
            <w:tcBorders>
              <w:bottom w:val="single" w:sz="4" w:space="0" w:color="auto"/>
            </w:tcBorders>
            <w:shd w:val="clear" w:color="auto" w:fill="FFFFFF" w:themeFill="background1"/>
          </w:tcPr>
          <w:p w14:paraId="648828F2" w14:textId="77777777" w:rsidR="00D41BD9" w:rsidRPr="00005DE8" w:rsidRDefault="00D41BD9" w:rsidP="00D41BD9">
            <w:pPr>
              <w:jc w:val="center"/>
              <w:rPr>
                <w:rFonts w:ascii="Arial Narrow" w:hAnsi="Arial Narrow"/>
                <w:b/>
                <w:color w:val="000000"/>
                <w:sz w:val="20"/>
                <w:szCs w:val="18"/>
              </w:rPr>
            </w:pPr>
            <w:r w:rsidRPr="00005DE8">
              <w:rPr>
                <w:rFonts w:ascii="Arial Narrow" w:hAnsi="Arial Narrow"/>
                <w:b/>
                <w:color w:val="000000"/>
                <w:sz w:val="20"/>
                <w:szCs w:val="18"/>
              </w:rPr>
              <w:t xml:space="preserve">Increment </w:t>
            </w:r>
          </w:p>
        </w:tc>
        <w:tc>
          <w:tcPr>
            <w:tcW w:w="1634" w:type="dxa"/>
            <w:tcBorders>
              <w:bottom w:val="single" w:sz="4" w:space="0" w:color="auto"/>
            </w:tcBorders>
            <w:shd w:val="clear" w:color="auto" w:fill="FFFFFF" w:themeFill="background1"/>
          </w:tcPr>
          <w:p w14:paraId="5697BA82" w14:textId="77777777" w:rsidR="00D41BD9" w:rsidRPr="00005DE8" w:rsidRDefault="00D41BD9" w:rsidP="00D41BD9">
            <w:pPr>
              <w:jc w:val="center"/>
              <w:rPr>
                <w:rFonts w:ascii="Arial Narrow" w:hAnsi="Arial Narrow"/>
                <w:b/>
                <w:color w:val="000000"/>
                <w:sz w:val="20"/>
                <w:szCs w:val="18"/>
              </w:rPr>
            </w:pPr>
            <w:r>
              <w:rPr>
                <w:rFonts w:ascii="Arial Narrow" w:hAnsi="Arial Narrow"/>
                <w:b/>
                <w:color w:val="000000"/>
                <w:sz w:val="20"/>
                <w:szCs w:val="18"/>
              </w:rPr>
              <w:t>% of total increment</w:t>
            </w:r>
          </w:p>
        </w:tc>
      </w:tr>
      <w:tr w:rsidR="00D41BD9" w:rsidRPr="007F679E" w14:paraId="3C480889" w14:textId="77777777" w:rsidTr="00D41BD9">
        <w:tblPrEx>
          <w:shd w:val="clear" w:color="auto" w:fill="auto"/>
        </w:tblPrEx>
        <w:tc>
          <w:tcPr>
            <w:tcW w:w="9017" w:type="dxa"/>
            <w:gridSpan w:val="5"/>
            <w:tcBorders>
              <w:top w:val="single" w:sz="4" w:space="0" w:color="auto"/>
            </w:tcBorders>
          </w:tcPr>
          <w:p w14:paraId="0A74C220" w14:textId="77777777" w:rsidR="00D41BD9" w:rsidRPr="007F679E" w:rsidRDefault="00D41BD9" w:rsidP="00D41BD9">
            <w:pPr>
              <w:rPr>
                <w:rFonts w:ascii="Arial Narrow" w:hAnsi="Arial Narrow"/>
                <w:b/>
                <w:sz w:val="20"/>
                <w:szCs w:val="20"/>
              </w:rPr>
            </w:pPr>
            <w:r>
              <w:rPr>
                <w:rFonts w:ascii="Arial Narrow" w:hAnsi="Arial Narrow"/>
                <w:b/>
                <w:color w:val="000000"/>
                <w:sz w:val="20"/>
                <w:szCs w:val="20"/>
              </w:rPr>
              <w:t>Costs</w:t>
            </w:r>
          </w:p>
        </w:tc>
      </w:tr>
      <w:tr w:rsidR="00D41BD9" w:rsidRPr="00005DE8" w14:paraId="3676FB79" w14:textId="77777777" w:rsidTr="00D41BD9">
        <w:tc>
          <w:tcPr>
            <w:tcW w:w="2428" w:type="dxa"/>
            <w:tcBorders>
              <w:bottom w:val="dotted" w:sz="4" w:space="0" w:color="auto"/>
            </w:tcBorders>
            <w:shd w:val="clear" w:color="auto" w:fill="FFFFFF" w:themeFill="background1"/>
          </w:tcPr>
          <w:p w14:paraId="327C517A" w14:textId="77777777" w:rsidR="00D41BD9" w:rsidRPr="00BD23DD" w:rsidRDefault="00D41BD9" w:rsidP="00D41BD9">
            <w:pPr>
              <w:rPr>
                <w:rFonts w:ascii="Arial Narrow" w:hAnsi="Arial Narrow"/>
                <w:color w:val="000000"/>
                <w:sz w:val="20"/>
                <w:szCs w:val="20"/>
              </w:rPr>
            </w:pPr>
            <w:r>
              <w:rPr>
                <w:rFonts w:ascii="Arial Narrow" w:hAnsi="Arial Narrow"/>
                <w:color w:val="000000"/>
                <w:sz w:val="20"/>
                <w:szCs w:val="20"/>
              </w:rPr>
              <w:t xml:space="preserve">Treatments </w:t>
            </w:r>
          </w:p>
        </w:tc>
        <w:tc>
          <w:tcPr>
            <w:tcW w:w="1714" w:type="dxa"/>
            <w:tcBorders>
              <w:bottom w:val="dotted" w:sz="4" w:space="0" w:color="auto"/>
            </w:tcBorders>
            <w:shd w:val="clear" w:color="auto" w:fill="FFFFFF" w:themeFill="background1"/>
          </w:tcPr>
          <w:p w14:paraId="664E89C3" w14:textId="18DD5F33" w:rsidR="00D41BD9" w:rsidRPr="007F679E" w:rsidRDefault="00D41BD9" w:rsidP="00D41BD9">
            <w:pPr>
              <w:jc w:val="center"/>
              <w:rPr>
                <w:rFonts w:ascii="Arial Narrow" w:hAnsi="Arial Narrow"/>
                <w:color w:val="000000"/>
                <w:sz w:val="20"/>
                <w:szCs w:val="20"/>
              </w:rPr>
            </w:pPr>
            <w:r w:rsidRPr="00C04D9F">
              <w:rPr>
                <w:rFonts w:ascii="Arial Narrow" w:hAnsi="Arial Narrow"/>
                <w:color w:val="000000"/>
                <w:sz w:val="20"/>
                <w:szCs w:val="20"/>
              </w:rPr>
              <w:t>$</w:t>
            </w:r>
            <w:r w:rsidR="00414250" w:rsidRPr="004142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27" w:type="dxa"/>
            <w:tcBorders>
              <w:bottom w:val="dotted" w:sz="4" w:space="0" w:color="auto"/>
            </w:tcBorders>
            <w:shd w:val="clear" w:color="auto" w:fill="FFFFFF" w:themeFill="background1"/>
          </w:tcPr>
          <w:p w14:paraId="6E07F2E0" w14:textId="77777777" w:rsidR="00D41BD9" w:rsidRPr="007F679E" w:rsidRDefault="00D41BD9" w:rsidP="00D41BD9">
            <w:pPr>
              <w:jc w:val="center"/>
              <w:rPr>
                <w:rFonts w:ascii="Arial Narrow" w:hAnsi="Arial Narrow"/>
                <w:color w:val="000000"/>
                <w:sz w:val="20"/>
                <w:szCs w:val="20"/>
              </w:rPr>
            </w:pPr>
            <w:r w:rsidRPr="007F679E">
              <w:rPr>
                <w:rFonts w:ascii="Arial Narrow" w:hAnsi="Arial Narrow"/>
                <w:color w:val="000000"/>
                <w:sz w:val="20"/>
                <w:szCs w:val="20"/>
              </w:rPr>
              <w:t>$30,481</w:t>
            </w:r>
          </w:p>
        </w:tc>
        <w:tc>
          <w:tcPr>
            <w:tcW w:w="1814" w:type="dxa"/>
            <w:tcBorders>
              <w:bottom w:val="dotted" w:sz="4" w:space="0" w:color="auto"/>
            </w:tcBorders>
            <w:shd w:val="clear" w:color="auto" w:fill="FFFFFF" w:themeFill="background1"/>
          </w:tcPr>
          <w:p w14:paraId="41FD70F0" w14:textId="07F323EC" w:rsidR="00D41BD9" w:rsidRPr="007F679E" w:rsidRDefault="00D41BD9" w:rsidP="00D41BD9">
            <w:pPr>
              <w:jc w:val="center"/>
              <w:rPr>
                <w:rFonts w:ascii="Arial Narrow" w:hAnsi="Arial Narrow"/>
                <w:color w:val="000000"/>
                <w:sz w:val="20"/>
                <w:szCs w:val="20"/>
              </w:rPr>
            </w:pPr>
            <w:r w:rsidRPr="007F679E">
              <w:rPr>
                <w:rFonts w:ascii="Arial Narrow" w:hAnsi="Arial Narrow"/>
                <w:color w:val="000000"/>
                <w:sz w:val="20"/>
                <w:szCs w:val="20"/>
              </w:rPr>
              <w:t>$</w:t>
            </w:r>
            <w:r w:rsidR="00414250" w:rsidRPr="004142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634" w:type="dxa"/>
            <w:tcBorders>
              <w:bottom w:val="dotted" w:sz="4" w:space="0" w:color="auto"/>
            </w:tcBorders>
            <w:shd w:val="clear" w:color="auto" w:fill="FFFFFF" w:themeFill="background1"/>
          </w:tcPr>
          <w:p w14:paraId="32E280E1" w14:textId="77777777" w:rsidR="00D41BD9" w:rsidRPr="007F679E" w:rsidRDefault="00D41BD9" w:rsidP="00D41BD9">
            <w:pPr>
              <w:jc w:val="center"/>
              <w:rPr>
                <w:rFonts w:ascii="Arial Narrow" w:hAnsi="Arial Narrow"/>
                <w:color w:val="000000"/>
                <w:sz w:val="20"/>
                <w:szCs w:val="20"/>
              </w:rPr>
            </w:pPr>
            <w:r w:rsidRPr="007F679E">
              <w:rPr>
                <w:rFonts w:ascii="Arial Narrow" w:hAnsi="Arial Narrow"/>
                <w:color w:val="000000"/>
                <w:sz w:val="20"/>
                <w:szCs w:val="20"/>
              </w:rPr>
              <w:t>254.6%</w:t>
            </w:r>
          </w:p>
        </w:tc>
      </w:tr>
      <w:tr w:rsidR="00D41BD9" w:rsidRPr="00005DE8" w14:paraId="66FCFC06" w14:textId="77777777" w:rsidTr="00D41BD9">
        <w:tc>
          <w:tcPr>
            <w:tcW w:w="2428" w:type="dxa"/>
            <w:shd w:val="clear" w:color="auto" w:fill="FFFFFF" w:themeFill="background1"/>
          </w:tcPr>
          <w:p w14:paraId="0D9A3298" w14:textId="77777777" w:rsidR="00D41BD9" w:rsidRPr="00BD23DD" w:rsidRDefault="00D41BD9" w:rsidP="00D41BD9">
            <w:pPr>
              <w:rPr>
                <w:rFonts w:ascii="Arial Narrow" w:hAnsi="Arial Narrow"/>
                <w:color w:val="000000"/>
                <w:sz w:val="20"/>
                <w:szCs w:val="20"/>
              </w:rPr>
            </w:pPr>
            <w:r w:rsidRPr="00BD23DD">
              <w:rPr>
                <w:rFonts w:ascii="Arial Narrow" w:hAnsi="Arial Narrow"/>
                <w:color w:val="000000"/>
                <w:sz w:val="20"/>
                <w:szCs w:val="20"/>
              </w:rPr>
              <w:t>Drug monitoring</w:t>
            </w:r>
          </w:p>
        </w:tc>
        <w:tc>
          <w:tcPr>
            <w:tcW w:w="1714" w:type="dxa"/>
            <w:shd w:val="clear" w:color="auto" w:fill="FFFFFF" w:themeFill="background1"/>
          </w:tcPr>
          <w:p w14:paraId="6F939854"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$8,112</w:t>
            </w:r>
          </w:p>
        </w:tc>
        <w:tc>
          <w:tcPr>
            <w:tcW w:w="1427" w:type="dxa"/>
            <w:shd w:val="clear" w:color="auto" w:fill="FFFFFF" w:themeFill="background1"/>
          </w:tcPr>
          <w:p w14:paraId="0C47C7AE"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$2,295</w:t>
            </w:r>
          </w:p>
        </w:tc>
        <w:tc>
          <w:tcPr>
            <w:tcW w:w="1814" w:type="dxa"/>
            <w:shd w:val="clear" w:color="auto" w:fill="FFFFFF" w:themeFill="background1"/>
          </w:tcPr>
          <w:p w14:paraId="38C406BF"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$5,817</w:t>
            </w:r>
          </w:p>
        </w:tc>
        <w:tc>
          <w:tcPr>
            <w:tcW w:w="1634" w:type="dxa"/>
            <w:shd w:val="clear" w:color="auto" w:fill="FFFFFF" w:themeFill="background1"/>
          </w:tcPr>
          <w:p w14:paraId="5343B17D"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13.3%</w:t>
            </w:r>
          </w:p>
        </w:tc>
      </w:tr>
      <w:tr w:rsidR="00D41BD9" w:rsidRPr="00005DE8" w14:paraId="217B55A2" w14:textId="77777777" w:rsidTr="00D41BD9">
        <w:tc>
          <w:tcPr>
            <w:tcW w:w="2428" w:type="dxa"/>
            <w:tcBorders>
              <w:bottom w:val="dotted" w:sz="4" w:space="0" w:color="auto"/>
            </w:tcBorders>
            <w:shd w:val="clear" w:color="auto" w:fill="FFFFFF" w:themeFill="background1"/>
          </w:tcPr>
          <w:p w14:paraId="125D5670" w14:textId="77777777" w:rsidR="00D41BD9" w:rsidRPr="00BD23DD" w:rsidRDefault="00D41BD9" w:rsidP="00D41BD9">
            <w:pPr>
              <w:rPr>
                <w:rFonts w:ascii="Arial Narrow" w:hAnsi="Arial Narrow"/>
                <w:color w:val="000000"/>
                <w:sz w:val="20"/>
                <w:szCs w:val="20"/>
              </w:rPr>
            </w:pPr>
            <w:r w:rsidRPr="00BD23DD">
              <w:rPr>
                <w:rFonts w:ascii="Arial Narrow" w:hAnsi="Arial Narrow"/>
                <w:color w:val="000000"/>
                <w:sz w:val="20"/>
                <w:szCs w:val="20"/>
              </w:rPr>
              <w:t>Disease management</w:t>
            </w:r>
          </w:p>
        </w:tc>
        <w:tc>
          <w:tcPr>
            <w:tcW w:w="1714" w:type="dxa"/>
            <w:tcBorders>
              <w:bottom w:val="dotted" w:sz="4" w:space="0" w:color="auto"/>
            </w:tcBorders>
            <w:shd w:val="clear" w:color="auto" w:fill="FFFFFF" w:themeFill="background1"/>
          </w:tcPr>
          <w:p w14:paraId="21C9BB84" w14:textId="77777777" w:rsidR="00D41BD9" w:rsidRPr="00BD23DD" w:rsidRDefault="00D41BD9" w:rsidP="00D41BD9">
            <w:pPr>
              <w:jc w:val="center"/>
              <w:rPr>
                <w:rFonts w:ascii="Arial Narrow" w:hAnsi="Arial Narrow"/>
                <w:color w:val="000000"/>
                <w:sz w:val="20"/>
                <w:szCs w:val="20"/>
              </w:rPr>
            </w:pPr>
          </w:p>
        </w:tc>
        <w:tc>
          <w:tcPr>
            <w:tcW w:w="1427" w:type="dxa"/>
            <w:tcBorders>
              <w:bottom w:val="dotted" w:sz="4" w:space="0" w:color="auto"/>
            </w:tcBorders>
            <w:shd w:val="clear" w:color="auto" w:fill="FFFFFF" w:themeFill="background1"/>
          </w:tcPr>
          <w:p w14:paraId="532B6C9A" w14:textId="77777777" w:rsidR="00D41BD9" w:rsidRPr="00BD23DD" w:rsidRDefault="00D41BD9" w:rsidP="00D41BD9">
            <w:pPr>
              <w:jc w:val="center"/>
              <w:rPr>
                <w:rFonts w:ascii="Arial Narrow" w:hAnsi="Arial Narrow"/>
                <w:color w:val="000000"/>
                <w:sz w:val="20"/>
                <w:szCs w:val="20"/>
              </w:rPr>
            </w:pPr>
          </w:p>
        </w:tc>
        <w:tc>
          <w:tcPr>
            <w:tcW w:w="1814" w:type="dxa"/>
            <w:tcBorders>
              <w:bottom w:val="dotted" w:sz="4" w:space="0" w:color="auto"/>
            </w:tcBorders>
            <w:shd w:val="clear" w:color="auto" w:fill="FFFFFF" w:themeFill="background1"/>
          </w:tcPr>
          <w:p w14:paraId="43F22BE2" w14:textId="77777777" w:rsidR="00D41BD9" w:rsidRPr="00BD23DD" w:rsidRDefault="00D41BD9" w:rsidP="00D41BD9">
            <w:pPr>
              <w:jc w:val="center"/>
              <w:rPr>
                <w:rFonts w:ascii="Arial Narrow" w:hAnsi="Arial Narrow"/>
                <w:color w:val="000000"/>
                <w:sz w:val="20"/>
                <w:szCs w:val="20"/>
              </w:rPr>
            </w:pPr>
          </w:p>
        </w:tc>
        <w:tc>
          <w:tcPr>
            <w:tcW w:w="1634" w:type="dxa"/>
            <w:tcBorders>
              <w:bottom w:val="dotted" w:sz="4" w:space="0" w:color="auto"/>
            </w:tcBorders>
            <w:shd w:val="clear" w:color="auto" w:fill="FFFFFF" w:themeFill="background1"/>
          </w:tcPr>
          <w:p w14:paraId="3C8A5212" w14:textId="77777777" w:rsidR="00D41BD9" w:rsidRPr="00BD23DD" w:rsidRDefault="00D41BD9" w:rsidP="00D41BD9">
            <w:pPr>
              <w:jc w:val="center"/>
              <w:rPr>
                <w:rFonts w:ascii="Arial Narrow" w:hAnsi="Arial Narrow"/>
                <w:color w:val="000000"/>
                <w:sz w:val="20"/>
                <w:szCs w:val="20"/>
              </w:rPr>
            </w:pPr>
          </w:p>
        </w:tc>
      </w:tr>
      <w:tr w:rsidR="00D41BD9" w:rsidRPr="00005DE8" w14:paraId="04A5A60C" w14:textId="77777777" w:rsidTr="00D41BD9">
        <w:tc>
          <w:tcPr>
            <w:tcW w:w="2428" w:type="dxa"/>
            <w:tcBorders>
              <w:top w:val="dotted" w:sz="4" w:space="0" w:color="auto"/>
              <w:bottom w:val="dotted" w:sz="4" w:space="0" w:color="auto"/>
            </w:tcBorders>
            <w:shd w:val="clear" w:color="auto" w:fill="FFFFFF" w:themeFill="background1"/>
          </w:tcPr>
          <w:p w14:paraId="1390DA35" w14:textId="77777777" w:rsidR="00D41BD9" w:rsidRPr="00BD23DD" w:rsidRDefault="00D41BD9" w:rsidP="00D41BD9">
            <w:pPr>
              <w:ind w:left="316"/>
              <w:rPr>
                <w:rFonts w:ascii="Arial Narrow" w:hAnsi="Arial Narrow"/>
                <w:color w:val="000000"/>
                <w:sz w:val="20"/>
                <w:szCs w:val="20"/>
              </w:rPr>
            </w:pPr>
            <w:r>
              <w:rPr>
                <w:rFonts w:ascii="Arial Narrow" w:hAnsi="Arial Narrow"/>
                <w:color w:val="000000"/>
                <w:sz w:val="20"/>
                <w:szCs w:val="20"/>
              </w:rPr>
              <w:t>NYHA class I</w:t>
            </w:r>
          </w:p>
        </w:tc>
        <w:tc>
          <w:tcPr>
            <w:tcW w:w="1714" w:type="dxa"/>
            <w:tcBorders>
              <w:top w:val="dotted" w:sz="4" w:space="0" w:color="auto"/>
              <w:bottom w:val="dotted" w:sz="4" w:space="0" w:color="auto"/>
            </w:tcBorders>
            <w:shd w:val="clear" w:color="auto" w:fill="FFFFFF" w:themeFill="background1"/>
          </w:tcPr>
          <w:p w14:paraId="370FD921"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$512</w:t>
            </w:r>
          </w:p>
        </w:tc>
        <w:tc>
          <w:tcPr>
            <w:tcW w:w="1427" w:type="dxa"/>
            <w:tcBorders>
              <w:top w:val="dotted" w:sz="4" w:space="0" w:color="auto"/>
              <w:bottom w:val="dotted" w:sz="4" w:space="0" w:color="auto"/>
            </w:tcBorders>
            <w:shd w:val="clear" w:color="auto" w:fill="FFFFFF" w:themeFill="background1"/>
          </w:tcPr>
          <w:p w14:paraId="76099177"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$116</w:t>
            </w:r>
          </w:p>
        </w:tc>
        <w:tc>
          <w:tcPr>
            <w:tcW w:w="1814" w:type="dxa"/>
            <w:tcBorders>
              <w:top w:val="dotted" w:sz="4" w:space="0" w:color="auto"/>
              <w:bottom w:val="dotted" w:sz="4" w:space="0" w:color="auto"/>
            </w:tcBorders>
            <w:shd w:val="clear" w:color="auto" w:fill="FFFFFF" w:themeFill="background1"/>
          </w:tcPr>
          <w:p w14:paraId="681E7132"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$396</w:t>
            </w:r>
          </w:p>
        </w:tc>
        <w:tc>
          <w:tcPr>
            <w:tcW w:w="1634" w:type="dxa"/>
            <w:tcBorders>
              <w:top w:val="dotted" w:sz="4" w:space="0" w:color="auto"/>
              <w:bottom w:val="dotted" w:sz="4" w:space="0" w:color="auto"/>
            </w:tcBorders>
            <w:shd w:val="clear" w:color="auto" w:fill="FFFFFF" w:themeFill="background1"/>
          </w:tcPr>
          <w:p w14:paraId="72E98BD0"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0.9%</w:t>
            </w:r>
          </w:p>
        </w:tc>
      </w:tr>
      <w:tr w:rsidR="00D41BD9" w:rsidRPr="00005DE8" w14:paraId="5878ABA7" w14:textId="77777777" w:rsidTr="00D41BD9">
        <w:tc>
          <w:tcPr>
            <w:tcW w:w="2428" w:type="dxa"/>
            <w:tcBorders>
              <w:top w:val="dotted" w:sz="4" w:space="0" w:color="auto"/>
              <w:bottom w:val="dotted" w:sz="4" w:space="0" w:color="auto"/>
            </w:tcBorders>
            <w:shd w:val="clear" w:color="auto" w:fill="FFFFFF" w:themeFill="background1"/>
          </w:tcPr>
          <w:p w14:paraId="61DFDB05" w14:textId="77777777" w:rsidR="00D41BD9" w:rsidRPr="00BD23DD" w:rsidRDefault="00D41BD9" w:rsidP="00D41BD9">
            <w:pPr>
              <w:ind w:left="316"/>
              <w:rPr>
                <w:rFonts w:ascii="Arial Narrow" w:hAnsi="Arial Narrow"/>
                <w:color w:val="000000"/>
                <w:sz w:val="20"/>
                <w:szCs w:val="20"/>
              </w:rPr>
            </w:pPr>
            <w:r>
              <w:rPr>
                <w:rFonts w:ascii="Arial Narrow" w:hAnsi="Arial Narrow"/>
                <w:color w:val="000000"/>
                <w:sz w:val="20"/>
                <w:szCs w:val="20"/>
              </w:rPr>
              <w:t>NYHA class II</w:t>
            </w:r>
          </w:p>
        </w:tc>
        <w:tc>
          <w:tcPr>
            <w:tcW w:w="1714" w:type="dxa"/>
            <w:tcBorders>
              <w:top w:val="dotted" w:sz="4" w:space="0" w:color="auto"/>
              <w:bottom w:val="dotted" w:sz="4" w:space="0" w:color="auto"/>
            </w:tcBorders>
            <w:shd w:val="clear" w:color="auto" w:fill="FFFFFF" w:themeFill="background1"/>
          </w:tcPr>
          <w:p w14:paraId="63E245A7"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$62,299</w:t>
            </w:r>
          </w:p>
        </w:tc>
        <w:tc>
          <w:tcPr>
            <w:tcW w:w="1427" w:type="dxa"/>
            <w:tcBorders>
              <w:top w:val="dotted" w:sz="4" w:space="0" w:color="auto"/>
              <w:bottom w:val="dotted" w:sz="4" w:space="0" w:color="auto"/>
            </w:tcBorders>
            <w:shd w:val="clear" w:color="auto" w:fill="FFFFFF" w:themeFill="background1"/>
          </w:tcPr>
          <w:p w14:paraId="7A96F4A7"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$85,109</w:t>
            </w:r>
          </w:p>
        </w:tc>
        <w:tc>
          <w:tcPr>
            <w:tcW w:w="1814" w:type="dxa"/>
            <w:tcBorders>
              <w:top w:val="dotted" w:sz="4" w:space="0" w:color="auto"/>
              <w:bottom w:val="dotted" w:sz="4" w:space="0" w:color="auto"/>
            </w:tcBorders>
            <w:shd w:val="clear" w:color="auto" w:fill="FFFFFF" w:themeFill="background1"/>
          </w:tcPr>
          <w:p w14:paraId="0C349478"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-$22,811</w:t>
            </w:r>
          </w:p>
        </w:tc>
        <w:tc>
          <w:tcPr>
            <w:tcW w:w="1634" w:type="dxa"/>
            <w:tcBorders>
              <w:top w:val="dotted" w:sz="4" w:space="0" w:color="auto"/>
              <w:bottom w:val="dotted" w:sz="4" w:space="0" w:color="auto"/>
            </w:tcBorders>
            <w:shd w:val="clear" w:color="auto" w:fill="FFFFFF" w:themeFill="background1"/>
          </w:tcPr>
          <w:p w14:paraId="5830855A"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-52.3%</w:t>
            </w:r>
          </w:p>
        </w:tc>
      </w:tr>
      <w:tr w:rsidR="00D41BD9" w:rsidRPr="00005DE8" w14:paraId="7F5CFD1E" w14:textId="77777777" w:rsidTr="00D41BD9">
        <w:tc>
          <w:tcPr>
            <w:tcW w:w="2428" w:type="dxa"/>
            <w:tcBorders>
              <w:top w:val="dotted" w:sz="4" w:space="0" w:color="auto"/>
            </w:tcBorders>
            <w:shd w:val="clear" w:color="auto" w:fill="FFFFFF" w:themeFill="background1"/>
          </w:tcPr>
          <w:p w14:paraId="285E1D55" w14:textId="77777777" w:rsidR="00D41BD9" w:rsidRPr="00BD23DD" w:rsidRDefault="00D41BD9" w:rsidP="00D41BD9">
            <w:pPr>
              <w:ind w:left="316"/>
              <w:rPr>
                <w:rFonts w:ascii="Arial Narrow" w:hAnsi="Arial Narrow"/>
                <w:color w:val="000000"/>
                <w:sz w:val="20"/>
                <w:szCs w:val="20"/>
              </w:rPr>
            </w:pPr>
            <w:r>
              <w:rPr>
                <w:rFonts w:ascii="Arial Narrow" w:hAnsi="Arial Narrow"/>
                <w:color w:val="000000"/>
                <w:sz w:val="20"/>
                <w:szCs w:val="20"/>
              </w:rPr>
              <w:t>NYHA class III/IV</w:t>
            </w:r>
          </w:p>
        </w:tc>
        <w:tc>
          <w:tcPr>
            <w:tcW w:w="1714" w:type="dxa"/>
            <w:tcBorders>
              <w:top w:val="dotted" w:sz="4" w:space="0" w:color="auto"/>
            </w:tcBorders>
            <w:shd w:val="clear" w:color="auto" w:fill="FFFFFF" w:themeFill="background1"/>
          </w:tcPr>
          <w:p w14:paraId="3D97FC6D"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$32,766</w:t>
            </w:r>
          </w:p>
        </w:tc>
        <w:tc>
          <w:tcPr>
            <w:tcW w:w="1427" w:type="dxa"/>
            <w:tcBorders>
              <w:top w:val="dotted" w:sz="4" w:space="0" w:color="auto"/>
            </w:tcBorders>
            <w:shd w:val="clear" w:color="auto" w:fill="FFFFFF" w:themeFill="background1"/>
          </w:tcPr>
          <w:p w14:paraId="0ABBC46F"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$82,779</w:t>
            </w:r>
          </w:p>
        </w:tc>
        <w:tc>
          <w:tcPr>
            <w:tcW w:w="1814" w:type="dxa"/>
            <w:tcBorders>
              <w:top w:val="dotted" w:sz="4" w:space="0" w:color="auto"/>
            </w:tcBorders>
            <w:shd w:val="clear" w:color="auto" w:fill="FFFFFF" w:themeFill="background1"/>
          </w:tcPr>
          <w:p w14:paraId="606B79D7"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-$50,013</w:t>
            </w:r>
          </w:p>
        </w:tc>
        <w:tc>
          <w:tcPr>
            <w:tcW w:w="1634" w:type="dxa"/>
            <w:tcBorders>
              <w:top w:val="dotted" w:sz="4" w:space="0" w:color="auto"/>
            </w:tcBorders>
            <w:shd w:val="clear" w:color="auto" w:fill="FFFFFF" w:themeFill="background1"/>
          </w:tcPr>
          <w:p w14:paraId="162E0AB2"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sz w:val="20"/>
                <w:szCs w:val="20"/>
              </w:rPr>
              <w:t>-114.7%</w:t>
            </w:r>
          </w:p>
        </w:tc>
      </w:tr>
      <w:tr w:rsidR="00D41BD9" w:rsidRPr="00005DE8" w14:paraId="2718DEB7" w14:textId="77777777" w:rsidTr="00D41BD9">
        <w:tc>
          <w:tcPr>
            <w:tcW w:w="2428" w:type="dxa"/>
            <w:tcBorders>
              <w:bottom w:val="single" w:sz="4" w:space="0" w:color="auto"/>
            </w:tcBorders>
            <w:shd w:val="clear" w:color="auto" w:fill="FFFFFF" w:themeFill="background1"/>
          </w:tcPr>
          <w:p w14:paraId="2D67596B" w14:textId="77777777" w:rsidR="00D41BD9" w:rsidRPr="00BD23DD" w:rsidRDefault="00D41BD9" w:rsidP="00D41BD9">
            <w:pPr>
              <w:rPr>
                <w:rFonts w:ascii="Arial Narrow" w:hAnsi="Arial Narrow"/>
                <w:color w:val="000000"/>
                <w:sz w:val="20"/>
                <w:szCs w:val="20"/>
              </w:rPr>
            </w:pPr>
            <w:r w:rsidRPr="00BD23DD">
              <w:rPr>
                <w:rFonts w:ascii="Arial Narrow" w:hAnsi="Arial Narrow"/>
                <w:color w:val="000000"/>
                <w:sz w:val="20"/>
                <w:szCs w:val="20"/>
              </w:rPr>
              <w:t>Terminal care</w:t>
            </w:r>
          </w:p>
        </w:tc>
        <w:tc>
          <w:tcPr>
            <w:tcW w:w="1714" w:type="dxa"/>
            <w:tcBorders>
              <w:bottom w:val="single" w:sz="4" w:space="0" w:color="auto"/>
            </w:tcBorders>
            <w:shd w:val="clear" w:color="auto" w:fill="FFFFFF" w:themeFill="background1"/>
          </w:tcPr>
          <w:p w14:paraId="70DE188A"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$4,777</w:t>
            </w:r>
          </w:p>
        </w:tc>
        <w:tc>
          <w:tcPr>
            <w:tcW w:w="1427" w:type="dxa"/>
            <w:tcBorders>
              <w:bottom w:val="single" w:sz="4" w:space="0" w:color="auto"/>
            </w:tcBorders>
            <w:shd w:val="clear" w:color="auto" w:fill="FFFFFF" w:themeFill="background1"/>
          </w:tcPr>
          <w:p w14:paraId="13604897"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$5,605</w:t>
            </w:r>
          </w:p>
        </w:tc>
        <w:tc>
          <w:tcPr>
            <w:tcW w:w="1814" w:type="dxa"/>
            <w:tcBorders>
              <w:bottom w:val="single" w:sz="4" w:space="0" w:color="auto"/>
            </w:tcBorders>
            <w:shd w:val="clear" w:color="auto" w:fill="FFFFFF" w:themeFill="background1"/>
          </w:tcPr>
          <w:p w14:paraId="6FCD9667"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-$828</w:t>
            </w:r>
          </w:p>
        </w:tc>
        <w:tc>
          <w:tcPr>
            <w:tcW w:w="1634" w:type="dxa"/>
            <w:tcBorders>
              <w:bottom w:val="single" w:sz="4" w:space="0" w:color="auto"/>
            </w:tcBorders>
            <w:shd w:val="clear" w:color="auto" w:fill="FFFFFF" w:themeFill="background1"/>
          </w:tcPr>
          <w:p w14:paraId="3D0FED8C" w14:textId="77777777" w:rsidR="00D41BD9" w:rsidRPr="00BD23DD" w:rsidRDefault="00D41BD9" w:rsidP="00D41BD9">
            <w:pPr>
              <w:jc w:val="center"/>
              <w:rPr>
                <w:rFonts w:ascii="Arial Narrow" w:hAnsi="Arial Narrow"/>
                <w:color w:val="000000"/>
                <w:sz w:val="20"/>
                <w:szCs w:val="20"/>
              </w:rPr>
            </w:pPr>
            <w:r w:rsidRPr="00BD23DD">
              <w:rPr>
                <w:rFonts w:ascii="Arial Narrow" w:hAnsi="Arial Narrow"/>
                <w:color w:val="000000"/>
                <w:sz w:val="20"/>
                <w:szCs w:val="20"/>
              </w:rPr>
              <w:t>-1.9%</w:t>
            </w:r>
          </w:p>
        </w:tc>
      </w:tr>
      <w:tr w:rsidR="00D41BD9" w:rsidRPr="00BD23DD" w14:paraId="6CFBFAD7" w14:textId="77777777" w:rsidTr="00D41BD9">
        <w:tc>
          <w:tcPr>
            <w:tcW w:w="2428" w:type="dxa"/>
            <w:tcBorders>
              <w:bottom w:val="double" w:sz="4" w:space="0" w:color="auto"/>
            </w:tcBorders>
            <w:shd w:val="clear" w:color="auto" w:fill="FFFFFF" w:themeFill="background1"/>
          </w:tcPr>
          <w:p w14:paraId="0024D792" w14:textId="77777777" w:rsidR="00D41BD9" w:rsidRPr="00BD23DD" w:rsidRDefault="00D41BD9" w:rsidP="00D41BD9">
            <w:pPr>
              <w:rPr>
                <w:rFonts w:ascii="Arial Narrow" w:hAnsi="Arial Narrow"/>
                <w:b/>
                <w:color w:val="000000"/>
                <w:sz w:val="20"/>
                <w:szCs w:val="20"/>
              </w:rPr>
            </w:pPr>
            <w:r w:rsidRPr="00BD23DD">
              <w:rPr>
                <w:rFonts w:ascii="Arial Narrow" w:hAnsi="Arial Narrow"/>
                <w:b/>
                <w:color w:val="000000"/>
                <w:sz w:val="20"/>
                <w:szCs w:val="20"/>
              </w:rPr>
              <w:t>Total</w:t>
            </w:r>
          </w:p>
        </w:tc>
        <w:tc>
          <w:tcPr>
            <w:tcW w:w="1714" w:type="dxa"/>
            <w:tcBorders>
              <w:bottom w:val="double" w:sz="4" w:space="0" w:color="auto"/>
            </w:tcBorders>
            <w:shd w:val="clear" w:color="auto" w:fill="FFFFFF" w:themeFill="background1"/>
          </w:tcPr>
          <w:p w14:paraId="206E9B49" w14:textId="24CED5EC" w:rsidR="00D41BD9" w:rsidRPr="00BD23DD" w:rsidRDefault="00D41BD9" w:rsidP="00D41BD9">
            <w:pPr>
              <w:jc w:val="center"/>
              <w:rPr>
                <w:rFonts w:ascii="Arial Narrow" w:hAnsi="Arial Narrow"/>
                <w:b/>
                <w:color w:val="000000"/>
                <w:sz w:val="20"/>
                <w:szCs w:val="20"/>
              </w:rPr>
            </w:pPr>
            <w:r w:rsidRPr="00BD23DD">
              <w:rPr>
                <w:rFonts w:ascii="Arial Narrow" w:hAnsi="Arial Narrow"/>
                <w:b/>
                <w:color w:val="000000"/>
                <w:sz w:val="20"/>
                <w:szCs w:val="20"/>
              </w:rPr>
              <w:t>$</w:t>
            </w:r>
            <w:r w:rsidR="00414250" w:rsidRPr="00414250">
              <w:rPr>
                <w:rFonts w:ascii="Arial Narrow" w:hAnsi="Arial Narrow"/>
                <w:b/>
                <w:color w:val="000000"/>
                <w:sz w:val="20"/>
                <w:szCs w:val="20"/>
                <w:shd w:val="solid" w:color="000000" w:fill="000000"/>
                <w14:textFill>
                  <w14:solidFill>
                    <w14:srgbClr w14:val="000000">
                      <w14:alpha w14:val="100000"/>
                    </w14:srgbClr>
                  </w14:solidFill>
                </w14:textFill>
              </w:rPr>
              <w:t>|</w:t>
            </w:r>
          </w:p>
        </w:tc>
        <w:tc>
          <w:tcPr>
            <w:tcW w:w="1427" w:type="dxa"/>
            <w:tcBorders>
              <w:bottom w:val="double" w:sz="4" w:space="0" w:color="auto"/>
            </w:tcBorders>
            <w:shd w:val="clear" w:color="auto" w:fill="FFFFFF" w:themeFill="background1"/>
          </w:tcPr>
          <w:p w14:paraId="4E480F8B" w14:textId="77777777" w:rsidR="00D41BD9" w:rsidRPr="00BD23DD" w:rsidRDefault="00D41BD9" w:rsidP="00D41BD9">
            <w:pPr>
              <w:jc w:val="center"/>
              <w:rPr>
                <w:rFonts w:ascii="Arial Narrow" w:hAnsi="Arial Narrow"/>
                <w:b/>
                <w:color w:val="000000"/>
                <w:sz w:val="20"/>
                <w:szCs w:val="20"/>
              </w:rPr>
            </w:pPr>
            <w:r w:rsidRPr="00BD23DD">
              <w:rPr>
                <w:rFonts w:ascii="Arial Narrow" w:hAnsi="Arial Narrow"/>
                <w:b/>
                <w:color w:val="000000"/>
                <w:sz w:val="20"/>
                <w:szCs w:val="20"/>
              </w:rPr>
              <w:t>$206,385</w:t>
            </w:r>
          </w:p>
        </w:tc>
        <w:tc>
          <w:tcPr>
            <w:tcW w:w="1814" w:type="dxa"/>
            <w:tcBorders>
              <w:bottom w:val="double" w:sz="4" w:space="0" w:color="auto"/>
            </w:tcBorders>
            <w:shd w:val="clear" w:color="auto" w:fill="FFFFFF" w:themeFill="background1"/>
          </w:tcPr>
          <w:p w14:paraId="3D892F6C" w14:textId="3A3A234C" w:rsidR="00D41BD9" w:rsidRPr="00BD23DD" w:rsidRDefault="00D41BD9" w:rsidP="00D41BD9">
            <w:pPr>
              <w:jc w:val="center"/>
              <w:rPr>
                <w:rFonts w:ascii="Arial Narrow" w:hAnsi="Arial Narrow"/>
                <w:b/>
                <w:color w:val="000000"/>
                <w:sz w:val="20"/>
                <w:szCs w:val="20"/>
              </w:rPr>
            </w:pPr>
            <w:r w:rsidRPr="00BD23DD">
              <w:rPr>
                <w:rFonts w:ascii="Arial Narrow" w:hAnsi="Arial Narrow"/>
                <w:b/>
                <w:color w:val="000000"/>
                <w:sz w:val="20"/>
                <w:szCs w:val="20"/>
              </w:rPr>
              <w:t>$</w:t>
            </w:r>
            <w:r w:rsidR="00414250" w:rsidRPr="00414250">
              <w:rPr>
                <w:rFonts w:ascii="Arial Narrow" w:hAnsi="Arial Narrow"/>
                <w:b/>
                <w:color w:val="000000"/>
                <w:sz w:val="20"/>
                <w:szCs w:val="20"/>
                <w:shd w:val="solid" w:color="000000" w:fill="000000"/>
                <w14:textFill>
                  <w14:solidFill>
                    <w14:srgbClr w14:val="000000">
                      <w14:alpha w14:val="100000"/>
                    </w14:srgbClr>
                  </w14:solidFill>
                </w14:textFill>
              </w:rPr>
              <w:t>|</w:t>
            </w:r>
          </w:p>
        </w:tc>
        <w:tc>
          <w:tcPr>
            <w:tcW w:w="1634" w:type="dxa"/>
            <w:tcBorders>
              <w:bottom w:val="double" w:sz="4" w:space="0" w:color="auto"/>
            </w:tcBorders>
            <w:shd w:val="clear" w:color="auto" w:fill="FFFFFF" w:themeFill="background1"/>
          </w:tcPr>
          <w:p w14:paraId="52ED199A" w14:textId="77777777" w:rsidR="00D41BD9" w:rsidRPr="00BD23DD" w:rsidRDefault="00D41BD9" w:rsidP="00D41BD9">
            <w:pPr>
              <w:jc w:val="center"/>
              <w:rPr>
                <w:rFonts w:ascii="Arial Narrow" w:hAnsi="Arial Narrow"/>
                <w:b/>
                <w:color w:val="000000"/>
                <w:sz w:val="20"/>
                <w:szCs w:val="20"/>
              </w:rPr>
            </w:pPr>
            <w:r w:rsidRPr="00BD23DD">
              <w:rPr>
                <w:rFonts w:ascii="Arial Narrow" w:hAnsi="Arial Narrow"/>
                <w:b/>
                <w:color w:val="000000"/>
                <w:sz w:val="20"/>
                <w:szCs w:val="20"/>
              </w:rPr>
              <w:t>100.0%</w:t>
            </w:r>
          </w:p>
        </w:tc>
      </w:tr>
      <w:tr w:rsidR="00D41BD9" w:rsidRPr="007F679E" w14:paraId="4D904948" w14:textId="77777777" w:rsidTr="00D41BD9">
        <w:tblPrEx>
          <w:shd w:val="clear" w:color="auto" w:fill="auto"/>
        </w:tblPrEx>
        <w:tc>
          <w:tcPr>
            <w:tcW w:w="9017" w:type="dxa"/>
            <w:gridSpan w:val="5"/>
            <w:tcBorders>
              <w:top w:val="double" w:sz="4" w:space="0" w:color="auto"/>
            </w:tcBorders>
          </w:tcPr>
          <w:p w14:paraId="19D2F867" w14:textId="77777777" w:rsidR="00D41BD9" w:rsidRPr="007F679E" w:rsidRDefault="00D41BD9" w:rsidP="00D41BD9">
            <w:pPr>
              <w:rPr>
                <w:rFonts w:ascii="Arial Narrow" w:hAnsi="Arial Narrow"/>
                <w:b/>
                <w:sz w:val="20"/>
                <w:szCs w:val="20"/>
              </w:rPr>
            </w:pPr>
            <w:r w:rsidRPr="007F679E">
              <w:rPr>
                <w:rFonts w:ascii="Arial Narrow" w:hAnsi="Arial Narrow"/>
                <w:b/>
                <w:color w:val="000000"/>
                <w:sz w:val="20"/>
                <w:szCs w:val="20"/>
              </w:rPr>
              <w:t>Life years</w:t>
            </w:r>
          </w:p>
        </w:tc>
      </w:tr>
      <w:tr w:rsidR="00D41BD9" w:rsidRPr="00005DE8" w14:paraId="534BF644" w14:textId="77777777" w:rsidTr="00D41BD9">
        <w:tblPrEx>
          <w:shd w:val="clear" w:color="auto" w:fill="auto"/>
        </w:tblPrEx>
        <w:tc>
          <w:tcPr>
            <w:tcW w:w="2428" w:type="dxa"/>
          </w:tcPr>
          <w:p w14:paraId="33581C09" w14:textId="77777777" w:rsidR="00D41BD9" w:rsidRPr="00BD23DD" w:rsidRDefault="00D41BD9" w:rsidP="00D41BD9">
            <w:pPr>
              <w:rPr>
                <w:rFonts w:ascii="Arial Narrow" w:hAnsi="Arial Narrow"/>
                <w:color w:val="000000"/>
                <w:sz w:val="20"/>
                <w:szCs w:val="20"/>
              </w:rPr>
            </w:pPr>
            <w:r w:rsidRPr="00596102">
              <w:rPr>
                <w:rFonts w:ascii="Arial Narrow" w:hAnsi="Arial Narrow"/>
                <w:color w:val="000000"/>
                <w:sz w:val="20"/>
                <w:szCs w:val="20"/>
              </w:rPr>
              <w:t>NYHA I</w:t>
            </w:r>
          </w:p>
        </w:tc>
        <w:tc>
          <w:tcPr>
            <w:tcW w:w="1714" w:type="dxa"/>
          </w:tcPr>
          <w:p w14:paraId="563846AE"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5.64</w:t>
            </w:r>
          </w:p>
        </w:tc>
        <w:tc>
          <w:tcPr>
            <w:tcW w:w="1427" w:type="dxa"/>
          </w:tcPr>
          <w:p w14:paraId="47FC7101"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1.28</w:t>
            </w:r>
          </w:p>
        </w:tc>
        <w:tc>
          <w:tcPr>
            <w:tcW w:w="1814" w:type="dxa"/>
          </w:tcPr>
          <w:p w14:paraId="3A880D81"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4.36</w:t>
            </w:r>
          </w:p>
        </w:tc>
        <w:tc>
          <w:tcPr>
            <w:tcW w:w="1634" w:type="dxa"/>
          </w:tcPr>
          <w:p w14:paraId="107AD50C"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sz w:val="20"/>
                <w:szCs w:val="20"/>
              </w:rPr>
              <w:t>807.0%</w:t>
            </w:r>
          </w:p>
        </w:tc>
      </w:tr>
      <w:tr w:rsidR="00D41BD9" w:rsidRPr="00005DE8" w14:paraId="4D468951" w14:textId="77777777" w:rsidTr="00D41BD9">
        <w:tblPrEx>
          <w:shd w:val="clear" w:color="auto" w:fill="auto"/>
        </w:tblPrEx>
        <w:tc>
          <w:tcPr>
            <w:tcW w:w="2428" w:type="dxa"/>
          </w:tcPr>
          <w:p w14:paraId="24335E6E" w14:textId="77777777" w:rsidR="00D41BD9" w:rsidRPr="00BD23DD" w:rsidRDefault="00D41BD9" w:rsidP="00D41BD9">
            <w:pPr>
              <w:rPr>
                <w:rFonts w:ascii="Arial Narrow" w:hAnsi="Arial Narrow"/>
                <w:color w:val="000000"/>
                <w:sz w:val="20"/>
                <w:szCs w:val="20"/>
              </w:rPr>
            </w:pPr>
            <w:r w:rsidRPr="00596102">
              <w:rPr>
                <w:rFonts w:ascii="Arial Narrow" w:hAnsi="Arial Narrow"/>
                <w:color w:val="000000"/>
                <w:sz w:val="20"/>
                <w:szCs w:val="20"/>
              </w:rPr>
              <w:t>NYHA II</w:t>
            </w:r>
          </w:p>
        </w:tc>
        <w:tc>
          <w:tcPr>
            <w:tcW w:w="1714" w:type="dxa"/>
          </w:tcPr>
          <w:p w14:paraId="61BA5FA0"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5.61</w:t>
            </w:r>
          </w:p>
        </w:tc>
        <w:tc>
          <w:tcPr>
            <w:tcW w:w="1427" w:type="dxa"/>
          </w:tcPr>
          <w:p w14:paraId="45F369C5"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7.67</w:t>
            </w:r>
          </w:p>
        </w:tc>
        <w:tc>
          <w:tcPr>
            <w:tcW w:w="1814" w:type="dxa"/>
          </w:tcPr>
          <w:p w14:paraId="262D92F2"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-2.05</w:t>
            </w:r>
          </w:p>
        </w:tc>
        <w:tc>
          <w:tcPr>
            <w:tcW w:w="1634" w:type="dxa"/>
          </w:tcPr>
          <w:p w14:paraId="3D6B025D"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sz w:val="20"/>
                <w:szCs w:val="20"/>
              </w:rPr>
              <w:t>-380.3%</w:t>
            </w:r>
          </w:p>
        </w:tc>
      </w:tr>
      <w:tr w:rsidR="00D41BD9" w:rsidRPr="00005DE8" w14:paraId="6EF0EE9B" w14:textId="77777777" w:rsidTr="00D41BD9">
        <w:tblPrEx>
          <w:shd w:val="clear" w:color="auto" w:fill="auto"/>
        </w:tblPrEx>
        <w:tc>
          <w:tcPr>
            <w:tcW w:w="2428" w:type="dxa"/>
          </w:tcPr>
          <w:p w14:paraId="260ED8F8" w14:textId="77777777" w:rsidR="00D41BD9" w:rsidRPr="00BD23DD" w:rsidRDefault="00D41BD9" w:rsidP="00D41BD9">
            <w:pPr>
              <w:rPr>
                <w:rFonts w:ascii="Arial Narrow" w:hAnsi="Arial Narrow"/>
                <w:color w:val="000000"/>
                <w:sz w:val="20"/>
                <w:szCs w:val="20"/>
              </w:rPr>
            </w:pPr>
            <w:r w:rsidRPr="00596102">
              <w:rPr>
                <w:rFonts w:ascii="Arial Narrow" w:hAnsi="Arial Narrow"/>
                <w:color w:val="000000"/>
                <w:sz w:val="20"/>
                <w:szCs w:val="20"/>
              </w:rPr>
              <w:t>NYHA III/IV</w:t>
            </w:r>
          </w:p>
        </w:tc>
        <w:tc>
          <w:tcPr>
            <w:tcW w:w="1714" w:type="dxa"/>
          </w:tcPr>
          <w:p w14:paraId="22A67531"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1.16</w:t>
            </w:r>
          </w:p>
        </w:tc>
        <w:tc>
          <w:tcPr>
            <w:tcW w:w="1427" w:type="dxa"/>
          </w:tcPr>
          <w:p w14:paraId="66EA9D22"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2.92</w:t>
            </w:r>
          </w:p>
        </w:tc>
        <w:tc>
          <w:tcPr>
            <w:tcW w:w="1814" w:type="dxa"/>
          </w:tcPr>
          <w:p w14:paraId="519B145E"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color w:val="000000"/>
                <w:sz w:val="20"/>
                <w:szCs w:val="20"/>
              </w:rPr>
              <w:t>-1.76</w:t>
            </w:r>
          </w:p>
        </w:tc>
        <w:tc>
          <w:tcPr>
            <w:tcW w:w="1634" w:type="dxa"/>
          </w:tcPr>
          <w:p w14:paraId="45692D05"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sz w:val="20"/>
                <w:szCs w:val="20"/>
              </w:rPr>
              <w:t>-326.7%</w:t>
            </w:r>
          </w:p>
        </w:tc>
      </w:tr>
      <w:tr w:rsidR="00D41BD9" w:rsidRPr="00005DE8" w14:paraId="416D922F" w14:textId="77777777" w:rsidTr="00D41BD9">
        <w:tblPrEx>
          <w:shd w:val="clear" w:color="auto" w:fill="auto"/>
        </w:tblPrEx>
        <w:tc>
          <w:tcPr>
            <w:tcW w:w="2428" w:type="dxa"/>
          </w:tcPr>
          <w:p w14:paraId="2BFEAFB0" w14:textId="77777777" w:rsidR="00D41BD9" w:rsidRPr="00BD23DD" w:rsidRDefault="00D41BD9" w:rsidP="00D41BD9">
            <w:pPr>
              <w:rPr>
                <w:rFonts w:ascii="Arial Narrow" w:hAnsi="Arial Narrow"/>
                <w:color w:val="000000"/>
                <w:sz w:val="20"/>
                <w:szCs w:val="20"/>
              </w:rPr>
            </w:pPr>
            <w:r w:rsidRPr="00596102">
              <w:rPr>
                <w:rFonts w:ascii="Arial Narrow" w:hAnsi="Arial Narrow"/>
                <w:b/>
                <w:color w:val="000000"/>
                <w:sz w:val="20"/>
                <w:szCs w:val="20"/>
              </w:rPr>
              <w:t>Total LYs</w:t>
            </w:r>
          </w:p>
        </w:tc>
        <w:tc>
          <w:tcPr>
            <w:tcW w:w="1714" w:type="dxa"/>
          </w:tcPr>
          <w:p w14:paraId="64A6C4AF"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b/>
                <w:color w:val="000000"/>
                <w:sz w:val="20"/>
                <w:szCs w:val="20"/>
              </w:rPr>
              <w:t>12.41</w:t>
            </w:r>
          </w:p>
        </w:tc>
        <w:tc>
          <w:tcPr>
            <w:tcW w:w="1427" w:type="dxa"/>
          </w:tcPr>
          <w:p w14:paraId="6CD44DEE"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b/>
                <w:color w:val="000000"/>
                <w:sz w:val="20"/>
                <w:szCs w:val="20"/>
              </w:rPr>
              <w:t>11.87</w:t>
            </w:r>
          </w:p>
        </w:tc>
        <w:tc>
          <w:tcPr>
            <w:tcW w:w="1814" w:type="dxa"/>
          </w:tcPr>
          <w:p w14:paraId="27BE93EE"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b/>
                <w:color w:val="000000"/>
                <w:sz w:val="20"/>
                <w:szCs w:val="20"/>
              </w:rPr>
              <w:t>0.54</w:t>
            </w:r>
          </w:p>
        </w:tc>
        <w:tc>
          <w:tcPr>
            <w:tcW w:w="1634" w:type="dxa"/>
          </w:tcPr>
          <w:p w14:paraId="553DDDA9" w14:textId="77777777" w:rsidR="00D41BD9" w:rsidRPr="00BD23DD" w:rsidRDefault="00D41BD9" w:rsidP="00D41BD9">
            <w:pPr>
              <w:jc w:val="center"/>
              <w:rPr>
                <w:rFonts w:ascii="Arial Narrow" w:hAnsi="Arial Narrow"/>
                <w:color w:val="000000"/>
                <w:sz w:val="20"/>
                <w:szCs w:val="20"/>
              </w:rPr>
            </w:pPr>
            <w:r w:rsidRPr="00596102">
              <w:rPr>
                <w:rFonts w:ascii="Arial Narrow" w:hAnsi="Arial Narrow"/>
                <w:sz w:val="20"/>
                <w:szCs w:val="20"/>
              </w:rPr>
              <w:t>100.0%</w:t>
            </w:r>
          </w:p>
        </w:tc>
      </w:tr>
    </w:tbl>
    <w:p w14:paraId="238DDD3B" w14:textId="77777777" w:rsidR="00D41BD9" w:rsidRPr="00315DA6" w:rsidRDefault="00D41BD9" w:rsidP="00D41BD9">
      <w:pPr>
        <w:pStyle w:val="TableFooter"/>
      </w:pPr>
      <w:r w:rsidRPr="00315DA6">
        <w:t xml:space="preserve">Source: </w:t>
      </w:r>
      <w:r>
        <w:t>Table 110 and Table 111, p223 of the submission</w:t>
      </w:r>
      <w:r w:rsidRPr="00315DA6">
        <w:t>.</w:t>
      </w:r>
    </w:p>
    <w:p w14:paraId="146CF734" w14:textId="6BFA2917" w:rsidR="00D41BD9" w:rsidRDefault="00D41BD9" w:rsidP="00D41BD9">
      <w:pPr>
        <w:pStyle w:val="TableFooter"/>
      </w:pPr>
      <w:r w:rsidRPr="00315DA6">
        <w:t>BB = beta-blocker; CCB = calcium channel blocker;</w:t>
      </w:r>
      <w:r>
        <w:t xml:space="preserve"> NYHA = New York Heart Association</w:t>
      </w:r>
    </w:p>
    <w:p w14:paraId="77073C48" w14:textId="77777777" w:rsidR="000F619B" w:rsidRPr="00315DA6" w:rsidRDefault="000F619B" w:rsidP="00D41BD9">
      <w:pPr>
        <w:pStyle w:val="TableFooter"/>
      </w:pPr>
    </w:p>
    <w:p w14:paraId="431DC651" w14:textId="00CC2F3D" w:rsidR="00D41BD9" w:rsidRDefault="00D41BD9" w:rsidP="00D41BD9">
      <w:pPr>
        <w:pStyle w:val="3-BodyText"/>
      </w:pPr>
      <w:r>
        <w:t xml:space="preserve">Subsequent </w:t>
      </w:r>
      <w:r w:rsidRPr="00FE4013">
        <w:t xml:space="preserve">SRT </w:t>
      </w:r>
      <w:r>
        <w:t xml:space="preserve">was </w:t>
      </w:r>
      <w:r w:rsidRPr="00FE4013">
        <w:t>costed as a weighted separation</w:t>
      </w:r>
      <w:r>
        <w:t xml:space="preserve"> based on the</w:t>
      </w:r>
      <w:r w:rsidRPr="00FE4013">
        <w:t xml:space="preserve"> average of F05A/F05B</w:t>
      </w:r>
      <w:r>
        <w:t xml:space="preserve"> (“</w:t>
      </w:r>
      <w:r w:rsidRPr="00FE4013">
        <w:t>Coronary bypass with invasive cardiac investigation</w:t>
      </w:r>
      <w:r>
        <w:t>”)</w:t>
      </w:r>
      <w:r w:rsidRPr="00FE4013">
        <w:t xml:space="preserve"> </w:t>
      </w:r>
      <w:r>
        <w:t xml:space="preserve">for myectomy </w:t>
      </w:r>
      <w:r w:rsidRPr="00FE4013">
        <w:t>and F08A/F08B/F08C</w:t>
      </w:r>
      <w:r>
        <w:t xml:space="preserve"> (“</w:t>
      </w:r>
      <w:r w:rsidRPr="00FE4013">
        <w:t>Major reconstructive vascular interventions without cardiopulmonary bypass pump</w:t>
      </w:r>
      <w:r>
        <w:t>”) for alcohol septal ablation</w:t>
      </w:r>
      <w:r w:rsidRPr="00FE4013">
        <w:t xml:space="preserve">. </w:t>
      </w:r>
      <w:r w:rsidRPr="00885192">
        <w:t>The usual length of hospital stay reported in the literature</w:t>
      </w:r>
      <w:r w:rsidRPr="00885192">
        <w:rPr>
          <w:rStyle w:val="FootnoteReference"/>
        </w:rPr>
        <w:footnoteReference w:id="10"/>
      </w:r>
      <w:r w:rsidRPr="00885192">
        <w:t xml:space="preserve"> was much shorter than – approximately half – the average length of hospital stay associated with the submission’s selected hospitalisation codes (myectomy: 6-</w:t>
      </w:r>
      <w:r w:rsidR="0060679E" w:rsidRPr="00885192">
        <w:t>9</w:t>
      </w:r>
      <w:r w:rsidR="0060679E">
        <w:t> </w:t>
      </w:r>
      <w:r w:rsidRPr="00885192">
        <w:t>days vs. 13-</w:t>
      </w:r>
      <w:r w:rsidR="0060679E" w:rsidRPr="00885192">
        <w:t>19</w:t>
      </w:r>
      <w:r w:rsidR="0060679E">
        <w:t> </w:t>
      </w:r>
      <w:r w:rsidRPr="00885192">
        <w:t>days; alcohol septal ablation: 3-5 days vs. 5-</w:t>
      </w:r>
      <w:r w:rsidR="0060679E" w:rsidRPr="00885192">
        <w:t>8</w:t>
      </w:r>
      <w:r w:rsidR="0060679E">
        <w:t> </w:t>
      </w:r>
      <w:r w:rsidRPr="00885192">
        <w:t xml:space="preserve">days). It is likely that the cost for SRT has been overestimated in the economic evaluation. This favoured mavacamten, as a higher proportion of patients would escalate to SRT+BB/CCB in the comparator arm than in the mavacamten arm. </w:t>
      </w:r>
    </w:p>
    <w:p w14:paraId="684DF6A7" w14:textId="1E640775" w:rsidR="00CA7A2B" w:rsidRDefault="00D41BD9" w:rsidP="00D41BD9">
      <w:pPr>
        <w:pStyle w:val="3-BodyText"/>
        <w:rPr>
          <w:color w:val="000000" w:themeColor="text1"/>
        </w:rPr>
      </w:pPr>
      <w:r>
        <w:rPr>
          <w:color w:val="000000" w:themeColor="text1"/>
        </w:rPr>
        <w:t xml:space="preserve">Key drivers of the model are summarised in </w:t>
      </w:r>
      <w:r>
        <w:rPr>
          <w:color w:val="000000" w:themeColor="text1"/>
        </w:rPr>
        <w:fldChar w:fldCharType="begin"/>
      </w:r>
      <w:r>
        <w:rPr>
          <w:color w:val="000000" w:themeColor="text1"/>
        </w:rPr>
        <w:instrText xml:space="preserve"> REF _Ref104805122 \h </w:instrText>
      </w:r>
      <w:r>
        <w:rPr>
          <w:color w:val="000000" w:themeColor="text1"/>
        </w:rPr>
      </w:r>
      <w:r>
        <w:rPr>
          <w:color w:val="000000" w:themeColor="text1"/>
        </w:rPr>
        <w:fldChar w:fldCharType="separate"/>
      </w:r>
      <w:r w:rsidR="00645E50">
        <w:t xml:space="preserve">Table </w:t>
      </w:r>
      <w:r w:rsidR="00645E50">
        <w:rPr>
          <w:noProof/>
        </w:rPr>
        <w:t>19</w:t>
      </w:r>
      <w:r>
        <w:rPr>
          <w:color w:val="000000" w:themeColor="text1"/>
        </w:rPr>
        <w:fldChar w:fldCharType="end"/>
      </w:r>
      <w:r>
        <w:rPr>
          <w:color w:val="000000" w:themeColor="text1"/>
        </w:rPr>
        <w:t xml:space="preserve">. </w:t>
      </w:r>
    </w:p>
    <w:p w14:paraId="6017BE82" w14:textId="77777777" w:rsidR="00CA7A2B" w:rsidRDefault="00CA7A2B">
      <w:pPr>
        <w:jc w:val="left"/>
        <w:rPr>
          <w:rFonts w:asciiTheme="minorHAnsi" w:hAnsiTheme="minorHAnsi"/>
          <w:snapToGrid w:val="0"/>
          <w:color w:val="000000" w:themeColor="text1"/>
        </w:rPr>
      </w:pPr>
      <w:r>
        <w:rPr>
          <w:color w:val="000000" w:themeColor="text1"/>
        </w:rPr>
        <w:br w:type="page"/>
      </w:r>
    </w:p>
    <w:p w14:paraId="11FC4DB8" w14:textId="1B659164" w:rsidR="00D41BD9" w:rsidRPr="00BB00B3" w:rsidRDefault="00D41BD9" w:rsidP="00EA2AF3">
      <w:pPr>
        <w:pStyle w:val="Caption"/>
        <w:keepNext w:val="0"/>
        <w:jc w:val="left"/>
        <w:rPr>
          <w:rStyle w:val="CommentReference"/>
          <w:b/>
          <w:bCs w:val="0"/>
          <w:snapToGrid w:val="0"/>
          <w:szCs w:val="24"/>
        </w:rPr>
      </w:pPr>
      <w:bookmarkStart w:id="51" w:name="_Ref104805122"/>
      <w:r>
        <w:lastRenderedPageBreak/>
        <w:t xml:space="preserve">Table </w:t>
      </w:r>
      <w:r w:rsidR="00645E50">
        <w:fldChar w:fldCharType="begin"/>
      </w:r>
      <w:r w:rsidR="00645E50">
        <w:instrText xml:space="preserve"> SEQ Table \* ARABIC </w:instrText>
      </w:r>
      <w:r w:rsidR="00645E50">
        <w:fldChar w:fldCharType="separate"/>
      </w:r>
      <w:r w:rsidR="00645E50">
        <w:rPr>
          <w:noProof/>
        </w:rPr>
        <w:t>19</w:t>
      </w:r>
      <w:r w:rsidR="00645E50">
        <w:rPr>
          <w:noProof/>
        </w:rPr>
        <w:fldChar w:fldCharType="end"/>
      </w:r>
      <w:bookmarkEnd w:id="51"/>
      <w:r>
        <w:t>:</w:t>
      </w:r>
      <w:r w:rsidRPr="00BB00B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2977"/>
        <w:gridCol w:w="3776"/>
      </w:tblGrid>
      <w:tr w:rsidR="00D41BD9" w:rsidRPr="006C32EA" w14:paraId="293C5984" w14:textId="77777777" w:rsidTr="00D41BD9">
        <w:trPr>
          <w:cantSplit/>
          <w:tblHeader/>
        </w:trPr>
        <w:tc>
          <w:tcPr>
            <w:tcW w:w="1255" w:type="pct"/>
            <w:shd w:val="clear" w:color="auto" w:fill="auto"/>
            <w:vAlign w:val="center"/>
          </w:tcPr>
          <w:p w14:paraId="173E58A6" w14:textId="77777777" w:rsidR="00D41BD9" w:rsidRPr="006C32EA" w:rsidRDefault="00D41BD9" w:rsidP="00662FB3">
            <w:pPr>
              <w:pStyle w:val="In-tableHeading"/>
              <w:keepNext w:val="0"/>
              <w:rPr>
                <w:lang w:val="en-AU"/>
              </w:rPr>
            </w:pPr>
            <w:r w:rsidRPr="006C32EA">
              <w:rPr>
                <w:lang w:val="en-AU"/>
              </w:rPr>
              <w:t>Description</w:t>
            </w:r>
          </w:p>
        </w:tc>
        <w:tc>
          <w:tcPr>
            <w:tcW w:w="1651" w:type="pct"/>
            <w:shd w:val="clear" w:color="auto" w:fill="auto"/>
            <w:vAlign w:val="center"/>
          </w:tcPr>
          <w:p w14:paraId="4DDB92C0" w14:textId="77777777" w:rsidR="00D41BD9" w:rsidRPr="006C32EA" w:rsidRDefault="00D41BD9" w:rsidP="00662FB3">
            <w:pPr>
              <w:pStyle w:val="In-tableHeading"/>
              <w:keepNext w:val="0"/>
              <w:jc w:val="center"/>
              <w:rPr>
                <w:lang w:val="en-AU"/>
              </w:rPr>
            </w:pPr>
            <w:r w:rsidRPr="006C32EA">
              <w:rPr>
                <w:lang w:val="en-AU"/>
              </w:rPr>
              <w:t>Method/Value</w:t>
            </w:r>
          </w:p>
        </w:tc>
        <w:tc>
          <w:tcPr>
            <w:tcW w:w="2094" w:type="pct"/>
            <w:shd w:val="clear" w:color="auto" w:fill="auto"/>
            <w:vAlign w:val="center"/>
          </w:tcPr>
          <w:p w14:paraId="7B999D4C" w14:textId="77777777" w:rsidR="00D41BD9" w:rsidRPr="006C32EA" w:rsidRDefault="00D41BD9" w:rsidP="00662FB3">
            <w:pPr>
              <w:pStyle w:val="In-tableHeading"/>
              <w:keepNext w:val="0"/>
              <w:jc w:val="center"/>
              <w:rPr>
                <w:lang w:val="en-AU"/>
              </w:rPr>
            </w:pPr>
            <w:r w:rsidRPr="006C32EA">
              <w:rPr>
                <w:lang w:val="en-AU"/>
              </w:rPr>
              <w:t>Impact</w:t>
            </w:r>
          </w:p>
          <w:p w14:paraId="4F346CBC" w14:textId="3440A30B" w:rsidR="00D41BD9" w:rsidRPr="006C32EA" w:rsidRDefault="00D41BD9" w:rsidP="00662FB3">
            <w:pPr>
              <w:pStyle w:val="In-tableHeading"/>
              <w:keepNext w:val="0"/>
              <w:jc w:val="center"/>
              <w:rPr>
                <w:lang w:val="en-AU"/>
              </w:rPr>
            </w:pPr>
            <w:r w:rsidRPr="006C32EA">
              <w:rPr>
                <w:rFonts w:cs="Arial"/>
                <w:szCs w:val="20"/>
                <w:lang w:val="en-AU"/>
              </w:rPr>
              <w:t>Base case: $</w:t>
            </w:r>
            <w:r w:rsidR="00414250" w:rsidRPr="00414250">
              <w:rPr>
                <w:rFonts w:cs="Arial"/>
                <w:color w:val="000000"/>
                <w:szCs w:val="20"/>
                <w:shd w:val="solid" w:color="000000" w:fill="000000"/>
                <w:lang w:val="en-AU"/>
                <w14:textFill>
                  <w14:solidFill>
                    <w14:srgbClr w14:val="000000">
                      <w14:alpha w14:val="100000"/>
                    </w14:srgbClr>
                  </w14:solidFill>
                </w14:textFill>
              </w:rPr>
              <w:t>|</w:t>
            </w:r>
            <w:r w:rsidR="00793548">
              <w:rPr>
                <w:rFonts w:cs="Arial"/>
                <w:szCs w:val="20"/>
                <w:vertAlign w:val="superscript"/>
                <w:lang w:val="en-AU"/>
              </w:rPr>
              <w:t>1</w:t>
            </w:r>
            <w:r>
              <w:rPr>
                <w:rFonts w:cs="Arial"/>
                <w:szCs w:val="20"/>
                <w:lang w:val="en-AU"/>
              </w:rPr>
              <w:t>/</w:t>
            </w:r>
            <w:r w:rsidRPr="006C32EA">
              <w:rPr>
                <w:rFonts w:cs="Arial"/>
                <w:szCs w:val="20"/>
                <w:lang w:val="en-AU"/>
              </w:rPr>
              <w:t>QALY gained</w:t>
            </w:r>
          </w:p>
        </w:tc>
      </w:tr>
      <w:tr w:rsidR="00D41BD9" w:rsidRPr="006C32EA" w14:paraId="5E226E37" w14:textId="77777777" w:rsidTr="00D41BD9">
        <w:trPr>
          <w:cantSplit/>
        </w:trPr>
        <w:tc>
          <w:tcPr>
            <w:tcW w:w="1255" w:type="pct"/>
            <w:shd w:val="clear" w:color="auto" w:fill="auto"/>
            <w:vAlign w:val="center"/>
          </w:tcPr>
          <w:p w14:paraId="0B42E20A" w14:textId="77777777" w:rsidR="00D41BD9" w:rsidRPr="006C32EA" w:rsidRDefault="00D41BD9" w:rsidP="00662FB3">
            <w:pPr>
              <w:pStyle w:val="TableText0"/>
              <w:keepNext w:val="0"/>
            </w:pPr>
            <w:r w:rsidRPr="006C32EA">
              <w:t>Truncation time point in the BB/CCB arm</w:t>
            </w:r>
          </w:p>
        </w:tc>
        <w:tc>
          <w:tcPr>
            <w:tcW w:w="1651" w:type="pct"/>
            <w:shd w:val="clear" w:color="auto" w:fill="auto"/>
            <w:vAlign w:val="center"/>
          </w:tcPr>
          <w:p w14:paraId="1FE65F3E" w14:textId="77777777" w:rsidR="00D41BD9" w:rsidRPr="006C32EA" w:rsidRDefault="00D41BD9" w:rsidP="00662FB3">
            <w:pPr>
              <w:pStyle w:val="TableText0"/>
              <w:keepNext w:val="0"/>
            </w:pPr>
            <w:r w:rsidRPr="006C32EA">
              <w:t xml:space="preserve">46 weeks </w:t>
            </w:r>
          </w:p>
        </w:tc>
        <w:tc>
          <w:tcPr>
            <w:tcW w:w="2094" w:type="pct"/>
            <w:shd w:val="clear" w:color="auto" w:fill="auto"/>
            <w:vAlign w:val="center"/>
          </w:tcPr>
          <w:p w14:paraId="63E09D8C" w14:textId="77777777" w:rsidR="00D41BD9" w:rsidRPr="00885192" w:rsidRDefault="00D41BD9" w:rsidP="00662FB3">
            <w:pPr>
              <w:pStyle w:val="TableText0"/>
              <w:keepNext w:val="0"/>
            </w:pPr>
            <w:r w:rsidRPr="00885192">
              <w:t>High, favoured mavacamten + BB/CCB.</w:t>
            </w:r>
          </w:p>
          <w:p w14:paraId="3B08DD66" w14:textId="66D31C9C" w:rsidR="00D41BD9" w:rsidRPr="006C32EA" w:rsidRDefault="00D41BD9" w:rsidP="00662FB3">
            <w:pPr>
              <w:pStyle w:val="TableText0"/>
              <w:keepNext w:val="0"/>
              <w:rPr>
                <w:i/>
              </w:rPr>
            </w:pPr>
            <w:r w:rsidRPr="00885192">
              <w:t>Use of trial data up to 30 weeks for the comparator arm increased the ICER to $</w:t>
            </w:r>
            <w:r w:rsidR="00414250" w:rsidRPr="00414250">
              <w:rPr>
                <w:color w:val="000000"/>
                <w:spacing w:val="62"/>
                <w:shd w:val="solid" w:color="000000" w:fill="000000"/>
                <w:fitText w:val="363" w:id="-1305208575"/>
                <w14:textFill>
                  <w14:solidFill>
                    <w14:srgbClr w14:val="000000">
                      <w14:alpha w14:val="100000"/>
                    </w14:srgbClr>
                  </w14:solidFill>
                </w14:textFill>
              </w:rPr>
              <w:t>|||</w:t>
            </w:r>
            <w:r w:rsidR="00414250" w:rsidRPr="00414250">
              <w:rPr>
                <w:color w:val="000000"/>
                <w:spacing w:val="12"/>
                <w:shd w:val="solid" w:color="000000" w:fill="000000"/>
                <w:fitText w:val="363" w:id="-1305208575"/>
                <w14:textFill>
                  <w14:solidFill>
                    <w14:srgbClr w14:val="000000">
                      <w14:alpha w14:val="100000"/>
                    </w14:srgbClr>
                  </w14:solidFill>
                </w14:textFill>
              </w:rPr>
              <w:t>|</w:t>
            </w:r>
            <w:r w:rsidR="00793548">
              <w:rPr>
                <w:vertAlign w:val="superscript"/>
              </w:rPr>
              <w:t>2</w:t>
            </w:r>
            <w:r w:rsidRPr="00885192">
              <w:t>/QALY gained.</w:t>
            </w:r>
          </w:p>
        </w:tc>
      </w:tr>
      <w:tr w:rsidR="00D41BD9" w:rsidRPr="006C32EA" w14:paraId="0980FDFC" w14:textId="77777777" w:rsidTr="00D41BD9">
        <w:trPr>
          <w:cantSplit/>
        </w:trPr>
        <w:tc>
          <w:tcPr>
            <w:tcW w:w="1255" w:type="pct"/>
            <w:shd w:val="clear" w:color="auto" w:fill="auto"/>
            <w:vAlign w:val="center"/>
          </w:tcPr>
          <w:p w14:paraId="69EB1DDA" w14:textId="77777777" w:rsidR="00D41BD9" w:rsidRPr="006C32EA" w:rsidRDefault="00D41BD9" w:rsidP="00662FB3">
            <w:pPr>
              <w:pStyle w:val="TableText0"/>
              <w:keepNext w:val="0"/>
            </w:pPr>
            <w:r>
              <w:t>Efficacy of disopyramide + BB/CCB</w:t>
            </w:r>
          </w:p>
        </w:tc>
        <w:tc>
          <w:tcPr>
            <w:tcW w:w="1651" w:type="pct"/>
            <w:shd w:val="clear" w:color="auto" w:fill="auto"/>
            <w:vAlign w:val="center"/>
          </w:tcPr>
          <w:p w14:paraId="7BE52748" w14:textId="77777777" w:rsidR="00D41BD9" w:rsidRPr="006C32EA" w:rsidRDefault="00D41BD9" w:rsidP="00662FB3">
            <w:pPr>
              <w:pStyle w:val="TableText0"/>
              <w:keepNext w:val="0"/>
            </w:pPr>
            <w:r>
              <w:t>Nil treatment benefits. Patients receiving disopyramide would follow natural disease progression of obstructive HCM.</w:t>
            </w:r>
          </w:p>
        </w:tc>
        <w:tc>
          <w:tcPr>
            <w:tcW w:w="2094" w:type="pct"/>
            <w:shd w:val="clear" w:color="auto" w:fill="auto"/>
            <w:vAlign w:val="center"/>
          </w:tcPr>
          <w:p w14:paraId="2120F55C" w14:textId="77777777" w:rsidR="00D41BD9" w:rsidRPr="00885192" w:rsidRDefault="00D41BD9" w:rsidP="00662FB3">
            <w:pPr>
              <w:pStyle w:val="TableText0"/>
              <w:keepNext w:val="0"/>
            </w:pPr>
            <w:r w:rsidRPr="00885192">
              <w:t xml:space="preserve">High, favoured mavacamten + BB/CCB. </w:t>
            </w:r>
          </w:p>
          <w:p w14:paraId="08719C2C" w14:textId="119DC9DD" w:rsidR="00D41BD9" w:rsidRPr="006C32EA" w:rsidRDefault="00D41BD9" w:rsidP="00662FB3">
            <w:pPr>
              <w:pStyle w:val="TableText0"/>
              <w:keepNext w:val="0"/>
              <w:rPr>
                <w:i/>
              </w:rPr>
            </w:pPr>
            <w:r w:rsidRPr="00424AF9">
              <w:t>Applying the transition probabilities as observed in the trial for mavacamten + BB/CCB or placebo + BB/CCB increased the ICER to $</w:t>
            </w:r>
            <w:r w:rsidR="00414250" w:rsidRPr="00FB0844">
              <w:rPr>
                <w:color w:val="000000"/>
                <w:spacing w:val="60"/>
                <w:shd w:val="solid" w:color="000000" w:fill="000000"/>
                <w:fitText w:val="364" w:id="-1305208574"/>
                <w14:textFill>
                  <w14:solidFill>
                    <w14:srgbClr w14:val="000000">
                      <w14:alpha w14:val="100000"/>
                    </w14:srgbClr>
                  </w14:solidFill>
                </w14:textFill>
              </w:rPr>
              <w:t>|||</w:t>
            </w:r>
            <w:r w:rsidR="00414250" w:rsidRPr="00FB0844">
              <w:rPr>
                <w:color w:val="000000"/>
                <w:spacing w:val="20"/>
                <w:shd w:val="solid" w:color="000000" w:fill="000000"/>
                <w:fitText w:val="364" w:id="-1305208574"/>
                <w14:textFill>
                  <w14:solidFill>
                    <w14:srgbClr w14:val="000000">
                      <w14:alpha w14:val="100000"/>
                    </w14:srgbClr>
                  </w14:solidFill>
                </w14:textFill>
              </w:rPr>
              <w:t>|</w:t>
            </w:r>
            <w:r w:rsidR="00CE1FF3">
              <w:rPr>
                <w:vertAlign w:val="superscript"/>
              </w:rPr>
              <w:t>3</w:t>
            </w:r>
            <w:r w:rsidRPr="00424AF9">
              <w:t>-$</w:t>
            </w:r>
            <w:r w:rsidR="00414250" w:rsidRPr="00FB0844">
              <w:rPr>
                <w:color w:val="000000"/>
                <w:spacing w:val="60"/>
                <w:shd w:val="solid" w:color="000000" w:fill="000000"/>
                <w:fitText w:val="364" w:id="-1305208573"/>
                <w14:textFill>
                  <w14:solidFill>
                    <w14:srgbClr w14:val="000000">
                      <w14:alpha w14:val="100000"/>
                    </w14:srgbClr>
                  </w14:solidFill>
                </w14:textFill>
              </w:rPr>
              <w:t>|||</w:t>
            </w:r>
            <w:r w:rsidR="00414250" w:rsidRPr="00FB0844">
              <w:rPr>
                <w:color w:val="000000"/>
                <w:spacing w:val="20"/>
                <w:shd w:val="solid" w:color="000000" w:fill="000000"/>
                <w:fitText w:val="364" w:id="-1305208573"/>
                <w14:textFill>
                  <w14:solidFill>
                    <w14:srgbClr w14:val="000000">
                      <w14:alpha w14:val="100000"/>
                    </w14:srgbClr>
                  </w14:solidFill>
                </w14:textFill>
              </w:rPr>
              <w:t>|</w:t>
            </w:r>
            <w:r w:rsidR="00CE1FF3">
              <w:rPr>
                <w:vertAlign w:val="superscript"/>
              </w:rPr>
              <w:t>4</w:t>
            </w:r>
            <w:r w:rsidRPr="00424AF9">
              <w:t>/QALY gained.</w:t>
            </w:r>
          </w:p>
        </w:tc>
      </w:tr>
      <w:tr w:rsidR="00D41BD9" w:rsidRPr="006C32EA" w14:paraId="227351FB" w14:textId="77777777" w:rsidTr="00D41BD9">
        <w:trPr>
          <w:cantSplit/>
        </w:trPr>
        <w:tc>
          <w:tcPr>
            <w:tcW w:w="1255" w:type="pct"/>
            <w:shd w:val="clear" w:color="auto" w:fill="auto"/>
            <w:vAlign w:val="center"/>
          </w:tcPr>
          <w:p w14:paraId="349C504A" w14:textId="77777777" w:rsidR="00D41BD9" w:rsidRDefault="00D41BD9" w:rsidP="00662FB3">
            <w:pPr>
              <w:pStyle w:val="TableText0"/>
              <w:keepNext w:val="0"/>
            </w:pPr>
            <w:r>
              <w:t>Cost of cardiovascular hospitalisation associated with disease management</w:t>
            </w:r>
          </w:p>
        </w:tc>
        <w:tc>
          <w:tcPr>
            <w:tcW w:w="1651" w:type="pct"/>
            <w:shd w:val="clear" w:color="auto" w:fill="auto"/>
            <w:vAlign w:val="center"/>
          </w:tcPr>
          <w:p w14:paraId="6BC0F302" w14:textId="77777777" w:rsidR="00D41BD9" w:rsidRDefault="00D41BD9" w:rsidP="00662FB3">
            <w:pPr>
              <w:pStyle w:val="TableText0"/>
              <w:keepNext w:val="0"/>
            </w:pPr>
            <w:r w:rsidRPr="00BD308C">
              <w:t>$27,800</w:t>
            </w:r>
            <w:r>
              <w:t xml:space="preserve"> per hospital admission</w:t>
            </w:r>
          </w:p>
        </w:tc>
        <w:tc>
          <w:tcPr>
            <w:tcW w:w="2094" w:type="pct"/>
            <w:shd w:val="clear" w:color="auto" w:fill="auto"/>
            <w:vAlign w:val="center"/>
          </w:tcPr>
          <w:p w14:paraId="6437828B" w14:textId="77777777" w:rsidR="00D41BD9" w:rsidRPr="00424AF9" w:rsidRDefault="00D41BD9" w:rsidP="00662FB3">
            <w:pPr>
              <w:pStyle w:val="TableText0"/>
              <w:keepNext w:val="0"/>
            </w:pPr>
            <w:r w:rsidRPr="00424AF9">
              <w:t>High, favoured mavacamten + BB/CCB.</w:t>
            </w:r>
          </w:p>
          <w:p w14:paraId="40980136" w14:textId="192D2015" w:rsidR="00D41BD9" w:rsidRDefault="00D41BD9" w:rsidP="00662FB3">
            <w:pPr>
              <w:pStyle w:val="TableText0"/>
              <w:keepNext w:val="0"/>
              <w:rPr>
                <w:i/>
              </w:rPr>
            </w:pPr>
            <w:r w:rsidRPr="00424AF9">
              <w:t>Reducing the hospital cost by 2/3 increased the ICER to $</w:t>
            </w:r>
            <w:r w:rsidR="00414250" w:rsidRPr="00414250">
              <w:rPr>
                <w:color w:val="000000"/>
                <w:spacing w:val="62"/>
                <w:shd w:val="solid" w:color="000000" w:fill="000000"/>
                <w:fitText w:val="363" w:id="-1305208572"/>
                <w14:textFill>
                  <w14:solidFill>
                    <w14:srgbClr w14:val="000000">
                      <w14:alpha w14:val="100000"/>
                    </w14:srgbClr>
                  </w14:solidFill>
                </w14:textFill>
              </w:rPr>
              <w:t>|||</w:t>
            </w:r>
            <w:r w:rsidR="00414250" w:rsidRPr="00414250">
              <w:rPr>
                <w:color w:val="000000"/>
                <w:spacing w:val="12"/>
                <w:shd w:val="solid" w:color="000000" w:fill="000000"/>
                <w:fitText w:val="363" w:id="-1305208572"/>
                <w14:textFill>
                  <w14:solidFill>
                    <w14:srgbClr w14:val="000000">
                      <w14:alpha w14:val="100000"/>
                    </w14:srgbClr>
                  </w14:solidFill>
                </w14:textFill>
              </w:rPr>
              <w:t>|</w:t>
            </w:r>
            <w:r w:rsidR="00CE1FF3">
              <w:rPr>
                <w:vertAlign w:val="superscript"/>
              </w:rPr>
              <w:t>2</w:t>
            </w:r>
            <w:r w:rsidRPr="00424AF9">
              <w:t>/QALY gained.</w:t>
            </w:r>
          </w:p>
        </w:tc>
      </w:tr>
      <w:tr w:rsidR="00D41BD9" w:rsidRPr="006C32EA" w14:paraId="4305CBED" w14:textId="77777777" w:rsidTr="00D41BD9">
        <w:trPr>
          <w:cantSplit/>
        </w:trPr>
        <w:tc>
          <w:tcPr>
            <w:tcW w:w="1255" w:type="pct"/>
            <w:shd w:val="clear" w:color="auto" w:fill="auto"/>
            <w:vAlign w:val="center"/>
          </w:tcPr>
          <w:p w14:paraId="3D1CCA19" w14:textId="77777777" w:rsidR="00D41BD9" w:rsidRDefault="00D41BD9" w:rsidP="00662FB3">
            <w:pPr>
              <w:pStyle w:val="TableText0"/>
              <w:keepNext w:val="0"/>
            </w:pPr>
            <w:r>
              <w:t>Discontinuation of mavacamten therapy due to lack of efficacy at Week 30</w:t>
            </w:r>
          </w:p>
        </w:tc>
        <w:tc>
          <w:tcPr>
            <w:tcW w:w="1651" w:type="pct"/>
            <w:shd w:val="clear" w:color="auto" w:fill="auto"/>
            <w:vAlign w:val="center"/>
          </w:tcPr>
          <w:p w14:paraId="1481F89A" w14:textId="77777777" w:rsidR="00D41BD9" w:rsidRPr="00BD308C" w:rsidRDefault="00D41BD9" w:rsidP="00662FB3">
            <w:pPr>
              <w:pStyle w:val="TableText0"/>
              <w:keepNext w:val="0"/>
            </w:pPr>
            <w:r>
              <w:t>Patients with no improvement in NYHA class from baseline</w:t>
            </w:r>
          </w:p>
        </w:tc>
        <w:tc>
          <w:tcPr>
            <w:tcW w:w="2094" w:type="pct"/>
            <w:shd w:val="clear" w:color="auto" w:fill="auto"/>
            <w:vAlign w:val="center"/>
          </w:tcPr>
          <w:p w14:paraId="592AE56A" w14:textId="77777777" w:rsidR="00D41BD9" w:rsidRPr="00424AF9" w:rsidRDefault="00D41BD9" w:rsidP="00662FB3">
            <w:pPr>
              <w:pStyle w:val="TableText0"/>
              <w:keepNext w:val="0"/>
            </w:pPr>
            <w:r w:rsidRPr="00424AF9">
              <w:t>High, favoured mavacamten + BB/CCB.</w:t>
            </w:r>
          </w:p>
          <w:p w14:paraId="5DAFF98F" w14:textId="01E7EC3C" w:rsidR="00D41BD9" w:rsidRDefault="00D41BD9" w:rsidP="00662FB3">
            <w:pPr>
              <w:pStyle w:val="TableText0"/>
              <w:keepNext w:val="0"/>
              <w:rPr>
                <w:i/>
              </w:rPr>
            </w:pPr>
            <w:r w:rsidRPr="00424AF9">
              <w:t>Assuming treatment discontinuation in patients with worsened NYHA class from base case at Week 30 increased the ICER to $</w:t>
            </w:r>
            <w:r w:rsidR="00414250" w:rsidRPr="00414250">
              <w:rPr>
                <w:color w:val="000000"/>
                <w:spacing w:val="62"/>
                <w:shd w:val="solid" w:color="000000" w:fill="000000"/>
                <w:fitText w:val="363" w:id="-1305208571"/>
                <w14:textFill>
                  <w14:solidFill>
                    <w14:srgbClr w14:val="000000">
                      <w14:alpha w14:val="100000"/>
                    </w14:srgbClr>
                  </w14:solidFill>
                </w14:textFill>
              </w:rPr>
              <w:t>|||</w:t>
            </w:r>
            <w:r w:rsidR="00414250" w:rsidRPr="00414250">
              <w:rPr>
                <w:color w:val="000000"/>
                <w:spacing w:val="12"/>
                <w:shd w:val="solid" w:color="000000" w:fill="000000"/>
                <w:fitText w:val="363" w:id="-1305208571"/>
                <w14:textFill>
                  <w14:solidFill>
                    <w14:srgbClr w14:val="000000">
                      <w14:alpha w14:val="100000"/>
                    </w14:srgbClr>
                  </w14:solidFill>
                </w14:textFill>
              </w:rPr>
              <w:t>|</w:t>
            </w:r>
            <w:r w:rsidR="00CE1FF3">
              <w:rPr>
                <w:vertAlign w:val="superscript"/>
              </w:rPr>
              <w:t>4</w:t>
            </w:r>
            <w:r w:rsidRPr="00424AF9">
              <w:t>/QALY gained.</w:t>
            </w:r>
          </w:p>
        </w:tc>
      </w:tr>
      <w:tr w:rsidR="00D41BD9" w:rsidRPr="006C32EA" w14:paraId="5C4CF61D" w14:textId="77777777" w:rsidTr="00D41BD9">
        <w:trPr>
          <w:cantSplit/>
        </w:trPr>
        <w:tc>
          <w:tcPr>
            <w:tcW w:w="1255" w:type="pct"/>
            <w:shd w:val="clear" w:color="auto" w:fill="auto"/>
            <w:vAlign w:val="center"/>
          </w:tcPr>
          <w:p w14:paraId="506D08EE" w14:textId="77777777" w:rsidR="00D41BD9" w:rsidRDefault="00D41BD9" w:rsidP="00662FB3">
            <w:pPr>
              <w:pStyle w:val="TableText0"/>
              <w:keepNext w:val="0"/>
            </w:pPr>
            <w:r>
              <w:t>Efficacy of SRT + BB/CCB</w:t>
            </w:r>
          </w:p>
        </w:tc>
        <w:tc>
          <w:tcPr>
            <w:tcW w:w="1651" w:type="pct"/>
            <w:shd w:val="clear" w:color="auto" w:fill="auto"/>
            <w:vAlign w:val="center"/>
          </w:tcPr>
          <w:p w14:paraId="01FC7765" w14:textId="77777777" w:rsidR="00D41BD9" w:rsidRPr="00CF4216" w:rsidRDefault="00D41BD9" w:rsidP="00662FB3">
            <w:pPr>
              <w:pStyle w:val="TableText0"/>
              <w:keepNext w:val="0"/>
            </w:pPr>
            <w:r>
              <w:t xml:space="preserve">Based on a Ukrainian study by Knyshov </w:t>
            </w:r>
            <w:r w:rsidRPr="00424AF9">
              <w:t xml:space="preserve">et al </w:t>
            </w:r>
            <w:r>
              <w:t>2021</w:t>
            </w:r>
          </w:p>
        </w:tc>
        <w:tc>
          <w:tcPr>
            <w:tcW w:w="2094" w:type="pct"/>
            <w:shd w:val="clear" w:color="auto" w:fill="auto"/>
            <w:vAlign w:val="center"/>
          </w:tcPr>
          <w:p w14:paraId="4D7D0481" w14:textId="77777777" w:rsidR="00D41BD9" w:rsidRPr="00424AF9" w:rsidRDefault="00D41BD9" w:rsidP="00662FB3">
            <w:pPr>
              <w:pStyle w:val="TableText0"/>
              <w:keepNext w:val="0"/>
            </w:pPr>
            <w:r w:rsidRPr="00424AF9">
              <w:t>Moderate, favoured mavacamten + BB/CCB.</w:t>
            </w:r>
          </w:p>
          <w:p w14:paraId="5022A627" w14:textId="36E9D7F0" w:rsidR="00D41BD9" w:rsidRDefault="00D41BD9" w:rsidP="00662FB3">
            <w:pPr>
              <w:pStyle w:val="TableText0"/>
              <w:keepNext w:val="0"/>
              <w:rPr>
                <w:i/>
              </w:rPr>
            </w:pPr>
            <w:r w:rsidRPr="00424AF9">
              <w:t>Use of sponsor’s advisory board inputs increased the ICER to $</w:t>
            </w:r>
            <w:r w:rsidR="00414250" w:rsidRPr="00414250">
              <w:rPr>
                <w:color w:val="000000"/>
                <w:spacing w:val="62"/>
                <w:shd w:val="solid" w:color="000000" w:fill="000000"/>
                <w:fitText w:val="363" w:id="-1305208570"/>
                <w14:textFill>
                  <w14:solidFill>
                    <w14:srgbClr w14:val="000000">
                      <w14:alpha w14:val="100000"/>
                    </w14:srgbClr>
                  </w14:solidFill>
                </w14:textFill>
              </w:rPr>
              <w:t>|||</w:t>
            </w:r>
            <w:r w:rsidR="00414250" w:rsidRPr="00414250">
              <w:rPr>
                <w:color w:val="000000"/>
                <w:spacing w:val="12"/>
                <w:shd w:val="solid" w:color="000000" w:fill="000000"/>
                <w:fitText w:val="363" w:id="-1305208570"/>
                <w14:textFill>
                  <w14:solidFill>
                    <w14:srgbClr w14:val="000000">
                      <w14:alpha w14:val="100000"/>
                    </w14:srgbClr>
                  </w14:solidFill>
                </w14:textFill>
              </w:rPr>
              <w:t>|</w:t>
            </w:r>
            <w:r w:rsidR="00CE1FF3">
              <w:rPr>
                <w:vertAlign w:val="superscript"/>
              </w:rPr>
              <w:t>5</w:t>
            </w:r>
            <w:r w:rsidRPr="00424AF9">
              <w:t>/QALY gained.</w:t>
            </w:r>
          </w:p>
        </w:tc>
      </w:tr>
      <w:tr w:rsidR="00D41BD9" w:rsidRPr="006C32EA" w14:paraId="4E2CA1B8" w14:textId="77777777" w:rsidTr="00D41BD9">
        <w:trPr>
          <w:cantSplit/>
        </w:trPr>
        <w:tc>
          <w:tcPr>
            <w:tcW w:w="1255" w:type="pct"/>
            <w:shd w:val="clear" w:color="auto" w:fill="auto"/>
            <w:vAlign w:val="center"/>
          </w:tcPr>
          <w:p w14:paraId="0F8AAF79" w14:textId="77777777" w:rsidR="00D41BD9" w:rsidRPr="006C32EA" w:rsidRDefault="00D41BD9" w:rsidP="00662FB3">
            <w:pPr>
              <w:pStyle w:val="TableText0"/>
              <w:keepNext w:val="0"/>
            </w:pPr>
            <w:r>
              <w:t>Utilities</w:t>
            </w:r>
          </w:p>
        </w:tc>
        <w:tc>
          <w:tcPr>
            <w:tcW w:w="1651" w:type="pct"/>
            <w:shd w:val="clear" w:color="auto" w:fill="auto"/>
            <w:vAlign w:val="center"/>
          </w:tcPr>
          <w:p w14:paraId="567A6EE0" w14:textId="77777777" w:rsidR="00D41BD9" w:rsidRDefault="00D41BD9" w:rsidP="00662FB3">
            <w:pPr>
              <w:pStyle w:val="TableText0"/>
              <w:keepNext w:val="0"/>
            </w:pPr>
            <w:r>
              <w:t>NYHA class I: 0.909</w:t>
            </w:r>
          </w:p>
          <w:p w14:paraId="31FC70E0" w14:textId="77777777" w:rsidR="00D41BD9" w:rsidRDefault="00D41BD9" w:rsidP="00662FB3">
            <w:pPr>
              <w:pStyle w:val="TableText0"/>
              <w:keepNext w:val="0"/>
            </w:pPr>
            <w:r>
              <w:t>NYHA class II: 0.827</w:t>
            </w:r>
          </w:p>
          <w:p w14:paraId="3C8311A0" w14:textId="77777777" w:rsidR="00D41BD9" w:rsidRPr="006C32EA" w:rsidRDefault="00D41BD9" w:rsidP="00662FB3">
            <w:pPr>
              <w:pStyle w:val="TableText0"/>
              <w:keepNext w:val="0"/>
            </w:pPr>
            <w:r w:rsidRPr="00BD308C">
              <w:t>NYHA class III/IV: 0.730</w:t>
            </w:r>
          </w:p>
        </w:tc>
        <w:tc>
          <w:tcPr>
            <w:tcW w:w="2094" w:type="pct"/>
            <w:shd w:val="clear" w:color="auto" w:fill="auto"/>
            <w:vAlign w:val="center"/>
          </w:tcPr>
          <w:p w14:paraId="0B47EF36" w14:textId="77777777" w:rsidR="00D41BD9" w:rsidRPr="00424AF9" w:rsidRDefault="00D41BD9" w:rsidP="00662FB3">
            <w:pPr>
              <w:pStyle w:val="TableText0"/>
              <w:keepNext w:val="0"/>
            </w:pPr>
            <w:r w:rsidRPr="00424AF9">
              <w:t>Moderate, favoured BB/CCB alone.</w:t>
            </w:r>
          </w:p>
          <w:p w14:paraId="61B0940D" w14:textId="1F0D763A" w:rsidR="00D41BD9" w:rsidRPr="006C32EA" w:rsidRDefault="00D41BD9" w:rsidP="00662FB3">
            <w:pPr>
              <w:pStyle w:val="TableText0"/>
              <w:keepNext w:val="0"/>
              <w:rPr>
                <w:i/>
              </w:rPr>
            </w:pPr>
            <w:r w:rsidRPr="00424AF9">
              <w:t xml:space="preserve">Use of lower health state utilities estimated based on the economic model in the tafamidis March 2021 submission reduced the ICER to </w:t>
            </w:r>
            <w:r w:rsidRPr="00424AF9">
              <w:rPr>
                <w:szCs w:val="20"/>
              </w:rPr>
              <w:t>$</w:t>
            </w:r>
            <w:r w:rsidR="00414250" w:rsidRPr="00FB0844">
              <w:rPr>
                <w:color w:val="000000"/>
                <w:spacing w:val="60"/>
                <w:szCs w:val="20"/>
                <w:shd w:val="solid" w:color="000000" w:fill="000000"/>
                <w:fitText w:val="364" w:id="-1305208569"/>
                <w14:textFill>
                  <w14:solidFill>
                    <w14:srgbClr w14:val="000000">
                      <w14:alpha w14:val="100000"/>
                    </w14:srgbClr>
                  </w14:solidFill>
                </w14:textFill>
              </w:rPr>
              <w:t>|||</w:t>
            </w:r>
            <w:r w:rsidR="00414250" w:rsidRPr="00FB0844">
              <w:rPr>
                <w:color w:val="000000"/>
                <w:spacing w:val="20"/>
                <w:szCs w:val="20"/>
                <w:shd w:val="solid" w:color="000000" w:fill="000000"/>
                <w:fitText w:val="364" w:id="-1305208569"/>
                <w14:textFill>
                  <w14:solidFill>
                    <w14:srgbClr w14:val="000000">
                      <w14:alpha w14:val="100000"/>
                    </w14:srgbClr>
                  </w14:solidFill>
                </w14:textFill>
              </w:rPr>
              <w:t>|</w:t>
            </w:r>
            <w:r w:rsidR="00CE1FF3">
              <w:rPr>
                <w:szCs w:val="20"/>
                <w:vertAlign w:val="superscript"/>
              </w:rPr>
              <w:t>1</w:t>
            </w:r>
            <w:r w:rsidRPr="00424AF9">
              <w:rPr>
                <w:szCs w:val="20"/>
              </w:rPr>
              <w:t>/QALY gained.</w:t>
            </w:r>
          </w:p>
        </w:tc>
      </w:tr>
      <w:tr w:rsidR="00D41BD9" w:rsidRPr="006C32EA" w14:paraId="0C2443C4" w14:textId="77777777" w:rsidTr="00D41BD9">
        <w:trPr>
          <w:cantSplit/>
        </w:trPr>
        <w:tc>
          <w:tcPr>
            <w:tcW w:w="1255" w:type="pct"/>
            <w:shd w:val="clear" w:color="auto" w:fill="auto"/>
            <w:vAlign w:val="center"/>
          </w:tcPr>
          <w:p w14:paraId="2144F85F" w14:textId="77777777" w:rsidR="00D41BD9" w:rsidRPr="006C32EA" w:rsidRDefault="00D41BD9" w:rsidP="00662FB3">
            <w:pPr>
              <w:pStyle w:val="TableText0"/>
              <w:keepNext w:val="0"/>
            </w:pPr>
            <w:r>
              <w:t xml:space="preserve">Time horizon </w:t>
            </w:r>
          </w:p>
        </w:tc>
        <w:tc>
          <w:tcPr>
            <w:tcW w:w="1651" w:type="pct"/>
            <w:shd w:val="clear" w:color="auto" w:fill="auto"/>
            <w:vAlign w:val="center"/>
          </w:tcPr>
          <w:p w14:paraId="6DF916E5" w14:textId="77777777" w:rsidR="00D41BD9" w:rsidRPr="006C32EA" w:rsidRDefault="00D41BD9" w:rsidP="00662FB3">
            <w:pPr>
              <w:pStyle w:val="TableText0"/>
              <w:keepNext w:val="0"/>
            </w:pPr>
            <w:r>
              <w:t xml:space="preserve">25 years </w:t>
            </w:r>
          </w:p>
        </w:tc>
        <w:tc>
          <w:tcPr>
            <w:tcW w:w="2094" w:type="pct"/>
            <w:shd w:val="clear" w:color="auto" w:fill="auto"/>
            <w:vAlign w:val="center"/>
          </w:tcPr>
          <w:p w14:paraId="07F04CDA" w14:textId="77777777" w:rsidR="00D41BD9" w:rsidRPr="00424AF9" w:rsidRDefault="00D41BD9" w:rsidP="00662FB3">
            <w:pPr>
              <w:pStyle w:val="TableText0"/>
              <w:keepNext w:val="0"/>
            </w:pPr>
            <w:r w:rsidRPr="00424AF9">
              <w:t>Moderate, favoured mavacamten + BB/CCB.</w:t>
            </w:r>
          </w:p>
          <w:p w14:paraId="28C0EBD6" w14:textId="50496EA8" w:rsidR="00D41BD9" w:rsidRPr="006C32EA" w:rsidRDefault="00D41BD9" w:rsidP="00662FB3">
            <w:pPr>
              <w:pStyle w:val="TableText0"/>
              <w:keepNext w:val="0"/>
              <w:rPr>
                <w:i/>
              </w:rPr>
            </w:pPr>
            <w:r w:rsidRPr="00424AF9">
              <w:t>Use of a shorter time horizon of 15 years or 20 years increased the ICER to $</w:t>
            </w:r>
            <w:r w:rsidR="00414250" w:rsidRPr="00414250">
              <w:rPr>
                <w:color w:val="000000"/>
                <w:spacing w:val="62"/>
                <w:shd w:val="solid" w:color="000000" w:fill="000000"/>
                <w:fitText w:val="363" w:id="-1305208568"/>
                <w14:textFill>
                  <w14:solidFill>
                    <w14:srgbClr w14:val="000000">
                      <w14:alpha w14:val="100000"/>
                    </w14:srgbClr>
                  </w14:solidFill>
                </w14:textFill>
              </w:rPr>
              <w:t>|||</w:t>
            </w:r>
            <w:r w:rsidR="00414250" w:rsidRPr="00414250">
              <w:rPr>
                <w:color w:val="000000"/>
                <w:spacing w:val="12"/>
                <w:shd w:val="solid" w:color="000000" w:fill="000000"/>
                <w:fitText w:val="363" w:id="-1305208568"/>
                <w14:textFill>
                  <w14:solidFill>
                    <w14:srgbClr w14:val="000000">
                      <w14:alpha w14:val="100000"/>
                    </w14:srgbClr>
                  </w14:solidFill>
                </w14:textFill>
              </w:rPr>
              <w:t>|</w:t>
            </w:r>
            <w:r w:rsidR="00CE1FF3">
              <w:rPr>
                <w:vertAlign w:val="superscript"/>
              </w:rPr>
              <w:t>5</w:t>
            </w:r>
            <w:r w:rsidRPr="00424AF9">
              <w:t>/QALY gained or $</w:t>
            </w:r>
            <w:r w:rsidR="00414250" w:rsidRPr="00414250">
              <w:rPr>
                <w:color w:val="000000"/>
                <w:spacing w:val="62"/>
                <w:shd w:val="solid" w:color="000000" w:fill="000000"/>
                <w:fitText w:val="363" w:id="-1305208567"/>
                <w14:textFill>
                  <w14:solidFill>
                    <w14:srgbClr w14:val="000000">
                      <w14:alpha w14:val="100000"/>
                    </w14:srgbClr>
                  </w14:solidFill>
                </w14:textFill>
              </w:rPr>
              <w:t>|||</w:t>
            </w:r>
            <w:r w:rsidR="00414250" w:rsidRPr="00414250">
              <w:rPr>
                <w:color w:val="000000"/>
                <w:spacing w:val="12"/>
                <w:shd w:val="solid" w:color="000000" w:fill="000000"/>
                <w:fitText w:val="363" w:id="-1305208567"/>
                <w14:textFill>
                  <w14:solidFill>
                    <w14:srgbClr w14:val="000000">
                      <w14:alpha w14:val="100000"/>
                    </w14:srgbClr>
                  </w14:solidFill>
                </w14:textFill>
              </w:rPr>
              <w:t>|</w:t>
            </w:r>
            <w:r w:rsidR="00CE1FF3">
              <w:rPr>
                <w:vertAlign w:val="superscript"/>
              </w:rPr>
              <w:t>3</w:t>
            </w:r>
            <w:r w:rsidRPr="00424AF9">
              <w:t xml:space="preserve">/QALY gained, respectively. </w:t>
            </w:r>
          </w:p>
        </w:tc>
      </w:tr>
      <w:tr w:rsidR="00F9386E" w:rsidRPr="00F72968" w14:paraId="05506E15" w14:textId="77777777" w:rsidTr="00D41BD9">
        <w:trPr>
          <w:cantSplit/>
        </w:trPr>
        <w:tc>
          <w:tcPr>
            <w:tcW w:w="1255" w:type="pct"/>
            <w:shd w:val="clear" w:color="auto" w:fill="auto"/>
            <w:vAlign w:val="center"/>
          </w:tcPr>
          <w:p w14:paraId="2879D695" w14:textId="4CCF64CD" w:rsidR="00F9386E" w:rsidRPr="00F72968" w:rsidRDefault="00F9386E" w:rsidP="00662FB3">
            <w:pPr>
              <w:pStyle w:val="TableText0"/>
              <w:keepNext w:val="0"/>
              <w:rPr>
                <w:iCs/>
              </w:rPr>
            </w:pPr>
            <w:r w:rsidRPr="00F72968">
              <w:rPr>
                <w:iCs/>
              </w:rPr>
              <w:t>Mortality</w:t>
            </w:r>
          </w:p>
        </w:tc>
        <w:tc>
          <w:tcPr>
            <w:tcW w:w="1651" w:type="pct"/>
            <w:shd w:val="clear" w:color="auto" w:fill="auto"/>
            <w:vAlign w:val="center"/>
          </w:tcPr>
          <w:p w14:paraId="26E877A6" w14:textId="00AA5215" w:rsidR="004B7362" w:rsidRPr="00F72968" w:rsidRDefault="004B7362" w:rsidP="00662FB3">
            <w:pPr>
              <w:pStyle w:val="TableText0"/>
              <w:keepNext w:val="0"/>
              <w:rPr>
                <w:iCs/>
                <w:szCs w:val="20"/>
              </w:rPr>
            </w:pPr>
            <w:r w:rsidRPr="00F72968">
              <w:rPr>
                <w:iCs/>
              </w:rPr>
              <w:t xml:space="preserve">NYHA class I: </w:t>
            </w:r>
            <w:r w:rsidRPr="00F72968">
              <w:rPr>
                <w:iCs/>
                <w:szCs w:val="20"/>
              </w:rPr>
              <w:t>all-cause mortality, hazard ratio = 1.0</w:t>
            </w:r>
          </w:p>
          <w:p w14:paraId="1AC3390F" w14:textId="211BA26F" w:rsidR="004B7362" w:rsidRPr="00F72968" w:rsidRDefault="004B7362" w:rsidP="00662FB3">
            <w:pPr>
              <w:pStyle w:val="TableText0"/>
              <w:keepNext w:val="0"/>
              <w:rPr>
                <w:iCs/>
              </w:rPr>
            </w:pPr>
            <w:r w:rsidRPr="00F72968">
              <w:rPr>
                <w:iCs/>
              </w:rPr>
              <w:t>NYHA class II vs I: hazard ratio = 1.48</w:t>
            </w:r>
          </w:p>
          <w:p w14:paraId="3C3335A5" w14:textId="2F71D01E" w:rsidR="004B7362" w:rsidRPr="00F72968" w:rsidRDefault="004B7362" w:rsidP="00662FB3">
            <w:pPr>
              <w:pStyle w:val="TableText0"/>
              <w:keepNext w:val="0"/>
              <w:rPr>
                <w:iCs/>
              </w:rPr>
            </w:pPr>
            <w:r w:rsidRPr="00F72968">
              <w:rPr>
                <w:iCs/>
              </w:rPr>
              <w:t>NYHA III/IV vs I: 3.17</w:t>
            </w:r>
          </w:p>
          <w:p w14:paraId="1BA1C990" w14:textId="03A2E6E4" w:rsidR="004B7362" w:rsidRPr="00F72968" w:rsidRDefault="004B7362" w:rsidP="00662FB3">
            <w:pPr>
              <w:pStyle w:val="TableText0"/>
              <w:keepNext w:val="0"/>
              <w:rPr>
                <w:iCs/>
              </w:rPr>
            </w:pPr>
          </w:p>
          <w:p w14:paraId="6529EDB0" w14:textId="343CEDDC" w:rsidR="004B7362" w:rsidRPr="00F72968" w:rsidRDefault="005E1643" w:rsidP="00662FB3">
            <w:pPr>
              <w:pStyle w:val="TableText0"/>
              <w:keepNext w:val="0"/>
              <w:rPr>
                <w:iCs/>
              </w:rPr>
            </w:pPr>
            <w:r w:rsidRPr="00F72968">
              <w:rPr>
                <w:bCs w:val="0"/>
                <w:iCs/>
                <w:color w:val="000000"/>
                <w:szCs w:val="20"/>
              </w:rPr>
              <w:t>B</w:t>
            </w:r>
            <w:r w:rsidR="006E5994" w:rsidRPr="00F72968">
              <w:rPr>
                <w:bCs w:val="0"/>
                <w:iCs/>
                <w:color w:val="000000"/>
                <w:szCs w:val="20"/>
              </w:rPr>
              <w:t>ased on the SHaRe adjusted</w:t>
            </w:r>
            <w:r w:rsidRPr="00F72968">
              <w:rPr>
                <w:bCs w:val="0"/>
                <w:iCs/>
                <w:color w:val="000000"/>
                <w:szCs w:val="20"/>
              </w:rPr>
              <w:t>.</w:t>
            </w:r>
          </w:p>
        </w:tc>
        <w:tc>
          <w:tcPr>
            <w:tcW w:w="2094" w:type="pct"/>
            <w:shd w:val="clear" w:color="auto" w:fill="auto"/>
            <w:vAlign w:val="center"/>
          </w:tcPr>
          <w:p w14:paraId="149077CB" w14:textId="049D9F80" w:rsidR="00F9386E" w:rsidRPr="00F72968" w:rsidRDefault="005E1643" w:rsidP="00662FB3">
            <w:pPr>
              <w:pStyle w:val="TableText0"/>
              <w:keepNext w:val="0"/>
              <w:rPr>
                <w:iCs/>
              </w:rPr>
            </w:pPr>
            <w:r w:rsidRPr="00F72968">
              <w:rPr>
                <w:iCs/>
              </w:rPr>
              <w:t>Moderate</w:t>
            </w:r>
            <w:r w:rsidR="004B7362" w:rsidRPr="00F72968">
              <w:rPr>
                <w:iCs/>
              </w:rPr>
              <w:t xml:space="preserve">, </w:t>
            </w:r>
            <w:r w:rsidRPr="00F72968">
              <w:rPr>
                <w:iCs/>
              </w:rPr>
              <w:t xml:space="preserve">favoured mavacamten. </w:t>
            </w:r>
            <w:r w:rsidRPr="00F72968">
              <w:rPr>
                <w:iCs/>
                <w:color w:val="000000"/>
                <w:szCs w:val="20"/>
              </w:rPr>
              <w:t>All cause/general mortality not NYHA specific (1.0 across all NYHA classes) increase ICER to $</w:t>
            </w:r>
            <w:r w:rsidR="00414250" w:rsidRPr="00414250">
              <w:rPr>
                <w:iCs/>
                <w:color w:val="000000"/>
                <w:spacing w:val="64"/>
                <w:szCs w:val="20"/>
                <w:shd w:val="solid" w:color="000000" w:fill="000000"/>
                <w:fitText w:val="364" w:id="-1305208566"/>
                <w14:textFill>
                  <w14:solidFill>
                    <w14:srgbClr w14:val="000000">
                      <w14:alpha w14:val="100000"/>
                    </w14:srgbClr>
                  </w14:solidFill>
                </w14:textFill>
              </w:rPr>
              <w:t>|||</w:t>
            </w:r>
            <w:r w:rsidR="00414250" w:rsidRPr="00414250">
              <w:rPr>
                <w:iCs/>
                <w:color w:val="000000"/>
                <w:szCs w:val="20"/>
                <w:shd w:val="solid" w:color="000000" w:fill="000000"/>
                <w:fitText w:val="364" w:id="-1305208566"/>
                <w14:textFill>
                  <w14:solidFill>
                    <w14:srgbClr w14:val="000000">
                      <w14:alpha w14:val="100000"/>
                    </w14:srgbClr>
                  </w14:solidFill>
                </w14:textFill>
              </w:rPr>
              <w:t>|</w:t>
            </w:r>
            <w:r w:rsidR="00CE1FF3">
              <w:rPr>
                <w:iCs/>
                <w:color w:val="000000"/>
                <w:szCs w:val="20"/>
                <w:vertAlign w:val="superscript"/>
              </w:rPr>
              <w:t>5</w:t>
            </w:r>
            <w:r w:rsidRPr="00F72968">
              <w:rPr>
                <w:iCs/>
                <w:color w:val="000000"/>
                <w:szCs w:val="20"/>
              </w:rPr>
              <w:t>.</w:t>
            </w:r>
          </w:p>
        </w:tc>
      </w:tr>
    </w:tbl>
    <w:p w14:paraId="66487391" w14:textId="1A7B39AA" w:rsidR="00D41BD9" w:rsidRPr="002D312B" w:rsidRDefault="00D41BD9" w:rsidP="003916BE">
      <w:pPr>
        <w:pStyle w:val="FooterTableFigure"/>
        <w:rPr>
          <w:iCs/>
        </w:rPr>
      </w:pPr>
      <w:r w:rsidRPr="002D312B">
        <w:rPr>
          <w:iCs/>
        </w:rPr>
        <w:t>Source: Table compiled during the evaluation, based on the sensitivity analyses presented in the submission or conducted during the evaluation.</w:t>
      </w:r>
      <w:r w:rsidR="00F72968">
        <w:rPr>
          <w:iCs/>
        </w:rPr>
        <w:t xml:space="preserve"> Mortality sensitivity analyses per</w:t>
      </w:r>
      <w:r w:rsidR="00B3065F">
        <w:rPr>
          <w:iCs/>
        </w:rPr>
        <w:t>formed during ESC evaluation</w:t>
      </w:r>
      <w:r w:rsidR="00F72968">
        <w:rPr>
          <w:iCs/>
        </w:rPr>
        <w:t>.</w:t>
      </w:r>
    </w:p>
    <w:p w14:paraId="048678D1" w14:textId="3DDCEE64" w:rsidR="00D41BD9" w:rsidRDefault="00D41BD9" w:rsidP="003916BE">
      <w:pPr>
        <w:pStyle w:val="FooterTableFigure"/>
        <w:rPr>
          <w:iCs/>
        </w:rPr>
      </w:pPr>
      <w:r>
        <w:t>BB = beta-blocker; CCB = calcium channel blocker; HCM = hypertrophic cardiomyopathy; ICER = incremental cost-effectiveness ratio; NYHA = New York Heart Association; QALY = quality-adjusted life year</w:t>
      </w:r>
      <w:r w:rsidR="005E1643">
        <w:t xml:space="preserve">; </w:t>
      </w:r>
      <w:r w:rsidR="005E1643" w:rsidRPr="00F72968">
        <w:rPr>
          <w:iCs/>
        </w:rPr>
        <w:t>SHaRe = Sarcomeric Human Cardiomyopathy Registry</w:t>
      </w:r>
    </w:p>
    <w:p w14:paraId="58208846" w14:textId="77777777" w:rsidR="00793548" w:rsidRPr="009A6D58" w:rsidRDefault="00793548" w:rsidP="0079354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318BA2C" w14:textId="1B589F9C" w:rsidR="00793548" w:rsidRPr="009A6D58" w:rsidRDefault="00793548" w:rsidP="0079354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793548">
        <w:rPr>
          <w:rFonts w:ascii="Arial Narrow" w:hAnsi="Arial Narrow"/>
          <w:i/>
          <w:sz w:val="18"/>
          <w:szCs w:val="18"/>
        </w:rPr>
        <w:t>$35,000 to &lt; $45,000</w:t>
      </w:r>
    </w:p>
    <w:p w14:paraId="16AB1489" w14:textId="1BB7005B" w:rsidR="00793548" w:rsidRPr="009A6D58" w:rsidRDefault="00793548" w:rsidP="0079354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793548">
        <w:rPr>
          <w:rFonts w:ascii="Arial Narrow" w:hAnsi="Arial Narrow"/>
          <w:i/>
          <w:sz w:val="18"/>
          <w:szCs w:val="18"/>
        </w:rPr>
        <w:t>$75,000 to &lt; $95,000</w:t>
      </w:r>
    </w:p>
    <w:p w14:paraId="3C3F8AA3" w14:textId="403FDCE3" w:rsidR="00793548" w:rsidRDefault="00793548" w:rsidP="0079354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CE1FF3" w:rsidRPr="00793548">
        <w:rPr>
          <w:rFonts w:ascii="Arial Narrow" w:hAnsi="Arial Narrow"/>
          <w:i/>
          <w:sz w:val="18"/>
          <w:szCs w:val="18"/>
        </w:rPr>
        <w:t>$</w:t>
      </w:r>
      <w:r w:rsidR="00CE1FF3">
        <w:rPr>
          <w:rFonts w:ascii="Arial Narrow" w:hAnsi="Arial Narrow"/>
          <w:i/>
          <w:sz w:val="18"/>
          <w:szCs w:val="18"/>
        </w:rPr>
        <w:t>4</w:t>
      </w:r>
      <w:r w:rsidR="00CE1FF3" w:rsidRPr="00793548">
        <w:rPr>
          <w:rFonts w:ascii="Arial Narrow" w:hAnsi="Arial Narrow"/>
          <w:i/>
          <w:sz w:val="18"/>
          <w:szCs w:val="18"/>
        </w:rPr>
        <w:t>5,000 to &lt; $</w:t>
      </w:r>
      <w:r w:rsidR="00CE1FF3">
        <w:rPr>
          <w:rFonts w:ascii="Arial Narrow" w:hAnsi="Arial Narrow"/>
          <w:i/>
          <w:sz w:val="18"/>
          <w:szCs w:val="18"/>
        </w:rPr>
        <w:t>5</w:t>
      </w:r>
      <w:r w:rsidR="00CE1FF3" w:rsidRPr="00793548">
        <w:rPr>
          <w:rFonts w:ascii="Arial Narrow" w:hAnsi="Arial Narrow"/>
          <w:i/>
          <w:sz w:val="18"/>
          <w:szCs w:val="18"/>
        </w:rPr>
        <w:t>5,000</w:t>
      </w:r>
    </w:p>
    <w:p w14:paraId="6CB651E6" w14:textId="1D043365" w:rsidR="00793548" w:rsidRDefault="00793548" w:rsidP="0079354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CE1FF3" w:rsidRPr="00793548">
        <w:rPr>
          <w:rFonts w:ascii="Arial Narrow" w:hAnsi="Arial Narrow"/>
          <w:i/>
          <w:sz w:val="18"/>
          <w:szCs w:val="18"/>
        </w:rPr>
        <w:t>$</w:t>
      </w:r>
      <w:r w:rsidR="00CE1FF3">
        <w:rPr>
          <w:rFonts w:ascii="Arial Narrow" w:hAnsi="Arial Narrow"/>
          <w:i/>
          <w:sz w:val="18"/>
          <w:szCs w:val="18"/>
        </w:rPr>
        <w:t>9</w:t>
      </w:r>
      <w:r w:rsidR="00CE1FF3" w:rsidRPr="00793548">
        <w:rPr>
          <w:rFonts w:ascii="Arial Narrow" w:hAnsi="Arial Narrow"/>
          <w:i/>
          <w:sz w:val="18"/>
          <w:szCs w:val="18"/>
        </w:rPr>
        <w:t>5,000 to &lt; $</w:t>
      </w:r>
      <w:r w:rsidR="00CE1FF3">
        <w:rPr>
          <w:rFonts w:ascii="Arial Narrow" w:hAnsi="Arial Narrow"/>
          <w:i/>
          <w:sz w:val="18"/>
          <w:szCs w:val="18"/>
        </w:rPr>
        <w:t>11</w:t>
      </w:r>
      <w:r w:rsidR="00CE1FF3" w:rsidRPr="00793548">
        <w:rPr>
          <w:rFonts w:ascii="Arial Narrow" w:hAnsi="Arial Narrow"/>
          <w:i/>
          <w:sz w:val="18"/>
          <w:szCs w:val="18"/>
        </w:rPr>
        <w:t>5,000</w:t>
      </w:r>
    </w:p>
    <w:p w14:paraId="69108EB9" w14:textId="0A90DDA8" w:rsidR="00793548" w:rsidRDefault="00793548" w:rsidP="0079354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CE1FF3" w:rsidRPr="00793548">
        <w:rPr>
          <w:rFonts w:ascii="Arial Narrow" w:hAnsi="Arial Narrow"/>
          <w:i/>
          <w:sz w:val="18"/>
          <w:szCs w:val="18"/>
        </w:rPr>
        <w:t>$</w:t>
      </w:r>
      <w:r w:rsidR="00CE1FF3">
        <w:rPr>
          <w:rFonts w:ascii="Arial Narrow" w:hAnsi="Arial Narrow"/>
          <w:i/>
          <w:sz w:val="18"/>
          <w:szCs w:val="18"/>
        </w:rPr>
        <w:t>5</w:t>
      </w:r>
      <w:r w:rsidR="00CE1FF3" w:rsidRPr="00793548">
        <w:rPr>
          <w:rFonts w:ascii="Arial Narrow" w:hAnsi="Arial Narrow"/>
          <w:i/>
          <w:sz w:val="18"/>
          <w:szCs w:val="18"/>
        </w:rPr>
        <w:t>5,000 to &lt; $</w:t>
      </w:r>
      <w:r w:rsidR="00CE1FF3">
        <w:rPr>
          <w:rFonts w:ascii="Arial Narrow" w:hAnsi="Arial Narrow"/>
          <w:i/>
          <w:sz w:val="18"/>
          <w:szCs w:val="18"/>
        </w:rPr>
        <w:t>7</w:t>
      </w:r>
      <w:r w:rsidR="00CE1FF3" w:rsidRPr="00793548">
        <w:rPr>
          <w:rFonts w:ascii="Arial Narrow" w:hAnsi="Arial Narrow"/>
          <w:i/>
          <w:sz w:val="18"/>
          <w:szCs w:val="18"/>
        </w:rPr>
        <w:t>5,000</w:t>
      </w:r>
    </w:p>
    <w:p w14:paraId="5FB25981" w14:textId="77777777" w:rsidR="00793548" w:rsidRDefault="00793548" w:rsidP="003916BE">
      <w:pPr>
        <w:pStyle w:val="FooterTableFigure"/>
      </w:pPr>
    </w:p>
    <w:p w14:paraId="35D5960F" w14:textId="096288BC" w:rsidR="00D41BD9" w:rsidRPr="00B97950" w:rsidRDefault="00D41BD9" w:rsidP="00D41BD9">
      <w:pPr>
        <w:pStyle w:val="3-BodyText"/>
      </w:pPr>
      <w:r>
        <w:rPr>
          <w:color w:val="000000" w:themeColor="text1"/>
        </w:rPr>
        <w:t xml:space="preserve">Results of the economic evaluation are presented in </w:t>
      </w:r>
      <w:r>
        <w:rPr>
          <w:color w:val="000000" w:themeColor="text1"/>
        </w:rPr>
        <w:fldChar w:fldCharType="begin"/>
      </w:r>
      <w:r>
        <w:rPr>
          <w:color w:val="000000" w:themeColor="text1"/>
        </w:rPr>
        <w:instrText xml:space="preserve"> REF _Ref110591901 \h </w:instrText>
      </w:r>
      <w:r>
        <w:rPr>
          <w:color w:val="000000" w:themeColor="text1"/>
        </w:rPr>
      </w:r>
      <w:r>
        <w:rPr>
          <w:color w:val="000000" w:themeColor="text1"/>
        </w:rPr>
        <w:fldChar w:fldCharType="separate"/>
      </w:r>
      <w:r w:rsidR="00645E50">
        <w:t xml:space="preserve">Table </w:t>
      </w:r>
      <w:r w:rsidR="00645E50">
        <w:rPr>
          <w:noProof/>
        </w:rPr>
        <w:t>20</w:t>
      </w:r>
      <w:r>
        <w:rPr>
          <w:color w:val="000000" w:themeColor="text1"/>
        </w:rPr>
        <w:fldChar w:fldCharType="end"/>
      </w:r>
      <w:r>
        <w:rPr>
          <w:color w:val="000000" w:themeColor="text1"/>
        </w:rPr>
        <w:t xml:space="preserve">. </w:t>
      </w:r>
    </w:p>
    <w:p w14:paraId="5DEA96C3" w14:textId="3CADE833" w:rsidR="00D41BD9" w:rsidRPr="00EC1BEA" w:rsidRDefault="00D41BD9" w:rsidP="00D41BD9">
      <w:pPr>
        <w:pStyle w:val="Caption"/>
        <w:jc w:val="left"/>
      </w:pPr>
      <w:bookmarkStart w:id="52" w:name="_Ref110591901"/>
      <w:r>
        <w:lastRenderedPageBreak/>
        <w:t xml:space="preserve">Table </w:t>
      </w:r>
      <w:r w:rsidR="00645E50">
        <w:fldChar w:fldCharType="begin"/>
      </w:r>
      <w:r w:rsidR="00645E50">
        <w:instrText xml:space="preserve"> SEQ Table \* ARABIC </w:instrText>
      </w:r>
      <w:r w:rsidR="00645E50">
        <w:fldChar w:fldCharType="separate"/>
      </w:r>
      <w:r w:rsidR="00645E50">
        <w:rPr>
          <w:noProof/>
        </w:rPr>
        <w:t>20</w:t>
      </w:r>
      <w:r w:rsidR="00645E50">
        <w:rPr>
          <w:noProof/>
        </w:rPr>
        <w:fldChar w:fldCharType="end"/>
      </w:r>
      <w:bookmarkEnd w:id="52"/>
      <w:r>
        <w:t>:</w:t>
      </w:r>
      <w:r w:rsidRPr="00BB00B3">
        <w:rPr>
          <w:rStyle w:val="CommentReference"/>
          <w:b/>
          <w:szCs w:val="24"/>
        </w:rPr>
        <w:t xml:space="preserve"> </w:t>
      </w:r>
      <w:r w:rsidRPr="00EC1BEA">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D41BD9" w:rsidRPr="00597BF9" w14:paraId="7414E623" w14:textId="77777777" w:rsidTr="00D41BD9">
        <w:trPr>
          <w:cantSplit/>
          <w:tblHeader/>
        </w:trPr>
        <w:tc>
          <w:tcPr>
            <w:tcW w:w="1529" w:type="pct"/>
            <w:vAlign w:val="center"/>
          </w:tcPr>
          <w:p w14:paraId="1C83F2FF" w14:textId="77777777" w:rsidR="00D41BD9" w:rsidRPr="00597BF9" w:rsidRDefault="00D41BD9" w:rsidP="00D41BD9">
            <w:pPr>
              <w:pStyle w:val="In-tableHeading"/>
            </w:pPr>
            <w:r w:rsidRPr="00597BF9">
              <w:t>Step and component</w:t>
            </w:r>
          </w:p>
        </w:tc>
        <w:tc>
          <w:tcPr>
            <w:tcW w:w="1359" w:type="pct"/>
            <w:vAlign w:val="center"/>
          </w:tcPr>
          <w:p w14:paraId="0D0DD35E" w14:textId="77777777" w:rsidR="00D41BD9" w:rsidRPr="00597BF9" w:rsidRDefault="00D41BD9" w:rsidP="00D41BD9">
            <w:pPr>
              <w:pStyle w:val="In-tableHeading"/>
              <w:jc w:val="center"/>
            </w:pPr>
            <w:r>
              <w:t>MAVA+BB/CCB</w:t>
            </w:r>
          </w:p>
        </w:tc>
        <w:tc>
          <w:tcPr>
            <w:tcW w:w="1274" w:type="pct"/>
            <w:vAlign w:val="center"/>
          </w:tcPr>
          <w:p w14:paraId="66726F80" w14:textId="77777777" w:rsidR="00D41BD9" w:rsidRPr="00597BF9" w:rsidRDefault="00D41BD9" w:rsidP="00D41BD9">
            <w:pPr>
              <w:pStyle w:val="In-tableHeading"/>
              <w:jc w:val="center"/>
            </w:pPr>
            <w:r>
              <w:t>BB/CCB</w:t>
            </w:r>
          </w:p>
        </w:tc>
        <w:tc>
          <w:tcPr>
            <w:tcW w:w="838" w:type="pct"/>
            <w:vAlign w:val="center"/>
          </w:tcPr>
          <w:p w14:paraId="4F2C5DBC" w14:textId="77777777" w:rsidR="00D41BD9" w:rsidRPr="00597BF9" w:rsidRDefault="00D41BD9" w:rsidP="00D41BD9">
            <w:pPr>
              <w:pStyle w:val="In-tableHeading"/>
              <w:jc w:val="center"/>
            </w:pPr>
            <w:r w:rsidRPr="00597BF9">
              <w:t>Increment</w:t>
            </w:r>
          </w:p>
        </w:tc>
      </w:tr>
      <w:tr w:rsidR="00D41BD9" w:rsidRPr="00D1078F" w14:paraId="4FA602DD" w14:textId="77777777" w:rsidTr="00D41BD9">
        <w:trPr>
          <w:cantSplit/>
        </w:trPr>
        <w:tc>
          <w:tcPr>
            <w:tcW w:w="5000" w:type="pct"/>
            <w:gridSpan w:val="4"/>
            <w:vAlign w:val="center"/>
          </w:tcPr>
          <w:p w14:paraId="60CDBBAF" w14:textId="77777777" w:rsidR="00D41BD9" w:rsidRPr="00597BF9" w:rsidRDefault="00D41BD9" w:rsidP="00D41BD9">
            <w:pPr>
              <w:pStyle w:val="In-tableHeading"/>
            </w:pPr>
            <w:r w:rsidRPr="00597BF9">
              <w:t xml:space="preserve">Step 1: </w:t>
            </w:r>
            <w:r w:rsidRPr="00FD1D42">
              <w:t>Comparative study data (30 weeks)</w:t>
            </w:r>
          </w:p>
        </w:tc>
      </w:tr>
      <w:tr w:rsidR="00D41BD9" w:rsidRPr="00E2771E" w14:paraId="44439A93" w14:textId="77777777" w:rsidTr="00D41BD9">
        <w:trPr>
          <w:cantSplit/>
        </w:trPr>
        <w:tc>
          <w:tcPr>
            <w:tcW w:w="1529" w:type="pct"/>
            <w:vAlign w:val="center"/>
          </w:tcPr>
          <w:p w14:paraId="2EC8AD68" w14:textId="77777777" w:rsidR="00D41BD9" w:rsidRPr="00E2771E" w:rsidRDefault="00D41BD9" w:rsidP="00D41BD9">
            <w:pPr>
              <w:pStyle w:val="TableText0"/>
              <w:rPr>
                <w:rFonts w:ascii="Times" w:hAnsi="Times"/>
              </w:rPr>
            </w:pPr>
            <w:r w:rsidRPr="00E2771E">
              <w:t>Costs</w:t>
            </w:r>
          </w:p>
        </w:tc>
        <w:tc>
          <w:tcPr>
            <w:tcW w:w="1359" w:type="pct"/>
            <w:vAlign w:val="center"/>
          </w:tcPr>
          <w:p w14:paraId="63B12F71" w14:textId="21A88559" w:rsidR="00D41BD9" w:rsidRPr="00E2771E" w:rsidRDefault="00D41BD9" w:rsidP="00D41BD9">
            <w:pPr>
              <w:pStyle w:val="TableText0"/>
              <w:jc w:val="center"/>
              <w:rPr>
                <w:rFonts w:ascii="Times" w:hAnsi="Times"/>
              </w:rPr>
            </w:pPr>
            <w:r w:rsidRPr="00315DA6">
              <w:rPr>
                <w:rFonts w:cs="Calibri"/>
                <w:color w:val="404040"/>
                <w:szCs w:val="20"/>
              </w:rPr>
              <w:t>$</w:t>
            </w:r>
            <w:r w:rsidR="00414250" w:rsidRPr="00414250">
              <w:rPr>
                <w:rFonts w:cs="Calibri"/>
                <w:color w:val="404040"/>
                <w:szCs w:val="20"/>
                <w:shd w:val="solid" w:color="000000" w:fill="000000"/>
                <w14:textFill>
                  <w14:solidFill>
                    <w14:srgbClr w14:val="404040">
                      <w14:alpha w14:val="100000"/>
                    </w14:srgbClr>
                  </w14:solidFill>
                </w14:textFill>
              </w:rPr>
              <w:t>|</w:t>
            </w:r>
          </w:p>
        </w:tc>
        <w:tc>
          <w:tcPr>
            <w:tcW w:w="1274" w:type="pct"/>
            <w:vAlign w:val="center"/>
          </w:tcPr>
          <w:p w14:paraId="1F75F8E4" w14:textId="77777777" w:rsidR="00D41BD9" w:rsidRPr="00E2771E" w:rsidRDefault="00D41BD9" w:rsidP="00D41BD9">
            <w:pPr>
              <w:pStyle w:val="TableText0"/>
              <w:jc w:val="center"/>
              <w:rPr>
                <w:rFonts w:ascii="Times" w:hAnsi="Times"/>
              </w:rPr>
            </w:pPr>
            <w:r w:rsidRPr="00315DA6">
              <w:rPr>
                <w:color w:val="000000"/>
                <w:szCs w:val="18"/>
              </w:rPr>
              <w:t>$7,346</w:t>
            </w:r>
          </w:p>
        </w:tc>
        <w:tc>
          <w:tcPr>
            <w:tcW w:w="838" w:type="pct"/>
            <w:vAlign w:val="center"/>
          </w:tcPr>
          <w:p w14:paraId="0BD9F974" w14:textId="684C765A" w:rsidR="00D41BD9" w:rsidRPr="00E2771E" w:rsidRDefault="00D41BD9" w:rsidP="00D41BD9">
            <w:pPr>
              <w:pStyle w:val="TableText0"/>
              <w:jc w:val="center"/>
              <w:rPr>
                <w:rFonts w:ascii="Times" w:hAnsi="Times"/>
              </w:rPr>
            </w:pPr>
            <w:r w:rsidRPr="00315DA6">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p>
        </w:tc>
      </w:tr>
      <w:tr w:rsidR="00D41BD9" w:rsidRPr="00E2771E" w14:paraId="18B5D022" w14:textId="77777777" w:rsidTr="00D41BD9">
        <w:trPr>
          <w:cantSplit/>
        </w:trPr>
        <w:tc>
          <w:tcPr>
            <w:tcW w:w="1529" w:type="pct"/>
            <w:vAlign w:val="center"/>
          </w:tcPr>
          <w:p w14:paraId="708DE585" w14:textId="77777777" w:rsidR="00D41BD9" w:rsidRPr="00FD1D42" w:rsidRDefault="00D41BD9" w:rsidP="00D41BD9">
            <w:pPr>
              <w:pStyle w:val="TableText0"/>
              <w:rPr>
                <w:rFonts w:ascii="Times" w:hAnsi="Times"/>
                <w:vertAlign w:val="superscript"/>
              </w:rPr>
            </w:pPr>
            <w:r w:rsidRPr="00FD1D42">
              <w:t>Responder</w:t>
            </w:r>
            <w:r w:rsidRPr="00FD1D42">
              <w:rPr>
                <w:vertAlign w:val="superscript"/>
              </w:rPr>
              <w:t>a</w:t>
            </w:r>
          </w:p>
        </w:tc>
        <w:tc>
          <w:tcPr>
            <w:tcW w:w="1359" w:type="pct"/>
            <w:vAlign w:val="center"/>
          </w:tcPr>
          <w:p w14:paraId="0EAB23A5" w14:textId="77777777" w:rsidR="00D41BD9" w:rsidRPr="00E2771E" w:rsidRDefault="00D41BD9" w:rsidP="00D41BD9">
            <w:pPr>
              <w:pStyle w:val="TableText0"/>
              <w:jc w:val="center"/>
              <w:rPr>
                <w:rFonts w:ascii="Times" w:hAnsi="Times"/>
              </w:rPr>
            </w:pPr>
            <w:r w:rsidRPr="00315DA6">
              <w:rPr>
                <w:color w:val="000000"/>
                <w:szCs w:val="18"/>
              </w:rPr>
              <w:t>36.6%</w:t>
            </w:r>
          </w:p>
        </w:tc>
        <w:tc>
          <w:tcPr>
            <w:tcW w:w="1274" w:type="pct"/>
            <w:vAlign w:val="center"/>
          </w:tcPr>
          <w:p w14:paraId="56831C06" w14:textId="77777777" w:rsidR="00D41BD9" w:rsidRPr="00E2771E" w:rsidRDefault="00D41BD9" w:rsidP="00D41BD9">
            <w:pPr>
              <w:pStyle w:val="TableText0"/>
              <w:jc w:val="center"/>
              <w:rPr>
                <w:rFonts w:ascii="Times" w:hAnsi="Times"/>
              </w:rPr>
            </w:pPr>
            <w:r w:rsidRPr="00315DA6">
              <w:rPr>
                <w:color w:val="000000"/>
                <w:szCs w:val="18"/>
              </w:rPr>
              <w:t>17.2%</w:t>
            </w:r>
          </w:p>
        </w:tc>
        <w:tc>
          <w:tcPr>
            <w:tcW w:w="838" w:type="pct"/>
            <w:vAlign w:val="center"/>
          </w:tcPr>
          <w:p w14:paraId="7ED6FD06" w14:textId="77777777" w:rsidR="00D41BD9" w:rsidRPr="00E2771E" w:rsidRDefault="00D41BD9" w:rsidP="00D41BD9">
            <w:pPr>
              <w:pStyle w:val="TableText0"/>
              <w:jc w:val="center"/>
            </w:pPr>
            <w:r w:rsidRPr="00315DA6">
              <w:rPr>
                <w:color w:val="000000"/>
                <w:szCs w:val="18"/>
              </w:rPr>
              <w:t>19.4%</w:t>
            </w:r>
          </w:p>
        </w:tc>
      </w:tr>
      <w:tr w:rsidR="00D41BD9" w:rsidRPr="00E2771E" w14:paraId="70C6646E" w14:textId="77777777" w:rsidTr="00D41BD9">
        <w:trPr>
          <w:cantSplit/>
        </w:trPr>
        <w:tc>
          <w:tcPr>
            <w:tcW w:w="4162" w:type="pct"/>
            <w:gridSpan w:val="3"/>
            <w:vAlign w:val="center"/>
          </w:tcPr>
          <w:p w14:paraId="11FE730F" w14:textId="77777777" w:rsidR="00D41BD9" w:rsidRPr="00FD1D42" w:rsidRDefault="00D41BD9" w:rsidP="00D41BD9">
            <w:pPr>
              <w:pStyle w:val="TableText0"/>
              <w:rPr>
                <w:rFonts w:ascii="Times" w:hAnsi="Times"/>
                <w:vertAlign w:val="superscript"/>
              </w:rPr>
            </w:pPr>
            <w:r w:rsidRPr="00E2771E">
              <w:t>Incremental cost</w:t>
            </w:r>
            <w:r>
              <w:t xml:space="preserve"> per responder</w:t>
            </w:r>
            <w:r>
              <w:rPr>
                <w:vertAlign w:val="superscript"/>
              </w:rPr>
              <w:t>a</w:t>
            </w:r>
          </w:p>
        </w:tc>
        <w:tc>
          <w:tcPr>
            <w:tcW w:w="838" w:type="pct"/>
            <w:vAlign w:val="center"/>
          </w:tcPr>
          <w:p w14:paraId="6990BD98" w14:textId="28BCEA12" w:rsidR="00D41BD9" w:rsidRPr="00E2771E" w:rsidRDefault="00D41BD9" w:rsidP="00D41BD9">
            <w:pPr>
              <w:pStyle w:val="TableText0"/>
              <w:jc w:val="center"/>
              <w:rPr>
                <w:rFonts w:ascii="Times" w:hAnsi="Times"/>
              </w:rPr>
            </w:pPr>
            <w:r w:rsidRPr="00FD1D42">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p>
        </w:tc>
      </w:tr>
      <w:tr w:rsidR="00D41BD9" w:rsidRPr="00D1078F" w14:paraId="73345F50" w14:textId="77777777" w:rsidTr="00D41BD9">
        <w:trPr>
          <w:cantSplit/>
        </w:trPr>
        <w:tc>
          <w:tcPr>
            <w:tcW w:w="5000" w:type="pct"/>
            <w:gridSpan w:val="4"/>
            <w:vAlign w:val="center"/>
          </w:tcPr>
          <w:p w14:paraId="0607C59A" w14:textId="77777777" w:rsidR="00D41BD9" w:rsidRPr="00597BF9" w:rsidRDefault="00D41BD9" w:rsidP="00D41BD9">
            <w:pPr>
              <w:pStyle w:val="In-tableHeading"/>
            </w:pPr>
            <w:r w:rsidRPr="00597BF9">
              <w:t xml:space="preserve">Step 2: </w:t>
            </w:r>
            <w:r>
              <w:t>S</w:t>
            </w:r>
            <w:r w:rsidRPr="00FD1D42">
              <w:t>tudy data transformed into LYG (30 weeks)</w:t>
            </w:r>
          </w:p>
        </w:tc>
      </w:tr>
      <w:tr w:rsidR="00D41BD9" w:rsidRPr="00E2771E" w14:paraId="0681CCCA" w14:textId="77777777" w:rsidTr="00D41BD9">
        <w:trPr>
          <w:cantSplit/>
        </w:trPr>
        <w:tc>
          <w:tcPr>
            <w:tcW w:w="1529" w:type="pct"/>
            <w:vAlign w:val="center"/>
          </w:tcPr>
          <w:p w14:paraId="3B396D02" w14:textId="77777777" w:rsidR="00D41BD9" w:rsidRPr="00FD1D42" w:rsidRDefault="00D41BD9" w:rsidP="00D41BD9">
            <w:pPr>
              <w:pStyle w:val="TableText0"/>
            </w:pPr>
            <w:r w:rsidRPr="00FD1D42">
              <w:t>Costs</w:t>
            </w:r>
          </w:p>
        </w:tc>
        <w:tc>
          <w:tcPr>
            <w:tcW w:w="1359" w:type="pct"/>
            <w:vAlign w:val="center"/>
          </w:tcPr>
          <w:p w14:paraId="2517C3C3" w14:textId="266B6C0B" w:rsidR="00D41BD9" w:rsidRPr="00FD1D42" w:rsidRDefault="00D41BD9" w:rsidP="00D41BD9">
            <w:pPr>
              <w:pStyle w:val="TableText0"/>
              <w:jc w:val="center"/>
            </w:pPr>
            <w:r w:rsidRPr="00315DA6">
              <w:rPr>
                <w:rFonts w:cs="Calibri"/>
                <w:color w:val="404040"/>
                <w:szCs w:val="20"/>
              </w:rPr>
              <w:t>$</w:t>
            </w:r>
            <w:r w:rsidR="00414250" w:rsidRPr="00414250">
              <w:rPr>
                <w:rFonts w:cs="Calibri"/>
                <w:color w:val="404040"/>
                <w:szCs w:val="20"/>
                <w:shd w:val="solid" w:color="000000" w:fill="000000"/>
                <w14:textFill>
                  <w14:solidFill>
                    <w14:srgbClr w14:val="404040">
                      <w14:alpha w14:val="100000"/>
                    </w14:srgbClr>
                  </w14:solidFill>
                </w14:textFill>
              </w:rPr>
              <w:t>|</w:t>
            </w:r>
          </w:p>
        </w:tc>
        <w:tc>
          <w:tcPr>
            <w:tcW w:w="1274" w:type="pct"/>
            <w:vAlign w:val="center"/>
          </w:tcPr>
          <w:p w14:paraId="1BBDE81C" w14:textId="77777777" w:rsidR="00D41BD9" w:rsidRPr="00FD1D42" w:rsidRDefault="00D41BD9" w:rsidP="00D41BD9">
            <w:pPr>
              <w:pStyle w:val="TableText0"/>
              <w:jc w:val="center"/>
            </w:pPr>
            <w:r w:rsidRPr="00315DA6">
              <w:rPr>
                <w:color w:val="000000"/>
                <w:szCs w:val="18"/>
              </w:rPr>
              <w:t>$7,346</w:t>
            </w:r>
          </w:p>
        </w:tc>
        <w:tc>
          <w:tcPr>
            <w:tcW w:w="838" w:type="pct"/>
            <w:vAlign w:val="center"/>
          </w:tcPr>
          <w:p w14:paraId="5F7E2C99" w14:textId="758EA23F" w:rsidR="00D41BD9" w:rsidRPr="00FD1D42" w:rsidRDefault="00D41BD9" w:rsidP="00D41BD9">
            <w:pPr>
              <w:pStyle w:val="TableText0"/>
              <w:jc w:val="center"/>
            </w:pPr>
            <w:r w:rsidRPr="00315DA6">
              <w:rPr>
                <w:rFonts w:cs="Arial"/>
                <w:color w:val="222222"/>
                <w:szCs w:val="21"/>
              </w:rPr>
              <w:t>$</w:t>
            </w:r>
            <w:r w:rsidR="00414250" w:rsidRPr="00414250">
              <w:rPr>
                <w:rFonts w:cs="Arial"/>
                <w:color w:val="222222"/>
                <w:szCs w:val="21"/>
                <w:shd w:val="solid" w:color="000000" w:fill="000000"/>
                <w14:textFill>
                  <w14:solidFill>
                    <w14:srgbClr w14:val="222222">
                      <w14:alpha w14:val="100000"/>
                    </w14:srgbClr>
                  </w14:solidFill>
                </w14:textFill>
              </w:rPr>
              <w:t>|</w:t>
            </w:r>
          </w:p>
        </w:tc>
      </w:tr>
      <w:tr w:rsidR="00D41BD9" w:rsidRPr="00E2771E" w14:paraId="4857E6CC" w14:textId="77777777" w:rsidTr="00D41BD9">
        <w:trPr>
          <w:cantSplit/>
        </w:trPr>
        <w:tc>
          <w:tcPr>
            <w:tcW w:w="1529" w:type="pct"/>
            <w:vAlign w:val="center"/>
          </w:tcPr>
          <w:p w14:paraId="3C9A27BE" w14:textId="77777777" w:rsidR="00D41BD9" w:rsidRPr="00FD1D42" w:rsidRDefault="00D41BD9" w:rsidP="00D41BD9">
            <w:pPr>
              <w:pStyle w:val="TableText0"/>
            </w:pPr>
            <w:r>
              <w:t>LYG</w:t>
            </w:r>
          </w:p>
        </w:tc>
        <w:tc>
          <w:tcPr>
            <w:tcW w:w="1359" w:type="pct"/>
            <w:vAlign w:val="center"/>
          </w:tcPr>
          <w:p w14:paraId="00F36D02" w14:textId="77777777" w:rsidR="00D41BD9" w:rsidRPr="00FD1D42" w:rsidRDefault="00D41BD9" w:rsidP="00D41BD9">
            <w:pPr>
              <w:pStyle w:val="TableText0"/>
              <w:jc w:val="center"/>
            </w:pPr>
            <w:r>
              <w:rPr>
                <w:color w:val="000000"/>
                <w:szCs w:val="18"/>
              </w:rPr>
              <w:t>0.5734</w:t>
            </w:r>
          </w:p>
        </w:tc>
        <w:tc>
          <w:tcPr>
            <w:tcW w:w="1274" w:type="pct"/>
            <w:vAlign w:val="center"/>
          </w:tcPr>
          <w:p w14:paraId="15A9960F" w14:textId="77777777" w:rsidR="00D41BD9" w:rsidRPr="00FD1D42" w:rsidRDefault="00D41BD9" w:rsidP="00D41BD9">
            <w:pPr>
              <w:pStyle w:val="TableText0"/>
              <w:jc w:val="center"/>
            </w:pPr>
            <w:r w:rsidRPr="00315DA6">
              <w:rPr>
                <w:color w:val="000000"/>
                <w:szCs w:val="18"/>
              </w:rPr>
              <w:t>0.5732</w:t>
            </w:r>
          </w:p>
        </w:tc>
        <w:tc>
          <w:tcPr>
            <w:tcW w:w="838" w:type="pct"/>
            <w:vAlign w:val="center"/>
          </w:tcPr>
          <w:p w14:paraId="25EE76FF" w14:textId="77777777" w:rsidR="00D41BD9" w:rsidRPr="00FD1D42" w:rsidRDefault="00D41BD9" w:rsidP="00D41BD9">
            <w:pPr>
              <w:pStyle w:val="TableText0"/>
              <w:jc w:val="center"/>
            </w:pPr>
            <w:r w:rsidRPr="00315DA6">
              <w:rPr>
                <w:color w:val="000000"/>
                <w:szCs w:val="18"/>
              </w:rPr>
              <w:t>0.0002</w:t>
            </w:r>
          </w:p>
        </w:tc>
      </w:tr>
      <w:tr w:rsidR="00D41BD9" w:rsidRPr="00EE64D8" w14:paraId="26B2A76A" w14:textId="77777777" w:rsidTr="00D41BD9">
        <w:trPr>
          <w:cantSplit/>
        </w:trPr>
        <w:tc>
          <w:tcPr>
            <w:tcW w:w="4162" w:type="pct"/>
            <w:gridSpan w:val="3"/>
            <w:vAlign w:val="center"/>
          </w:tcPr>
          <w:p w14:paraId="6F3DED3F" w14:textId="77777777" w:rsidR="00D41BD9" w:rsidRPr="00FD1D42" w:rsidRDefault="00D41BD9" w:rsidP="00D41BD9">
            <w:pPr>
              <w:pStyle w:val="TableText0"/>
            </w:pPr>
            <w:r w:rsidRPr="00FD1D42">
              <w:t>Incremental cost</w:t>
            </w:r>
            <w:r>
              <w:t xml:space="preserve"> per LYG</w:t>
            </w:r>
          </w:p>
        </w:tc>
        <w:tc>
          <w:tcPr>
            <w:tcW w:w="838" w:type="pct"/>
            <w:vAlign w:val="center"/>
          </w:tcPr>
          <w:p w14:paraId="35C376D5" w14:textId="5D255982" w:rsidR="00D41BD9" w:rsidRPr="00414250" w:rsidRDefault="00D41BD9" w:rsidP="00D41BD9">
            <w:pPr>
              <w:pStyle w:val="TableText0"/>
              <w:jc w:val="center"/>
              <w:rPr>
                <w:vertAlign w:val="superscript"/>
              </w:rPr>
            </w:pPr>
            <w:r w:rsidRPr="00315DA6">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r w:rsidR="00CE1FF3">
              <w:rPr>
                <w:color w:val="000000"/>
                <w:szCs w:val="18"/>
                <w:vertAlign w:val="superscript"/>
              </w:rPr>
              <w:t>1</w:t>
            </w:r>
          </w:p>
        </w:tc>
      </w:tr>
      <w:tr w:rsidR="00D41BD9" w:rsidRPr="00D1078F" w14:paraId="18C635B9" w14:textId="77777777" w:rsidTr="00D41BD9">
        <w:trPr>
          <w:cantSplit/>
        </w:trPr>
        <w:tc>
          <w:tcPr>
            <w:tcW w:w="5000" w:type="pct"/>
            <w:gridSpan w:val="4"/>
            <w:vAlign w:val="center"/>
          </w:tcPr>
          <w:p w14:paraId="2ECD65C6" w14:textId="77777777" w:rsidR="00D41BD9" w:rsidRPr="00FD1D42" w:rsidRDefault="00D41BD9" w:rsidP="00D41BD9">
            <w:pPr>
              <w:pStyle w:val="In-tableHeading"/>
            </w:pPr>
            <w:r w:rsidRPr="00FD1D42">
              <w:t xml:space="preserve">Step 3: </w:t>
            </w:r>
            <w:r>
              <w:t>Applied utility values (30 weeks)</w:t>
            </w:r>
          </w:p>
        </w:tc>
      </w:tr>
      <w:tr w:rsidR="00D41BD9" w:rsidRPr="00E2771E" w14:paraId="2663ACB2" w14:textId="77777777" w:rsidTr="00D41BD9">
        <w:trPr>
          <w:cantSplit/>
        </w:trPr>
        <w:tc>
          <w:tcPr>
            <w:tcW w:w="1529" w:type="pct"/>
            <w:vAlign w:val="center"/>
          </w:tcPr>
          <w:p w14:paraId="0707B70D" w14:textId="77777777" w:rsidR="00D41BD9" w:rsidRPr="00FD1D42" w:rsidRDefault="00D41BD9" w:rsidP="00D41BD9">
            <w:pPr>
              <w:pStyle w:val="TableText0"/>
            </w:pPr>
            <w:r w:rsidRPr="00FD1D42">
              <w:t>Costs</w:t>
            </w:r>
          </w:p>
        </w:tc>
        <w:tc>
          <w:tcPr>
            <w:tcW w:w="1359" w:type="pct"/>
            <w:vAlign w:val="center"/>
          </w:tcPr>
          <w:p w14:paraId="4E063414" w14:textId="31006488" w:rsidR="00D41BD9" w:rsidRPr="00FD1D42" w:rsidRDefault="00D41BD9" w:rsidP="00D41BD9">
            <w:pPr>
              <w:pStyle w:val="TableText0"/>
              <w:jc w:val="center"/>
            </w:pPr>
            <w:r w:rsidRPr="00315DA6">
              <w:rPr>
                <w:rFonts w:cs="Calibri"/>
                <w:color w:val="404040"/>
                <w:szCs w:val="20"/>
              </w:rPr>
              <w:t>$</w:t>
            </w:r>
            <w:r w:rsidR="00414250" w:rsidRPr="00414250">
              <w:rPr>
                <w:rFonts w:cs="Calibri"/>
                <w:color w:val="404040"/>
                <w:szCs w:val="20"/>
                <w:shd w:val="solid" w:color="000000" w:fill="000000"/>
                <w14:textFill>
                  <w14:solidFill>
                    <w14:srgbClr w14:val="404040">
                      <w14:alpha w14:val="100000"/>
                    </w14:srgbClr>
                  </w14:solidFill>
                </w14:textFill>
              </w:rPr>
              <w:t>|</w:t>
            </w:r>
          </w:p>
        </w:tc>
        <w:tc>
          <w:tcPr>
            <w:tcW w:w="1274" w:type="pct"/>
            <w:vAlign w:val="center"/>
          </w:tcPr>
          <w:p w14:paraId="5F08D29C" w14:textId="77777777" w:rsidR="00D41BD9" w:rsidRPr="00FD1D42" w:rsidRDefault="00D41BD9" w:rsidP="00D41BD9">
            <w:pPr>
              <w:pStyle w:val="TableText0"/>
              <w:jc w:val="center"/>
            </w:pPr>
            <w:r w:rsidRPr="00315DA6">
              <w:rPr>
                <w:color w:val="000000"/>
                <w:szCs w:val="18"/>
              </w:rPr>
              <w:t>$7,346</w:t>
            </w:r>
          </w:p>
        </w:tc>
        <w:tc>
          <w:tcPr>
            <w:tcW w:w="838" w:type="pct"/>
            <w:vAlign w:val="center"/>
          </w:tcPr>
          <w:p w14:paraId="7084815C" w14:textId="273F567B" w:rsidR="00D41BD9" w:rsidRPr="00FD1D42" w:rsidRDefault="00D41BD9" w:rsidP="00D41BD9">
            <w:pPr>
              <w:pStyle w:val="TableText0"/>
              <w:jc w:val="center"/>
            </w:pPr>
            <w:r w:rsidRPr="00315DA6">
              <w:rPr>
                <w:rFonts w:cs="Arial"/>
                <w:color w:val="222222"/>
                <w:szCs w:val="21"/>
              </w:rPr>
              <w:t>$</w:t>
            </w:r>
            <w:r w:rsidR="00414250" w:rsidRPr="00414250">
              <w:rPr>
                <w:rFonts w:cs="Arial"/>
                <w:color w:val="222222"/>
                <w:szCs w:val="21"/>
                <w:shd w:val="solid" w:color="000000" w:fill="000000"/>
                <w14:textFill>
                  <w14:solidFill>
                    <w14:srgbClr w14:val="222222">
                      <w14:alpha w14:val="100000"/>
                    </w14:srgbClr>
                  </w14:solidFill>
                </w14:textFill>
              </w:rPr>
              <w:t>|</w:t>
            </w:r>
          </w:p>
        </w:tc>
      </w:tr>
      <w:tr w:rsidR="00D41BD9" w:rsidRPr="00E2771E" w14:paraId="5F15E28D" w14:textId="77777777" w:rsidTr="00D41BD9">
        <w:trPr>
          <w:cantSplit/>
        </w:trPr>
        <w:tc>
          <w:tcPr>
            <w:tcW w:w="1529" w:type="pct"/>
            <w:vAlign w:val="center"/>
          </w:tcPr>
          <w:p w14:paraId="58E4EF52" w14:textId="1E2AA48C" w:rsidR="00D41BD9" w:rsidRPr="00FD1D42" w:rsidRDefault="00D41BD9" w:rsidP="00D41BD9">
            <w:pPr>
              <w:pStyle w:val="TableText0"/>
            </w:pPr>
            <w:r>
              <w:t>QALY</w:t>
            </w:r>
            <w:r w:rsidR="00CF0983">
              <w:t xml:space="preserve">s </w:t>
            </w:r>
          </w:p>
        </w:tc>
        <w:tc>
          <w:tcPr>
            <w:tcW w:w="1359" w:type="pct"/>
            <w:vAlign w:val="center"/>
          </w:tcPr>
          <w:p w14:paraId="61BE01A4" w14:textId="77777777" w:rsidR="00D41BD9" w:rsidRPr="00FD1D42" w:rsidRDefault="00D41BD9" w:rsidP="00D41BD9">
            <w:pPr>
              <w:pStyle w:val="TableText0"/>
              <w:jc w:val="center"/>
            </w:pPr>
            <w:r w:rsidRPr="00315DA6">
              <w:rPr>
                <w:rFonts w:cs="Arial"/>
                <w:color w:val="000000"/>
                <w:szCs w:val="18"/>
              </w:rPr>
              <w:t>0.49</w:t>
            </w:r>
          </w:p>
        </w:tc>
        <w:tc>
          <w:tcPr>
            <w:tcW w:w="1274" w:type="pct"/>
            <w:vAlign w:val="center"/>
          </w:tcPr>
          <w:p w14:paraId="5151DD26" w14:textId="77777777" w:rsidR="00D41BD9" w:rsidRPr="00FD1D42" w:rsidRDefault="00D41BD9" w:rsidP="00D41BD9">
            <w:pPr>
              <w:pStyle w:val="TableText0"/>
              <w:jc w:val="center"/>
            </w:pPr>
            <w:r w:rsidRPr="00315DA6">
              <w:rPr>
                <w:rFonts w:cs="Arial"/>
                <w:color w:val="000000"/>
                <w:szCs w:val="18"/>
              </w:rPr>
              <w:t>0.47</w:t>
            </w:r>
          </w:p>
        </w:tc>
        <w:tc>
          <w:tcPr>
            <w:tcW w:w="838" w:type="pct"/>
            <w:vAlign w:val="center"/>
          </w:tcPr>
          <w:p w14:paraId="4C9DDC36" w14:textId="77777777" w:rsidR="00D41BD9" w:rsidRPr="00FD1D42" w:rsidRDefault="00D41BD9" w:rsidP="00D41BD9">
            <w:pPr>
              <w:pStyle w:val="TableText0"/>
              <w:jc w:val="center"/>
            </w:pPr>
            <w:r w:rsidRPr="00315DA6">
              <w:rPr>
                <w:rFonts w:cs="Arial"/>
                <w:color w:val="000000"/>
                <w:szCs w:val="18"/>
              </w:rPr>
              <w:t>0.02</w:t>
            </w:r>
          </w:p>
        </w:tc>
      </w:tr>
      <w:tr w:rsidR="00D41BD9" w:rsidRPr="00E2771E" w14:paraId="2A5244AD" w14:textId="77777777" w:rsidTr="00D41BD9">
        <w:trPr>
          <w:cantSplit/>
        </w:trPr>
        <w:tc>
          <w:tcPr>
            <w:tcW w:w="4162" w:type="pct"/>
            <w:gridSpan w:val="3"/>
            <w:vAlign w:val="center"/>
          </w:tcPr>
          <w:p w14:paraId="65A11A61" w14:textId="64F74BB3" w:rsidR="00D41BD9" w:rsidRPr="00FD1D42" w:rsidRDefault="00D41BD9" w:rsidP="00D41BD9">
            <w:pPr>
              <w:pStyle w:val="TableText0"/>
            </w:pPr>
            <w:r w:rsidRPr="00FD1D42">
              <w:t>Incremental cost</w:t>
            </w:r>
            <w:r>
              <w:t xml:space="preserve"> per QALY</w:t>
            </w:r>
            <w:r w:rsidR="00CF0983">
              <w:t xml:space="preserve"> gained</w:t>
            </w:r>
          </w:p>
        </w:tc>
        <w:tc>
          <w:tcPr>
            <w:tcW w:w="838" w:type="pct"/>
            <w:vAlign w:val="center"/>
          </w:tcPr>
          <w:p w14:paraId="707DEF4D" w14:textId="7C123371" w:rsidR="00D41BD9" w:rsidRPr="00414250" w:rsidRDefault="00D41BD9" w:rsidP="00D41BD9">
            <w:pPr>
              <w:pStyle w:val="TableText0"/>
              <w:jc w:val="center"/>
              <w:rPr>
                <w:vertAlign w:val="superscript"/>
              </w:rPr>
            </w:pPr>
            <w:r>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r w:rsidR="00CE1FF3">
              <w:rPr>
                <w:color w:val="000000"/>
                <w:szCs w:val="18"/>
                <w:vertAlign w:val="superscript"/>
              </w:rPr>
              <w:t>2</w:t>
            </w:r>
          </w:p>
        </w:tc>
      </w:tr>
      <w:tr w:rsidR="00D41BD9" w:rsidRPr="00D1078F" w14:paraId="68EBABF5" w14:textId="77777777" w:rsidTr="00D41BD9">
        <w:trPr>
          <w:cantSplit/>
        </w:trPr>
        <w:tc>
          <w:tcPr>
            <w:tcW w:w="5000" w:type="pct"/>
            <w:gridSpan w:val="4"/>
            <w:vAlign w:val="center"/>
          </w:tcPr>
          <w:p w14:paraId="3121634F" w14:textId="77777777" w:rsidR="00D41BD9" w:rsidRPr="00597BF9" w:rsidRDefault="00D41BD9" w:rsidP="00D41BD9">
            <w:pPr>
              <w:pStyle w:val="In-tableHeading"/>
            </w:pPr>
            <w:r w:rsidRPr="00597BF9">
              <w:t xml:space="preserve">Step 4: </w:t>
            </w:r>
            <w:r>
              <w:t>Extrapolating to time horizon of 25 years</w:t>
            </w:r>
          </w:p>
        </w:tc>
      </w:tr>
      <w:tr w:rsidR="00D41BD9" w:rsidRPr="00E2771E" w14:paraId="27ECD33F" w14:textId="77777777" w:rsidTr="00D41BD9">
        <w:trPr>
          <w:cantSplit/>
        </w:trPr>
        <w:tc>
          <w:tcPr>
            <w:tcW w:w="1529" w:type="pct"/>
            <w:vAlign w:val="center"/>
          </w:tcPr>
          <w:p w14:paraId="3430C32D" w14:textId="77777777" w:rsidR="00D41BD9" w:rsidRPr="00FD1D42" w:rsidRDefault="00D41BD9" w:rsidP="00D41BD9">
            <w:pPr>
              <w:pStyle w:val="TableText0"/>
            </w:pPr>
            <w:r w:rsidRPr="00FD1D42">
              <w:t>Costs</w:t>
            </w:r>
          </w:p>
        </w:tc>
        <w:tc>
          <w:tcPr>
            <w:tcW w:w="1359" w:type="pct"/>
            <w:vAlign w:val="center"/>
          </w:tcPr>
          <w:p w14:paraId="4DBC61C6" w14:textId="6672BFEE" w:rsidR="00D41BD9" w:rsidRPr="00FD1D42" w:rsidRDefault="00D41BD9" w:rsidP="00D41BD9">
            <w:pPr>
              <w:pStyle w:val="TableText0"/>
              <w:jc w:val="center"/>
            </w:pPr>
            <w:r w:rsidRPr="00315DA6">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p>
        </w:tc>
        <w:tc>
          <w:tcPr>
            <w:tcW w:w="1274" w:type="pct"/>
            <w:vAlign w:val="center"/>
          </w:tcPr>
          <w:p w14:paraId="4EFFCD42" w14:textId="77777777" w:rsidR="00D41BD9" w:rsidRPr="00FD1D42" w:rsidRDefault="00D41BD9" w:rsidP="00D41BD9">
            <w:pPr>
              <w:pStyle w:val="TableText0"/>
              <w:jc w:val="center"/>
            </w:pPr>
            <w:r w:rsidRPr="00315DA6">
              <w:rPr>
                <w:rFonts w:cs="Arial"/>
                <w:color w:val="222222"/>
                <w:szCs w:val="21"/>
              </w:rPr>
              <w:t>$206,385</w:t>
            </w:r>
          </w:p>
        </w:tc>
        <w:tc>
          <w:tcPr>
            <w:tcW w:w="838" w:type="pct"/>
            <w:vAlign w:val="center"/>
          </w:tcPr>
          <w:p w14:paraId="46723F22" w14:textId="40E23C1B" w:rsidR="00D41BD9" w:rsidRPr="00FD1D42" w:rsidRDefault="00D41BD9" w:rsidP="00D41BD9">
            <w:pPr>
              <w:pStyle w:val="TableText0"/>
              <w:jc w:val="center"/>
            </w:pPr>
            <w:r w:rsidRPr="00315DA6">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p>
        </w:tc>
      </w:tr>
      <w:tr w:rsidR="00D41BD9" w:rsidRPr="00E2771E" w14:paraId="3E1883CD" w14:textId="77777777" w:rsidTr="00D41BD9">
        <w:trPr>
          <w:cantSplit/>
        </w:trPr>
        <w:tc>
          <w:tcPr>
            <w:tcW w:w="1529" w:type="pct"/>
            <w:vAlign w:val="center"/>
          </w:tcPr>
          <w:p w14:paraId="4370CDD6" w14:textId="7E1FFEBF" w:rsidR="00D41BD9" w:rsidRPr="00FD1D42" w:rsidRDefault="00D41BD9" w:rsidP="00D41BD9">
            <w:pPr>
              <w:pStyle w:val="TableText0"/>
            </w:pPr>
            <w:r>
              <w:t>QALY</w:t>
            </w:r>
            <w:r w:rsidR="00CF0983">
              <w:t>s</w:t>
            </w:r>
          </w:p>
        </w:tc>
        <w:tc>
          <w:tcPr>
            <w:tcW w:w="1359" w:type="pct"/>
            <w:vAlign w:val="center"/>
          </w:tcPr>
          <w:p w14:paraId="59955C30" w14:textId="77777777" w:rsidR="00D41BD9" w:rsidRPr="00FD1D42" w:rsidRDefault="00D41BD9" w:rsidP="00D41BD9">
            <w:pPr>
              <w:pStyle w:val="TableText0"/>
              <w:jc w:val="center"/>
            </w:pPr>
            <w:r w:rsidRPr="00315DA6">
              <w:rPr>
                <w:rFonts w:cs="Arial"/>
                <w:color w:val="000000"/>
                <w:szCs w:val="18"/>
              </w:rPr>
              <w:t>10.61</w:t>
            </w:r>
          </w:p>
        </w:tc>
        <w:tc>
          <w:tcPr>
            <w:tcW w:w="1274" w:type="pct"/>
            <w:vAlign w:val="center"/>
          </w:tcPr>
          <w:p w14:paraId="51FE8849" w14:textId="77777777" w:rsidR="00D41BD9" w:rsidRPr="00FD1D42" w:rsidRDefault="00D41BD9" w:rsidP="00D41BD9">
            <w:pPr>
              <w:pStyle w:val="TableText0"/>
              <w:jc w:val="center"/>
            </w:pPr>
            <w:r w:rsidRPr="00315DA6">
              <w:rPr>
                <w:rFonts w:cs="Arial"/>
                <w:color w:val="000000"/>
                <w:szCs w:val="18"/>
              </w:rPr>
              <w:t>9.64</w:t>
            </w:r>
          </w:p>
        </w:tc>
        <w:tc>
          <w:tcPr>
            <w:tcW w:w="838" w:type="pct"/>
            <w:vAlign w:val="center"/>
          </w:tcPr>
          <w:p w14:paraId="2CBF331C" w14:textId="77777777" w:rsidR="00D41BD9" w:rsidRPr="00FD1D42" w:rsidRDefault="00D41BD9" w:rsidP="00D41BD9">
            <w:pPr>
              <w:pStyle w:val="TableText0"/>
              <w:jc w:val="center"/>
            </w:pPr>
            <w:r w:rsidRPr="00315DA6">
              <w:rPr>
                <w:rFonts w:cs="Arial"/>
                <w:color w:val="000000"/>
                <w:szCs w:val="18"/>
              </w:rPr>
              <w:t>0.98</w:t>
            </w:r>
          </w:p>
        </w:tc>
      </w:tr>
      <w:tr w:rsidR="00D41BD9" w:rsidRPr="00E2771E" w14:paraId="7177D97F" w14:textId="77777777" w:rsidTr="00D41BD9">
        <w:trPr>
          <w:cantSplit/>
        </w:trPr>
        <w:tc>
          <w:tcPr>
            <w:tcW w:w="4162" w:type="pct"/>
            <w:gridSpan w:val="3"/>
            <w:vAlign w:val="center"/>
          </w:tcPr>
          <w:p w14:paraId="4D852604" w14:textId="2C7CD4BB" w:rsidR="00D41BD9" w:rsidRPr="00FD1D42" w:rsidRDefault="00D41BD9" w:rsidP="00D41BD9">
            <w:pPr>
              <w:pStyle w:val="TableText0"/>
            </w:pPr>
            <w:r w:rsidRPr="00FD1D42">
              <w:t>Incremental cost</w:t>
            </w:r>
            <w:r>
              <w:t xml:space="preserve"> per QALY</w:t>
            </w:r>
            <w:r w:rsidR="00CF0983">
              <w:t xml:space="preserve"> gained</w:t>
            </w:r>
          </w:p>
        </w:tc>
        <w:tc>
          <w:tcPr>
            <w:tcW w:w="838" w:type="pct"/>
            <w:vAlign w:val="center"/>
          </w:tcPr>
          <w:p w14:paraId="0810396E" w14:textId="2FD47EE0" w:rsidR="00D41BD9" w:rsidRPr="00414250" w:rsidRDefault="00D41BD9" w:rsidP="00D41BD9">
            <w:pPr>
              <w:pStyle w:val="TableText0"/>
              <w:jc w:val="center"/>
              <w:rPr>
                <w:vertAlign w:val="superscript"/>
              </w:rPr>
            </w:pPr>
            <w:r>
              <w:rPr>
                <w:color w:val="000000"/>
                <w:szCs w:val="18"/>
              </w:rPr>
              <w:t>$</w:t>
            </w:r>
            <w:r w:rsidR="00414250" w:rsidRPr="00414250">
              <w:rPr>
                <w:color w:val="000000"/>
                <w:szCs w:val="18"/>
                <w:shd w:val="solid" w:color="000000" w:fill="000000"/>
                <w14:textFill>
                  <w14:solidFill>
                    <w14:srgbClr w14:val="000000">
                      <w14:alpha w14:val="100000"/>
                    </w14:srgbClr>
                  </w14:solidFill>
                </w14:textFill>
              </w:rPr>
              <w:t>|</w:t>
            </w:r>
            <w:r w:rsidR="00CE1FF3">
              <w:rPr>
                <w:color w:val="000000"/>
                <w:szCs w:val="18"/>
                <w:vertAlign w:val="superscript"/>
              </w:rPr>
              <w:t>3</w:t>
            </w:r>
          </w:p>
        </w:tc>
      </w:tr>
    </w:tbl>
    <w:p w14:paraId="1DDFC13E" w14:textId="77777777" w:rsidR="00D41BD9" w:rsidRDefault="00D41BD9" w:rsidP="00D41BD9">
      <w:pPr>
        <w:pStyle w:val="TableFooter"/>
      </w:pPr>
      <w:r>
        <w:t xml:space="preserve">Source: Table 108, p221 of the submission. </w:t>
      </w:r>
    </w:p>
    <w:p w14:paraId="2C0534C7" w14:textId="5CB6C216" w:rsidR="00D41BD9" w:rsidRPr="00B1011F" w:rsidRDefault="00D41BD9" w:rsidP="00D41BD9">
      <w:pPr>
        <w:pStyle w:val="TableFooter"/>
        <w:rPr>
          <w:sz w:val="20"/>
        </w:rPr>
      </w:pPr>
      <w:r>
        <w:t xml:space="preserve">BB = beta-blocker; </w:t>
      </w:r>
      <w:r w:rsidRPr="002A5121">
        <w:t>CCB = calcium channel blocker;</w:t>
      </w:r>
      <w:r>
        <w:t xml:space="preserve"> LYG = life year gained; MAVA = mavacamten; QALYG = quality-adjusted life year gained</w:t>
      </w:r>
    </w:p>
    <w:p w14:paraId="5EC6742F" w14:textId="374A3602" w:rsidR="00D41BD9" w:rsidRDefault="00D41BD9" w:rsidP="00D41BD9">
      <w:pPr>
        <w:pStyle w:val="TableFooter"/>
      </w:pPr>
      <w:r w:rsidRPr="00F169DB">
        <w:rPr>
          <w:vertAlign w:val="superscript"/>
        </w:rPr>
        <w:t>a</w:t>
      </w:r>
      <w:r>
        <w:t xml:space="preserve"> Proportion of responders, according to the primary composite endpoint in EXPLORER-HCM. </w:t>
      </w:r>
      <w:r w:rsidRPr="004009ED">
        <w:t>The composite endpoint was defined as either: 1) an improvement of at least 1.5</w:t>
      </w:r>
      <w:r w:rsidR="00432C1F">
        <w:t> </w:t>
      </w:r>
      <w:r w:rsidRPr="004009ED">
        <w:t xml:space="preserve">mL/kg/min in peak oxygen consumption </w:t>
      </w:r>
      <w:r>
        <w:t>(</w:t>
      </w:r>
      <w:r w:rsidRPr="004009ED">
        <w:t>pVO</w:t>
      </w:r>
      <w:r w:rsidRPr="004009ED">
        <w:rPr>
          <w:vertAlign w:val="subscript"/>
        </w:rPr>
        <w:t>2</w:t>
      </w:r>
      <w:r>
        <w:t>)</w:t>
      </w:r>
      <w:r w:rsidRPr="004009ED">
        <w:t xml:space="preserve"> and improvement of one or more </w:t>
      </w:r>
      <w:r>
        <w:t>New York Heart Association (</w:t>
      </w:r>
      <w:r w:rsidRPr="004009ED">
        <w:t>NYHA</w:t>
      </w:r>
      <w:r>
        <w:t>)</w:t>
      </w:r>
      <w:r w:rsidRPr="004009ED">
        <w:t xml:space="preserve"> class</w:t>
      </w:r>
      <w:r>
        <w:t>;</w:t>
      </w:r>
      <w:r w:rsidRPr="004009ED">
        <w:t xml:space="preserve"> or 2) an improvement of at least 3.0</w:t>
      </w:r>
      <w:r w:rsidR="00432C1F">
        <w:t> </w:t>
      </w:r>
      <w:r w:rsidRPr="004009ED">
        <w:t>mL/kg/min in pVO</w:t>
      </w:r>
      <w:r w:rsidRPr="004009ED">
        <w:rPr>
          <w:vertAlign w:val="subscript"/>
        </w:rPr>
        <w:t>2</w:t>
      </w:r>
      <w:r w:rsidRPr="004009ED">
        <w:t xml:space="preserve"> with no worsening in NYHA class, unless otherwise denoted. </w:t>
      </w:r>
    </w:p>
    <w:p w14:paraId="6A2D3727" w14:textId="77777777" w:rsidR="00CE1FF3" w:rsidRPr="009A6D58" w:rsidRDefault="00CE1FF3" w:rsidP="00CE1FF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3A9C8CE" w14:textId="6FFC3C4E" w:rsidR="00CE1FF3" w:rsidRPr="009A6D58" w:rsidRDefault="00CE1FF3" w:rsidP="00CE1FF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E1FF3">
        <w:rPr>
          <w:rFonts w:ascii="Arial Narrow" w:hAnsi="Arial Narrow"/>
          <w:i/>
          <w:sz w:val="18"/>
          <w:szCs w:val="18"/>
        </w:rPr>
        <w:t>&gt; $1,055,000</w:t>
      </w:r>
    </w:p>
    <w:p w14:paraId="0389676C" w14:textId="32824C78" w:rsidR="00CE1FF3" w:rsidRPr="009A6D58" w:rsidRDefault="00CE1FF3" w:rsidP="00CE1FF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53" w:name="_Hlk122597444"/>
      <w:r w:rsidRPr="00CE1FF3">
        <w:rPr>
          <w:rFonts w:ascii="Arial Narrow" w:hAnsi="Arial Narrow"/>
          <w:i/>
          <w:sz w:val="18"/>
          <w:szCs w:val="18"/>
        </w:rPr>
        <w:t>$555,000 to &lt; $655,000</w:t>
      </w:r>
      <w:bookmarkEnd w:id="53"/>
    </w:p>
    <w:p w14:paraId="495152E1" w14:textId="790E40B0" w:rsidR="00CE1FF3" w:rsidRDefault="00CE1FF3" w:rsidP="00CE1FF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793548">
        <w:rPr>
          <w:rFonts w:ascii="Arial Narrow" w:hAnsi="Arial Narrow"/>
          <w:i/>
          <w:sz w:val="18"/>
          <w:szCs w:val="18"/>
        </w:rPr>
        <w:t>$</w:t>
      </w:r>
      <w:r>
        <w:rPr>
          <w:rFonts w:ascii="Arial Narrow" w:hAnsi="Arial Narrow"/>
          <w:i/>
          <w:sz w:val="18"/>
          <w:szCs w:val="18"/>
        </w:rPr>
        <w:t>3</w:t>
      </w:r>
      <w:r w:rsidRPr="00793548">
        <w:rPr>
          <w:rFonts w:ascii="Arial Narrow" w:hAnsi="Arial Narrow"/>
          <w:i/>
          <w:sz w:val="18"/>
          <w:szCs w:val="18"/>
        </w:rPr>
        <w:t>5,000 to &lt; $</w:t>
      </w:r>
      <w:r>
        <w:rPr>
          <w:rFonts w:ascii="Arial Narrow" w:hAnsi="Arial Narrow"/>
          <w:i/>
          <w:sz w:val="18"/>
          <w:szCs w:val="18"/>
        </w:rPr>
        <w:t>4</w:t>
      </w:r>
      <w:r w:rsidRPr="00793548">
        <w:rPr>
          <w:rFonts w:ascii="Arial Narrow" w:hAnsi="Arial Narrow"/>
          <w:i/>
          <w:sz w:val="18"/>
          <w:szCs w:val="18"/>
        </w:rPr>
        <w:t>5,000</w:t>
      </w:r>
    </w:p>
    <w:p w14:paraId="0C7B1DA7" w14:textId="77777777" w:rsidR="00CE1FF3" w:rsidRDefault="00CE1FF3" w:rsidP="00D41BD9">
      <w:pPr>
        <w:pStyle w:val="TableFooter"/>
      </w:pPr>
    </w:p>
    <w:p w14:paraId="5EEA885A" w14:textId="3D1C89B0" w:rsidR="00D41BD9" w:rsidRPr="004009ED" w:rsidRDefault="00D41BD9" w:rsidP="00AF6A17">
      <w:pPr>
        <w:pStyle w:val="3-BodyText"/>
      </w:pPr>
      <w:r>
        <w:t>Results of the stepped economic evaluation indicate that the differences in LYs and QALYs gained between the two treatment arms during the 30-week trial treatment period were minimal (0.</w:t>
      </w:r>
      <w:r w:rsidR="00432C1F">
        <w:t>0002 </w:t>
      </w:r>
      <w:r>
        <w:t>LY and 0.</w:t>
      </w:r>
      <w:r w:rsidR="00432C1F">
        <w:t>02 </w:t>
      </w:r>
      <w:r>
        <w:t xml:space="preserve">QALY). </w:t>
      </w:r>
      <w:r w:rsidRPr="00B97950">
        <w:t xml:space="preserve">The extension of the time horizon from 30 weeks to 25 years </w:t>
      </w:r>
      <w:r>
        <w:t xml:space="preserve">greatly increased the incremental health outcomes; and the incremental costs increased beyond 30 weeks as well, but to a lesser extent. The long-term extrapolation period resulted in a more favourable ICER of </w:t>
      </w:r>
      <w:r w:rsidR="00CE1FF3" w:rsidRPr="00414250">
        <w:rPr>
          <w:iCs/>
        </w:rPr>
        <w:t>$35,000</w:t>
      </w:r>
      <w:r w:rsidR="00CE1FF3">
        <w:rPr>
          <w:iCs/>
        </w:rPr>
        <w:t> </w:t>
      </w:r>
      <w:r w:rsidR="00CE1FF3" w:rsidRPr="00414250">
        <w:rPr>
          <w:iCs/>
        </w:rPr>
        <w:t>to</w:t>
      </w:r>
      <w:r w:rsidR="00CE1FF3">
        <w:rPr>
          <w:iCs/>
        </w:rPr>
        <w:t xml:space="preserve"> </w:t>
      </w:r>
      <w:r w:rsidR="00CE1FF3" w:rsidRPr="00414250">
        <w:rPr>
          <w:iCs/>
        </w:rPr>
        <w:t>&lt;</w:t>
      </w:r>
      <w:r w:rsidR="00CE1FF3">
        <w:rPr>
          <w:iCs/>
        </w:rPr>
        <w:t> </w:t>
      </w:r>
      <w:r w:rsidR="00CE1FF3" w:rsidRPr="00414250">
        <w:rPr>
          <w:iCs/>
        </w:rPr>
        <w:t>$45,000</w:t>
      </w:r>
      <w:r>
        <w:t>/</w:t>
      </w:r>
      <w:r w:rsidRPr="00B97950">
        <w:t>QALY gained</w:t>
      </w:r>
      <w:r>
        <w:t xml:space="preserve">, compared with </w:t>
      </w:r>
      <w:r w:rsidR="00CE1FF3" w:rsidRPr="00414250">
        <w:rPr>
          <w:iCs/>
        </w:rPr>
        <w:t>$555,000 to &lt; $655,000</w:t>
      </w:r>
      <w:r>
        <w:t xml:space="preserve">/QALY gained at Week 30. </w:t>
      </w:r>
      <w:r w:rsidR="00073454">
        <w:t>The model resulted in close to one additional QALY gained, and yet was</w:t>
      </w:r>
      <w:r w:rsidRPr="00424AF9">
        <w:t xml:space="preserve"> based on a 38-week trial </w:t>
      </w:r>
      <w:r w:rsidR="009419D2" w:rsidRPr="00F72968">
        <w:rPr>
          <w:iCs/>
        </w:rPr>
        <w:t>(with only 30-weeks of active treatment in the mavacamten arm)</w:t>
      </w:r>
      <w:r w:rsidR="009419D2">
        <w:t xml:space="preserve"> </w:t>
      </w:r>
      <w:r w:rsidR="00DB569A">
        <w:t xml:space="preserve">and </w:t>
      </w:r>
      <w:r w:rsidRPr="00424AF9">
        <w:t xml:space="preserve">which didn’t attempt to measure a difference in survival outcomes. The transitions among NYHA health states were sourced from a relatively small number of patients in each health state, especially the higher states. </w:t>
      </w:r>
      <w:r w:rsidR="005D22EF">
        <w:t>Furthermore, a</w:t>
      </w:r>
      <w:r w:rsidRPr="00424AF9">
        <w:t xml:space="preserve"> number of assumptions/inputs used to determine the transition probabilities during the extrapolation period of the economic model were not well justified</w:t>
      </w:r>
      <w:r w:rsidR="00A2031F">
        <w:t xml:space="preserve"> (</w:t>
      </w:r>
      <w:r w:rsidR="005D22EF">
        <w:t xml:space="preserve">refer to </w:t>
      </w:r>
      <w:r w:rsidR="005D22EF">
        <w:fldChar w:fldCharType="begin"/>
      </w:r>
      <w:r w:rsidR="005D22EF">
        <w:instrText xml:space="preserve"> REF _Ref110507116 \h </w:instrText>
      </w:r>
      <w:r w:rsidR="005D22EF">
        <w:fldChar w:fldCharType="separate"/>
      </w:r>
      <w:r w:rsidR="00645E50">
        <w:t xml:space="preserve">Table </w:t>
      </w:r>
      <w:r w:rsidR="00645E50">
        <w:rPr>
          <w:noProof/>
        </w:rPr>
        <w:t>16</w:t>
      </w:r>
      <w:r w:rsidR="005D22EF">
        <w:fldChar w:fldCharType="end"/>
      </w:r>
      <w:r w:rsidR="005D22EF">
        <w:t>)</w:t>
      </w:r>
      <w:r w:rsidRPr="00424AF9">
        <w:t>.</w:t>
      </w:r>
      <w:r w:rsidR="00AF6A17">
        <w:t xml:space="preserve"> </w:t>
      </w:r>
    </w:p>
    <w:p w14:paraId="243245CF" w14:textId="6DF5CC87" w:rsidR="00D41BD9" w:rsidRPr="00D23D11" w:rsidRDefault="00D41BD9" w:rsidP="00D41BD9">
      <w:pPr>
        <w:pStyle w:val="3-BodyText"/>
      </w:pPr>
      <w:r>
        <w:t xml:space="preserve">The results of key sensitivity analyses presented in the submission </w:t>
      </w:r>
      <w:r w:rsidRPr="001969CE">
        <w:rPr>
          <w:iCs/>
        </w:rPr>
        <w:t xml:space="preserve">and the analyses performed during the evaluation, </w:t>
      </w:r>
      <w:r w:rsidRPr="00D23D11">
        <w:t xml:space="preserve">are summarised </w:t>
      </w:r>
      <w:r>
        <w:t xml:space="preserve">in </w:t>
      </w:r>
      <w:r>
        <w:fldChar w:fldCharType="begin"/>
      </w:r>
      <w:r>
        <w:instrText xml:space="preserve"> REF _Ref104804865 \h </w:instrText>
      </w:r>
      <w:r>
        <w:fldChar w:fldCharType="separate"/>
      </w:r>
      <w:r w:rsidR="00645E50">
        <w:t xml:space="preserve">Table </w:t>
      </w:r>
      <w:r w:rsidR="00645E50">
        <w:rPr>
          <w:noProof/>
        </w:rPr>
        <w:t>21</w:t>
      </w:r>
      <w:r>
        <w:fldChar w:fldCharType="end"/>
      </w:r>
      <w:r w:rsidRPr="00D23D11">
        <w:t>.</w:t>
      </w:r>
      <w:r>
        <w:t xml:space="preserve"> </w:t>
      </w:r>
    </w:p>
    <w:p w14:paraId="37ACEED7" w14:textId="6C3FF4C9" w:rsidR="00D41BD9" w:rsidRDefault="00D41BD9" w:rsidP="00D41BD9">
      <w:pPr>
        <w:pStyle w:val="Caption"/>
        <w:rPr>
          <w:rStyle w:val="CommentReference"/>
          <w:b/>
          <w:szCs w:val="24"/>
        </w:rPr>
      </w:pPr>
      <w:bookmarkStart w:id="54" w:name="_Ref104804865"/>
      <w:r>
        <w:lastRenderedPageBreak/>
        <w:t xml:space="preserve">Table </w:t>
      </w:r>
      <w:r w:rsidR="00645E50">
        <w:fldChar w:fldCharType="begin"/>
      </w:r>
      <w:r w:rsidR="00645E50">
        <w:instrText xml:space="preserve"> SEQ Table \* ARABIC </w:instrText>
      </w:r>
      <w:r w:rsidR="00645E50">
        <w:fldChar w:fldCharType="separate"/>
      </w:r>
      <w:r w:rsidR="00645E50">
        <w:rPr>
          <w:noProof/>
        </w:rPr>
        <w:t>21</w:t>
      </w:r>
      <w:r w:rsidR="00645E50">
        <w:rPr>
          <w:noProof/>
        </w:rPr>
        <w:fldChar w:fldCharType="end"/>
      </w:r>
      <w:bookmarkEnd w:id="54"/>
      <w:r>
        <w:t>:</w:t>
      </w:r>
      <w:r w:rsidRPr="00BB732D">
        <w:rPr>
          <w:rStyle w:val="CommentReference"/>
          <w:b/>
          <w:szCs w:val="24"/>
        </w:rPr>
        <w:t xml:space="preserve"> Sensitivity analyses</w:t>
      </w:r>
    </w:p>
    <w:tbl>
      <w:tblPr>
        <w:tblStyle w:val="PBACtable10"/>
        <w:tblW w:w="5000" w:type="pct"/>
        <w:shd w:val="clear" w:color="auto" w:fill="FFFFFF" w:themeFill="background1"/>
        <w:tblLayout w:type="fixed"/>
        <w:tblLook w:val="04A0" w:firstRow="1" w:lastRow="0" w:firstColumn="1" w:lastColumn="0" w:noHBand="0" w:noVBand="1"/>
      </w:tblPr>
      <w:tblGrid>
        <w:gridCol w:w="711"/>
        <w:gridCol w:w="22"/>
        <w:gridCol w:w="3920"/>
        <w:gridCol w:w="20"/>
        <w:gridCol w:w="992"/>
        <w:gridCol w:w="6"/>
        <w:gridCol w:w="1165"/>
        <w:gridCol w:w="105"/>
        <w:gridCol w:w="992"/>
        <w:gridCol w:w="67"/>
        <w:gridCol w:w="1017"/>
      </w:tblGrid>
      <w:tr w:rsidR="00D41BD9" w:rsidRPr="00786785" w14:paraId="4F7401C2" w14:textId="77777777" w:rsidTr="00414250">
        <w:tc>
          <w:tcPr>
            <w:tcW w:w="4653" w:type="dxa"/>
            <w:gridSpan w:val="3"/>
            <w:shd w:val="clear" w:color="auto" w:fill="FFFFFF" w:themeFill="background1"/>
            <w:vAlign w:val="center"/>
          </w:tcPr>
          <w:p w14:paraId="00538361" w14:textId="77777777" w:rsidR="00D41BD9" w:rsidRPr="00786785" w:rsidRDefault="00D41BD9" w:rsidP="00D41BD9">
            <w:pPr>
              <w:keepNext/>
              <w:rPr>
                <w:rFonts w:ascii="Arial Narrow" w:hAnsi="Arial Narrow"/>
                <w:color w:val="000000"/>
                <w:sz w:val="20"/>
                <w:szCs w:val="20"/>
              </w:rPr>
            </w:pPr>
            <w:r w:rsidRPr="009D0097">
              <w:rPr>
                <w:rFonts w:ascii="Arial Narrow" w:hAnsi="Arial Narrow"/>
                <w:b/>
                <w:sz w:val="20"/>
              </w:rPr>
              <w:t>Sensitivity analyses</w:t>
            </w:r>
          </w:p>
        </w:tc>
        <w:tc>
          <w:tcPr>
            <w:tcW w:w="1018" w:type="dxa"/>
            <w:gridSpan w:val="3"/>
            <w:tcBorders>
              <w:bottom w:val="single" w:sz="4" w:space="0" w:color="auto"/>
            </w:tcBorders>
            <w:shd w:val="clear" w:color="auto" w:fill="FFFFFF" w:themeFill="background1"/>
          </w:tcPr>
          <w:p w14:paraId="1EE3C87A" w14:textId="2F25D596" w:rsidR="00D41BD9" w:rsidRPr="00786785" w:rsidRDefault="00D41BD9" w:rsidP="00D41BD9">
            <w:pPr>
              <w:keepNext/>
              <w:jc w:val="center"/>
              <w:rPr>
                <w:rFonts w:ascii="Arial Narrow" w:hAnsi="Arial Narrow"/>
                <w:sz w:val="20"/>
                <w:szCs w:val="20"/>
              </w:rPr>
            </w:pPr>
            <w:r w:rsidRPr="009D0097">
              <w:rPr>
                <w:rFonts w:ascii="Arial Narrow" w:hAnsi="Arial Narrow"/>
                <w:b/>
                <w:sz w:val="20"/>
              </w:rPr>
              <w:t>Incr costs</w:t>
            </w:r>
            <w:r w:rsidR="00306CAE">
              <w:rPr>
                <w:rFonts w:ascii="Arial Narrow" w:hAnsi="Arial Narrow"/>
                <w:b/>
                <w:sz w:val="20"/>
              </w:rPr>
              <w:t xml:space="preserve"> ($)</w:t>
            </w:r>
          </w:p>
        </w:tc>
        <w:tc>
          <w:tcPr>
            <w:tcW w:w="1165" w:type="dxa"/>
            <w:shd w:val="clear" w:color="auto" w:fill="FFFFFF" w:themeFill="background1"/>
          </w:tcPr>
          <w:p w14:paraId="238EB88E" w14:textId="77777777" w:rsidR="00D41BD9" w:rsidRPr="00786785" w:rsidRDefault="00D41BD9" w:rsidP="00D41BD9">
            <w:pPr>
              <w:keepNext/>
              <w:ind w:left="-57" w:right="-57"/>
              <w:jc w:val="center"/>
              <w:rPr>
                <w:rFonts w:ascii="Arial Narrow" w:hAnsi="Arial Narrow"/>
                <w:sz w:val="20"/>
                <w:szCs w:val="20"/>
              </w:rPr>
            </w:pPr>
            <w:r w:rsidRPr="009D0097">
              <w:rPr>
                <w:rFonts w:ascii="Arial Narrow" w:hAnsi="Arial Narrow"/>
                <w:b/>
                <w:sz w:val="20"/>
              </w:rPr>
              <w:t>Incr QALYs</w:t>
            </w:r>
          </w:p>
        </w:tc>
        <w:tc>
          <w:tcPr>
            <w:tcW w:w="1164" w:type="dxa"/>
            <w:gridSpan w:val="3"/>
            <w:shd w:val="clear" w:color="auto" w:fill="FFFFFF" w:themeFill="background1"/>
          </w:tcPr>
          <w:p w14:paraId="354AE558" w14:textId="1CCD950B" w:rsidR="00D41BD9" w:rsidRPr="00786785" w:rsidRDefault="00D41BD9" w:rsidP="00D41BD9">
            <w:pPr>
              <w:keepNext/>
              <w:jc w:val="center"/>
              <w:rPr>
                <w:rFonts w:ascii="Arial Narrow" w:hAnsi="Arial Narrow"/>
                <w:color w:val="000000"/>
                <w:sz w:val="20"/>
                <w:szCs w:val="20"/>
              </w:rPr>
            </w:pPr>
            <w:r w:rsidRPr="009D0097">
              <w:rPr>
                <w:rFonts w:ascii="Arial Narrow" w:hAnsi="Arial Narrow"/>
                <w:b/>
                <w:sz w:val="20"/>
              </w:rPr>
              <w:t>ICER</w:t>
            </w:r>
            <w:r w:rsidR="00306CAE">
              <w:rPr>
                <w:rFonts w:ascii="Arial Narrow" w:hAnsi="Arial Narrow"/>
                <w:b/>
                <w:sz w:val="20"/>
              </w:rPr>
              <w:t xml:space="preserve"> ($/QALY)</w:t>
            </w:r>
          </w:p>
        </w:tc>
        <w:tc>
          <w:tcPr>
            <w:tcW w:w="1017" w:type="dxa"/>
            <w:shd w:val="clear" w:color="auto" w:fill="FFFFFF" w:themeFill="background1"/>
          </w:tcPr>
          <w:p w14:paraId="154D3EEF" w14:textId="77777777" w:rsidR="00D41BD9" w:rsidRPr="00786785" w:rsidRDefault="00D41BD9" w:rsidP="00D41BD9">
            <w:pPr>
              <w:keepNext/>
              <w:ind w:left="-57" w:right="-57"/>
              <w:jc w:val="center"/>
              <w:rPr>
                <w:rFonts w:ascii="Arial Narrow" w:hAnsi="Arial Narrow"/>
                <w:color w:val="000000"/>
                <w:sz w:val="20"/>
                <w:szCs w:val="20"/>
              </w:rPr>
            </w:pPr>
            <w:r>
              <w:rPr>
                <w:rFonts w:ascii="Arial Narrow" w:hAnsi="Arial Narrow"/>
                <w:b/>
                <w:sz w:val="20"/>
              </w:rPr>
              <w:t>% change to ICER</w:t>
            </w:r>
          </w:p>
        </w:tc>
      </w:tr>
      <w:tr w:rsidR="00D41BD9" w:rsidRPr="00786785" w14:paraId="79D6DBEF" w14:textId="77777777" w:rsidTr="00414250">
        <w:tc>
          <w:tcPr>
            <w:tcW w:w="4653" w:type="dxa"/>
            <w:gridSpan w:val="3"/>
            <w:shd w:val="clear" w:color="auto" w:fill="FFFFFF" w:themeFill="background1"/>
            <w:vAlign w:val="center"/>
          </w:tcPr>
          <w:p w14:paraId="30744C64" w14:textId="77777777" w:rsidR="00D41BD9" w:rsidRPr="00786785" w:rsidRDefault="00D41BD9" w:rsidP="00D41BD9">
            <w:pPr>
              <w:keepNext/>
              <w:rPr>
                <w:rFonts w:ascii="Arial Narrow" w:hAnsi="Arial Narrow"/>
                <w:color w:val="000000"/>
                <w:sz w:val="20"/>
                <w:szCs w:val="20"/>
              </w:rPr>
            </w:pPr>
            <w:r w:rsidRPr="009D0097">
              <w:rPr>
                <w:rFonts w:ascii="Arial Narrow" w:hAnsi="Arial Narrow"/>
                <w:b/>
                <w:sz w:val="20"/>
              </w:rPr>
              <w:t>Base case</w:t>
            </w:r>
          </w:p>
        </w:tc>
        <w:tc>
          <w:tcPr>
            <w:tcW w:w="1018" w:type="dxa"/>
            <w:gridSpan w:val="3"/>
            <w:shd w:val="solid" w:color="000000" w:fill="000000"/>
          </w:tcPr>
          <w:p w14:paraId="78A354CB" w14:textId="4988A3DE" w:rsidR="00D41BD9" w:rsidRPr="00414250" w:rsidRDefault="00414250" w:rsidP="00D41BD9">
            <w:pPr>
              <w:keepNext/>
              <w:jc w:val="center"/>
              <w:rPr>
                <w:rFonts w:ascii="Arial Narrow" w:hAnsi="Arial Narrow"/>
                <w:sz w:val="20"/>
                <w:szCs w:val="20"/>
              </w:rPr>
            </w:pPr>
            <w:r w:rsidRPr="00414250">
              <w:rPr>
                <w:rFonts w:ascii="Arial Narrow" w:hAnsi="Arial Narrow"/>
                <w:b/>
                <w:color w:val="000000"/>
                <w:spacing w:val="87"/>
                <w:sz w:val="20"/>
                <w:fitText w:val="188" w:id="-1305208565"/>
                <w14:textFill>
                  <w14:solidFill>
                    <w14:srgbClr w14:val="000000">
                      <w14:alpha w14:val="100000"/>
                    </w14:srgbClr>
                  </w14:solidFill>
                </w14:textFill>
              </w:rPr>
              <w:t>|</w:t>
            </w:r>
            <w:r w:rsidRPr="00414250">
              <w:rPr>
                <w:rFonts w:ascii="Arial Narrow" w:hAnsi="Arial Narrow"/>
                <w:b/>
                <w:color w:val="000000"/>
                <w:sz w:val="20"/>
                <w:fitText w:val="188" w:id="-1305208565"/>
                <w14:textFill>
                  <w14:solidFill>
                    <w14:srgbClr w14:val="000000">
                      <w14:alpha w14:val="100000"/>
                    </w14:srgbClr>
                  </w14:solidFill>
                </w14:textFill>
              </w:rPr>
              <w:t>|</w:t>
            </w:r>
          </w:p>
        </w:tc>
        <w:tc>
          <w:tcPr>
            <w:tcW w:w="1165" w:type="dxa"/>
            <w:shd w:val="clear" w:color="auto" w:fill="FFFFFF" w:themeFill="background1"/>
          </w:tcPr>
          <w:p w14:paraId="2CF8DFFD" w14:textId="77777777" w:rsidR="00D41BD9" w:rsidRPr="00786785" w:rsidRDefault="00D41BD9" w:rsidP="00D41BD9">
            <w:pPr>
              <w:keepNext/>
              <w:jc w:val="center"/>
              <w:rPr>
                <w:rFonts w:ascii="Arial Narrow" w:hAnsi="Arial Narrow"/>
                <w:sz w:val="20"/>
                <w:szCs w:val="20"/>
              </w:rPr>
            </w:pPr>
            <w:r w:rsidRPr="009D0097">
              <w:rPr>
                <w:rFonts w:ascii="Arial Narrow" w:hAnsi="Arial Narrow"/>
                <w:b/>
                <w:sz w:val="20"/>
              </w:rPr>
              <w:t>0.98</w:t>
            </w:r>
          </w:p>
        </w:tc>
        <w:tc>
          <w:tcPr>
            <w:tcW w:w="1164" w:type="dxa"/>
            <w:gridSpan w:val="3"/>
            <w:shd w:val="clear" w:color="auto" w:fill="FFFFFF" w:themeFill="background1"/>
          </w:tcPr>
          <w:p w14:paraId="62B5CAA5" w14:textId="74E3A4E4" w:rsidR="00D41BD9" w:rsidRPr="00414250" w:rsidRDefault="00414250" w:rsidP="00D41BD9">
            <w:pPr>
              <w:keepNext/>
              <w:jc w:val="center"/>
              <w:rPr>
                <w:rFonts w:ascii="Arial Narrow" w:hAnsi="Arial Narrow"/>
                <w:color w:val="000000"/>
                <w:sz w:val="20"/>
                <w:szCs w:val="20"/>
                <w:vertAlign w:val="superscript"/>
              </w:rPr>
            </w:pPr>
            <w:r w:rsidRPr="00414250">
              <w:rPr>
                <w:rFonts w:ascii="Arial Narrow" w:hAnsi="Arial Narrow" w:hint="eastAsia"/>
                <w:b/>
                <w:color w:val="000000"/>
                <w:w w:val="33"/>
                <w:sz w:val="20"/>
                <w:shd w:val="solid" w:color="000000" w:fill="000000"/>
                <w:fitText w:val="150" w:id="-1305208564"/>
                <w14:textFill>
                  <w14:solidFill>
                    <w14:srgbClr w14:val="000000">
                      <w14:alpha w14:val="100000"/>
                    </w14:srgbClr>
                  </w14:solidFill>
                </w14:textFill>
              </w:rPr>
              <w:t xml:space="preserve">　</w:t>
            </w:r>
            <w:r w:rsidRPr="00414250">
              <w:rPr>
                <w:rFonts w:ascii="Arial Narrow" w:hAnsi="Arial Narrow"/>
                <w:b/>
                <w:color w:val="000000"/>
                <w:w w:val="33"/>
                <w:sz w:val="20"/>
                <w:shd w:val="solid" w:color="000000" w:fill="000000"/>
                <w:fitText w:val="150" w:id="-1305208564"/>
                <w14:textFill>
                  <w14:solidFill>
                    <w14:srgbClr w14:val="000000">
                      <w14:alpha w14:val="100000"/>
                    </w14:srgbClr>
                  </w14:solidFill>
                </w14:textFill>
              </w:rPr>
              <w:t>|</w:t>
            </w:r>
            <w:r w:rsidRPr="00414250">
              <w:rPr>
                <w:rFonts w:ascii="Arial Narrow" w:hAnsi="Arial Narrow" w:hint="eastAsia"/>
                <w:b/>
                <w:color w:val="000000"/>
                <w:spacing w:val="3"/>
                <w:w w:val="33"/>
                <w:sz w:val="20"/>
                <w:shd w:val="solid" w:color="000000" w:fill="000000"/>
                <w:fitText w:val="150" w:id="-1305208564"/>
                <w14:textFill>
                  <w14:solidFill>
                    <w14:srgbClr w14:val="000000">
                      <w14:alpha w14:val="100000"/>
                    </w14:srgbClr>
                  </w14:solidFill>
                </w14:textFill>
              </w:rPr>
              <w:t xml:space="preserve">　</w:t>
            </w:r>
            <w:r w:rsidR="00306CAE">
              <w:rPr>
                <w:rFonts w:ascii="Arial Narrow" w:hAnsi="Arial Narrow"/>
                <w:b/>
                <w:sz w:val="20"/>
                <w:vertAlign w:val="superscript"/>
              </w:rPr>
              <w:t>1</w:t>
            </w:r>
          </w:p>
        </w:tc>
        <w:tc>
          <w:tcPr>
            <w:tcW w:w="1017" w:type="dxa"/>
            <w:shd w:val="clear" w:color="auto" w:fill="FFFFFF" w:themeFill="background1"/>
            <w:vAlign w:val="center"/>
          </w:tcPr>
          <w:p w14:paraId="732BFEB2" w14:textId="77777777" w:rsidR="00D41BD9" w:rsidRPr="00786785" w:rsidRDefault="00D41BD9" w:rsidP="00D41BD9">
            <w:pPr>
              <w:keepNext/>
              <w:jc w:val="center"/>
              <w:rPr>
                <w:rFonts w:ascii="Arial Narrow" w:hAnsi="Arial Narrow"/>
                <w:color w:val="000000"/>
                <w:sz w:val="20"/>
                <w:szCs w:val="20"/>
              </w:rPr>
            </w:pPr>
            <w:r w:rsidRPr="009D0097">
              <w:rPr>
                <w:rFonts w:ascii="Arial Narrow" w:hAnsi="Arial Narrow"/>
                <w:b/>
                <w:sz w:val="20"/>
              </w:rPr>
              <w:t>–</w:t>
            </w:r>
          </w:p>
        </w:tc>
      </w:tr>
      <w:tr w:rsidR="00D41BD9" w:rsidRPr="00786785" w14:paraId="6A617094" w14:textId="77777777" w:rsidTr="00D41BD9">
        <w:tc>
          <w:tcPr>
            <w:tcW w:w="9017" w:type="dxa"/>
            <w:gridSpan w:val="11"/>
            <w:shd w:val="clear" w:color="auto" w:fill="FFFFFF" w:themeFill="background1"/>
            <w:vAlign w:val="center"/>
          </w:tcPr>
          <w:p w14:paraId="42C067F8" w14:textId="77777777" w:rsidR="00D41BD9" w:rsidRPr="00786785" w:rsidRDefault="00D41BD9" w:rsidP="00D41BD9">
            <w:pPr>
              <w:keepNext/>
              <w:rPr>
                <w:rFonts w:ascii="Arial Narrow" w:hAnsi="Arial Narrow"/>
                <w:b/>
                <w:color w:val="000000"/>
                <w:sz w:val="20"/>
                <w:szCs w:val="20"/>
              </w:rPr>
            </w:pPr>
            <w:r w:rsidRPr="00786785">
              <w:rPr>
                <w:rFonts w:ascii="Arial Narrow" w:hAnsi="Arial Narrow"/>
                <w:b/>
                <w:color w:val="000000"/>
                <w:sz w:val="20"/>
                <w:szCs w:val="20"/>
              </w:rPr>
              <w:t>Time horizon (base case: 25 years)</w:t>
            </w:r>
          </w:p>
        </w:tc>
      </w:tr>
      <w:tr w:rsidR="00D41BD9" w:rsidRPr="00786785" w14:paraId="454C2E15" w14:textId="77777777" w:rsidTr="00414250">
        <w:tc>
          <w:tcPr>
            <w:tcW w:w="733" w:type="dxa"/>
            <w:gridSpan w:val="2"/>
            <w:shd w:val="clear" w:color="auto" w:fill="FFFFFF" w:themeFill="background1"/>
            <w:vAlign w:val="center"/>
          </w:tcPr>
          <w:p w14:paraId="3728D5A7" w14:textId="77777777" w:rsidR="00D41BD9" w:rsidRPr="00786785" w:rsidRDefault="00D41BD9" w:rsidP="00D41BD9">
            <w:pPr>
              <w:keepNext/>
              <w:rPr>
                <w:rFonts w:ascii="Arial Narrow" w:hAnsi="Arial Narrow"/>
                <w:color w:val="000000"/>
                <w:sz w:val="20"/>
                <w:szCs w:val="20"/>
              </w:rPr>
            </w:pPr>
            <w:r w:rsidRPr="00786785">
              <w:rPr>
                <w:rFonts w:ascii="Arial Narrow" w:hAnsi="Arial Narrow"/>
                <w:color w:val="000000"/>
                <w:sz w:val="20"/>
                <w:szCs w:val="20"/>
              </w:rPr>
              <w:t>SA.</w:t>
            </w:r>
            <w:r>
              <w:rPr>
                <w:rFonts w:ascii="Arial Narrow" w:hAnsi="Arial Narrow"/>
                <w:color w:val="000000"/>
                <w:sz w:val="20"/>
                <w:szCs w:val="20"/>
              </w:rPr>
              <w:t>1</w:t>
            </w:r>
          </w:p>
        </w:tc>
        <w:tc>
          <w:tcPr>
            <w:tcW w:w="3920" w:type="dxa"/>
            <w:shd w:val="clear" w:color="auto" w:fill="FFFFFF" w:themeFill="background1"/>
            <w:vAlign w:val="center"/>
          </w:tcPr>
          <w:p w14:paraId="3499331F" w14:textId="77777777" w:rsidR="00D41BD9" w:rsidRPr="00786785" w:rsidRDefault="00D41BD9" w:rsidP="00D41BD9">
            <w:pPr>
              <w:keepNext/>
              <w:rPr>
                <w:rFonts w:ascii="Arial Narrow" w:hAnsi="Arial Narrow"/>
                <w:color w:val="000000"/>
                <w:sz w:val="20"/>
                <w:szCs w:val="20"/>
              </w:rPr>
            </w:pPr>
            <w:r w:rsidRPr="00786785">
              <w:rPr>
                <w:rFonts w:ascii="Arial Narrow" w:hAnsi="Arial Narrow"/>
                <w:color w:val="000000"/>
                <w:sz w:val="20"/>
                <w:szCs w:val="20"/>
              </w:rPr>
              <w:t>15 years</w:t>
            </w:r>
          </w:p>
        </w:tc>
        <w:tc>
          <w:tcPr>
            <w:tcW w:w="1018" w:type="dxa"/>
            <w:gridSpan w:val="3"/>
            <w:tcBorders>
              <w:bottom w:val="single" w:sz="4" w:space="0" w:color="auto"/>
            </w:tcBorders>
            <w:shd w:val="solid" w:color="000000" w:fill="000000"/>
          </w:tcPr>
          <w:p w14:paraId="744B02BA" w14:textId="3FBE764F" w:rsidR="00D41BD9" w:rsidRPr="00414250" w:rsidRDefault="00414250" w:rsidP="00D41BD9">
            <w:pPr>
              <w:keepNext/>
              <w:jc w:val="center"/>
              <w:rPr>
                <w:rFonts w:ascii="Arial Narrow" w:hAnsi="Arial Narrow"/>
                <w:color w:val="000000"/>
                <w:sz w:val="20"/>
                <w:szCs w:val="20"/>
              </w:rPr>
            </w:pPr>
            <w:r w:rsidRPr="00414250">
              <w:rPr>
                <w:rFonts w:ascii="Arial Narrow" w:hAnsi="Arial Narrow"/>
                <w:color w:val="000000"/>
                <w:spacing w:val="112"/>
                <w:sz w:val="20"/>
                <w:szCs w:val="20"/>
                <w:fitText w:val="188" w:id="-1305208563"/>
                <w14:textFill>
                  <w14:solidFill>
                    <w14:srgbClr w14:val="000000">
                      <w14:alpha w14:val="100000"/>
                    </w14:srgbClr>
                  </w14:solidFill>
                </w14:textFill>
              </w:rPr>
              <w:t>|</w:t>
            </w:r>
            <w:r w:rsidRPr="00414250">
              <w:rPr>
                <w:rFonts w:ascii="Arial Narrow" w:hAnsi="Arial Narrow"/>
                <w:color w:val="000000"/>
                <w:sz w:val="20"/>
                <w:szCs w:val="20"/>
                <w:fitText w:val="188" w:id="-1305208563"/>
                <w14:textFill>
                  <w14:solidFill>
                    <w14:srgbClr w14:val="000000">
                      <w14:alpha w14:val="100000"/>
                    </w14:srgbClr>
                  </w14:solidFill>
                </w14:textFill>
              </w:rPr>
              <w:t>|</w:t>
            </w:r>
          </w:p>
        </w:tc>
        <w:tc>
          <w:tcPr>
            <w:tcW w:w="1165" w:type="dxa"/>
            <w:shd w:val="clear" w:color="auto" w:fill="FFFFFF" w:themeFill="background1"/>
          </w:tcPr>
          <w:p w14:paraId="7CB48AEF" w14:textId="77777777" w:rsidR="00D41BD9" w:rsidRPr="00786785" w:rsidRDefault="00D41BD9" w:rsidP="00D41BD9">
            <w:pPr>
              <w:keepNext/>
              <w:jc w:val="center"/>
              <w:rPr>
                <w:rFonts w:ascii="Arial Narrow" w:hAnsi="Arial Narrow"/>
                <w:color w:val="000000"/>
                <w:sz w:val="20"/>
                <w:szCs w:val="20"/>
              </w:rPr>
            </w:pPr>
            <w:r w:rsidRPr="00786785">
              <w:rPr>
                <w:rFonts w:ascii="Arial Narrow" w:hAnsi="Arial Narrow"/>
                <w:sz w:val="20"/>
                <w:szCs w:val="20"/>
              </w:rPr>
              <w:t>0.66</w:t>
            </w:r>
          </w:p>
        </w:tc>
        <w:tc>
          <w:tcPr>
            <w:tcW w:w="1164" w:type="dxa"/>
            <w:gridSpan w:val="3"/>
            <w:shd w:val="clear" w:color="auto" w:fill="FFFFFF" w:themeFill="background1"/>
          </w:tcPr>
          <w:p w14:paraId="3542EC49" w14:textId="7141BA81" w:rsidR="00D41BD9" w:rsidRPr="00414250" w:rsidRDefault="00414250" w:rsidP="00D41BD9">
            <w:pPr>
              <w:keepNext/>
              <w:jc w:val="center"/>
              <w:rPr>
                <w:rFonts w:ascii="Arial Narrow" w:hAnsi="Arial Narrow"/>
                <w:color w:val="000000"/>
                <w:sz w:val="20"/>
                <w:szCs w:val="20"/>
                <w:vertAlign w:val="superscript"/>
              </w:rPr>
            </w:pPr>
            <w:r w:rsidRPr="00414250">
              <w:rPr>
                <w:rFonts w:ascii="Arial Narrow" w:hAnsi="Arial Narrow" w:hint="eastAsia"/>
                <w:color w:val="000000"/>
                <w:w w:val="33"/>
                <w:sz w:val="20"/>
                <w:szCs w:val="20"/>
                <w:shd w:val="solid" w:color="000000" w:fill="000000"/>
                <w:fitText w:val="150" w:id="-1305208562"/>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2"/>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2"/>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2</w:t>
            </w:r>
          </w:p>
        </w:tc>
        <w:tc>
          <w:tcPr>
            <w:tcW w:w="1017" w:type="dxa"/>
            <w:shd w:val="clear" w:color="auto" w:fill="FFFFFF" w:themeFill="background1"/>
            <w:vAlign w:val="center"/>
          </w:tcPr>
          <w:p w14:paraId="636F70ED" w14:textId="77777777" w:rsidR="00D41BD9" w:rsidRPr="00786785" w:rsidRDefault="00D41BD9" w:rsidP="00D41BD9">
            <w:pPr>
              <w:keepNext/>
              <w:jc w:val="center"/>
              <w:rPr>
                <w:rFonts w:ascii="Arial Narrow" w:hAnsi="Arial Narrow"/>
                <w:color w:val="000000"/>
                <w:sz w:val="20"/>
                <w:szCs w:val="20"/>
              </w:rPr>
            </w:pPr>
            <w:r w:rsidRPr="00786785">
              <w:rPr>
                <w:rFonts w:ascii="Arial Narrow" w:hAnsi="Arial Narrow"/>
                <w:color w:val="000000"/>
                <w:sz w:val="20"/>
                <w:szCs w:val="20"/>
              </w:rPr>
              <w:t>+26.8%</w:t>
            </w:r>
          </w:p>
        </w:tc>
      </w:tr>
      <w:tr w:rsidR="00D41BD9" w:rsidRPr="00786785" w14:paraId="32BF2A1B" w14:textId="77777777" w:rsidTr="00414250">
        <w:tc>
          <w:tcPr>
            <w:tcW w:w="733" w:type="dxa"/>
            <w:gridSpan w:val="2"/>
            <w:shd w:val="clear" w:color="auto" w:fill="FFFFFF" w:themeFill="background1"/>
            <w:vAlign w:val="center"/>
          </w:tcPr>
          <w:p w14:paraId="1690AA62" w14:textId="77777777" w:rsidR="00D41BD9" w:rsidRPr="00786785" w:rsidRDefault="00D41BD9" w:rsidP="00D41BD9">
            <w:pPr>
              <w:keepNext/>
              <w:rPr>
                <w:rFonts w:ascii="Arial Narrow" w:hAnsi="Arial Narrow"/>
                <w:color w:val="000000"/>
                <w:sz w:val="20"/>
                <w:szCs w:val="20"/>
              </w:rPr>
            </w:pPr>
            <w:r w:rsidRPr="00786785">
              <w:rPr>
                <w:rFonts w:ascii="Arial Narrow" w:hAnsi="Arial Narrow"/>
                <w:color w:val="000000"/>
                <w:sz w:val="20"/>
                <w:szCs w:val="20"/>
              </w:rPr>
              <w:t>SA.</w:t>
            </w:r>
            <w:r>
              <w:rPr>
                <w:rFonts w:ascii="Arial Narrow" w:hAnsi="Arial Narrow"/>
                <w:color w:val="000000"/>
                <w:sz w:val="20"/>
                <w:szCs w:val="20"/>
              </w:rPr>
              <w:t>2</w:t>
            </w:r>
          </w:p>
        </w:tc>
        <w:tc>
          <w:tcPr>
            <w:tcW w:w="3920" w:type="dxa"/>
            <w:shd w:val="clear" w:color="auto" w:fill="FFFFFF" w:themeFill="background1"/>
            <w:vAlign w:val="center"/>
          </w:tcPr>
          <w:p w14:paraId="46E52168" w14:textId="77777777" w:rsidR="00D41BD9" w:rsidRPr="00786785" w:rsidRDefault="00D41BD9" w:rsidP="00D41BD9">
            <w:pPr>
              <w:keepNext/>
              <w:rPr>
                <w:rFonts w:ascii="Arial Narrow" w:hAnsi="Arial Narrow"/>
                <w:color w:val="000000"/>
                <w:sz w:val="20"/>
                <w:szCs w:val="20"/>
              </w:rPr>
            </w:pPr>
            <w:r w:rsidRPr="00786785">
              <w:rPr>
                <w:rFonts w:ascii="Arial Narrow" w:hAnsi="Arial Narrow"/>
                <w:color w:val="000000"/>
                <w:sz w:val="20"/>
                <w:szCs w:val="20"/>
              </w:rPr>
              <w:t>20 years</w:t>
            </w:r>
          </w:p>
        </w:tc>
        <w:tc>
          <w:tcPr>
            <w:tcW w:w="1018" w:type="dxa"/>
            <w:gridSpan w:val="3"/>
            <w:shd w:val="solid" w:color="000000" w:fill="000000"/>
          </w:tcPr>
          <w:p w14:paraId="5F3F6846" w14:textId="42A3DD8E" w:rsidR="00D41BD9" w:rsidRPr="00414250" w:rsidRDefault="00414250" w:rsidP="00D41BD9">
            <w:pPr>
              <w:keepNext/>
              <w:jc w:val="center"/>
              <w:rPr>
                <w:rFonts w:ascii="Arial Narrow" w:hAnsi="Arial Narrow"/>
                <w:color w:val="000000"/>
                <w:sz w:val="20"/>
                <w:szCs w:val="20"/>
              </w:rPr>
            </w:pPr>
            <w:r w:rsidRPr="00414250">
              <w:rPr>
                <w:rFonts w:ascii="Arial Narrow" w:hAnsi="Arial Narrow"/>
                <w:color w:val="000000"/>
                <w:spacing w:val="112"/>
                <w:sz w:val="20"/>
                <w:szCs w:val="20"/>
                <w:fitText w:val="188" w:id="-1305208561"/>
                <w14:textFill>
                  <w14:solidFill>
                    <w14:srgbClr w14:val="000000">
                      <w14:alpha w14:val="100000"/>
                    </w14:srgbClr>
                  </w14:solidFill>
                </w14:textFill>
              </w:rPr>
              <w:t>|</w:t>
            </w:r>
            <w:r w:rsidRPr="00414250">
              <w:rPr>
                <w:rFonts w:ascii="Arial Narrow" w:hAnsi="Arial Narrow"/>
                <w:color w:val="000000"/>
                <w:sz w:val="20"/>
                <w:szCs w:val="20"/>
                <w:fitText w:val="188" w:id="-1305208561"/>
                <w14:textFill>
                  <w14:solidFill>
                    <w14:srgbClr w14:val="000000">
                      <w14:alpha w14:val="100000"/>
                    </w14:srgbClr>
                  </w14:solidFill>
                </w14:textFill>
              </w:rPr>
              <w:t>|</w:t>
            </w:r>
          </w:p>
        </w:tc>
        <w:tc>
          <w:tcPr>
            <w:tcW w:w="1165" w:type="dxa"/>
            <w:shd w:val="clear" w:color="auto" w:fill="FFFFFF" w:themeFill="background1"/>
          </w:tcPr>
          <w:p w14:paraId="1E9028F0" w14:textId="77777777" w:rsidR="00D41BD9" w:rsidRPr="00786785" w:rsidRDefault="00D41BD9" w:rsidP="00D41BD9">
            <w:pPr>
              <w:keepNext/>
              <w:jc w:val="center"/>
              <w:rPr>
                <w:rFonts w:ascii="Arial Narrow" w:hAnsi="Arial Narrow"/>
                <w:color w:val="000000"/>
                <w:sz w:val="20"/>
                <w:szCs w:val="20"/>
              </w:rPr>
            </w:pPr>
            <w:r w:rsidRPr="00786785">
              <w:rPr>
                <w:rFonts w:ascii="Arial Narrow" w:hAnsi="Arial Narrow"/>
                <w:sz w:val="20"/>
                <w:szCs w:val="20"/>
              </w:rPr>
              <w:t>0.83</w:t>
            </w:r>
          </w:p>
        </w:tc>
        <w:tc>
          <w:tcPr>
            <w:tcW w:w="1164" w:type="dxa"/>
            <w:gridSpan w:val="3"/>
            <w:shd w:val="clear" w:color="auto" w:fill="FFFFFF" w:themeFill="background1"/>
          </w:tcPr>
          <w:p w14:paraId="1B7F3B0F" w14:textId="3C4A70C1" w:rsidR="00D41BD9" w:rsidRPr="00414250" w:rsidRDefault="00414250" w:rsidP="00D41BD9">
            <w:pPr>
              <w:keepNext/>
              <w:jc w:val="center"/>
              <w:rPr>
                <w:rFonts w:ascii="Arial Narrow" w:hAnsi="Arial Narrow"/>
                <w:color w:val="000000"/>
                <w:sz w:val="20"/>
                <w:szCs w:val="20"/>
                <w:vertAlign w:val="superscript"/>
              </w:rPr>
            </w:pPr>
            <w:r w:rsidRPr="00414250">
              <w:rPr>
                <w:rFonts w:ascii="Arial Narrow" w:hAnsi="Arial Narrow" w:hint="eastAsia"/>
                <w:color w:val="000000"/>
                <w:w w:val="33"/>
                <w:sz w:val="20"/>
                <w:szCs w:val="20"/>
                <w:shd w:val="solid" w:color="000000" w:fill="000000"/>
                <w:fitText w:val="150" w:id="-1305208560"/>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0"/>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0"/>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3</w:t>
            </w:r>
          </w:p>
        </w:tc>
        <w:tc>
          <w:tcPr>
            <w:tcW w:w="1017" w:type="dxa"/>
            <w:shd w:val="clear" w:color="auto" w:fill="FFFFFF" w:themeFill="background1"/>
            <w:vAlign w:val="center"/>
          </w:tcPr>
          <w:p w14:paraId="7B0966F1" w14:textId="77777777" w:rsidR="00D41BD9" w:rsidRPr="00786785" w:rsidRDefault="00D41BD9" w:rsidP="00D41BD9">
            <w:pPr>
              <w:keepNext/>
              <w:jc w:val="center"/>
              <w:rPr>
                <w:rFonts w:ascii="Arial Narrow" w:hAnsi="Arial Narrow"/>
                <w:color w:val="000000"/>
                <w:sz w:val="20"/>
                <w:szCs w:val="20"/>
              </w:rPr>
            </w:pPr>
            <w:r w:rsidRPr="00786785">
              <w:rPr>
                <w:rFonts w:ascii="Arial Narrow" w:hAnsi="Arial Narrow"/>
                <w:color w:val="000000"/>
                <w:sz w:val="20"/>
                <w:szCs w:val="20"/>
              </w:rPr>
              <w:t>+10.1%</w:t>
            </w:r>
          </w:p>
        </w:tc>
      </w:tr>
      <w:tr w:rsidR="00D41BD9" w:rsidRPr="00F9610D" w14:paraId="41302AAF" w14:textId="77777777" w:rsidTr="00D41BD9">
        <w:tc>
          <w:tcPr>
            <w:tcW w:w="9017" w:type="dxa"/>
            <w:gridSpan w:val="11"/>
            <w:shd w:val="clear" w:color="auto" w:fill="FFFFFF" w:themeFill="background1"/>
            <w:vAlign w:val="center"/>
          </w:tcPr>
          <w:p w14:paraId="6ABF1FB4" w14:textId="77777777" w:rsidR="00D41BD9" w:rsidRPr="00F9610D" w:rsidRDefault="00D41BD9" w:rsidP="00D41BD9">
            <w:pPr>
              <w:keepNext/>
              <w:rPr>
                <w:rFonts w:ascii="Arial Narrow" w:hAnsi="Arial Narrow"/>
                <w:b/>
                <w:color w:val="000000"/>
                <w:sz w:val="20"/>
                <w:szCs w:val="20"/>
              </w:rPr>
            </w:pPr>
            <w:r w:rsidRPr="00F9610D">
              <w:rPr>
                <w:rFonts w:ascii="Arial Narrow" w:hAnsi="Arial Narrow"/>
                <w:b/>
                <w:color w:val="000000"/>
                <w:sz w:val="20"/>
                <w:szCs w:val="20"/>
              </w:rPr>
              <w:t>Discounting rate (base case: 5% for both costs and health outcomes)</w:t>
            </w:r>
          </w:p>
        </w:tc>
      </w:tr>
      <w:tr w:rsidR="00D41BD9" w:rsidRPr="00424AF9" w14:paraId="33374BFE" w14:textId="77777777" w:rsidTr="00414250">
        <w:tc>
          <w:tcPr>
            <w:tcW w:w="733" w:type="dxa"/>
            <w:gridSpan w:val="2"/>
            <w:shd w:val="clear" w:color="auto" w:fill="FFFFFF" w:themeFill="background1"/>
            <w:vAlign w:val="center"/>
          </w:tcPr>
          <w:p w14:paraId="6FE263CC"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SA.3</w:t>
            </w:r>
          </w:p>
        </w:tc>
        <w:tc>
          <w:tcPr>
            <w:tcW w:w="3920" w:type="dxa"/>
            <w:shd w:val="clear" w:color="auto" w:fill="FFFFFF" w:themeFill="background1"/>
            <w:vAlign w:val="center"/>
          </w:tcPr>
          <w:p w14:paraId="5B1B7C59" w14:textId="77777777" w:rsidR="00D41BD9" w:rsidRPr="00424AF9" w:rsidRDefault="00D41BD9" w:rsidP="00D41BD9">
            <w:pPr>
              <w:keepNext/>
              <w:rPr>
                <w:rFonts w:ascii="Arial Narrow" w:hAnsi="Arial Narrow"/>
                <w:color w:val="000000"/>
                <w:sz w:val="20"/>
                <w:szCs w:val="20"/>
                <w:vertAlign w:val="superscript"/>
              </w:rPr>
            </w:pPr>
            <w:r w:rsidRPr="00424AF9">
              <w:rPr>
                <w:rFonts w:ascii="Arial Narrow" w:hAnsi="Arial Narrow"/>
                <w:color w:val="000000"/>
                <w:sz w:val="20"/>
                <w:szCs w:val="20"/>
              </w:rPr>
              <w:t>0% for both costs and health outcomes</w:t>
            </w:r>
            <w:r w:rsidRPr="00424AF9">
              <w:rPr>
                <w:rFonts w:ascii="Arial Narrow" w:hAnsi="Arial Narrow"/>
                <w:color w:val="000000"/>
                <w:sz w:val="20"/>
                <w:szCs w:val="20"/>
                <w:vertAlign w:val="superscript"/>
              </w:rPr>
              <w:t>a</w:t>
            </w:r>
          </w:p>
        </w:tc>
        <w:tc>
          <w:tcPr>
            <w:tcW w:w="1018" w:type="dxa"/>
            <w:gridSpan w:val="3"/>
            <w:tcBorders>
              <w:bottom w:val="single" w:sz="4" w:space="0" w:color="auto"/>
            </w:tcBorders>
            <w:shd w:val="solid" w:color="000000" w:fill="000000"/>
          </w:tcPr>
          <w:p w14:paraId="487E4A42" w14:textId="468CA995"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76"/>
                <w14:textFill>
                  <w14:solidFill>
                    <w14:srgbClr w14:val="000000">
                      <w14:alpha w14:val="100000"/>
                    </w14:srgbClr>
                  </w14:solidFill>
                </w14:textFill>
              </w:rPr>
              <w:t>|</w:t>
            </w:r>
            <w:r w:rsidRPr="00414250">
              <w:rPr>
                <w:rFonts w:ascii="Arial Narrow" w:hAnsi="Arial Narrow"/>
                <w:color w:val="000000"/>
                <w:sz w:val="20"/>
                <w:szCs w:val="20"/>
                <w:fitText w:val="188" w:id="-1305208576"/>
                <w14:textFill>
                  <w14:solidFill>
                    <w14:srgbClr w14:val="000000">
                      <w14:alpha w14:val="100000"/>
                    </w14:srgbClr>
                  </w14:solidFill>
                </w14:textFill>
              </w:rPr>
              <w:t>|</w:t>
            </w:r>
          </w:p>
        </w:tc>
        <w:tc>
          <w:tcPr>
            <w:tcW w:w="1165" w:type="dxa"/>
            <w:shd w:val="clear" w:color="auto" w:fill="FFFFFF" w:themeFill="background1"/>
          </w:tcPr>
          <w:p w14:paraId="2FF39D58"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1.74</w:t>
            </w:r>
          </w:p>
        </w:tc>
        <w:tc>
          <w:tcPr>
            <w:tcW w:w="1164" w:type="dxa"/>
            <w:gridSpan w:val="3"/>
            <w:shd w:val="clear" w:color="auto" w:fill="FFFFFF" w:themeFill="background1"/>
          </w:tcPr>
          <w:p w14:paraId="2FE80ADE" w14:textId="53B8659A" w:rsidR="00D41BD9" w:rsidRPr="00424AF9" w:rsidRDefault="00414250" w:rsidP="00D41BD9">
            <w:pPr>
              <w:keepNext/>
              <w:jc w:val="center"/>
              <w:rPr>
                <w:rFonts w:ascii="Arial Narrow" w:hAnsi="Arial Narrow"/>
                <w:color w:val="000000"/>
                <w:sz w:val="20"/>
                <w:szCs w:val="20"/>
              </w:rPr>
            </w:pPr>
            <w:r w:rsidRPr="00414250">
              <w:rPr>
                <w:rFonts w:ascii="Arial Narrow" w:hAnsi="Arial Narrow" w:hint="eastAsia"/>
                <w:color w:val="000000"/>
                <w:w w:val="33"/>
                <w:sz w:val="20"/>
                <w:szCs w:val="20"/>
                <w:shd w:val="solid" w:color="000000" w:fill="000000"/>
                <w:fitText w:val="150" w:id="-1305208575"/>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5"/>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5"/>
                <w14:textFill>
                  <w14:solidFill>
                    <w14:srgbClr w14:val="000000">
                      <w14:alpha w14:val="100000"/>
                    </w14:srgbClr>
                  </w14:solidFill>
                </w14:textFill>
              </w:rPr>
              <w:t xml:space="preserve">　</w:t>
            </w:r>
            <w:r w:rsidR="00306CAE">
              <w:rPr>
                <w:rFonts w:ascii="Arial Narrow" w:hAnsi="Arial Narrow"/>
                <w:b/>
                <w:sz w:val="20"/>
                <w:vertAlign w:val="superscript"/>
              </w:rPr>
              <w:t>1</w:t>
            </w:r>
          </w:p>
        </w:tc>
        <w:tc>
          <w:tcPr>
            <w:tcW w:w="1017" w:type="dxa"/>
            <w:shd w:val="clear" w:color="auto" w:fill="FFFFFF" w:themeFill="background1"/>
          </w:tcPr>
          <w:p w14:paraId="73F5AE94" w14:textId="77777777" w:rsidR="00D41BD9" w:rsidRPr="00424AF9" w:rsidRDefault="00D41BD9" w:rsidP="00D41BD9">
            <w:pPr>
              <w:keepNext/>
              <w:jc w:val="center"/>
              <w:rPr>
                <w:rFonts w:ascii="Arial Narrow" w:hAnsi="Arial Narrow"/>
                <w:color w:val="000000"/>
                <w:sz w:val="20"/>
                <w:szCs w:val="20"/>
              </w:rPr>
            </w:pPr>
            <w:r w:rsidRPr="00424AF9">
              <w:rPr>
                <w:rFonts w:ascii="Arial Narrow" w:hAnsi="Arial Narrow"/>
                <w:sz w:val="20"/>
                <w:szCs w:val="20"/>
              </w:rPr>
              <w:t>-21.6%</w:t>
            </w:r>
          </w:p>
        </w:tc>
      </w:tr>
      <w:tr w:rsidR="00D41BD9" w:rsidRPr="00424AF9" w14:paraId="6AA00407" w14:textId="77777777" w:rsidTr="00414250">
        <w:tc>
          <w:tcPr>
            <w:tcW w:w="733" w:type="dxa"/>
            <w:gridSpan w:val="2"/>
            <w:shd w:val="clear" w:color="auto" w:fill="FFFFFF" w:themeFill="background1"/>
            <w:vAlign w:val="center"/>
          </w:tcPr>
          <w:p w14:paraId="6B6B1C39"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SA.4</w:t>
            </w:r>
          </w:p>
        </w:tc>
        <w:tc>
          <w:tcPr>
            <w:tcW w:w="3920" w:type="dxa"/>
            <w:shd w:val="clear" w:color="auto" w:fill="FFFFFF" w:themeFill="background1"/>
            <w:vAlign w:val="center"/>
          </w:tcPr>
          <w:p w14:paraId="0726A574"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3.5% for both costs and health outcomes</w:t>
            </w:r>
            <w:r w:rsidRPr="00424AF9">
              <w:rPr>
                <w:rFonts w:ascii="Arial Narrow" w:hAnsi="Arial Narrow"/>
                <w:color w:val="000000"/>
                <w:sz w:val="20"/>
                <w:szCs w:val="20"/>
                <w:vertAlign w:val="superscript"/>
              </w:rPr>
              <w:t>a</w:t>
            </w:r>
          </w:p>
        </w:tc>
        <w:tc>
          <w:tcPr>
            <w:tcW w:w="1018" w:type="dxa"/>
            <w:gridSpan w:val="3"/>
            <w:shd w:val="solid" w:color="000000" w:fill="000000"/>
          </w:tcPr>
          <w:p w14:paraId="70A61899" w14:textId="7ABD454D"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74"/>
                <w14:textFill>
                  <w14:solidFill>
                    <w14:srgbClr w14:val="000000">
                      <w14:alpha w14:val="100000"/>
                    </w14:srgbClr>
                  </w14:solidFill>
                </w14:textFill>
              </w:rPr>
              <w:t>|</w:t>
            </w:r>
            <w:r w:rsidRPr="00414250">
              <w:rPr>
                <w:rFonts w:ascii="Arial Narrow" w:hAnsi="Arial Narrow"/>
                <w:color w:val="000000"/>
                <w:sz w:val="20"/>
                <w:szCs w:val="20"/>
                <w:fitText w:val="188" w:id="-1305208574"/>
                <w14:textFill>
                  <w14:solidFill>
                    <w14:srgbClr w14:val="000000">
                      <w14:alpha w14:val="100000"/>
                    </w14:srgbClr>
                  </w14:solidFill>
                </w14:textFill>
              </w:rPr>
              <w:t>|</w:t>
            </w:r>
          </w:p>
        </w:tc>
        <w:tc>
          <w:tcPr>
            <w:tcW w:w="1165" w:type="dxa"/>
            <w:shd w:val="clear" w:color="auto" w:fill="FFFFFF" w:themeFill="background1"/>
          </w:tcPr>
          <w:p w14:paraId="2F0A8E09"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1.14</w:t>
            </w:r>
          </w:p>
        </w:tc>
        <w:tc>
          <w:tcPr>
            <w:tcW w:w="1164" w:type="dxa"/>
            <w:gridSpan w:val="3"/>
            <w:shd w:val="clear" w:color="auto" w:fill="FFFFFF" w:themeFill="background1"/>
          </w:tcPr>
          <w:p w14:paraId="42F7AAD6" w14:textId="024C9A04" w:rsidR="00D41BD9" w:rsidRPr="00424AF9" w:rsidRDefault="00414250" w:rsidP="00D41BD9">
            <w:pPr>
              <w:keepNext/>
              <w:jc w:val="center"/>
              <w:rPr>
                <w:rFonts w:ascii="Arial Narrow" w:hAnsi="Arial Narrow"/>
                <w:color w:val="000000"/>
                <w:sz w:val="20"/>
                <w:szCs w:val="20"/>
              </w:rPr>
            </w:pPr>
            <w:r w:rsidRPr="00414250">
              <w:rPr>
                <w:rFonts w:ascii="Arial Narrow" w:hAnsi="Arial Narrow" w:hint="eastAsia"/>
                <w:color w:val="000000"/>
                <w:w w:val="33"/>
                <w:sz w:val="20"/>
                <w:szCs w:val="20"/>
                <w:shd w:val="solid" w:color="000000" w:fill="000000"/>
                <w:fitText w:val="150" w:id="-1305208573"/>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3"/>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3"/>
                <w14:textFill>
                  <w14:solidFill>
                    <w14:srgbClr w14:val="000000">
                      <w14:alpha w14:val="100000"/>
                    </w14:srgbClr>
                  </w14:solidFill>
                </w14:textFill>
              </w:rPr>
              <w:t xml:space="preserve">　</w:t>
            </w:r>
            <w:r w:rsidR="00306CAE">
              <w:rPr>
                <w:rFonts w:ascii="Arial Narrow" w:hAnsi="Arial Narrow"/>
                <w:b/>
                <w:sz w:val="20"/>
                <w:vertAlign w:val="superscript"/>
              </w:rPr>
              <w:t>1</w:t>
            </w:r>
          </w:p>
        </w:tc>
        <w:tc>
          <w:tcPr>
            <w:tcW w:w="1017" w:type="dxa"/>
            <w:shd w:val="clear" w:color="auto" w:fill="FFFFFF" w:themeFill="background1"/>
          </w:tcPr>
          <w:p w14:paraId="3261BD18" w14:textId="77777777" w:rsidR="00D41BD9" w:rsidRPr="00424AF9" w:rsidRDefault="00D41BD9" w:rsidP="00D41BD9">
            <w:pPr>
              <w:keepNext/>
              <w:jc w:val="center"/>
              <w:rPr>
                <w:rFonts w:ascii="Arial Narrow" w:hAnsi="Arial Narrow"/>
                <w:color w:val="000000"/>
                <w:sz w:val="20"/>
                <w:szCs w:val="20"/>
              </w:rPr>
            </w:pPr>
            <w:r w:rsidRPr="00424AF9">
              <w:rPr>
                <w:rFonts w:ascii="Arial Narrow" w:hAnsi="Arial Narrow"/>
                <w:sz w:val="20"/>
                <w:szCs w:val="20"/>
              </w:rPr>
              <w:t>-7.0%</w:t>
            </w:r>
          </w:p>
        </w:tc>
      </w:tr>
      <w:tr w:rsidR="00D41BD9" w:rsidRPr="00F9610D" w14:paraId="5A35E17B" w14:textId="77777777" w:rsidTr="00D41BD9">
        <w:tc>
          <w:tcPr>
            <w:tcW w:w="9017" w:type="dxa"/>
            <w:gridSpan w:val="11"/>
            <w:shd w:val="clear" w:color="auto" w:fill="FFFFFF" w:themeFill="background1"/>
            <w:vAlign w:val="center"/>
          </w:tcPr>
          <w:p w14:paraId="17C7773B" w14:textId="77777777" w:rsidR="00D41BD9" w:rsidRPr="00F9610D" w:rsidRDefault="00D41BD9" w:rsidP="00D41BD9">
            <w:pPr>
              <w:keepNext/>
              <w:rPr>
                <w:rFonts w:ascii="Arial Narrow" w:hAnsi="Arial Narrow"/>
                <w:b/>
                <w:color w:val="000000"/>
                <w:sz w:val="20"/>
                <w:szCs w:val="20"/>
              </w:rPr>
            </w:pPr>
            <w:r w:rsidRPr="00F9610D">
              <w:rPr>
                <w:rFonts w:ascii="Arial Narrow" w:hAnsi="Arial Narrow"/>
                <w:b/>
                <w:color w:val="000000"/>
                <w:sz w:val="20"/>
                <w:szCs w:val="20"/>
              </w:rPr>
              <w:t>Trial-based TP truncation time point (base case: 30 weeks for MAVA + BB/CCB and 46 weeks for BB/CCB)</w:t>
            </w:r>
          </w:p>
        </w:tc>
      </w:tr>
      <w:tr w:rsidR="00D41BD9" w:rsidRPr="001657F6" w14:paraId="047AA3F7" w14:textId="77777777" w:rsidTr="00414250">
        <w:tc>
          <w:tcPr>
            <w:tcW w:w="733" w:type="dxa"/>
            <w:gridSpan w:val="2"/>
            <w:shd w:val="clear" w:color="auto" w:fill="FFFFFF" w:themeFill="background1"/>
            <w:vAlign w:val="center"/>
          </w:tcPr>
          <w:p w14:paraId="60181DB9"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SA.</w:t>
            </w:r>
            <w:r>
              <w:rPr>
                <w:rFonts w:ascii="Arial Narrow" w:hAnsi="Arial Narrow"/>
                <w:color w:val="000000"/>
                <w:sz w:val="20"/>
                <w:szCs w:val="20"/>
              </w:rPr>
              <w:t>5</w:t>
            </w:r>
          </w:p>
        </w:tc>
        <w:tc>
          <w:tcPr>
            <w:tcW w:w="3920" w:type="dxa"/>
            <w:shd w:val="clear" w:color="auto" w:fill="FFFFFF" w:themeFill="background1"/>
            <w:vAlign w:val="center"/>
          </w:tcPr>
          <w:p w14:paraId="18392D95"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30 weeks for both treatment arms</w:t>
            </w:r>
          </w:p>
        </w:tc>
        <w:tc>
          <w:tcPr>
            <w:tcW w:w="1018" w:type="dxa"/>
            <w:gridSpan w:val="3"/>
            <w:shd w:val="solid" w:color="000000" w:fill="000000"/>
            <w:vAlign w:val="center"/>
          </w:tcPr>
          <w:p w14:paraId="64966BC4" w14:textId="025B7BA9" w:rsidR="00D41BD9" w:rsidRPr="00414250" w:rsidRDefault="00414250" w:rsidP="00D41BD9">
            <w:pPr>
              <w:keepNext/>
              <w:jc w:val="center"/>
              <w:rPr>
                <w:rFonts w:ascii="Arial Narrow" w:hAnsi="Arial Narrow"/>
                <w:color w:val="000000"/>
                <w:sz w:val="20"/>
                <w:szCs w:val="20"/>
              </w:rPr>
            </w:pPr>
            <w:r w:rsidRPr="00414250">
              <w:rPr>
                <w:rFonts w:ascii="Arial Narrow" w:hAnsi="Arial Narrow"/>
                <w:color w:val="000000"/>
                <w:spacing w:val="112"/>
                <w:sz w:val="20"/>
                <w:szCs w:val="20"/>
                <w:fitText w:val="188" w:id="-1305208572"/>
                <w14:textFill>
                  <w14:solidFill>
                    <w14:srgbClr w14:val="000000">
                      <w14:alpha w14:val="100000"/>
                    </w14:srgbClr>
                  </w14:solidFill>
                </w14:textFill>
              </w:rPr>
              <w:t>|</w:t>
            </w:r>
            <w:r w:rsidRPr="00414250">
              <w:rPr>
                <w:rFonts w:ascii="Arial Narrow" w:hAnsi="Arial Narrow"/>
                <w:color w:val="000000"/>
                <w:sz w:val="20"/>
                <w:szCs w:val="20"/>
                <w:fitText w:val="188" w:id="-1305208572"/>
                <w14:textFill>
                  <w14:solidFill>
                    <w14:srgbClr w14:val="000000">
                      <w14:alpha w14:val="100000"/>
                    </w14:srgbClr>
                  </w14:solidFill>
                </w14:textFill>
              </w:rPr>
              <w:t>|</w:t>
            </w:r>
          </w:p>
        </w:tc>
        <w:tc>
          <w:tcPr>
            <w:tcW w:w="1165" w:type="dxa"/>
            <w:shd w:val="clear" w:color="auto" w:fill="FFFFFF" w:themeFill="background1"/>
            <w:vAlign w:val="center"/>
          </w:tcPr>
          <w:p w14:paraId="79B138B5"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sz w:val="20"/>
                <w:szCs w:val="20"/>
              </w:rPr>
              <w:t>0.76</w:t>
            </w:r>
          </w:p>
        </w:tc>
        <w:tc>
          <w:tcPr>
            <w:tcW w:w="1164" w:type="dxa"/>
            <w:gridSpan w:val="3"/>
            <w:shd w:val="clear" w:color="auto" w:fill="FFFFFF" w:themeFill="background1"/>
            <w:vAlign w:val="center"/>
          </w:tcPr>
          <w:p w14:paraId="1ED97749" w14:textId="77310300" w:rsidR="00D41BD9" w:rsidRPr="001657F6" w:rsidRDefault="00414250" w:rsidP="00D41BD9">
            <w:pPr>
              <w:keepNext/>
              <w:jc w:val="center"/>
              <w:rPr>
                <w:rFonts w:ascii="Arial Narrow" w:hAnsi="Arial Narrow"/>
                <w:color w:val="000000"/>
                <w:sz w:val="20"/>
                <w:szCs w:val="20"/>
              </w:rPr>
            </w:pPr>
            <w:r w:rsidRPr="00414250">
              <w:rPr>
                <w:rFonts w:ascii="Arial Narrow" w:hAnsi="Arial Narrow" w:hint="eastAsia"/>
                <w:color w:val="000000"/>
                <w:w w:val="33"/>
                <w:sz w:val="20"/>
                <w:szCs w:val="20"/>
                <w:shd w:val="solid" w:color="000000" w:fill="000000"/>
                <w:fitText w:val="150" w:id="-1305208571"/>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1"/>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1"/>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4</w:t>
            </w:r>
          </w:p>
        </w:tc>
        <w:tc>
          <w:tcPr>
            <w:tcW w:w="1017" w:type="dxa"/>
            <w:shd w:val="clear" w:color="auto" w:fill="FFFFFF" w:themeFill="background1"/>
            <w:vAlign w:val="center"/>
          </w:tcPr>
          <w:p w14:paraId="17C1E4FE"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color w:val="000000"/>
                <w:sz w:val="20"/>
                <w:szCs w:val="20"/>
              </w:rPr>
              <w:t>+82.5%</w:t>
            </w:r>
          </w:p>
        </w:tc>
      </w:tr>
      <w:tr w:rsidR="00D41BD9" w:rsidRPr="001657F6" w14:paraId="0B33DECE" w14:textId="77777777" w:rsidTr="00D41BD9">
        <w:tc>
          <w:tcPr>
            <w:tcW w:w="9017" w:type="dxa"/>
            <w:gridSpan w:val="11"/>
            <w:shd w:val="clear" w:color="auto" w:fill="FFFFFF" w:themeFill="background1"/>
            <w:vAlign w:val="center"/>
          </w:tcPr>
          <w:p w14:paraId="6FF0FD57" w14:textId="77777777" w:rsidR="00D41BD9" w:rsidRPr="001657F6" w:rsidRDefault="00D41BD9" w:rsidP="00D41BD9">
            <w:pPr>
              <w:keepNext/>
              <w:rPr>
                <w:rFonts w:ascii="Arial Narrow" w:hAnsi="Arial Narrow"/>
                <w:b/>
                <w:color w:val="000000"/>
                <w:sz w:val="20"/>
                <w:szCs w:val="20"/>
              </w:rPr>
            </w:pPr>
            <w:r w:rsidRPr="001657F6">
              <w:rPr>
                <w:rFonts w:ascii="Arial Narrow" w:hAnsi="Arial Narrow"/>
                <w:b/>
                <w:color w:val="000000"/>
                <w:sz w:val="20"/>
                <w:szCs w:val="20"/>
              </w:rPr>
              <w:t xml:space="preserve">Discontinuation </w:t>
            </w:r>
            <w:r>
              <w:rPr>
                <w:rFonts w:ascii="Arial Narrow" w:hAnsi="Arial Narrow"/>
                <w:b/>
                <w:color w:val="000000"/>
                <w:sz w:val="20"/>
                <w:szCs w:val="20"/>
              </w:rPr>
              <w:t xml:space="preserve">of mavacamten </w:t>
            </w:r>
            <w:r w:rsidRPr="001657F6">
              <w:rPr>
                <w:rFonts w:ascii="Arial Narrow" w:hAnsi="Arial Narrow"/>
                <w:b/>
                <w:color w:val="000000"/>
                <w:sz w:val="20"/>
                <w:szCs w:val="20"/>
              </w:rPr>
              <w:t>due to lack of response at Week 30 (base case: no improvement in NYHA class)</w:t>
            </w:r>
          </w:p>
        </w:tc>
      </w:tr>
      <w:tr w:rsidR="00D41BD9" w:rsidRPr="001657F6" w14:paraId="124A7EDE" w14:textId="77777777" w:rsidTr="00414250">
        <w:tc>
          <w:tcPr>
            <w:tcW w:w="733" w:type="dxa"/>
            <w:gridSpan w:val="2"/>
            <w:shd w:val="clear" w:color="auto" w:fill="FFFFFF" w:themeFill="background1"/>
            <w:vAlign w:val="center"/>
          </w:tcPr>
          <w:p w14:paraId="5FF74366"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SA.</w:t>
            </w:r>
            <w:r>
              <w:rPr>
                <w:rFonts w:ascii="Arial Narrow" w:hAnsi="Arial Narrow"/>
                <w:color w:val="000000"/>
                <w:sz w:val="20"/>
                <w:szCs w:val="20"/>
              </w:rPr>
              <w:t>6</w:t>
            </w:r>
          </w:p>
        </w:tc>
        <w:tc>
          <w:tcPr>
            <w:tcW w:w="3920" w:type="dxa"/>
            <w:shd w:val="clear" w:color="auto" w:fill="FFFFFF" w:themeFill="background1"/>
            <w:vAlign w:val="center"/>
          </w:tcPr>
          <w:p w14:paraId="2BE19398"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Worsening in NYHA class</w:t>
            </w:r>
          </w:p>
        </w:tc>
        <w:tc>
          <w:tcPr>
            <w:tcW w:w="1018" w:type="dxa"/>
            <w:gridSpan w:val="3"/>
            <w:tcBorders>
              <w:bottom w:val="single" w:sz="4" w:space="0" w:color="auto"/>
            </w:tcBorders>
            <w:shd w:val="solid" w:color="000000" w:fill="000000"/>
          </w:tcPr>
          <w:p w14:paraId="07E80B82" w14:textId="462CD587" w:rsidR="00D41BD9" w:rsidRPr="00414250" w:rsidRDefault="00414250" w:rsidP="00D41BD9">
            <w:pPr>
              <w:keepNext/>
              <w:jc w:val="center"/>
              <w:rPr>
                <w:rFonts w:ascii="Arial Narrow" w:hAnsi="Arial Narrow"/>
                <w:color w:val="000000"/>
                <w:sz w:val="20"/>
                <w:szCs w:val="20"/>
              </w:rPr>
            </w:pPr>
            <w:r w:rsidRPr="00414250">
              <w:rPr>
                <w:rFonts w:ascii="Arial Narrow" w:hAnsi="Arial Narrow"/>
                <w:color w:val="000000"/>
                <w:spacing w:val="112"/>
                <w:sz w:val="20"/>
                <w:szCs w:val="20"/>
                <w:fitText w:val="188" w:id="-1305208570"/>
                <w14:textFill>
                  <w14:solidFill>
                    <w14:srgbClr w14:val="000000">
                      <w14:alpha w14:val="100000"/>
                    </w14:srgbClr>
                  </w14:solidFill>
                </w14:textFill>
              </w:rPr>
              <w:t>|</w:t>
            </w:r>
            <w:r w:rsidRPr="00414250">
              <w:rPr>
                <w:rFonts w:ascii="Arial Narrow" w:hAnsi="Arial Narrow"/>
                <w:color w:val="000000"/>
                <w:sz w:val="20"/>
                <w:szCs w:val="20"/>
                <w:fitText w:val="188" w:id="-1305208570"/>
                <w14:textFill>
                  <w14:solidFill>
                    <w14:srgbClr w14:val="000000">
                      <w14:alpha w14:val="100000"/>
                    </w14:srgbClr>
                  </w14:solidFill>
                </w14:textFill>
              </w:rPr>
              <w:t>|</w:t>
            </w:r>
          </w:p>
        </w:tc>
        <w:tc>
          <w:tcPr>
            <w:tcW w:w="1165" w:type="dxa"/>
            <w:shd w:val="clear" w:color="auto" w:fill="FFFFFF" w:themeFill="background1"/>
          </w:tcPr>
          <w:p w14:paraId="6C0E332B"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sz w:val="20"/>
                <w:szCs w:val="20"/>
              </w:rPr>
              <w:t>0.97</w:t>
            </w:r>
          </w:p>
        </w:tc>
        <w:tc>
          <w:tcPr>
            <w:tcW w:w="1164" w:type="dxa"/>
            <w:gridSpan w:val="3"/>
            <w:shd w:val="clear" w:color="auto" w:fill="FFFFFF" w:themeFill="background1"/>
          </w:tcPr>
          <w:p w14:paraId="77CDFA9E" w14:textId="4167FF6C" w:rsidR="00D41BD9" w:rsidRPr="001657F6" w:rsidRDefault="00414250" w:rsidP="00D41BD9">
            <w:pPr>
              <w:keepNext/>
              <w:jc w:val="center"/>
              <w:rPr>
                <w:rFonts w:ascii="Arial Narrow" w:hAnsi="Arial Narrow"/>
                <w:color w:val="000000"/>
                <w:sz w:val="20"/>
                <w:szCs w:val="20"/>
              </w:rPr>
            </w:pPr>
            <w:r w:rsidRPr="00414250">
              <w:rPr>
                <w:rFonts w:ascii="Arial Narrow" w:hAnsi="Arial Narrow" w:hint="eastAsia"/>
                <w:color w:val="000000"/>
                <w:w w:val="33"/>
                <w:sz w:val="20"/>
                <w:szCs w:val="20"/>
                <w:shd w:val="solid" w:color="000000" w:fill="000000"/>
                <w:fitText w:val="150" w:id="-1305208569"/>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9"/>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9"/>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5</w:t>
            </w:r>
          </w:p>
        </w:tc>
        <w:tc>
          <w:tcPr>
            <w:tcW w:w="1017" w:type="dxa"/>
            <w:shd w:val="clear" w:color="auto" w:fill="FFFFFF" w:themeFill="background1"/>
            <w:vAlign w:val="center"/>
          </w:tcPr>
          <w:p w14:paraId="3414854C"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color w:val="000000"/>
                <w:sz w:val="20"/>
                <w:szCs w:val="20"/>
              </w:rPr>
              <w:t>+125.1%</w:t>
            </w:r>
          </w:p>
        </w:tc>
      </w:tr>
      <w:tr w:rsidR="00D41BD9" w:rsidRPr="001657F6" w14:paraId="03CC9994" w14:textId="77777777" w:rsidTr="00414250">
        <w:tc>
          <w:tcPr>
            <w:tcW w:w="733" w:type="dxa"/>
            <w:gridSpan w:val="2"/>
            <w:shd w:val="clear" w:color="auto" w:fill="FFFFFF" w:themeFill="background1"/>
            <w:vAlign w:val="center"/>
          </w:tcPr>
          <w:p w14:paraId="4EF1BE59"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SA.</w:t>
            </w:r>
            <w:r>
              <w:rPr>
                <w:rFonts w:ascii="Arial Narrow" w:hAnsi="Arial Narrow"/>
                <w:color w:val="000000"/>
                <w:sz w:val="20"/>
                <w:szCs w:val="20"/>
              </w:rPr>
              <w:t>7</w:t>
            </w:r>
          </w:p>
        </w:tc>
        <w:tc>
          <w:tcPr>
            <w:tcW w:w="3920" w:type="dxa"/>
            <w:shd w:val="clear" w:color="auto" w:fill="FFFFFF" w:themeFill="background1"/>
            <w:vAlign w:val="center"/>
          </w:tcPr>
          <w:p w14:paraId="2B2042E9"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 xml:space="preserve">No discontinuation </w:t>
            </w:r>
            <w:r>
              <w:rPr>
                <w:rFonts w:ascii="Arial Narrow" w:hAnsi="Arial Narrow"/>
                <w:color w:val="000000"/>
                <w:sz w:val="20"/>
                <w:szCs w:val="20"/>
              </w:rPr>
              <w:t>due to lack of efficacy</w:t>
            </w:r>
          </w:p>
        </w:tc>
        <w:tc>
          <w:tcPr>
            <w:tcW w:w="1018" w:type="dxa"/>
            <w:gridSpan w:val="3"/>
            <w:shd w:val="solid" w:color="000000" w:fill="000000"/>
          </w:tcPr>
          <w:p w14:paraId="0FB3B1AD" w14:textId="47AA82BF" w:rsidR="00D41BD9" w:rsidRPr="00414250" w:rsidRDefault="00414250" w:rsidP="00D41BD9">
            <w:pPr>
              <w:keepNext/>
              <w:jc w:val="center"/>
              <w:rPr>
                <w:rFonts w:ascii="Arial Narrow" w:hAnsi="Arial Narrow"/>
                <w:color w:val="000000"/>
                <w:sz w:val="20"/>
                <w:szCs w:val="20"/>
              </w:rPr>
            </w:pPr>
            <w:r w:rsidRPr="00414250">
              <w:rPr>
                <w:rFonts w:ascii="Arial Narrow" w:hAnsi="Arial Narrow"/>
                <w:color w:val="000000"/>
                <w:spacing w:val="112"/>
                <w:sz w:val="20"/>
                <w:szCs w:val="20"/>
                <w:fitText w:val="188" w:id="-1305208568"/>
                <w14:textFill>
                  <w14:solidFill>
                    <w14:srgbClr w14:val="000000">
                      <w14:alpha w14:val="100000"/>
                    </w14:srgbClr>
                  </w14:solidFill>
                </w14:textFill>
              </w:rPr>
              <w:t>|</w:t>
            </w:r>
            <w:r w:rsidRPr="00414250">
              <w:rPr>
                <w:rFonts w:ascii="Arial Narrow" w:hAnsi="Arial Narrow"/>
                <w:color w:val="000000"/>
                <w:sz w:val="20"/>
                <w:szCs w:val="20"/>
                <w:fitText w:val="188" w:id="-1305208568"/>
                <w14:textFill>
                  <w14:solidFill>
                    <w14:srgbClr w14:val="000000">
                      <w14:alpha w14:val="100000"/>
                    </w14:srgbClr>
                  </w14:solidFill>
                </w14:textFill>
              </w:rPr>
              <w:t>|</w:t>
            </w:r>
          </w:p>
        </w:tc>
        <w:tc>
          <w:tcPr>
            <w:tcW w:w="1165" w:type="dxa"/>
            <w:shd w:val="clear" w:color="auto" w:fill="FFFFFF" w:themeFill="background1"/>
          </w:tcPr>
          <w:p w14:paraId="7BB3E2D5"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sz w:val="20"/>
                <w:szCs w:val="20"/>
              </w:rPr>
              <w:t>0.96</w:t>
            </w:r>
          </w:p>
        </w:tc>
        <w:tc>
          <w:tcPr>
            <w:tcW w:w="1164" w:type="dxa"/>
            <w:gridSpan w:val="3"/>
            <w:shd w:val="clear" w:color="auto" w:fill="FFFFFF" w:themeFill="background1"/>
            <w:vAlign w:val="center"/>
          </w:tcPr>
          <w:p w14:paraId="3F11ECEE" w14:textId="1568545C" w:rsidR="00D41BD9" w:rsidRPr="001657F6" w:rsidRDefault="00414250" w:rsidP="00D41BD9">
            <w:pPr>
              <w:keepNext/>
              <w:jc w:val="center"/>
              <w:rPr>
                <w:rFonts w:ascii="Arial Narrow" w:hAnsi="Arial Narrow"/>
                <w:color w:val="000000"/>
                <w:sz w:val="20"/>
                <w:szCs w:val="20"/>
              </w:rPr>
            </w:pPr>
            <w:r w:rsidRPr="00414250">
              <w:rPr>
                <w:rFonts w:ascii="Arial Narrow" w:hAnsi="Arial Narrow" w:hint="eastAsia"/>
                <w:color w:val="000000"/>
                <w:w w:val="33"/>
                <w:sz w:val="20"/>
                <w:szCs w:val="20"/>
                <w:shd w:val="solid" w:color="000000" w:fill="000000"/>
                <w:fitText w:val="150" w:id="-1305208567"/>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7"/>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7"/>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5</w:t>
            </w:r>
          </w:p>
        </w:tc>
        <w:tc>
          <w:tcPr>
            <w:tcW w:w="1017" w:type="dxa"/>
            <w:shd w:val="clear" w:color="auto" w:fill="FFFFFF" w:themeFill="background1"/>
            <w:vAlign w:val="center"/>
          </w:tcPr>
          <w:p w14:paraId="2DBB4180"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color w:val="000000"/>
                <w:sz w:val="20"/>
                <w:szCs w:val="20"/>
              </w:rPr>
              <w:t>+131.3%</w:t>
            </w:r>
          </w:p>
        </w:tc>
      </w:tr>
      <w:tr w:rsidR="00D41BD9" w:rsidRPr="001657F6" w14:paraId="554DA859" w14:textId="77777777" w:rsidTr="00D41BD9">
        <w:tc>
          <w:tcPr>
            <w:tcW w:w="9017" w:type="dxa"/>
            <w:gridSpan w:val="11"/>
            <w:shd w:val="clear" w:color="auto" w:fill="FFFFFF" w:themeFill="background1"/>
            <w:vAlign w:val="center"/>
          </w:tcPr>
          <w:p w14:paraId="5B2C8095" w14:textId="77777777" w:rsidR="00D41BD9" w:rsidRPr="001657F6" w:rsidRDefault="00D41BD9" w:rsidP="00D41BD9">
            <w:pPr>
              <w:keepNext/>
              <w:rPr>
                <w:rFonts w:ascii="Arial Narrow" w:hAnsi="Arial Narrow"/>
                <w:b/>
                <w:color w:val="000000"/>
                <w:sz w:val="20"/>
                <w:szCs w:val="20"/>
              </w:rPr>
            </w:pPr>
            <w:r>
              <w:rPr>
                <w:rFonts w:ascii="Arial Narrow" w:hAnsi="Arial Narrow"/>
                <w:b/>
                <w:color w:val="000000"/>
                <w:sz w:val="20"/>
                <w:szCs w:val="20"/>
              </w:rPr>
              <w:t>E</w:t>
            </w:r>
            <w:r w:rsidRPr="001657F6">
              <w:rPr>
                <w:rFonts w:ascii="Arial Narrow" w:hAnsi="Arial Narrow"/>
                <w:b/>
                <w:color w:val="000000"/>
                <w:sz w:val="20"/>
                <w:szCs w:val="20"/>
              </w:rPr>
              <w:t xml:space="preserve">fficacy of SRT + BB/CCB (base case: Knyshov </w:t>
            </w:r>
            <w:r w:rsidRPr="00424AF9">
              <w:rPr>
                <w:rFonts w:ascii="Arial Narrow" w:hAnsi="Arial Narrow"/>
                <w:b/>
                <w:color w:val="000000"/>
                <w:sz w:val="20"/>
                <w:szCs w:val="20"/>
              </w:rPr>
              <w:t>et al</w:t>
            </w:r>
            <w:r w:rsidRPr="001657F6">
              <w:rPr>
                <w:rFonts w:ascii="Arial Narrow" w:hAnsi="Arial Narrow"/>
                <w:b/>
                <w:color w:val="000000"/>
                <w:sz w:val="20"/>
                <w:szCs w:val="20"/>
              </w:rPr>
              <w:t xml:space="preserve"> 2013)</w:t>
            </w:r>
          </w:p>
        </w:tc>
      </w:tr>
      <w:tr w:rsidR="00D41BD9" w:rsidRPr="001657F6" w14:paraId="0BB3A1B9" w14:textId="77777777" w:rsidTr="00414250">
        <w:tc>
          <w:tcPr>
            <w:tcW w:w="733" w:type="dxa"/>
            <w:gridSpan w:val="2"/>
            <w:shd w:val="clear" w:color="auto" w:fill="FFFFFF" w:themeFill="background1"/>
            <w:vAlign w:val="center"/>
          </w:tcPr>
          <w:p w14:paraId="1F403E78"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SA.</w:t>
            </w:r>
            <w:r>
              <w:rPr>
                <w:rFonts w:ascii="Arial Narrow" w:hAnsi="Arial Narrow"/>
                <w:color w:val="000000"/>
                <w:sz w:val="20"/>
                <w:szCs w:val="20"/>
              </w:rPr>
              <w:t>8</w:t>
            </w:r>
          </w:p>
        </w:tc>
        <w:tc>
          <w:tcPr>
            <w:tcW w:w="3920" w:type="dxa"/>
            <w:shd w:val="clear" w:color="auto" w:fill="FFFFFF" w:themeFill="background1"/>
            <w:vAlign w:val="center"/>
          </w:tcPr>
          <w:p w14:paraId="7EA936CA" w14:textId="77777777" w:rsidR="00D41BD9" w:rsidRPr="001657F6" w:rsidRDefault="00D41BD9" w:rsidP="00D41BD9">
            <w:pPr>
              <w:keepNext/>
              <w:rPr>
                <w:rFonts w:ascii="Arial Narrow" w:hAnsi="Arial Narrow"/>
                <w:color w:val="000000"/>
                <w:sz w:val="20"/>
                <w:szCs w:val="20"/>
              </w:rPr>
            </w:pPr>
            <w:r w:rsidRPr="001657F6">
              <w:rPr>
                <w:rFonts w:ascii="Arial Narrow" w:hAnsi="Arial Narrow"/>
                <w:color w:val="000000"/>
                <w:sz w:val="20"/>
                <w:szCs w:val="20"/>
              </w:rPr>
              <w:t xml:space="preserve">Advisory Board inputs </w:t>
            </w:r>
          </w:p>
        </w:tc>
        <w:tc>
          <w:tcPr>
            <w:tcW w:w="1018" w:type="dxa"/>
            <w:gridSpan w:val="3"/>
            <w:shd w:val="solid" w:color="000000" w:fill="000000"/>
          </w:tcPr>
          <w:p w14:paraId="3CA7E23D" w14:textId="3E3ECE6B" w:rsidR="00D41BD9" w:rsidRPr="00414250" w:rsidRDefault="00414250" w:rsidP="00D41BD9">
            <w:pPr>
              <w:keepNext/>
              <w:jc w:val="center"/>
              <w:rPr>
                <w:rFonts w:ascii="Arial Narrow" w:hAnsi="Arial Narrow"/>
                <w:color w:val="000000"/>
                <w:sz w:val="20"/>
                <w:szCs w:val="20"/>
              </w:rPr>
            </w:pPr>
            <w:r w:rsidRPr="00414250">
              <w:rPr>
                <w:rFonts w:ascii="Arial Narrow" w:hAnsi="Arial Narrow"/>
                <w:color w:val="000000"/>
                <w:spacing w:val="112"/>
                <w:sz w:val="20"/>
                <w:szCs w:val="20"/>
                <w:fitText w:val="188" w:id="-1305208566"/>
                <w14:textFill>
                  <w14:solidFill>
                    <w14:srgbClr w14:val="000000">
                      <w14:alpha w14:val="100000"/>
                    </w14:srgbClr>
                  </w14:solidFill>
                </w14:textFill>
              </w:rPr>
              <w:t>|</w:t>
            </w:r>
            <w:r w:rsidRPr="00414250">
              <w:rPr>
                <w:rFonts w:ascii="Arial Narrow" w:hAnsi="Arial Narrow"/>
                <w:color w:val="000000"/>
                <w:sz w:val="20"/>
                <w:szCs w:val="20"/>
                <w:fitText w:val="188" w:id="-1305208566"/>
                <w14:textFill>
                  <w14:solidFill>
                    <w14:srgbClr w14:val="000000">
                      <w14:alpha w14:val="100000"/>
                    </w14:srgbClr>
                  </w14:solidFill>
                </w14:textFill>
              </w:rPr>
              <w:t>|</w:t>
            </w:r>
          </w:p>
        </w:tc>
        <w:tc>
          <w:tcPr>
            <w:tcW w:w="1165" w:type="dxa"/>
            <w:shd w:val="clear" w:color="auto" w:fill="FFFFFF" w:themeFill="background1"/>
          </w:tcPr>
          <w:p w14:paraId="0F9F0592"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sz w:val="20"/>
                <w:szCs w:val="20"/>
              </w:rPr>
              <w:t>0.83</w:t>
            </w:r>
          </w:p>
        </w:tc>
        <w:tc>
          <w:tcPr>
            <w:tcW w:w="1164" w:type="dxa"/>
            <w:gridSpan w:val="3"/>
            <w:shd w:val="clear" w:color="auto" w:fill="FFFFFF" w:themeFill="background1"/>
            <w:vAlign w:val="center"/>
          </w:tcPr>
          <w:p w14:paraId="62A5697C" w14:textId="4935D967" w:rsidR="00D41BD9" w:rsidRPr="001657F6" w:rsidRDefault="00414250" w:rsidP="00D41BD9">
            <w:pPr>
              <w:keepNext/>
              <w:jc w:val="center"/>
              <w:rPr>
                <w:rFonts w:ascii="Arial Narrow" w:hAnsi="Arial Narrow"/>
                <w:color w:val="000000"/>
                <w:sz w:val="20"/>
                <w:szCs w:val="20"/>
              </w:rPr>
            </w:pPr>
            <w:r w:rsidRPr="00414250">
              <w:rPr>
                <w:rFonts w:ascii="Arial Narrow" w:hAnsi="Arial Narrow" w:hint="eastAsia"/>
                <w:color w:val="000000"/>
                <w:w w:val="33"/>
                <w:sz w:val="20"/>
                <w:szCs w:val="20"/>
                <w:shd w:val="solid" w:color="000000" w:fill="000000"/>
                <w:fitText w:val="150" w:id="-1305208565"/>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5"/>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5"/>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2</w:t>
            </w:r>
          </w:p>
        </w:tc>
        <w:tc>
          <w:tcPr>
            <w:tcW w:w="1017" w:type="dxa"/>
            <w:shd w:val="clear" w:color="auto" w:fill="FFFFFF" w:themeFill="background1"/>
            <w:vAlign w:val="center"/>
          </w:tcPr>
          <w:p w14:paraId="7ECCA3C4" w14:textId="77777777" w:rsidR="00D41BD9" w:rsidRPr="001657F6" w:rsidRDefault="00D41BD9" w:rsidP="00D41BD9">
            <w:pPr>
              <w:keepNext/>
              <w:jc w:val="center"/>
              <w:rPr>
                <w:rFonts w:ascii="Arial Narrow" w:hAnsi="Arial Narrow"/>
                <w:color w:val="000000"/>
                <w:sz w:val="20"/>
                <w:szCs w:val="20"/>
              </w:rPr>
            </w:pPr>
            <w:r w:rsidRPr="001657F6">
              <w:rPr>
                <w:rFonts w:ascii="Arial Narrow" w:hAnsi="Arial Narrow"/>
                <w:color w:val="000000"/>
                <w:sz w:val="20"/>
                <w:szCs w:val="20"/>
              </w:rPr>
              <w:t>+43.5%</w:t>
            </w:r>
          </w:p>
        </w:tc>
      </w:tr>
      <w:tr w:rsidR="00D41BD9" w:rsidRPr="00424AF9" w14:paraId="6706A1C2" w14:textId="77777777" w:rsidTr="00D41BD9">
        <w:tc>
          <w:tcPr>
            <w:tcW w:w="9017" w:type="dxa"/>
            <w:gridSpan w:val="11"/>
            <w:shd w:val="clear" w:color="auto" w:fill="FFFFFF" w:themeFill="background1"/>
            <w:vAlign w:val="center"/>
          </w:tcPr>
          <w:p w14:paraId="054FF214" w14:textId="77777777" w:rsidR="00D41BD9" w:rsidRPr="00424AF9" w:rsidRDefault="00D41BD9" w:rsidP="00662FB3">
            <w:pPr>
              <w:keepNext/>
              <w:jc w:val="left"/>
              <w:rPr>
                <w:rFonts w:ascii="Arial Narrow" w:hAnsi="Arial Narrow"/>
                <w:b/>
                <w:color w:val="000000"/>
                <w:sz w:val="20"/>
                <w:szCs w:val="20"/>
              </w:rPr>
            </w:pPr>
            <w:r w:rsidRPr="00424AF9">
              <w:rPr>
                <w:rFonts w:ascii="Arial Narrow" w:hAnsi="Arial Narrow"/>
                <w:b/>
                <w:color w:val="000000"/>
                <w:sz w:val="20"/>
                <w:szCs w:val="20"/>
              </w:rPr>
              <w:t>Efficacy of disopyramide + BB/CCB (base case: nil effects, applying natural disease progression rate as for BB/CCB)</w:t>
            </w:r>
          </w:p>
        </w:tc>
      </w:tr>
      <w:tr w:rsidR="00D41BD9" w:rsidRPr="00424AF9" w14:paraId="2680C09F" w14:textId="77777777" w:rsidTr="00414250">
        <w:tc>
          <w:tcPr>
            <w:tcW w:w="733" w:type="dxa"/>
            <w:gridSpan w:val="2"/>
            <w:shd w:val="clear" w:color="auto" w:fill="FFFFFF" w:themeFill="background1"/>
            <w:vAlign w:val="center"/>
          </w:tcPr>
          <w:p w14:paraId="04788E09"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SA.9</w:t>
            </w:r>
          </w:p>
        </w:tc>
        <w:tc>
          <w:tcPr>
            <w:tcW w:w="3920" w:type="dxa"/>
            <w:shd w:val="clear" w:color="auto" w:fill="FFFFFF" w:themeFill="background1"/>
            <w:vAlign w:val="center"/>
          </w:tcPr>
          <w:p w14:paraId="1FED9ABB" w14:textId="77777777" w:rsidR="00D41BD9" w:rsidRPr="00424AF9" w:rsidRDefault="00D41BD9" w:rsidP="00662FB3">
            <w:pPr>
              <w:keepNext/>
              <w:jc w:val="left"/>
              <w:rPr>
                <w:rFonts w:ascii="Arial Narrow" w:hAnsi="Arial Narrow"/>
                <w:b/>
                <w:color w:val="000000"/>
                <w:sz w:val="20"/>
                <w:szCs w:val="20"/>
                <w:vertAlign w:val="superscript"/>
              </w:rPr>
            </w:pPr>
            <w:r w:rsidRPr="00424AF9">
              <w:rPr>
                <w:rFonts w:ascii="Arial Narrow" w:hAnsi="Arial Narrow"/>
                <w:color w:val="000000"/>
                <w:sz w:val="20"/>
                <w:szCs w:val="20"/>
              </w:rPr>
              <w:t>Using last trial-based TP for MAVA + BB/CCB (weeks 26-30), including natural disease progression</w:t>
            </w:r>
            <w:r w:rsidRPr="00424AF9">
              <w:rPr>
                <w:rFonts w:ascii="Arial Narrow" w:hAnsi="Arial Narrow"/>
                <w:color w:val="000000"/>
                <w:sz w:val="20"/>
                <w:szCs w:val="20"/>
                <w:vertAlign w:val="superscript"/>
              </w:rPr>
              <w:t>a</w:t>
            </w:r>
          </w:p>
        </w:tc>
        <w:tc>
          <w:tcPr>
            <w:tcW w:w="1018" w:type="dxa"/>
            <w:gridSpan w:val="3"/>
            <w:tcBorders>
              <w:bottom w:val="single" w:sz="4" w:space="0" w:color="auto"/>
            </w:tcBorders>
            <w:shd w:val="solid" w:color="000000" w:fill="000000"/>
            <w:vAlign w:val="center"/>
          </w:tcPr>
          <w:p w14:paraId="7955B8E5" w14:textId="3E38A989"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64"/>
                <w14:textFill>
                  <w14:solidFill>
                    <w14:srgbClr w14:val="000000">
                      <w14:alpha w14:val="100000"/>
                    </w14:srgbClr>
                  </w14:solidFill>
                </w14:textFill>
              </w:rPr>
              <w:t>|</w:t>
            </w:r>
            <w:r w:rsidRPr="00414250">
              <w:rPr>
                <w:rFonts w:ascii="Arial Narrow" w:hAnsi="Arial Narrow"/>
                <w:color w:val="000000"/>
                <w:sz w:val="20"/>
                <w:szCs w:val="20"/>
                <w:fitText w:val="188" w:id="-1305208564"/>
                <w14:textFill>
                  <w14:solidFill>
                    <w14:srgbClr w14:val="000000">
                      <w14:alpha w14:val="100000"/>
                    </w14:srgbClr>
                  </w14:solidFill>
                </w14:textFill>
              </w:rPr>
              <w:t>|</w:t>
            </w:r>
          </w:p>
        </w:tc>
        <w:tc>
          <w:tcPr>
            <w:tcW w:w="1165" w:type="dxa"/>
            <w:shd w:val="clear" w:color="auto" w:fill="FFFFFF" w:themeFill="background1"/>
            <w:vAlign w:val="center"/>
          </w:tcPr>
          <w:p w14:paraId="68A31589"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0.77</w:t>
            </w:r>
          </w:p>
        </w:tc>
        <w:tc>
          <w:tcPr>
            <w:tcW w:w="1164" w:type="dxa"/>
            <w:gridSpan w:val="3"/>
            <w:shd w:val="clear" w:color="auto" w:fill="FFFFFF" w:themeFill="background1"/>
            <w:vAlign w:val="center"/>
          </w:tcPr>
          <w:p w14:paraId="537E1BC9" w14:textId="7B9E2C33"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63"/>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3"/>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3"/>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4</w:t>
            </w:r>
          </w:p>
        </w:tc>
        <w:tc>
          <w:tcPr>
            <w:tcW w:w="1017" w:type="dxa"/>
            <w:shd w:val="clear" w:color="auto" w:fill="FFFFFF" w:themeFill="background1"/>
            <w:vAlign w:val="center"/>
          </w:tcPr>
          <w:p w14:paraId="27FCC0E4"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+73.0%</w:t>
            </w:r>
          </w:p>
        </w:tc>
      </w:tr>
      <w:tr w:rsidR="00D41BD9" w:rsidRPr="00424AF9" w14:paraId="2900FABC" w14:textId="77777777" w:rsidTr="00414250">
        <w:tc>
          <w:tcPr>
            <w:tcW w:w="733" w:type="dxa"/>
            <w:gridSpan w:val="2"/>
            <w:shd w:val="clear" w:color="auto" w:fill="FFFFFF" w:themeFill="background1"/>
            <w:vAlign w:val="center"/>
          </w:tcPr>
          <w:p w14:paraId="346A6CC7"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SA.10</w:t>
            </w:r>
          </w:p>
        </w:tc>
        <w:tc>
          <w:tcPr>
            <w:tcW w:w="3920" w:type="dxa"/>
            <w:shd w:val="clear" w:color="auto" w:fill="FFFFFF" w:themeFill="background1"/>
            <w:vAlign w:val="center"/>
          </w:tcPr>
          <w:p w14:paraId="71DBE009" w14:textId="77777777" w:rsidR="00D41BD9" w:rsidRPr="00424AF9" w:rsidRDefault="00D41BD9" w:rsidP="00662FB3">
            <w:pPr>
              <w:keepNext/>
              <w:jc w:val="left"/>
              <w:rPr>
                <w:rFonts w:ascii="Arial Narrow" w:hAnsi="Arial Narrow"/>
                <w:color w:val="000000"/>
                <w:sz w:val="20"/>
                <w:szCs w:val="20"/>
                <w:vertAlign w:val="superscript"/>
              </w:rPr>
            </w:pPr>
            <w:r w:rsidRPr="00424AF9">
              <w:rPr>
                <w:rFonts w:ascii="Arial Narrow" w:hAnsi="Arial Narrow"/>
                <w:color w:val="000000"/>
                <w:sz w:val="20"/>
                <w:szCs w:val="20"/>
              </w:rPr>
              <w:t>Using trial-based TP for MAVA + BB/CCB at weeks 8-12, including natural disease progression</w:t>
            </w:r>
            <w:r w:rsidRPr="00424AF9">
              <w:rPr>
                <w:rFonts w:ascii="Arial Narrow" w:hAnsi="Arial Narrow"/>
                <w:color w:val="000000"/>
                <w:sz w:val="20"/>
                <w:szCs w:val="20"/>
                <w:vertAlign w:val="superscript"/>
              </w:rPr>
              <w:t>a</w:t>
            </w:r>
          </w:p>
        </w:tc>
        <w:tc>
          <w:tcPr>
            <w:tcW w:w="1018" w:type="dxa"/>
            <w:gridSpan w:val="3"/>
            <w:tcBorders>
              <w:bottom w:val="single" w:sz="4" w:space="0" w:color="auto"/>
            </w:tcBorders>
            <w:shd w:val="solid" w:color="000000" w:fill="000000"/>
            <w:vAlign w:val="center"/>
          </w:tcPr>
          <w:p w14:paraId="1B2EBFFE" w14:textId="24402098"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62"/>
                <w14:textFill>
                  <w14:solidFill>
                    <w14:srgbClr w14:val="000000">
                      <w14:alpha w14:val="100000"/>
                    </w14:srgbClr>
                  </w14:solidFill>
                </w14:textFill>
              </w:rPr>
              <w:t>|</w:t>
            </w:r>
            <w:r w:rsidRPr="00414250">
              <w:rPr>
                <w:rFonts w:ascii="Arial Narrow" w:hAnsi="Arial Narrow"/>
                <w:color w:val="000000"/>
                <w:sz w:val="20"/>
                <w:szCs w:val="20"/>
                <w:fitText w:val="188" w:id="-1305208562"/>
                <w14:textFill>
                  <w14:solidFill>
                    <w14:srgbClr w14:val="000000">
                      <w14:alpha w14:val="100000"/>
                    </w14:srgbClr>
                  </w14:solidFill>
                </w14:textFill>
              </w:rPr>
              <w:t>|</w:t>
            </w:r>
          </w:p>
        </w:tc>
        <w:tc>
          <w:tcPr>
            <w:tcW w:w="1165" w:type="dxa"/>
            <w:shd w:val="clear" w:color="auto" w:fill="FFFFFF" w:themeFill="background1"/>
            <w:vAlign w:val="center"/>
          </w:tcPr>
          <w:p w14:paraId="6B883D86"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0.69</w:t>
            </w:r>
          </w:p>
        </w:tc>
        <w:tc>
          <w:tcPr>
            <w:tcW w:w="1164" w:type="dxa"/>
            <w:gridSpan w:val="3"/>
            <w:shd w:val="clear" w:color="auto" w:fill="FFFFFF" w:themeFill="background1"/>
            <w:vAlign w:val="center"/>
          </w:tcPr>
          <w:p w14:paraId="64AD3E1B" w14:textId="71C4BB99"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61"/>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1"/>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1"/>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5</w:t>
            </w:r>
          </w:p>
        </w:tc>
        <w:tc>
          <w:tcPr>
            <w:tcW w:w="1017" w:type="dxa"/>
            <w:shd w:val="clear" w:color="auto" w:fill="FFFFFF" w:themeFill="background1"/>
            <w:vAlign w:val="center"/>
          </w:tcPr>
          <w:p w14:paraId="65347889"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+113.2%</w:t>
            </w:r>
          </w:p>
        </w:tc>
      </w:tr>
      <w:tr w:rsidR="00D41BD9" w:rsidRPr="00424AF9" w14:paraId="37433D41" w14:textId="77777777" w:rsidTr="00414250">
        <w:tc>
          <w:tcPr>
            <w:tcW w:w="733" w:type="dxa"/>
            <w:gridSpan w:val="2"/>
            <w:shd w:val="clear" w:color="auto" w:fill="FFFFFF" w:themeFill="background1"/>
            <w:vAlign w:val="center"/>
          </w:tcPr>
          <w:p w14:paraId="259FC568"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SA.11</w:t>
            </w:r>
          </w:p>
        </w:tc>
        <w:tc>
          <w:tcPr>
            <w:tcW w:w="3920" w:type="dxa"/>
            <w:shd w:val="clear" w:color="auto" w:fill="FFFFFF" w:themeFill="background1"/>
            <w:vAlign w:val="center"/>
          </w:tcPr>
          <w:p w14:paraId="7D64E8B7" w14:textId="77777777" w:rsidR="00D41BD9" w:rsidRPr="00424AF9" w:rsidRDefault="00D41BD9" w:rsidP="00662FB3">
            <w:pPr>
              <w:keepNext/>
              <w:jc w:val="left"/>
              <w:rPr>
                <w:rFonts w:ascii="Arial Narrow" w:hAnsi="Arial Narrow"/>
                <w:color w:val="000000"/>
                <w:sz w:val="20"/>
                <w:szCs w:val="20"/>
                <w:vertAlign w:val="superscript"/>
              </w:rPr>
            </w:pPr>
            <w:r w:rsidRPr="00424AF9">
              <w:rPr>
                <w:rFonts w:ascii="Arial Narrow" w:hAnsi="Arial Narrow"/>
                <w:color w:val="000000"/>
                <w:sz w:val="20"/>
                <w:szCs w:val="20"/>
              </w:rPr>
              <w:t>Using last trial-based TP for BB/CCB (weeks 38-46), including natural disease progression</w:t>
            </w:r>
            <w:r w:rsidRPr="00424AF9">
              <w:rPr>
                <w:rFonts w:ascii="Arial Narrow" w:hAnsi="Arial Narrow"/>
                <w:color w:val="000000"/>
                <w:sz w:val="20"/>
                <w:szCs w:val="20"/>
                <w:vertAlign w:val="superscript"/>
              </w:rPr>
              <w:t>a</w:t>
            </w:r>
          </w:p>
        </w:tc>
        <w:tc>
          <w:tcPr>
            <w:tcW w:w="1018" w:type="dxa"/>
            <w:gridSpan w:val="3"/>
            <w:tcBorders>
              <w:bottom w:val="single" w:sz="4" w:space="0" w:color="auto"/>
            </w:tcBorders>
            <w:shd w:val="solid" w:color="000000" w:fill="000000"/>
            <w:vAlign w:val="center"/>
          </w:tcPr>
          <w:p w14:paraId="2340AEB1" w14:textId="7E8AAC0B"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60"/>
                <w14:textFill>
                  <w14:solidFill>
                    <w14:srgbClr w14:val="000000">
                      <w14:alpha w14:val="100000"/>
                    </w14:srgbClr>
                  </w14:solidFill>
                </w14:textFill>
              </w:rPr>
              <w:t>|</w:t>
            </w:r>
            <w:r w:rsidRPr="00414250">
              <w:rPr>
                <w:rFonts w:ascii="Arial Narrow" w:hAnsi="Arial Narrow"/>
                <w:color w:val="000000"/>
                <w:sz w:val="20"/>
                <w:szCs w:val="20"/>
                <w:fitText w:val="188" w:id="-1305208560"/>
                <w14:textFill>
                  <w14:solidFill>
                    <w14:srgbClr w14:val="000000">
                      <w14:alpha w14:val="100000"/>
                    </w14:srgbClr>
                  </w14:solidFill>
                </w14:textFill>
              </w:rPr>
              <w:t>|</w:t>
            </w:r>
          </w:p>
        </w:tc>
        <w:tc>
          <w:tcPr>
            <w:tcW w:w="1165" w:type="dxa"/>
            <w:shd w:val="clear" w:color="auto" w:fill="FFFFFF" w:themeFill="background1"/>
            <w:vAlign w:val="center"/>
          </w:tcPr>
          <w:p w14:paraId="037A79AC"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0.91</w:t>
            </w:r>
          </w:p>
        </w:tc>
        <w:tc>
          <w:tcPr>
            <w:tcW w:w="1164" w:type="dxa"/>
            <w:gridSpan w:val="3"/>
            <w:shd w:val="clear" w:color="auto" w:fill="FFFFFF" w:themeFill="background1"/>
            <w:vAlign w:val="center"/>
          </w:tcPr>
          <w:p w14:paraId="0C9A65E6" w14:textId="28B5D0E5"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76"/>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6"/>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6"/>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3</w:t>
            </w:r>
          </w:p>
        </w:tc>
        <w:tc>
          <w:tcPr>
            <w:tcW w:w="1017" w:type="dxa"/>
            <w:shd w:val="clear" w:color="auto" w:fill="FFFFFF" w:themeFill="background1"/>
            <w:vAlign w:val="center"/>
          </w:tcPr>
          <w:p w14:paraId="1A43D4B1"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+17.9%</w:t>
            </w:r>
          </w:p>
        </w:tc>
      </w:tr>
      <w:tr w:rsidR="00D41BD9" w:rsidRPr="00424AF9" w14:paraId="5796ED6B" w14:textId="77777777" w:rsidTr="00414250">
        <w:tc>
          <w:tcPr>
            <w:tcW w:w="733" w:type="dxa"/>
            <w:gridSpan w:val="2"/>
            <w:shd w:val="clear" w:color="auto" w:fill="FFFFFF" w:themeFill="background1"/>
            <w:vAlign w:val="center"/>
          </w:tcPr>
          <w:p w14:paraId="2991ADDF"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SA.12</w:t>
            </w:r>
          </w:p>
        </w:tc>
        <w:tc>
          <w:tcPr>
            <w:tcW w:w="3920" w:type="dxa"/>
            <w:shd w:val="clear" w:color="auto" w:fill="FFFFFF" w:themeFill="background1"/>
            <w:vAlign w:val="center"/>
          </w:tcPr>
          <w:p w14:paraId="54C813E2" w14:textId="77777777" w:rsidR="00D41BD9" w:rsidRPr="00424AF9" w:rsidRDefault="00D41BD9" w:rsidP="00662FB3">
            <w:pPr>
              <w:keepNext/>
              <w:jc w:val="left"/>
              <w:rPr>
                <w:rFonts w:ascii="Arial Narrow" w:hAnsi="Arial Narrow"/>
                <w:color w:val="000000"/>
                <w:sz w:val="20"/>
                <w:szCs w:val="20"/>
                <w:vertAlign w:val="superscript"/>
              </w:rPr>
            </w:pPr>
            <w:r w:rsidRPr="00424AF9">
              <w:rPr>
                <w:rFonts w:ascii="Arial Narrow" w:hAnsi="Arial Narrow"/>
                <w:color w:val="000000"/>
                <w:sz w:val="20"/>
                <w:szCs w:val="20"/>
              </w:rPr>
              <w:t>Using trial-based TP for BB/CCB at weeks 8-12, including natural disease progression</w:t>
            </w:r>
            <w:r w:rsidRPr="00424AF9">
              <w:rPr>
                <w:rFonts w:ascii="Arial Narrow" w:hAnsi="Arial Narrow"/>
                <w:color w:val="000000"/>
                <w:sz w:val="20"/>
                <w:szCs w:val="20"/>
                <w:vertAlign w:val="superscript"/>
              </w:rPr>
              <w:t>a</w:t>
            </w:r>
          </w:p>
        </w:tc>
        <w:tc>
          <w:tcPr>
            <w:tcW w:w="1018" w:type="dxa"/>
            <w:gridSpan w:val="3"/>
            <w:shd w:val="solid" w:color="000000" w:fill="000000"/>
            <w:vAlign w:val="center"/>
          </w:tcPr>
          <w:p w14:paraId="1AAFB712" w14:textId="4B46081A"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75"/>
                <w14:textFill>
                  <w14:solidFill>
                    <w14:srgbClr w14:val="000000">
                      <w14:alpha w14:val="100000"/>
                    </w14:srgbClr>
                  </w14:solidFill>
                </w14:textFill>
              </w:rPr>
              <w:t>|</w:t>
            </w:r>
            <w:r w:rsidRPr="00414250">
              <w:rPr>
                <w:rFonts w:ascii="Arial Narrow" w:hAnsi="Arial Narrow"/>
                <w:color w:val="000000"/>
                <w:sz w:val="20"/>
                <w:szCs w:val="20"/>
                <w:fitText w:val="188" w:id="-1305208575"/>
                <w14:textFill>
                  <w14:solidFill>
                    <w14:srgbClr w14:val="000000">
                      <w14:alpha w14:val="100000"/>
                    </w14:srgbClr>
                  </w14:solidFill>
                </w14:textFill>
              </w:rPr>
              <w:t>|</w:t>
            </w:r>
          </w:p>
        </w:tc>
        <w:tc>
          <w:tcPr>
            <w:tcW w:w="1165" w:type="dxa"/>
            <w:shd w:val="clear" w:color="auto" w:fill="FFFFFF" w:themeFill="background1"/>
            <w:vAlign w:val="center"/>
          </w:tcPr>
          <w:p w14:paraId="620EEB94"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0.82</w:t>
            </w:r>
          </w:p>
        </w:tc>
        <w:tc>
          <w:tcPr>
            <w:tcW w:w="1164" w:type="dxa"/>
            <w:gridSpan w:val="3"/>
            <w:shd w:val="clear" w:color="auto" w:fill="FFFFFF" w:themeFill="background1"/>
            <w:vAlign w:val="center"/>
          </w:tcPr>
          <w:p w14:paraId="717075E3" w14:textId="388E2CD3"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74"/>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4"/>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4"/>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2</w:t>
            </w:r>
          </w:p>
        </w:tc>
        <w:tc>
          <w:tcPr>
            <w:tcW w:w="1017" w:type="dxa"/>
            <w:shd w:val="clear" w:color="auto" w:fill="FFFFFF" w:themeFill="background1"/>
            <w:vAlign w:val="center"/>
          </w:tcPr>
          <w:p w14:paraId="02677F9A"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+50.5%</w:t>
            </w:r>
          </w:p>
        </w:tc>
      </w:tr>
      <w:tr w:rsidR="00D41BD9" w:rsidRPr="00424AF9" w14:paraId="43F8FA4D" w14:textId="77777777" w:rsidTr="00D41BD9">
        <w:tc>
          <w:tcPr>
            <w:tcW w:w="9017" w:type="dxa"/>
            <w:gridSpan w:val="11"/>
            <w:shd w:val="clear" w:color="auto" w:fill="FFFFFF" w:themeFill="background1"/>
            <w:vAlign w:val="center"/>
          </w:tcPr>
          <w:p w14:paraId="541EFDBC" w14:textId="77777777" w:rsidR="00D41BD9" w:rsidRPr="00424AF9" w:rsidRDefault="00D41BD9" w:rsidP="00662FB3">
            <w:pPr>
              <w:keepNext/>
              <w:jc w:val="left"/>
              <w:rPr>
                <w:rFonts w:ascii="Arial Narrow" w:hAnsi="Arial Narrow"/>
                <w:b/>
                <w:color w:val="000000"/>
                <w:sz w:val="20"/>
                <w:szCs w:val="20"/>
              </w:rPr>
            </w:pPr>
            <w:r w:rsidRPr="00424AF9">
              <w:rPr>
                <w:rFonts w:ascii="Arial Narrow" w:hAnsi="Arial Narrow"/>
                <w:b/>
                <w:color w:val="000000"/>
                <w:sz w:val="20"/>
                <w:szCs w:val="20"/>
              </w:rPr>
              <w:t>Health state utilities (base case: NYHA I: 0.909, NYHA II: 0.827; NYHA III/IV: 0.730, trial-based)</w:t>
            </w:r>
          </w:p>
        </w:tc>
      </w:tr>
      <w:tr w:rsidR="00D41BD9" w:rsidRPr="00424AF9" w14:paraId="1BC73DD2" w14:textId="77777777" w:rsidTr="00414250">
        <w:tc>
          <w:tcPr>
            <w:tcW w:w="733" w:type="dxa"/>
            <w:gridSpan w:val="2"/>
            <w:shd w:val="clear" w:color="auto" w:fill="FFFFFF" w:themeFill="background1"/>
            <w:vAlign w:val="center"/>
          </w:tcPr>
          <w:p w14:paraId="41A7301E"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SA.13</w:t>
            </w:r>
          </w:p>
        </w:tc>
        <w:tc>
          <w:tcPr>
            <w:tcW w:w="3920" w:type="dxa"/>
            <w:shd w:val="clear" w:color="auto" w:fill="FFFFFF" w:themeFill="background1"/>
            <w:vAlign w:val="center"/>
          </w:tcPr>
          <w:p w14:paraId="45EDC810" w14:textId="77777777" w:rsidR="00D41BD9" w:rsidRPr="00424AF9" w:rsidRDefault="00D41BD9" w:rsidP="00662FB3">
            <w:pPr>
              <w:keepNext/>
              <w:jc w:val="left"/>
              <w:rPr>
                <w:rFonts w:ascii="Arial Narrow" w:hAnsi="Arial Narrow"/>
                <w:b/>
                <w:color w:val="000000"/>
                <w:sz w:val="20"/>
                <w:szCs w:val="20"/>
              </w:rPr>
            </w:pPr>
            <w:r w:rsidRPr="00424AF9">
              <w:rPr>
                <w:rFonts w:ascii="Arial Narrow" w:hAnsi="Arial Narrow"/>
                <w:color w:val="000000"/>
                <w:sz w:val="20"/>
                <w:szCs w:val="20"/>
              </w:rPr>
              <w:t>NYHA I: 0.849; NYHA II: 0.767; NYHA III/IV: 0.50 (based on the economic model presented in the tafamidis March 2021 submission)</w:t>
            </w:r>
            <w:r w:rsidRPr="00424AF9">
              <w:rPr>
                <w:rFonts w:ascii="Arial Narrow" w:hAnsi="Arial Narrow"/>
                <w:color w:val="000000"/>
                <w:sz w:val="20"/>
                <w:szCs w:val="20"/>
                <w:vertAlign w:val="superscript"/>
              </w:rPr>
              <w:t>a</w:t>
            </w:r>
          </w:p>
        </w:tc>
        <w:tc>
          <w:tcPr>
            <w:tcW w:w="1018" w:type="dxa"/>
            <w:gridSpan w:val="3"/>
            <w:tcBorders>
              <w:bottom w:val="single" w:sz="4" w:space="0" w:color="auto"/>
            </w:tcBorders>
            <w:shd w:val="solid" w:color="000000" w:fill="000000"/>
            <w:vAlign w:val="center"/>
          </w:tcPr>
          <w:p w14:paraId="4E20ED7F" w14:textId="14977627"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73"/>
                <w14:textFill>
                  <w14:solidFill>
                    <w14:srgbClr w14:val="000000">
                      <w14:alpha w14:val="100000"/>
                    </w14:srgbClr>
                  </w14:solidFill>
                </w14:textFill>
              </w:rPr>
              <w:t>|</w:t>
            </w:r>
            <w:r w:rsidRPr="00414250">
              <w:rPr>
                <w:rFonts w:ascii="Arial Narrow" w:hAnsi="Arial Narrow"/>
                <w:color w:val="000000"/>
                <w:sz w:val="20"/>
                <w:szCs w:val="20"/>
                <w:fitText w:val="188" w:id="-1305208573"/>
                <w14:textFill>
                  <w14:solidFill>
                    <w14:srgbClr w14:val="000000">
                      <w14:alpha w14:val="100000"/>
                    </w14:srgbClr>
                  </w14:solidFill>
                </w14:textFill>
              </w:rPr>
              <w:t>|</w:t>
            </w:r>
          </w:p>
        </w:tc>
        <w:tc>
          <w:tcPr>
            <w:tcW w:w="1165" w:type="dxa"/>
            <w:shd w:val="clear" w:color="auto" w:fill="FFFFFF" w:themeFill="background1"/>
            <w:vAlign w:val="center"/>
          </w:tcPr>
          <w:p w14:paraId="6043F940"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1.24</w:t>
            </w:r>
          </w:p>
        </w:tc>
        <w:tc>
          <w:tcPr>
            <w:tcW w:w="1164" w:type="dxa"/>
            <w:gridSpan w:val="3"/>
            <w:shd w:val="clear" w:color="auto" w:fill="FFFFFF" w:themeFill="background1"/>
            <w:vAlign w:val="center"/>
          </w:tcPr>
          <w:p w14:paraId="2ABDFD78" w14:textId="3A85FFDE"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72"/>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2"/>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2"/>
                <w14:textFill>
                  <w14:solidFill>
                    <w14:srgbClr w14:val="000000">
                      <w14:alpha w14:val="100000"/>
                    </w14:srgbClr>
                  </w14:solidFill>
                </w14:textFill>
              </w:rPr>
              <w:t xml:space="preserve">　</w:t>
            </w:r>
            <w:r w:rsidR="00306CAE">
              <w:rPr>
                <w:rFonts w:ascii="Arial Narrow" w:hAnsi="Arial Narrow"/>
                <w:b/>
                <w:sz w:val="20"/>
                <w:vertAlign w:val="superscript"/>
              </w:rPr>
              <w:t>1</w:t>
            </w:r>
          </w:p>
        </w:tc>
        <w:tc>
          <w:tcPr>
            <w:tcW w:w="1017" w:type="dxa"/>
            <w:shd w:val="clear" w:color="auto" w:fill="FFFFFF" w:themeFill="background1"/>
            <w:vAlign w:val="center"/>
          </w:tcPr>
          <w:p w14:paraId="55B1A9AD"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-21.5%</w:t>
            </w:r>
          </w:p>
        </w:tc>
      </w:tr>
      <w:tr w:rsidR="00D41BD9" w:rsidRPr="00424AF9" w14:paraId="1B2C41A5" w14:textId="77777777" w:rsidTr="00414250">
        <w:tc>
          <w:tcPr>
            <w:tcW w:w="733" w:type="dxa"/>
            <w:gridSpan w:val="2"/>
            <w:shd w:val="clear" w:color="auto" w:fill="FFFFFF" w:themeFill="background1"/>
            <w:vAlign w:val="center"/>
          </w:tcPr>
          <w:p w14:paraId="459B7150"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SA.14</w:t>
            </w:r>
          </w:p>
        </w:tc>
        <w:tc>
          <w:tcPr>
            <w:tcW w:w="3920" w:type="dxa"/>
            <w:shd w:val="clear" w:color="auto" w:fill="FFFFFF" w:themeFill="background1"/>
            <w:vAlign w:val="center"/>
          </w:tcPr>
          <w:p w14:paraId="7756E399" w14:textId="77777777" w:rsidR="00D41BD9" w:rsidRPr="00424AF9" w:rsidRDefault="00D41BD9" w:rsidP="00662FB3">
            <w:pPr>
              <w:keepNext/>
              <w:jc w:val="left"/>
              <w:rPr>
                <w:rFonts w:ascii="Arial Narrow" w:hAnsi="Arial Narrow"/>
                <w:color w:val="000000"/>
                <w:sz w:val="20"/>
                <w:szCs w:val="20"/>
              </w:rPr>
            </w:pPr>
            <w:r w:rsidRPr="00424AF9">
              <w:rPr>
                <w:rFonts w:ascii="Arial Narrow" w:hAnsi="Arial Narrow"/>
                <w:color w:val="000000"/>
                <w:sz w:val="20"/>
                <w:szCs w:val="20"/>
              </w:rPr>
              <w:t>Including age-related utility decrement</w:t>
            </w:r>
            <w:r w:rsidRPr="00424AF9">
              <w:rPr>
                <w:rFonts w:ascii="Arial Narrow" w:hAnsi="Arial Narrow"/>
                <w:color w:val="000000"/>
                <w:sz w:val="20"/>
                <w:szCs w:val="20"/>
                <w:vertAlign w:val="superscript"/>
              </w:rPr>
              <w:t>a</w:t>
            </w:r>
          </w:p>
        </w:tc>
        <w:tc>
          <w:tcPr>
            <w:tcW w:w="1018" w:type="dxa"/>
            <w:gridSpan w:val="3"/>
            <w:shd w:val="solid" w:color="000000" w:fill="000000"/>
          </w:tcPr>
          <w:p w14:paraId="5B66671B" w14:textId="460D0863"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71"/>
                <w14:textFill>
                  <w14:solidFill>
                    <w14:srgbClr w14:val="000000">
                      <w14:alpha w14:val="100000"/>
                    </w14:srgbClr>
                  </w14:solidFill>
                </w14:textFill>
              </w:rPr>
              <w:t>|</w:t>
            </w:r>
            <w:r w:rsidRPr="00414250">
              <w:rPr>
                <w:rFonts w:ascii="Arial Narrow" w:hAnsi="Arial Narrow"/>
                <w:color w:val="000000"/>
                <w:sz w:val="20"/>
                <w:szCs w:val="20"/>
                <w:fitText w:val="188" w:id="-1305208571"/>
                <w14:textFill>
                  <w14:solidFill>
                    <w14:srgbClr w14:val="000000">
                      <w14:alpha w14:val="100000"/>
                    </w14:srgbClr>
                  </w14:solidFill>
                </w14:textFill>
              </w:rPr>
              <w:t>|</w:t>
            </w:r>
          </w:p>
        </w:tc>
        <w:tc>
          <w:tcPr>
            <w:tcW w:w="1165" w:type="dxa"/>
            <w:shd w:val="clear" w:color="auto" w:fill="FFFFFF" w:themeFill="background1"/>
          </w:tcPr>
          <w:p w14:paraId="028E60D6"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0.92</w:t>
            </w:r>
          </w:p>
        </w:tc>
        <w:tc>
          <w:tcPr>
            <w:tcW w:w="1164" w:type="dxa"/>
            <w:gridSpan w:val="3"/>
            <w:shd w:val="clear" w:color="auto" w:fill="FFFFFF" w:themeFill="background1"/>
          </w:tcPr>
          <w:p w14:paraId="2B25A60B" w14:textId="5A8F76E5"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70"/>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70"/>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70"/>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3</w:t>
            </w:r>
          </w:p>
        </w:tc>
        <w:tc>
          <w:tcPr>
            <w:tcW w:w="1017" w:type="dxa"/>
            <w:shd w:val="clear" w:color="auto" w:fill="FFFFFF" w:themeFill="background1"/>
          </w:tcPr>
          <w:p w14:paraId="5E5FC598"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+6.6%</w:t>
            </w:r>
          </w:p>
        </w:tc>
      </w:tr>
      <w:tr w:rsidR="00D41BD9" w:rsidRPr="00424AF9" w14:paraId="09E3F6EA" w14:textId="77777777" w:rsidTr="00D41BD9">
        <w:tc>
          <w:tcPr>
            <w:tcW w:w="9017" w:type="dxa"/>
            <w:gridSpan w:val="11"/>
            <w:shd w:val="clear" w:color="auto" w:fill="FFFFFF" w:themeFill="background1"/>
            <w:vAlign w:val="center"/>
          </w:tcPr>
          <w:p w14:paraId="0BDF203A" w14:textId="77777777" w:rsidR="00D41BD9" w:rsidRPr="00424AF9" w:rsidRDefault="00D41BD9" w:rsidP="00662FB3">
            <w:pPr>
              <w:keepNext/>
              <w:jc w:val="left"/>
              <w:rPr>
                <w:rFonts w:ascii="Arial Narrow" w:hAnsi="Arial Narrow"/>
                <w:b/>
                <w:color w:val="000000"/>
                <w:sz w:val="20"/>
                <w:szCs w:val="20"/>
              </w:rPr>
            </w:pPr>
            <w:r w:rsidRPr="00424AF9">
              <w:rPr>
                <w:rFonts w:ascii="Arial Narrow" w:hAnsi="Arial Narrow"/>
                <w:b/>
                <w:color w:val="000000"/>
                <w:sz w:val="20"/>
                <w:szCs w:val="20"/>
              </w:rPr>
              <w:t xml:space="preserve">Cost of hospitalisation associated with SRT (base case: $55,895)  </w:t>
            </w:r>
          </w:p>
        </w:tc>
      </w:tr>
      <w:tr w:rsidR="00D41BD9" w:rsidRPr="00424AF9" w14:paraId="5BE6D0E2" w14:textId="77777777" w:rsidTr="00414250">
        <w:tc>
          <w:tcPr>
            <w:tcW w:w="733" w:type="dxa"/>
            <w:gridSpan w:val="2"/>
            <w:shd w:val="clear" w:color="auto" w:fill="FFFFFF" w:themeFill="background1"/>
            <w:vAlign w:val="center"/>
          </w:tcPr>
          <w:p w14:paraId="09841812"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SA.15</w:t>
            </w:r>
          </w:p>
        </w:tc>
        <w:tc>
          <w:tcPr>
            <w:tcW w:w="3920" w:type="dxa"/>
            <w:shd w:val="clear" w:color="auto" w:fill="FFFFFF" w:themeFill="background1"/>
            <w:vAlign w:val="center"/>
          </w:tcPr>
          <w:p w14:paraId="2B9C32B2" w14:textId="77777777" w:rsidR="00D41BD9" w:rsidRPr="00424AF9" w:rsidRDefault="00D41BD9" w:rsidP="00662FB3">
            <w:pPr>
              <w:keepNext/>
              <w:jc w:val="left"/>
              <w:rPr>
                <w:rFonts w:ascii="Arial Narrow" w:hAnsi="Arial Narrow"/>
                <w:color w:val="000000"/>
                <w:sz w:val="20"/>
                <w:szCs w:val="20"/>
              </w:rPr>
            </w:pPr>
            <w:r w:rsidRPr="00424AF9">
              <w:rPr>
                <w:rFonts w:ascii="Arial Narrow" w:hAnsi="Arial Narrow"/>
                <w:color w:val="000000"/>
                <w:sz w:val="20"/>
                <w:szCs w:val="20"/>
              </w:rPr>
              <w:t>Reduced by 50% (i.e. $27,947 per SRT-associated hospital admission)</w:t>
            </w:r>
            <w:r w:rsidRPr="00424AF9">
              <w:rPr>
                <w:rFonts w:ascii="Arial Narrow" w:hAnsi="Arial Narrow"/>
                <w:color w:val="000000"/>
                <w:sz w:val="20"/>
                <w:szCs w:val="20"/>
                <w:vertAlign w:val="superscript"/>
              </w:rPr>
              <w:t>a</w:t>
            </w:r>
          </w:p>
        </w:tc>
        <w:tc>
          <w:tcPr>
            <w:tcW w:w="1018" w:type="dxa"/>
            <w:gridSpan w:val="3"/>
            <w:shd w:val="solid" w:color="000000" w:fill="000000"/>
            <w:vAlign w:val="center"/>
          </w:tcPr>
          <w:p w14:paraId="2251AD6F" w14:textId="1C342EAB"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69"/>
                <w14:textFill>
                  <w14:solidFill>
                    <w14:srgbClr w14:val="000000">
                      <w14:alpha w14:val="100000"/>
                    </w14:srgbClr>
                  </w14:solidFill>
                </w14:textFill>
              </w:rPr>
              <w:t>|</w:t>
            </w:r>
            <w:r w:rsidRPr="00414250">
              <w:rPr>
                <w:rFonts w:ascii="Arial Narrow" w:hAnsi="Arial Narrow"/>
                <w:color w:val="000000"/>
                <w:sz w:val="20"/>
                <w:szCs w:val="20"/>
                <w:fitText w:val="188" w:id="-1305208569"/>
                <w14:textFill>
                  <w14:solidFill>
                    <w14:srgbClr w14:val="000000">
                      <w14:alpha w14:val="100000"/>
                    </w14:srgbClr>
                  </w14:solidFill>
                </w14:textFill>
              </w:rPr>
              <w:t>|</w:t>
            </w:r>
          </w:p>
        </w:tc>
        <w:tc>
          <w:tcPr>
            <w:tcW w:w="1165" w:type="dxa"/>
            <w:shd w:val="clear" w:color="auto" w:fill="FFFFFF" w:themeFill="background1"/>
            <w:vAlign w:val="center"/>
          </w:tcPr>
          <w:p w14:paraId="32773BD7"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0.98</w:t>
            </w:r>
          </w:p>
        </w:tc>
        <w:tc>
          <w:tcPr>
            <w:tcW w:w="1164" w:type="dxa"/>
            <w:gridSpan w:val="3"/>
            <w:shd w:val="clear" w:color="auto" w:fill="FFFFFF" w:themeFill="background1"/>
            <w:vAlign w:val="center"/>
          </w:tcPr>
          <w:p w14:paraId="233F69A5" w14:textId="46CDF5F5"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68"/>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8"/>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8"/>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3</w:t>
            </w:r>
          </w:p>
        </w:tc>
        <w:tc>
          <w:tcPr>
            <w:tcW w:w="1017" w:type="dxa"/>
            <w:shd w:val="clear" w:color="auto" w:fill="FFFFFF" w:themeFill="background1"/>
            <w:vAlign w:val="center"/>
          </w:tcPr>
          <w:p w14:paraId="52C49DCE"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+11.9%</w:t>
            </w:r>
          </w:p>
        </w:tc>
      </w:tr>
      <w:tr w:rsidR="00D41BD9" w:rsidRPr="00424AF9" w14:paraId="2DE84E83" w14:textId="77777777" w:rsidTr="00D41BD9">
        <w:tc>
          <w:tcPr>
            <w:tcW w:w="9017" w:type="dxa"/>
            <w:gridSpan w:val="11"/>
            <w:shd w:val="clear" w:color="auto" w:fill="FFFFFF" w:themeFill="background1"/>
            <w:vAlign w:val="center"/>
          </w:tcPr>
          <w:p w14:paraId="40E86144" w14:textId="781392A9" w:rsidR="00D41BD9" w:rsidRPr="00424AF9" w:rsidRDefault="00D41BD9" w:rsidP="00662FB3">
            <w:pPr>
              <w:keepNext/>
              <w:jc w:val="left"/>
              <w:rPr>
                <w:rFonts w:ascii="Arial Narrow" w:hAnsi="Arial Narrow"/>
                <w:b/>
                <w:color w:val="000000"/>
                <w:sz w:val="20"/>
                <w:szCs w:val="20"/>
              </w:rPr>
            </w:pPr>
            <w:r w:rsidRPr="00424AF9">
              <w:rPr>
                <w:rFonts w:ascii="Arial Narrow" w:hAnsi="Arial Narrow"/>
                <w:b/>
                <w:color w:val="000000"/>
                <w:sz w:val="20"/>
                <w:szCs w:val="20"/>
              </w:rPr>
              <w:t xml:space="preserve">Cost per hospital admission due to a cardiovascular event (base case: $27,800)  </w:t>
            </w:r>
          </w:p>
        </w:tc>
      </w:tr>
      <w:tr w:rsidR="00D41BD9" w:rsidRPr="00424AF9" w14:paraId="1943C2A9" w14:textId="77777777" w:rsidTr="00414250">
        <w:tc>
          <w:tcPr>
            <w:tcW w:w="733" w:type="dxa"/>
            <w:gridSpan w:val="2"/>
            <w:shd w:val="clear" w:color="auto" w:fill="FFFFFF" w:themeFill="background1"/>
            <w:vAlign w:val="center"/>
          </w:tcPr>
          <w:p w14:paraId="4418C524"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SA.16</w:t>
            </w:r>
          </w:p>
        </w:tc>
        <w:tc>
          <w:tcPr>
            <w:tcW w:w="3920" w:type="dxa"/>
            <w:shd w:val="clear" w:color="auto" w:fill="FFFFFF" w:themeFill="background1"/>
            <w:vAlign w:val="center"/>
          </w:tcPr>
          <w:p w14:paraId="054FCFD9" w14:textId="77777777" w:rsidR="00D41BD9" w:rsidRPr="00424AF9" w:rsidRDefault="00D41BD9" w:rsidP="00662FB3">
            <w:pPr>
              <w:keepNext/>
              <w:jc w:val="left"/>
              <w:rPr>
                <w:rFonts w:ascii="Arial Narrow" w:hAnsi="Arial Narrow"/>
                <w:color w:val="000000"/>
                <w:sz w:val="20"/>
                <w:szCs w:val="20"/>
              </w:rPr>
            </w:pPr>
            <w:r w:rsidRPr="00424AF9">
              <w:rPr>
                <w:rFonts w:ascii="Arial Narrow" w:hAnsi="Arial Narrow"/>
                <w:color w:val="000000"/>
                <w:sz w:val="20"/>
                <w:szCs w:val="20"/>
              </w:rPr>
              <w:t>Reduced by 66.7% (i.e. $9,267 per hospital admission)</w:t>
            </w:r>
            <w:r w:rsidRPr="00424AF9">
              <w:rPr>
                <w:rFonts w:ascii="Arial Narrow" w:hAnsi="Arial Narrow"/>
                <w:color w:val="000000"/>
                <w:sz w:val="20"/>
                <w:szCs w:val="20"/>
                <w:vertAlign w:val="superscript"/>
              </w:rPr>
              <w:t>a</w:t>
            </w:r>
          </w:p>
        </w:tc>
        <w:tc>
          <w:tcPr>
            <w:tcW w:w="1018" w:type="dxa"/>
            <w:gridSpan w:val="3"/>
            <w:shd w:val="solid" w:color="000000" w:fill="000000"/>
            <w:vAlign w:val="center"/>
          </w:tcPr>
          <w:p w14:paraId="61E55C2C" w14:textId="71A1BCA6"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67"/>
                <w14:textFill>
                  <w14:solidFill>
                    <w14:srgbClr w14:val="000000">
                      <w14:alpha w14:val="100000"/>
                    </w14:srgbClr>
                  </w14:solidFill>
                </w14:textFill>
              </w:rPr>
              <w:t>|</w:t>
            </w:r>
            <w:r w:rsidRPr="00414250">
              <w:rPr>
                <w:rFonts w:ascii="Arial Narrow" w:hAnsi="Arial Narrow"/>
                <w:color w:val="000000"/>
                <w:sz w:val="20"/>
                <w:szCs w:val="20"/>
                <w:fitText w:val="188" w:id="-1305208567"/>
                <w14:textFill>
                  <w14:solidFill>
                    <w14:srgbClr w14:val="000000">
                      <w14:alpha w14:val="100000"/>
                    </w14:srgbClr>
                  </w14:solidFill>
                </w14:textFill>
              </w:rPr>
              <w:t>|</w:t>
            </w:r>
          </w:p>
        </w:tc>
        <w:tc>
          <w:tcPr>
            <w:tcW w:w="1165" w:type="dxa"/>
            <w:shd w:val="clear" w:color="auto" w:fill="FFFFFF" w:themeFill="background1"/>
            <w:vAlign w:val="center"/>
          </w:tcPr>
          <w:p w14:paraId="370DE17F"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0.98</w:t>
            </w:r>
          </w:p>
        </w:tc>
        <w:tc>
          <w:tcPr>
            <w:tcW w:w="1164" w:type="dxa"/>
            <w:gridSpan w:val="3"/>
            <w:shd w:val="clear" w:color="auto" w:fill="FFFFFF" w:themeFill="background1"/>
            <w:vAlign w:val="center"/>
          </w:tcPr>
          <w:p w14:paraId="2A9092FD" w14:textId="7A02D875"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66"/>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6"/>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6"/>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4</w:t>
            </w:r>
          </w:p>
        </w:tc>
        <w:tc>
          <w:tcPr>
            <w:tcW w:w="1017" w:type="dxa"/>
            <w:shd w:val="clear" w:color="auto" w:fill="FFFFFF" w:themeFill="background1"/>
            <w:vAlign w:val="center"/>
          </w:tcPr>
          <w:p w14:paraId="0763C330"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+108.2%</w:t>
            </w:r>
          </w:p>
        </w:tc>
      </w:tr>
      <w:tr w:rsidR="00D41BD9" w:rsidRPr="00424AF9" w14:paraId="381613C3" w14:textId="77777777" w:rsidTr="00D41BD9">
        <w:tc>
          <w:tcPr>
            <w:tcW w:w="9017" w:type="dxa"/>
            <w:gridSpan w:val="11"/>
            <w:shd w:val="clear" w:color="auto" w:fill="FFFFFF" w:themeFill="background1"/>
            <w:vAlign w:val="center"/>
          </w:tcPr>
          <w:p w14:paraId="578F860A" w14:textId="77777777" w:rsidR="00D41BD9" w:rsidRPr="00424AF9" w:rsidRDefault="00D41BD9" w:rsidP="00662FB3">
            <w:pPr>
              <w:keepNext/>
              <w:jc w:val="left"/>
              <w:rPr>
                <w:rFonts w:ascii="Arial Narrow" w:hAnsi="Arial Narrow"/>
                <w:b/>
                <w:color w:val="000000"/>
                <w:sz w:val="20"/>
                <w:szCs w:val="20"/>
              </w:rPr>
            </w:pPr>
            <w:r w:rsidRPr="00424AF9">
              <w:rPr>
                <w:rFonts w:ascii="Arial Narrow" w:hAnsi="Arial Narrow"/>
                <w:b/>
                <w:color w:val="000000"/>
                <w:sz w:val="20"/>
                <w:szCs w:val="20"/>
              </w:rPr>
              <w:t>Drug costs and MBS costs (base case: PBS mark-up/fees and MBS Schedule fees as in the submission)</w:t>
            </w:r>
          </w:p>
        </w:tc>
      </w:tr>
      <w:tr w:rsidR="00D41BD9" w:rsidRPr="00424AF9" w14:paraId="7397E8B8" w14:textId="77777777" w:rsidTr="00414250">
        <w:tc>
          <w:tcPr>
            <w:tcW w:w="733" w:type="dxa"/>
            <w:gridSpan w:val="2"/>
            <w:shd w:val="clear" w:color="auto" w:fill="FFFFFF" w:themeFill="background1"/>
            <w:vAlign w:val="center"/>
          </w:tcPr>
          <w:p w14:paraId="4200E96B"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SA.17</w:t>
            </w:r>
          </w:p>
        </w:tc>
        <w:tc>
          <w:tcPr>
            <w:tcW w:w="3920" w:type="dxa"/>
            <w:shd w:val="clear" w:color="auto" w:fill="FFFFFF" w:themeFill="background1"/>
            <w:vAlign w:val="center"/>
          </w:tcPr>
          <w:p w14:paraId="380795F3" w14:textId="77777777" w:rsidR="00D41BD9" w:rsidRPr="00424AF9" w:rsidRDefault="00D41BD9" w:rsidP="00662FB3">
            <w:pPr>
              <w:keepNext/>
              <w:jc w:val="left"/>
              <w:rPr>
                <w:rFonts w:ascii="Arial Narrow" w:hAnsi="Arial Narrow"/>
                <w:color w:val="000000"/>
                <w:sz w:val="20"/>
                <w:szCs w:val="20"/>
              </w:rPr>
            </w:pPr>
            <w:r w:rsidRPr="00424AF9">
              <w:rPr>
                <w:rFonts w:ascii="Arial Narrow" w:hAnsi="Arial Narrow"/>
                <w:color w:val="000000"/>
                <w:sz w:val="20"/>
                <w:szCs w:val="20"/>
              </w:rPr>
              <w:t>Using updated PBS fees/mark-up and MBS fees as in July 2022 and including one-off price increase applied to metoprolol and atenolol in October 2022</w:t>
            </w:r>
            <w:r w:rsidRPr="00424AF9">
              <w:rPr>
                <w:rFonts w:ascii="Arial Narrow" w:hAnsi="Arial Narrow"/>
                <w:color w:val="000000"/>
                <w:sz w:val="20"/>
                <w:szCs w:val="20"/>
                <w:vertAlign w:val="superscript"/>
              </w:rPr>
              <w:t>a</w:t>
            </w:r>
          </w:p>
        </w:tc>
        <w:tc>
          <w:tcPr>
            <w:tcW w:w="1018" w:type="dxa"/>
            <w:gridSpan w:val="3"/>
            <w:shd w:val="solid" w:color="000000" w:fill="000000"/>
            <w:vAlign w:val="center"/>
          </w:tcPr>
          <w:p w14:paraId="16104A38" w14:textId="064DC31D"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565"/>
                <w14:textFill>
                  <w14:solidFill>
                    <w14:srgbClr w14:val="000000">
                      <w14:alpha w14:val="100000"/>
                    </w14:srgbClr>
                  </w14:solidFill>
                </w14:textFill>
              </w:rPr>
              <w:t>|</w:t>
            </w:r>
            <w:r w:rsidRPr="00414250">
              <w:rPr>
                <w:rFonts w:ascii="Arial Narrow" w:hAnsi="Arial Narrow"/>
                <w:color w:val="000000"/>
                <w:sz w:val="20"/>
                <w:szCs w:val="20"/>
                <w:fitText w:val="188" w:id="-1305208565"/>
                <w14:textFill>
                  <w14:solidFill>
                    <w14:srgbClr w14:val="000000">
                      <w14:alpha w14:val="100000"/>
                    </w14:srgbClr>
                  </w14:solidFill>
                </w14:textFill>
              </w:rPr>
              <w:t>|</w:t>
            </w:r>
          </w:p>
        </w:tc>
        <w:tc>
          <w:tcPr>
            <w:tcW w:w="1165" w:type="dxa"/>
            <w:shd w:val="clear" w:color="auto" w:fill="FFFFFF" w:themeFill="background1"/>
            <w:vAlign w:val="center"/>
          </w:tcPr>
          <w:p w14:paraId="09FC1000"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0.98</w:t>
            </w:r>
          </w:p>
        </w:tc>
        <w:tc>
          <w:tcPr>
            <w:tcW w:w="1164" w:type="dxa"/>
            <w:gridSpan w:val="3"/>
            <w:shd w:val="clear" w:color="auto" w:fill="FFFFFF" w:themeFill="background1"/>
            <w:vAlign w:val="center"/>
          </w:tcPr>
          <w:p w14:paraId="25FE98AF" w14:textId="27080705"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564"/>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564"/>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564"/>
                <w14:textFill>
                  <w14:solidFill>
                    <w14:srgbClr w14:val="000000">
                      <w14:alpha w14:val="100000"/>
                    </w14:srgbClr>
                  </w14:solidFill>
                </w14:textFill>
              </w:rPr>
              <w:t xml:space="preserve">　</w:t>
            </w:r>
            <w:r w:rsidR="00306CAE">
              <w:rPr>
                <w:rFonts w:ascii="Arial Narrow" w:hAnsi="Arial Narrow"/>
                <w:b/>
                <w:sz w:val="20"/>
                <w:vertAlign w:val="superscript"/>
              </w:rPr>
              <w:t>1</w:t>
            </w:r>
          </w:p>
        </w:tc>
        <w:tc>
          <w:tcPr>
            <w:tcW w:w="1017" w:type="dxa"/>
            <w:shd w:val="clear" w:color="auto" w:fill="FFFFFF" w:themeFill="background1"/>
            <w:vAlign w:val="center"/>
          </w:tcPr>
          <w:p w14:paraId="33342C65"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+0.2%</w:t>
            </w:r>
          </w:p>
        </w:tc>
      </w:tr>
      <w:tr w:rsidR="006E5994" w:rsidRPr="00424AF9" w14:paraId="2CE187A7" w14:textId="77777777" w:rsidTr="00D41BD9">
        <w:tc>
          <w:tcPr>
            <w:tcW w:w="9017" w:type="dxa"/>
            <w:gridSpan w:val="11"/>
            <w:shd w:val="clear" w:color="auto" w:fill="FFFFFF" w:themeFill="background1"/>
            <w:vAlign w:val="center"/>
          </w:tcPr>
          <w:p w14:paraId="20C12628" w14:textId="77777777" w:rsidR="006E5994" w:rsidRPr="00424AF9" w:rsidRDefault="006E5994" w:rsidP="00662FB3">
            <w:pPr>
              <w:keepNext/>
              <w:jc w:val="left"/>
              <w:rPr>
                <w:rFonts w:ascii="Arial Narrow" w:hAnsi="Arial Narrow"/>
                <w:b/>
                <w:color w:val="000000"/>
                <w:sz w:val="20"/>
                <w:szCs w:val="20"/>
              </w:rPr>
            </w:pPr>
          </w:p>
        </w:tc>
      </w:tr>
      <w:tr w:rsidR="006E5994" w:rsidRPr="00F72968" w14:paraId="33FC643E" w14:textId="77777777" w:rsidTr="00D46B4C">
        <w:tc>
          <w:tcPr>
            <w:tcW w:w="9017" w:type="dxa"/>
            <w:gridSpan w:val="11"/>
            <w:shd w:val="clear" w:color="auto" w:fill="FFFFFF" w:themeFill="background1"/>
            <w:vAlign w:val="center"/>
          </w:tcPr>
          <w:p w14:paraId="58D9BB89" w14:textId="4966ABF7" w:rsidR="006E5994" w:rsidRPr="00F72968" w:rsidRDefault="006E5994" w:rsidP="00662FB3">
            <w:pPr>
              <w:jc w:val="left"/>
              <w:rPr>
                <w:rFonts w:ascii="Arial Narrow" w:hAnsi="Arial Narrow"/>
                <w:b/>
                <w:iCs/>
                <w:color w:val="000000"/>
                <w:sz w:val="20"/>
                <w:szCs w:val="20"/>
                <w:vertAlign w:val="superscript"/>
              </w:rPr>
            </w:pPr>
            <w:r w:rsidRPr="00F72968">
              <w:rPr>
                <w:rFonts w:ascii="Arial Narrow" w:hAnsi="Arial Narrow"/>
                <w:b/>
                <w:iCs/>
                <w:color w:val="000000"/>
                <w:sz w:val="20"/>
                <w:szCs w:val="20"/>
              </w:rPr>
              <w:t>Mortality HRs by NYHA class, compared with mortality in general population (base case: 1.0 for NYHA I, 1.48 for NYHA II and 3.17 for NYHA III/IV, based on the SHaRe adjusted)</w:t>
            </w:r>
            <w:r w:rsidR="00F72968" w:rsidRPr="00F72968">
              <w:rPr>
                <w:rFonts w:ascii="Arial Narrow" w:hAnsi="Arial Narrow"/>
                <w:b/>
                <w:iCs/>
                <w:color w:val="000000"/>
                <w:sz w:val="20"/>
                <w:szCs w:val="20"/>
                <w:vertAlign w:val="superscript"/>
              </w:rPr>
              <w:t>b</w:t>
            </w:r>
          </w:p>
        </w:tc>
      </w:tr>
      <w:tr w:rsidR="006E5994" w:rsidRPr="00F72968" w14:paraId="207B0FA1" w14:textId="77777777" w:rsidTr="00414250">
        <w:tc>
          <w:tcPr>
            <w:tcW w:w="711" w:type="dxa"/>
            <w:shd w:val="clear" w:color="auto" w:fill="FFFFFF" w:themeFill="background1"/>
            <w:vAlign w:val="center"/>
          </w:tcPr>
          <w:p w14:paraId="749E6075" w14:textId="77777777" w:rsidR="006E5994" w:rsidRPr="00F72968" w:rsidRDefault="006E5994" w:rsidP="00D46B4C">
            <w:pPr>
              <w:rPr>
                <w:rFonts w:ascii="Arial Narrow" w:hAnsi="Arial Narrow"/>
                <w:iCs/>
                <w:color w:val="000000"/>
                <w:sz w:val="20"/>
                <w:szCs w:val="20"/>
              </w:rPr>
            </w:pPr>
            <w:r w:rsidRPr="00F72968">
              <w:rPr>
                <w:rFonts w:ascii="Arial Narrow" w:hAnsi="Arial Narrow"/>
                <w:iCs/>
                <w:color w:val="000000"/>
                <w:sz w:val="20"/>
                <w:szCs w:val="20"/>
              </w:rPr>
              <w:t>SA.23</w:t>
            </w:r>
          </w:p>
        </w:tc>
        <w:tc>
          <w:tcPr>
            <w:tcW w:w="3962" w:type="dxa"/>
            <w:gridSpan w:val="3"/>
            <w:shd w:val="clear" w:color="auto" w:fill="FFFFFF" w:themeFill="background1"/>
            <w:vAlign w:val="center"/>
          </w:tcPr>
          <w:p w14:paraId="7AE762B5" w14:textId="77777777" w:rsidR="006E5994" w:rsidRPr="00F72968" w:rsidRDefault="006E5994" w:rsidP="00662FB3">
            <w:pPr>
              <w:jc w:val="left"/>
              <w:rPr>
                <w:rFonts w:ascii="Arial Narrow" w:hAnsi="Arial Narrow"/>
                <w:iCs/>
                <w:color w:val="000000"/>
                <w:sz w:val="20"/>
                <w:szCs w:val="20"/>
              </w:rPr>
            </w:pPr>
            <w:r w:rsidRPr="00F72968">
              <w:rPr>
                <w:rFonts w:ascii="Arial Narrow" w:hAnsi="Arial Narrow"/>
                <w:iCs/>
                <w:color w:val="000000"/>
                <w:sz w:val="20"/>
                <w:szCs w:val="20"/>
              </w:rPr>
              <w:t>All cause/general mortality not NYHA specific (1.0 across all NYHA classes)</w:t>
            </w:r>
          </w:p>
        </w:tc>
        <w:tc>
          <w:tcPr>
            <w:tcW w:w="992" w:type="dxa"/>
            <w:tcBorders>
              <w:bottom w:val="single" w:sz="4" w:space="0" w:color="auto"/>
            </w:tcBorders>
            <w:shd w:val="solid" w:color="000000" w:fill="000000"/>
            <w:vAlign w:val="center"/>
          </w:tcPr>
          <w:p w14:paraId="19C2C3D9" w14:textId="775B8522" w:rsidR="006E5994" w:rsidRPr="00414250" w:rsidRDefault="00414250" w:rsidP="00D46B4C">
            <w:pPr>
              <w:jc w:val="center"/>
              <w:rPr>
                <w:rFonts w:ascii="Arial Narrow" w:hAnsi="Arial Narrow"/>
                <w:iCs/>
                <w:color w:val="000000"/>
                <w:sz w:val="20"/>
                <w:szCs w:val="20"/>
              </w:rPr>
            </w:pPr>
            <w:r w:rsidRPr="00414250">
              <w:rPr>
                <w:rFonts w:ascii="Arial Narrow" w:hAnsi="Arial Narrow"/>
                <w:iCs/>
                <w:color w:val="000000"/>
                <w:spacing w:val="112"/>
                <w:sz w:val="20"/>
                <w:szCs w:val="20"/>
                <w:fitText w:val="200" w:id="-1305208563"/>
                <w14:textFill>
                  <w14:solidFill>
                    <w14:srgbClr w14:val="000000">
                      <w14:alpha w14:val="100000"/>
                    </w14:srgbClr>
                  </w14:solidFill>
                </w14:textFill>
              </w:rPr>
              <w:t>|</w:t>
            </w:r>
            <w:r w:rsidRPr="00414250">
              <w:rPr>
                <w:rFonts w:ascii="Arial Narrow" w:hAnsi="Arial Narrow"/>
                <w:iCs/>
                <w:color w:val="000000"/>
                <w:sz w:val="20"/>
                <w:szCs w:val="20"/>
                <w:fitText w:val="200" w:id="-1305208563"/>
                <w14:textFill>
                  <w14:solidFill>
                    <w14:srgbClr w14:val="000000">
                      <w14:alpha w14:val="100000"/>
                    </w14:srgbClr>
                  </w14:solidFill>
                </w14:textFill>
              </w:rPr>
              <w:t>|</w:t>
            </w:r>
          </w:p>
        </w:tc>
        <w:tc>
          <w:tcPr>
            <w:tcW w:w="1276" w:type="dxa"/>
            <w:gridSpan w:val="3"/>
            <w:shd w:val="clear" w:color="auto" w:fill="FFFFFF" w:themeFill="background1"/>
            <w:vAlign w:val="center"/>
          </w:tcPr>
          <w:p w14:paraId="5FE02CAE" w14:textId="77777777" w:rsidR="006E5994" w:rsidRPr="00F72968" w:rsidRDefault="006E5994" w:rsidP="00D46B4C">
            <w:pPr>
              <w:jc w:val="center"/>
              <w:rPr>
                <w:rFonts w:ascii="Arial Narrow" w:hAnsi="Arial Narrow"/>
                <w:iCs/>
                <w:color w:val="000000"/>
                <w:sz w:val="20"/>
                <w:szCs w:val="20"/>
              </w:rPr>
            </w:pPr>
            <w:r w:rsidRPr="00F72968">
              <w:rPr>
                <w:rFonts w:ascii="Arial Narrow" w:hAnsi="Arial Narrow"/>
                <w:iCs/>
                <w:sz w:val="20"/>
                <w:szCs w:val="20"/>
              </w:rPr>
              <w:t>0.58</w:t>
            </w:r>
          </w:p>
        </w:tc>
        <w:tc>
          <w:tcPr>
            <w:tcW w:w="992" w:type="dxa"/>
            <w:shd w:val="clear" w:color="auto" w:fill="FFFFFF" w:themeFill="background1"/>
            <w:vAlign w:val="center"/>
          </w:tcPr>
          <w:p w14:paraId="361EE8AD" w14:textId="3CBE72F8" w:rsidR="006E5994" w:rsidRPr="00F72968" w:rsidRDefault="00414250" w:rsidP="00D46B4C">
            <w:pPr>
              <w:jc w:val="center"/>
              <w:rPr>
                <w:rFonts w:ascii="Arial Narrow" w:hAnsi="Arial Narrow"/>
                <w:iCs/>
                <w:color w:val="000000"/>
                <w:sz w:val="20"/>
                <w:szCs w:val="20"/>
              </w:rPr>
            </w:pPr>
            <w:r w:rsidRPr="00414250">
              <w:rPr>
                <w:rFonts w:ascii="Arial Narrow" w:hAnsi="Arial Narrow"/>
                <w:iCs/>
                <w:color w:val="000000"/>
                <w:spacing w:val="54"/>
                <w:sz w:val="20"/>
                <w:szCs w:val="20"/>
                <w:shd w:val="solid" w:color="000000" w:fill="000000"/>
                <w:fitText w:val="238" w:id="-1305208562"/>
                <w14:textFill>
                  <w14:solidFill>
                    <w14:srgbClr w14:val="000000">
                      <w14:alpha w14:val="100000"/>
                    </w14:srgbClr>
                  </w14:solidFill>
                </w14:textFill>
              </w:rPr>
              <w:t>||</w:t>
            </w:r>
            <w:r w:rsidRPr="00414250">
              <w:rPr>
                <w:rFonts w:ascii="Arial Narrow" w:hAnsi="Arial Narrow"/>
                <w:iCs/>
                <w:color w:val="000000"/>
                <w:spacing w:val="1"/>
                <w:sz w:val="20"/>
                <w:szCs w:val="20"/>
                <w:shd w:val="solid" w:color="000000" w:fill="000000"/>
                <w:fitText w:val="238" w:id="-1305208562"/>
                <w14:textFill>
                  <w14:solidFill>
                    <w14:srgbClr w14:val="000000">
                      <w14:alpha w14:val="100000"/>
                    </w14:srgbClr>
                  </w14:solidFill>
                </w14:textFill>
              </w:rPr>
              <w:t>|</w:t>
            </w:r>
            <w:r w:rsidR="00306CAE">
              <w:rPr>
                <w:rFonts w:ascii="Arial Narrow" w:hAnsi="Arial Narrow"/>
                <w:color w:val="000000"/>
                <w:sz w:val="20"/>
                <w:szCs w:val="20"/>
                <w:vertAlign w:val="superscript"/>
              </w:rPr>
              <w:t>2</w:t>
            </w:r>
          </w:p>
        </w:tc>
        <w:tc>
          <w:tcPr>
            <w:tcW w:w="1084" w:type="dxa"/>
            <w:gridSpan w:val="2"/>
            <w:shd w:val="clear" w:color="auto" w:fill="FFFFFF" w:themeFill="background1"/>
            <w:vAlign w:val="center"/>
          </w:tcPr>
          <w:p w14:paraId="5AD10A0A" w14:textId="77777777" w:rsidR="006E5994" w:rsidRPr="00F72968" w:rsidRDefault="006E5994" w:rsidP="00D46B4C">
            <w:pPr>
              <w:jc w:val="center"/>
              <w:rPr>
                <w:rFonts w:ascii="Arial Narrow" w:hAnsi="Arial Narrow"/>
                <w:iCs/>
                <w:color w:val="000000"/>
                <w:sz w:val="20"/>
                <w:szCs w:val="20"/>
              </w:rPr>
            </w:pPr>
            <w:r w:rsidRPr="00F72968">
              <w:rPr>
                <w:rFonts w:ascii="Arial Narrow" w:hAnsi="Arial Narrow"/>
                <w:iCs/>
                <w:color w:val="000000"/>
                <w:sz w:val="20"/>
                <w:szCs w:val="20"/>
              </w:rPr>
              <w:t>+27.0%</w:t>
            </w:r>
          </w:p>
        </w:tc>
      </w:tr>
      <w:tr w:rsidR="006E5994" w:rsidRPr="00F72968" w14:paraId="662C93BD" w14:textId="77777777" w:rsidTr="00414250">
        <w:tc>
          <w:tcPr>
            <w:tcW w:w="711" w:type="dxa"/>
            <w:shd w:val="clear" w:color="auto" w:fill="FFFFFF" w:themeFill="background1"/>
            <w:vAlign w:val="center"/>
          </w:tcPr>
          <w:p w14:paraId="2C135FD7" w14:textId="77777777" w:rsidR="006E5994" w:rsidRPr="00F72968" w:rsidRDefault="006E5994" w:rsidP="00D46B4C">
            <w:pPr>
              <w:rPr>
                <w:rFonts w:ascii="Arial Narrow" w:hAnsi="Arial Narrow"/>
                <w:iCs/>
                <w:color w:val="000000"/>
                <w:sz w:val="20"/>
                <w:szCs w:val="20"/>
              </w:rPr>
            </w:pPr>
            <w:r w:rsidRPr="00F72968">
              <w:rPr>
                <w:rFonts w:ascii="Arial Narrow" w:hAnsi="Arial Narrow"/>
                <w:iCs/>
                <w:color w:val="000000"/>
                <w:sz w:val="20"/>
                <w:szCs w:val="20"/>
              </w:rPr>
              <w:t>SA.24</w:t>
            </w:r>
          </w:p>
        </w:tc>
        <w:tc>
          <w:tcPr>
            <w:tcW w:w="3962" w:type="dxa"/>
            <w:gridSpan w:val="3"/>
            <w:shd w:val="clear" w:color="auto" w:fill="FFFFFF" w:themeFill="background1"/>
            <w:vAlign w:val="center"/>
          </w:tcPr>
          <w:p w14:paraId="7E509876" w14:textId="77777777" w:rsidR="006E5994" w:rsidRPr="00F72968" w:rsidRDefault="006E5994" w:rsidP="00662FB3">
            <w:pPr>
              <w:jc w:val="left"/>
              <w:rPr>
                <w:rFonts w:ascii="Arial Narrow" w:hAnsi="Arial Narrow"/>
                <w:iCs/>
                <w:color w:val="000000"/>
                <w:sz w:val="20"/>
                <w:szCs w:val="20"/>
              </w:rPr>
            </w:pPr>
            <w:r w:rsidRPr="00F72968">
              <w:rPr>
                <w:rFonts w:ascii="Arial Narrow" w:hAnsi="Arial Narrow"/>
                <w:iCs/>
                <w:color w:val="000000"/>
                <w:sz w:val="20"/>
                <w:szCs w:val="20"/>
              </w:rPr>
              <w:t>1.0 for NYHA I, 1.51 for NYHA II and 2.77 for NYHA III/IV, based on Humedica EMR data</w:t>
            </w:r>
          </w:p>
        </w:tc>
        <w:tc>
          <w:tcPr>
            <w:tcW w:w="992" w:type="dxa"/>
            <w:tcBorders>
              <w:bottom w:val="single" w:sz="4" w:space="0" w:color="auto"/>
            </w:tcBorders>
            <w:shd w:val="solid" w:color="000000" w:fill="000000"/>
            <w:vAlign w:val="center"/>
          </w:tcPr>
          <w:p w14:paraId="74F5F381" w14:textId="52D312E6" w:rsidR="006E5994" w:rsidRPr="00414250" w:rsidRDefault="00414250" w:rsidP="00D46B4C">
            <w:pPr>
              <w:jc w:val="center"/>
              <w:rPr>
                <w:rFonts w:ascii="Arial Narrow" w:hAnsi="Arial Narrow"/>
                <w:iCs/>
                <w:color w:val="000000"/>
                <w:sz w:val="20"/>
                <w:szCs w:val="20"/>
              </w:rPr>
            </w:pPr>
            <w:r w:rsidRPr="00414250">
              <w:rPr>
                <w:rFonts w:ascii="Arial Narrow" w:hAnsi="Arial Narrow"/>
                <w:iCs/>
                <w:color w:val="000000"/>
                <w:spacing w:val="112"/>
                <w:sz w:val="20"/>
                <w:szCs w:val="20"/>
                <w:fitText w:val="200" w:id="-1305208561"/>
                <w14:textFill>
                  <w14:solidFill>
                    <w14:srgbClr w14:val="000000">
                      <w14:alpha w14:val="100000"/>
                    </w14:srgbClr>
                  </w14:solidFill>
                </w14:textFill>
              </w:rPr>
              <w:t>|</w:t>
            </w:r>
            <w:r w:rsidRPr="00414250">
              <w:rPr>
                <w:rFonts w:ascii="Arial Narrow" w:hAnsi="Arial Narrow"/>
                <w:iCs/>
                <w:color w:val="000000"/>
                <w:sz w:val="20"/>
                <w:szCs w:val="20"/>
                <w:fitText w:val="200" w:id="-1305208561"/>
                <w14:textFill>
                  <w14:solidFill>
                    <w14:srgbClr w14:val="000000">
                      <w14:alpha w14:val="100000"/>
                    </w14:srgbClr>
                  </w14:solidFill>
                </w14:textFill>
              </w:rPr>
              <w:t>|</w:t>
            </w:r>
          </w:p>
        </w:tc>
        <w:tc>
          <w:tcPr>
            <w:tcW w:w="1276" w:type="dxa"/>
            <w:gridSpan w:val="3"/>
            <w:shd w:val="clear" w:color="auto" w:fill="FFFFFF" w:themeFill="background1"/>
            <w:vAlign w:val="center"/>
          </w:tcPr>
          <w:p w14:paraId="1A8B99D2" w14:textId="77777777" w:rsidR="006E5994" w:rsidRPr="00F72968" w:rsidRDefault="006E5994" w:rsidP="00D46B4C">
            <w:pPr>
              <w:jc w:val="center"/>
              <w:rPr>
                <w:rFonts w:ascii="Arial Narrow" w:hAnsi="Arial Narrow"/>
                <w:iCs/>
                <w:color w:val="000000"/>
                <w:sz w:val="20"/>
                <w:szCs w:val="20"/>
              </w:rPr>
            </w:pPr>
            <w:r w:rsidRPr="00F72968">
              <w:rPr>
                <w:rFonts w:ascii="Arial Narrow" w:hAnsi="Arial Narrow"/>
                <w:iCs/>
                <w:sz w:val="20"/>
                <w:szCs w:val="20"/>
              </w:rPr>
              <w:t>0.93</w:t>
            </w:r>
          </w:p>
        </w:tc>
        <w:tc>
          <w:tcPr>
            <w:tcW w:w="992" w:type="dxa"/>
            <w:shd w:val="clear" w:color="auto" w:fill="FFFFFF" w:themeFill="background1"/>
            <w:vAlign w:val="center"/>
          </w:tcPr>
          <w:p w14:paraId="7898CDCD" w14:textId="1F7E7CDF" w:rsidR="006E5994" w:rsidRPr="00F72968" w:rsidRDefault="00414250" w:rsidP="00D46B4C">
            <w:pPr>
              <w:jc w:val="center"/>
              <w:rPr>
                <w:rFonts w:ascii="Arial Narrow" w:hAnsi="Arial Narrow"/>
                <w:iCs/>
                <w:color w:val="000000"/>
                <w:sz w:val="20"/>
                <w:szCs w:val="20"/>
              </w:rPr>
            </w:pPr>
            <w:r w:rsidRPr="00414250">
              <w:rPr>
                <w:rFonts w:ascii="Arial Narrow" w:hAnsi="Arial Narrow"/>
                <w:iCs/>
                <w:color w:val="000000"/>
                <w:spacing w:val="54"/>
                <w:sz w:val="20"/>
                <w:szCs w:val="20"/>
                <w:shd w:val="solid" w:color="000000" w:fill="000000"/>
                <w:fitText w:val="238" w:id="-1305208320"/>
                <w14:textFill>
                  <w14:solidFill>
                    <w14:srgbClr w14:val="000000">
                      <w14:alpha w14:val="100000"/>
                    </w14:srgbClr>
                  </w14:solidFill>
                </w14:textFill>
              </w:rPr>
              <w:t>||</w:t>
            </w:r>
            <w:r w:rsidRPr="00414250">
              <w:rPr>
                <w:rFonts w:ascii="Arial Narrow" w:hAnsi="Arial Narrow"/>
                <w:iCs/>
                <w:color w:val="000000"/>
                <w:spacing w:val="1"/>
                <w:sz w:val="20"/>
                <w:szCs w:val="20"/>
                <w:shd w:val="solid" w:color="000000" w:fill="000000"/>
                <w:fitText w:val="238" w:id="-1305208320"/>
                <w14:textFill>
                  <w14:solidFill>
                    <w14:srgbClr w14:val="000000">
                      <w14:alpha w14:val="100000"/>
                    </w14:srgbClr>
                  </w14:solidFill>
                </w14:textFill>
              </w:rPr>
              <w:t>|</w:t>
            </w:r>
            <w:r w:rsidR="00306CAE">
              <w:rPr>
                <w:rFonts w:ascii="Arial Narrow" w:hAnsi="Arial Narrow"/>
                <w:color w:val="000000"/>
                <w:sz w:val="20"/>
                <w:szCs w:val="20"/>
                <w:vertAlign w:val="superscript"/>
              </w:rPr>
              <w:t>3</w:t>
            </w:r>
          </w:p>
        </w:tc>
        <w:tc>
          <w:tcPr>
            <w:tcW w:w="1084" w:type="dxa"/>
            <w:gridSpan w:val="2"/>
            <w:shd w:val="clear" w:color="auto" w:fill="FFFFFF" w:themeFill="background1"/>
            <w:vAlign w:val="center"/>
          </w:tcPr>
          <w:p w14:paraId="191C1A60" w14:textId="77777777" w:rsidR="006E5994" w:rsidRPr="00F72968" w:rsidRDefault="006E5994" w:rsidP="00D46B4C">
            <w:pPr>
              <w:jc w:val="center"/>
              <w:rPr>
                <w:rFonts w:ascii="Arial Narrow" w:hAnsi="Arial Narrow"/>
                <w:iCs/>
                <w:color w:val="000000"/>
                <w:sz w:val="20"/>
                <w:szCs w:val="20"/>
              </w:rPr>
            </w:pPr>
            <w:r w:rsidRPr="00F72968">
              <w:rPr>
                <w:rFonts w:ascii="Arial Narrow" w:hAnsi="Arial Narrow"/>
                <w:iCs/>
                <w:color w:val="000000"/>
                <w:sz w:val="20"/>
                <w:szCs w:val="20"/>
              </w:rPr>
              <w:t>+0.9%</w:t>
            </w:r>
          </w:p>
        </w:tc>
      </w:tr>
      <w:tr w:rsidR="006E5994" w:rsidRPr="00F72968" w14:paraId="21F9CF1A" w14:textId="77777777" w:rsidTr="00414250">
        <w:tc>
          <w:tcPr>
            <w:tcW w:w="711" w:type="dxa"/>
            <w:shd w:val="clear" w:color="auto" w:fill="FFFFFF" w:themeFill="background1"/>
            <w:vAlign w:val="center"/>
          </w:tcPr>
          <w:p w14:paraId="572CA2B5" w14:textId="77777777" w:rsidR="006E5994" w:rsidRPr="00F72968" w:rsidRDefault="006E5994" w:rsidP="00D46B4C">
            <w:pPr>
              <w:rPr>
                <w:rFonts w:ascii="Arial Narrow" w:hAnsi="Arial Narrow"/>
                <w:iCs/>
                <w:color w:val="000000"/>
                <w:sz w:val="20"/>
                <w:szCs w:val="20"/>
              </w:rPr>
            </w:pPr>
            <w:r w:rsidRPr="00F72968">
              <w:rPr>
                <w:rFonts w:ascii="Arial Narrow" w:hAnsi="Arial Narrow"/>
                <w:iCs/>
                <w:color w:val="000000"/>
                <w:sz w:val="20"/>
                <w:szCs w:val="20"/>
              </w:rPr>
              <w:t>SA.25</w:t>
            </w:r>
          </w:p>
        </w:tc>
        <w:tc>
          <w:tcPr>
            <w:tcW w:w="3962" w:type="dxa"/>
            <w:gridSpan w:val="3"/>
            <w:shd w:val="clear" w:color="auto" w:fill="FFFFFF" w:themeFill="background1"/>
            <w:vAlign w:val="center"/>
          </w:tcPr>
          <w:p w14:paraId="666AECEB" w14:textId="77777777" w:rsidR="006E5994" w:rsidRPr="00F72968" w:rsidRDefault="006E5994" w:rsidP="00662FB3">
            <w:pPr>
              <w:jc w:val="left"/>
              <w:rPr>
                <w:rFonts w:ascii="Arial Narrow" w:hAnsi="Arial Narrow"/>
                <w:iCs/>
                <w:color w:val="000000"/>
                <w:sz w:val="20"/>
                <w:szCs w:val="20"/>
              </w:rPr>
            </w:pPr>
            <w:r w:rsidRPr="00F72968">
              <w:rPr>
                <w:rFonts w:ascii="Arial Narrow" w:hAnsi="Arial Narrow"/>
                <w:iCs/>
                <w:color w:val="000000"/>
                <w:sz w:val="20"/>
                <w:szCs w:val="20"/>
              </w:rPr>
              <w:t>1.0 for NYHA I, 2.38 for NYHA II and 9.38 for NYHA III/IV, based on Lakdawala et al (2021) unadjusted</w:t>
            </w:r>
          </w:p>
        </w:tc>
        <w:tc>
          <w:tcPr>
            <w:tcW w:w="992" w:type="dxa"/>
            <w:tcBorders>
              <w:bottom w:val="single" w:sz="4" w:space="0" w:color="auto"/>
            </w:tcBorders>
            <w:shd w:val="solid" w:color="000000" w:fill="000000"/>
            <w:vAlign w:val="center"/>
          </w:tcPr>
          <w:p w14:paraId="2F0FD42E" w14:textId="0DC8809F" w:rsidR="006E5994" w:rsidRPr="00414250" w:rsidRDefault="00414250" w:rsidP="00D46B4C">
            <w:pPr>
              <w:jc w:val="center"/>
              <w:rPr>
                <w:rFonts w:ascii="Arial Narrow" w:hAnsi="Arial Narrow"/>
                <w:iCs/>
                <w:color w:val="000000"/>
                <w:sz w:val="20"/>
                <w:szCs w:val="20"/>
              </w:rPr>
            </w:pPr>
            <w:r w:rsidRPr="00414250">
              <w:rPr>
                <w:rFonts w:ascii="Arial Narrow" w:hAnsi="Arial Narrow"/>
                <w:iCs/>
                <w:color w:val="000000"/>
                <w:spacing w:val="112"/>
                <w:sz w:val="20"/>
                <w:szCs w:val="20"/>
                <w:fitText w:val="200" w:id="-1305208319"/>
                <w14:textFill>
                  <w14:solidFill>
                    <w14:srgbClr w14:val="000000">
                      <w14:alpha w14:val="100000"/>
                    </w14:srgbClr>
                  </w14:solidFill>
                </w14:textFill>
              </w:rPr>
              <w:t>|</w:t>
            </w:r>
            <w:r w:rsidRPr="00414250">
              <w:rPr>
                <w:rFonts w:ascii="Arial Narrow" w:hAnsi="Arial Narrow"/>
                <w:iCs/>
                <w:color w:val="000000"/>
                <w:sz w:val="20"/>
                <w:szCs w:val="20"/>
                <w:fitText w:val="200" w:id="-1305208319"/>
                <w14:textFill>
                  <w14:solidFill>
                    <w14:srgbClr w14:val="000000">
                      <w14:alpha w14:val="100000"/>
                    </w14:srgbClr>
                  </w14:solidFill>
                </w14:textFill>
              </w:rPr>
              <w:t>|</w:t>
            </w:r>
          </w:p>
        </w:tc>
        <w:tc>
          <w:tcPr>
            <w:tcW w:w="1276" w:type="dxa"/>
            <w:gridSpan w:val="3"/>
            <w:shd w:val="clear" w:color="auto" w:fill="FFFFFF" w:themeFill="background1"/>
            <w:vAlign w:val="center"/>
          </w:tcPr>
          <w:p w14:paraId="0D4BB644" w14:textId="77777777" w:rsidR="006E5994" w:rsidRPr="00F72968" w:rsidRDefault="006E5994" w:rsidP="00D46B4C">
            <w:pPr>
              <w:jc w:val="center"/>
              <w:rPr>
                <w:rFonts w:ascii="Arial Narrow" w:hAnsi="Arial Narrow"/>
                <w:iCs/>
                <w:color w:val="000000"/>
                <w:sz w:val="20"/>
                <w:szCs w:val="20"/>
              </w:rPr>
            </w:pPr>
            <w:r w:rsidRPr="00F72968">
              <w:rPr>
                <w:rFonts w:ascii="Arial Narrow" w:hAnsi="Arial Narrow"/>
                <w:iCs/>
                <w:sz w:val="20"/>
                <w:szCs w:val="20"/>
              </w:rPr>
              <w:t>1.61</w:t>
            </w:r>
          </w:p>
        </w:tc>
        <w:tc>
          <w:tcPr>
            <w:tcW w:w="992" w:type="dxa"/>
            <w:shd w:val="clear" w:color="auto" w:fill="FFFFFF" w:themeFill="background1"/>
            <w:vAlign w:val="center"/>
          </w:tcPr>
          <w:p w14:paraId="2C9C021B" w14:textId="427A9732" w:rsidR="006E5994" w:rsidRPr="00F72968" w:rsidRDefault="00414250" w:rsidP="00D46B4C">
            <w:pPr>
              <w:jc w:val="center"/>
              <w:rPr>
                <w:rFonts w:ascii="Arial Narrow" w:hAnsi="Arial Narrow"/>
                <w:iCs/>
                <w:color w:val="000000"/>
                <w:sz w:val="20"/>
                <w:szCs w:val="20"/>
              </w:rPr>
            </w:pPr>
            <w:r w:rsidRPr="00414250">
              <w:rPr>
                <w:rFonts w:ascii="Arial Narrow" w:hAnsi="Arial Narrow"/>
                <w:iCs/>
                <w:color w:val="000000"/>
                <w:spacing w:val="54"/>
                <w:sz w:val="20"/>
                <w:szCs w:val="20"/>
                <w:shd w:val="solid" w:color="000000" w:fill="000000"/>
                <w:fitText w:val="238" w:id="-1305208318"/>
                <w14:textFill>
                  <w14:solidFill>
                    <w14:srgbClr w14:val="000000">
                      <w14:alpha w14:val="100000"/>
                    </w14:srgbClr>
                  </w14:solidFill>
                </w14:textFill>
              </w:rPr>
              <w:t>||</w:t>
            </w:r>
            <w:r w:rsidRPr="00414250">
              <w:rPr>
                <w:rFonts w:ascii="Arial Narrow" w:hAnsi="Arial Narrow"/>
                <w:iCs/>
                <w:color w:val="000000"/>
                <w:spacing w:val="1"/>
                <w:sz w:val="20"/>
                <w:szCs w:val="20"/>
                <w:shd w:val="solid" w:color="000000" w:fill="000000"/>
                <w:fitText w:val="238" w:id="-1305208318"/>
                <w14:textFill>
                  <w14:solidFill>
                    <w14:srgbClr w14:val="000000">
                      <w14:alpha w14:val="100000"/>
                    </w14:srgbClr>
                  </w14:solidFill>
                </w14:textFill>
              </w:rPr>
              <w:t>|</w:t>
            </w:r>
            <w:r w:rsidR="00306CAE">
              <w:rPr>
                <w:rFonts w:ascii="Arial Narrow" w:hAnsi="Arial Narrow"/>
                <w:b/>
                <w:sz w:val="20"/>
                <w:vertAlign w:val="superscript"/>
              </w:rPr>
              <w:t>1</w:t>
            </w:r>
          </w:p>
        </w:tc>
        <w:tc>
          <w:tcPr>
            <w:tcW w:w="1084" w:type="dxa"/>
            <w:gridSpan w:val="2"/>
            <w:shd w:val="clear" w:color="auto" w:fill="FFFFFF" w:themeFill="background1"/>
            <w:vAlign w:val="center"/>
          </w:tcPr>
          <w:p w14:paraId="78099082" w14:textId="77777777" w:rsidR="006E5994" w:rsidRPr="00F72968" w:rsidRDefault="006E5994" w:rsidP="00D46B4C">
            <w:pPr>
              <w:jc w:val="center"/>
              <w:rPr>
                <w:rFonts w:ascii="Arial Narrow" w:hAnsi="Arial Narrow"/>
                <w:iCs/>
                <w:color w:val="000000"/>
                <w:sz w:val="20"/>
                <w:szCs w:val="20"/>
              </w:rPr>
            </w:pPr>
            <w:r w:rsidRPr="00F72968">
              <w:rPr>
                <w:rFonts w:ascii="Arial Narrow" w:hAnsi="Arial Narrow"/>
                <w:iCs/>
                <w:color w:val="000000"/>
                <w:sz w:val="20"/>
                <w:szCs w:val="20"/>
              </w:rPr>
              <w:t>-15.2%</w:t>
            </w:r>
          </w:p>
        </w:tc>
      </w:tr>
      <w:tr w:rsidR="006E5994" w:rsidRPr="00F72968" w14:paraId="6F8138DD" w14:textId="77777777" w:rsidTr="00414250">
        <w:tc>
          <w:tcPr>
            <w:tcW w:w="711" w:type="dxa"/>
            <w:shd w:val="clear" w:color="auto" w:fill="FFFFFF" w:themeFill="background1"/>
            <w:vAlign w:val="center"/>
          </w:tcPr>
          <w:p w14:paraId="078AE64D" w14:textId="77777777" w:rsidR="006E5994" w:rsidRPr="00F72968" w:rsidRDefault="006E5994" w:rsidP="00D46B4C">
            <w:pPr>
              <w:rPr>
                <w:rFonts w:ascii="Arial Narrow" w:hAnsi="Arial Narrow"/>
                <w:iCs/>
                <w:color w:val="000000"/>
                <w:sz w:val="20"/>
                <w:szCs w:val="20"/>
              </w:rPr>
            </w:pPr>
            <w:r w:rsidRPr="00F72968">
              <w:rPr>
                <w:rFonts w:ascii="Arial Narrow" w:hAnsi="Arial Narrow"/>
                <w:iCs/>
                <w:color w:val="000000"/>
                <w:sz w:val="20"/>
                <w:szCs w:val="20"/>
              </w:rPr>
              <w:lastRenderedPageBreak/>
              <w:t>SA.26</w:t>
            </w:r>
          </w:p>
        </w:tc>
        <w:tc>
          <w:tcPr>
            <w:tcW w:w="3962" w:type="dxa"/>
            <w:gridSpan w:val="3"/>
            <w:shd w:val="clear" w:color="auto" w:fill="FFFFFF" w:themeFill="background1"/>
            <w:vAlign w:val="center"/>
          </w:tcPr>
          <w:p w14:paraId="76B1C0E1" w14:textId="77777777" w:rsidR="006E5994" w:rsidRPr="00F72968" w:rsidRDefault="006E5994" w:rsidP="00662FB3">
            <w:pPr>
              <w:jc w:val="left"/>
              <w:rPr>
                <w:rFonts w:ascii="Arial Narrow" w:hAnsi="Arial Narrow"/>
                <w:iCs/>
                <w:color w:val="000000"/>
                <w:sz w:val="20"/>
                <w:szCs w:val="20"/>
              </w:rPr>
            </w:pPr>
            <w:r w:rsidRPr="00F72968">
              <w:rPr>
                <w:rFonts w:ascii="Arial Narrow" w:hAnsi="Arial Narrow"/>
                <w:iCs/>
                <w:color w:val="000000"/>
                <w:sz w:val="20"/>
                <w:szCs w:val="20"/>
              </w:rPr>
              <w:t>2.0 for NYHA I, 2.96 for NYHA II and 6.34 for NYHA III, doubling the mortality rate in NYHA I patients, with relative mortality HRs for NYHA II and III vs. NYHA I based on the SHaRe adjusted</w:t>
            </w:r>
            <w:r w:rsidRPr="00F72968">
              <w:rPr>
                <w:rFonts w:ascii="Arial Narrow" w:hAnsi="Arial Narrow"/>
                <w:iCs/>
                <w:color w:val="000000"/>
                <w:sz w:val="20"/>
                <w:szCs w:val="20"/>
                <w:vertAlign w:val="superscript"/>
              </w:rPr>
              <w:t>a</w:t>
            </w:r>
            <w:r w:rsidRPr="00F72968">
              <w:rPr>
                <w:rFonts w:ascii="Arial Narrow" w:hAnsi="Arial Narrow"/>
                <w:iCs/>
                <w:color w:val="000000"/>
                <w:sz w:val="20"/>
                <w:szCs w:val="20"/>
              </w:rPr>
              <w:t xml:space="preserve"> </w:t>
            </w:r>
          </w:p>
        </w:tc>
        <w:tc>
          <w:tcPr>
            <w:tcW w:w="992" w:type="dxa"/>
            <w:shd w:val="solid" w:color="000000" w:fill="000000"/>
            <w:vAlign w:val="center"/>
          </w:tcPr>
          <w:p w14:paraId="1C417EB0" w14:textId="6B306A53" w:rsidR="006E5994" w:rsidRPr="00414250" w:rsidRDefault="00414250" w:rsidP="00D46B4C">
            <w:pPr>
              <w:jc w:val="center"/>
              <w:rPr>
                <w:rFonts w:ascii="Arial Narrow" w:hAnsi="Arial Narrow"/>
                <w:iCs/>
                <w:sz w:val="20"/>
                <w:szCs w:val="20"/>
              </w:rPr>
            </w:pPr>
            <w:r w:rsidRPr="00414250">
              <w:rPr>
                <w:rFonts w:ascii="Arial Narrow" w:hAnsi="Arial Narrow"/>
                <w:iCs/>
                <w:color w:val="000000"/>
                <w:spacing w:val="112"/>
                <w:sz w:val="20"/>
                <w:szCs w:val="20"/>
                <w:fitText w:val="200" w:id="-1305208317"/>
                <w14:textFill>
                  <w14:solidFill>
                    <w14:srgbClr w14:val="000000">
                      <w14:alpha w14:val="100000"/>
                    </w14:srgbClr>
                  </w14:solidFill>
                </w14:textFill>
              </w:rPr>
              <w:t>|</w:t>
            </w:r>
            <w:r w:rsidRPr="00414250">
              <w:rPr>
                <w:rFonts w:ascii="Arial Narrow" w:hAnsi="Arial Narrow"/>
                <w:iCs/>
                <w:color w:val="000000"/>
                <w:sz w:val="20"/>
                <w:szCs w:val="20"/>
                <w:fitText w:val="200" w:id="-1305208317"/>
                <w14:textFill>
                  <w14:solidFill>
                    <w14:srgbClr w14:val="000000">
                      <w14:alpha w14:val="100000"/>
                    </w14:srgbClr>
                  </w14:solidFill>
                </w14:textFill>
              </w:rPr>
              <w:t>|</w:t>
            </w:r>
          </w:p>
        </w:tc>
        <w:tc>
          <w:tcPr>
            <w:tcW w:w="1276" w:type="dxa"/>
            <w:gridSpan w:val="3"/>
            <w:shd w:val="clear" w:color="auto" w:fill="FFFFFF" w:themeFill="background1"/>
            <w:vAlign w:val="center"/>
          </w:tcPr>
          <w:p w14:paraId="17A5DEA9" w14:textId="77777777" w:rsidR="006E5994" w:rsidRPr="00F72968" w:rsidRDefault="006E5994" w:rsidP="00D46B4C">
            <w:pPr>
              <w:jc w:val="center"/>
              <w:rPr>
                <w:rFonts w:ascii="Arial Narrow" w:hAnsi="Arial Narrow"/>
                <w:iCs/>
                <w:sz w:val="20"/>
                <w:szCs w:val="20"/>
              </w:rPr>
            </w:pPr>
            <w:r w:rsidRPr="00F72968">
              <w:rPr>
                <w:rFonts w:ascii="Arial Narrow" w:hAnsi="Arial Narrow"/>
                <w:iCs/>
                <w:sz w:val="20"/>
                <w:szCs w:val="20"/>
              </w:rPr>
              <w:t>1.09</w:t>
            </w:r>
          </w:p>
        </w:tc>
        <w:tc>
          <w:tcPr>
            <w:tcW w:w="992" w:type="dxa"/>
            <w:shd w:val="clear" w:color="auto" w:fill="FFFFFF" w:themeFill="background1"/>
            <w:vAlign w:val="center"/>
          </w:tcPr>
          <w:p w14:paraId="515BC020" w14:textId="36B2F3B2" w:rsidR="006E5994" w:rsidRPr="00F72968" w:rsidRDefault="00414250" w:rsidP="00D46B4C">
            <w:pPr>
              <w:jc w:val="center"/>
              <w:rPr>
                <w:rFonts w:ascii="Arial Narrow" w:hAnsi="Arial Narrow"/>
                <w:iCs/>
                <w:sz w:val="20"/>
                <w:szCs w:val="20"/>
              </w:rPr>
            </w:pPr>
            <w:r w:rsidRPr="00414250">
              <w:rPr>
                <w:rFonts w:ascii="Arial Narrow" w:hAnsi="Arial Narrow"/>
                <w:iCs/>
                <w:color w:val="000000"/>
                <w:spacing w:val="54"/>
                <w:sz w:val="20"/>
                <w:szCs w:val="20"/>
                <w:shd w:val="solid" w:color="000000" w:fill="000000"/>
                <w:fitText w:val="238" w:id="-1305208316"/>
                <w14:textFill>
                  <w14:solidFill>
                    <w14:srgbClr w14:val="000000">
                      <w14:alpha w14:val="100000"/>
                    </w14:srgbClr>
                  </w14:solidFill>
                </w14:textFill>
              </w:rPr>
              <w:t>||</w:t>
            </w:r>
            <w:r w:rsidRPr="00414250">
              <w:rPr>
                <w:rFonts w:ascii="Arial Narrow" w:hAnsi="Arial Narrow"/>
                <w:iCs/>
                <w:color w:val="000000"/>
                <w:spacing w:val="1"/>
                <w:sz w:val="20"/>
                <w:szCs w:val="20"/>
                <w:shd w:val="solid" w:color="000000" w:fill="000000"/>
                <w:fitText w:val="238" w:id="-1305208316"/>
                <w14:textFill>
                  <w14:solidFill>
                    <w14:srgbClr w14:val="000000">
                      <w14:alpha w14:val="100000"/>
                    </w14:srgbClr>
                  </w14:solidFill>
                </w14:textFill>
              </w:rPr>
              <w:t>|</w:t>
            </w:r>
            <w:r w:rsidR="00306CAE">
              <w:rPr>
                <w:rFonts w:ascii="Arial Narrow" w:hAnsi="Arial Narrow"/>
                <w:b/>
                <w:sz w:val="20"/>
                <w:vertAlign w:val="superscript"/>
              </w:rPr>
              <w:t>1</w:t>
            </w:r>
          </w:p>
        </w:tc>
        <w:tc>
          <w:tcPr>
            <w:tcW w:w="1084" w:type="dxa"/>
            <w:gridSpan w:val="2"/>
            <w:shd w:val="clear" w:color="auto" w:fill="FFFFFF" w:themeFill="background1"/>
            <w:vAlign w:val="center"/>
          </w:tcPr>
          <w:p w14:paraId="47E67772" w14:textId="77777777" w:rsidR="006E5994" w:rsidRPr="00F72968" w:rsidRDefault="006E5994" w:rsidP="00D46B4C">
            <w:pPr>
              <w:jc w:val="center"/>
              <w:rPr>
                <w:rFonts w:ascii="Arial Narrow" w:hAnsi="Arial Narrow"/>
                <w:iCs/>
                <w:sz w:val="20"/>
                <w:szCs w:val="20"/>
              </w:rPr>
            </w:pPr>
            <w:r w:rsidRPr="00F72968">
              <w:rPr>
                <w:rFonts w:ascii="Arial Narrow" w:hAnsi="Arial Narrow"/>
                <w:iCs/>
                <w:sz w:val="20"/>
                <w:szCs w:val="20"/>
              </w:rPr>
              <w:t>-2.8%</w:t>
            </w:r>
          </w:p>
        </w:tc>
      </w:tr>
      <w:tr w:rsidR="00D41BD9" w:rsidRPr="00424AF9" w14:paraId="7C11D0CC" w14:textId="77777777" w:rsidTr="00D41BD9">
        <w:tc>
          <w:tcPr>
            <w:tcW w:w="9017" w:type="dxa"/>
            <w:gridSpan w:val="11"/>
            <w:shd w:val="clear" w:color="auto" w:fill="FFFFFF" w:themeFill="background1"/>
            <w:vAlign w:val="center"/>
          </w:tcPr>
          <w:p w14:paraId="25C7C65E" w14:textId="77777777" w:rsidR="00D41BD9" w:rsidRPr="00424AF9" w:rsidRDefault="00D41BD9" w:rsidP="00D41BD9">
            <w:pPr>
              <w:keepNext/>
              <w:rPr>
                <w:rFonts w:ascii="Arial Narrow" w:hAnsi="Arial Narrow"/>
                <w:b/>
                <w:color w:val="000000"/>
                <w:sz w:val="20"/>
                <w:szCs w:val="20"/>
              </w:rPr>
            </w:pPr>
            <w:r w:rsidRPr="00424AF9">
              <w:rPr>
                <w:rFonts w:ascii="Arial Narrow" w:hAnsi="Arial Narrow"/>
                <w:b/>
                <w:color w:val="000000"/>
                <w:sz w:val="20"/>
                <w:szCs w:val="20"/>
              </w:rPr>
              <w:t xml:space="preserve">Multivariate sensitivity analyses </w:t>
            </w:r>
          </w:p>
        </w:tc>
      </w:tr>
      <w:tr w:rsidR="00D41BD9" w:rsidRPr="00424AF9" w14:paraId="2D5DD982" w14:textId="77777777" w:rsidTr="00414250">
        <w:tc>
          <w:tcPr>
            <w:tcW w:w="4653" w:type="dxa"/>
            <w:gridSpan w:val="3"/>
            <w:shd w:val="clear" w:color="auto" w:fill="FFFFFF" w:themeFill="background1"/>
            <w:vAlign w:val="center"/>
          </w:tcPr>
          <w:p w14:paraId="52841B58"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SA.5+SA.9</w:t>
            </w:r>
          </w:p>
        </w:tc>
        <w:tc>
          <w:tcPr>
            <w:tcW w:w="1018" w:type="dxa"/>
            <w:gridSpan w:val="3"/>
            <w:tcBorders>
              <w:bottom w:val="single" w:sz="4" w:space="0" w:color="auto"/>
            </w:tcBorders>
            <w:shd w:val="solid" w:color="000000" w:fill="000000"/>
          </w:tcPr>
          <w:p w14:paraId="3119D4EA" w14:textId="0E74035B"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315"/>
                <w14:textFill>
                  <w14:solidFill>
                    <w14:srgbClr w14:val="000000">
                      <w14:alpha w14:val="100000"/>
                    </w14:srgbClr>
                  </w14:solidFill>
                </w14:textFill>
              </w:rPr>
              <w:t>|</w:t>
            </w:r>
            <w:r w:rsidRPr="00414250">
              <w:rPr>
                <w:rFonts w:ascii="Arial Narrow" w:hAnsi="Arial Narrow"/>
                <w:color w:val="000000"/>
                <w:sz w:val="20"/>
                <w:szCs w:val="20"/>
                <w:fitText w:val="188" w:id="-1305208315"/>
                <w14:textFill>
                  <w14:solidFill>
                    <w14:srgbClr w14:val="000000">
                      <w14:alpha w14:val="100000"/>
                    </w14:srgbClr>
                  </w14:solidFill>
                </w14:textFill>
              </w:rPr>
              <w:t>|</w:t>
            </w:r>
          </w:p>
        </w:tc>
        <w:tc>
          <w:tcPr>
            <w:tcW w:w="1165" w:type="dxa"/>
            <w:shd w:val="clear" w:color="auto" w:fill="FFFFFF" w:themeFill="background1"/>
          </w:tcPr>
          <w:p w14:paraId="4709D599"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0.62</w:t>
            </w:r>
          </w:p>
        </w:tc>
        <w:tc>
          <w:tcPr>
            <w:tcW w:w="1164" w:type="dxa"/>
            <w:gridSpan w:val="3"/>
            <w:shd w:val="clear" w:color="auto" w:fill="FFFFFF" w:themeFill="background1"/>
          </w:tcPr>
          <w:p w14:paraId="5F541816" w14:textId="09D50154"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314"/>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314"/>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314"/>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6</w:t>
            </w:r>
          </w:p>
        </w:tc>
        <w:tc>
          <w:tcPr>
            <w:tcW w:w="1017" w:type="dxa"/>
            <w:shd w:val="clear" w:color="auto" w:fill="FFFFFF" w:themeFill="background1"/>
          </w:tcPr>
          <w:p w14:paraId="382CE51A"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+162.2%</w:t>
            </w:r>
          </w:p>
        </w:tc>
      </w:tr>
      <w:tr w:rsidR="00D41BD9" w:rsidRPr="00424AF9" w14:paraId="4683A06B" w14:textId="77777777" w:rsidTr="00414250">
        <w:tc>
          <w:tcPr>
            <w:tcW w:w="4653" w:type="dxa"/>
            <w:gridSpan w:val="3"/>
            <w:shd w:val="clear" w:color="auto" w:fill="FFFFFF" w:themeFill="background1"/>
            <w:vAlign w:val="center"/>
          </w:tcPr>
          <w:p w14:paraId="046E1983"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SA.5+SA.9+SA.15+SA.16</w:t>
            </w:r>
          </w:p>
        </w:tc>
        <w:tc>
          <w:tcPr>
            <w:tcW w:w="1018" w:type="dxa"/>
            <w:gridSpan w:val="3"/>
            <w:tcBorders>
              <w:bottom w:val="single" w:sz="4" w:space="0" w:color="auto"/>
            </w:tcBorders>
            <w:shd w:val="solid" w:color="000000" w:fill="000000"/>
          </w:tcPr>
          <w:p w14:paraId="0ED55C6F" w14:textId="5B1708D6"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313"/>
                <w14:textFill>
                  <w14:solidFill>
                    <w14:srgbClr w14:val="000000">
                      <w14:alpha w14:val="100000"/>
                    </w14:srgbClr>
                  </w14:solidFill>
                </w14:textFill>
              </w:rPr>
              <w:t>|</w:t>
            </w:r>
            <w:r w:rsidRPr="00414250">
              <w:rPr>
                <w:rFonts w:ascii="Arial Narrow" w:hAnsi="Arial Narrow"/>
                <w:color w:val="000000"/>
                <w:sz w:val="20"/>
                <w:szCs w:val="20"/>
                <w:fitText w:val="188" w:id="-1305208313"/>
                <w14:textFill>
                  <w14:solidFill>
                    <w14:srgbClr w14:val="000000">
                      <w14:alpha w14:val="100000"/>
                    </w14:srgbClr>
                  </w14:solidFill>
                </w14:textFill>
              </w:rPr>
              <w:t>|</w:t>
            </w:r>
          </w:p>
        </w:tc>
        <w:tc>
          <w:tcPr>
            <w:tcW w:w="1165" w:type="dxa"/>
            <w:shd w:val="clear" w:color="auto" w:fill="FFFFFF" w:themeFill="background1"/>
          </w:tcPr>
          <w:p w14:paraId="2A47B763"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0.62</w:t>
            </w:r>
          </w:p>
        </w:tc>
        <w:tc>
          <w:tcPr>
            <w:tcW w:w="1164" w:type="dxa"/>
            <w:gridSpan w:val="3"/>
            <w:shd w:val="clear" w:color="auto" w:fill="FFFFFF" w:themeFill="background1"/>
          </w:tcPr>
          <w:p w14:paraId="1C531920" w14:textId="0DDFFB06"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312"/>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312"/>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312"/>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7</w:t>
            </w:r>
          </w:p>
        </w:tc>
        <w:tc>
          <w:tcPr>
            <w:tcW w:w="1017" w:type="dxa"/>
            <w:shd w:val="clear" w:color="auto" w:fill="FFFFFF" w:themeFill="background1"/>
          </w:tcPr>
          <w:p w14:paraId="3AF79108"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+284.4%</w:t>
            </w:r>
          </w:p>
        </w:tc>
      </w:tr>
      <w:tr w:rsidR="00D41BD9" w:rsidRPr="00424AF9" w14:paraId="4870A7B1" w14:textId="77777777" w:rsidTr="00414250">
        <w:tc>
          <w:tcPr>
            <w:tcW w:w="4653" w:type="dxa"/>
            <w:gridSpan w:val="3"/>
            <w:shd w:val="clear" w:color="auto" w:fill="FFFFFF" w:themeFill="background1"/>
            <w:vAlign w:val="center"/>
          </w:tcPr>
          <w:p w14:paraId="42AE11C5"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SA.5+SA.9+SA.15+SA.16+SA.13+SA.14</w:t>
            </w:r>
          </w:p>
        </w:tc>
        <w:tc>
          <w:tcPr>
            <w:tcW w:w="1018" w:type="dxa"/>
            <w:gridSpan w:val="3"/>
            <w:tcBorders>
              <w:bottom w:val="single" w:sz="4" w:space="0" w:color="auto"/>
            </w:tcBorders>
            <w:shd w:val="solid" w:color="000000" w:fill="000000"/>
          </w:tcPr>
          <w:p w14:paraId="2AEC97CC" w14:textId="77AAF0FC"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311"/>
                <w14:textFill>
                  <w14:solidFill>
                    <w14:srgbClr w14:val="000000">
                      <w14:alpha w14:val="100000"/>
                    </w14:srgbClr>
                  </w14:solidFill>
                </w14:textFill>
              </w:rPr>
              <w:t>|</w:t>
            </w:r>
            <w:r w:rsidRPr="00414250">
              <w:rPr>
                <w:rFonts w:ascii="Arial Narrow" w:hAnsi="Arial Narrow"/>
                <w:color w:val="000000"/>
                <w:sz w:val="20"/>
                <w:szCs w:val="20"/>
                <w:fitText w:val="188" w:id="-1305208311"/>
                <w14:textFill>
                  <w14:solidFill>
                    <w14:srgbClr w14:val="000000">
                      <w14:alpha w14:val="100000"/>
                    </w14:srgbClr>
                  </w14:solidFill>
                </w14:textFill>
              </w:rPr>
              <w:t>|</w:t>
            </w:r>
          </w:p>
        </w:tc>
        <w:tc>
          <w:tcPr>
            <w:tcW w:w="1165" w:type="dxa"/>
            <w:shd w:val="clear" w:color="auto" w:fill="FFFFFF" w:themeFill="background1"/>
          </w:tcPr>
          <w:p w14:paraId="51882FCB"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0.76</w:t>
            </w:r>
          </w:p>
        </w:tc>
        <w:tc>
          <w:tcPr>
            <w:tcW w:w="1164" w:type="dxa"/>
            <w:gridSpan w:val="3"/>
            <w:shd w:val="clear" w:color="auto" w:fill="FFFFFF" w:themeFill="background1"/>
          </w:tcPr>
          <w:p w14:paraId="709E71E9" w14:textId="20CA3C10"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310"/>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310"/>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310"/>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8</w:t>
            </w:r>
          </w:p>
        </w:tc>
        <w:tc>
          <w:tcPr>
            <w:tcW w:w="1017" w:type="dxa"/>
            <w:shd w:val="clear" w:color="auto" w:fill="FFFFFF" w:themeFill="background1"/>
          </w:tcPr>
          <w:p w14:paraId="0984D875"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+212.3%</w:t>
            </w:r>
          </w:p>
        </w:tc>
      </w:tr>
      <w:tr w:rsidR="00D41BD9" w:rsidRPr="00424AF9" w14:paraId="7D2C726C" w14:textId="77777777" w:rsidTr="00414250">
        <w:tc>
          <w:tcPr>
            <w:tcW w:w="4653" w:type="dxa"/>
            <w:gridSpan w:val="3"/>
            <w:shd w:val="clear" w:color="auto" w:fill="FFFFFF" w:themeFill="background1"/>
            <w:vAlign w:val="center"/>
          </w:tcPr>
          <w:p w14:paraId="24DE0B11"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SA.5+SA.9+SA.15+SA.16+SA.13+SA.14+SA.6</w:t>
            </w:r>
          </w:p>
        </w:tc>
        <w:tc>
          <w:tcPr>
            <w:tcW w:w="1018" w:type="dxa"/>
            <w:gridSpan w:val="3"/>
            <w:tcBorders>
              <w:bottom w:val="single" w:sz="4" w:space="0" w:color="auto"/>
            </w:tcBorders>
            <w:shd w:val="solid" w:color="000000" w:fill="000000"/>
          </w:tcPr>
          <w:p w14:paraId="755B55E0" w14:textId="54E1CF7D"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309"/>
                <w14:textFill>
                  <w14:solidFill>
                    <w14:srgbClr w14:val="000000">
                      <w14:alpha w14:val="100000"/>
                    </w14:srgbClr>
                  </w14:solidFill>
                </w14:textFill>
              </w:rPr>
              <w:t>|</w:t>
            </w:r>
            <w:r w:rsidRPr="00414250">
              <w:rPr>
                <w:rFonts w:ascii="Arial Narrow" w:hAnsi="Arial Narrow"/>
                <w:color w:val="000000"/>
                <w:sz w:val="20"/>
                <w:szCs w:val="20"/>
                <w:fitText w:val="188" w:id="-1305208309"/>
                <w14:textFill>
                  <w14:solidFill>
                    <w14:srgbClr w14:val="000000">
                      <w14:alpha w14:val="100000"/>
                    </w14:srgbClr>
                  </w14:solidFill>
                </w14:textFill>
              </w:rPr>
              <w:t>|</w:t>
            </w:r>
          </w:p>
        </w:tc>
        <w:tc>
          <w:tcPr>
            <w:tcW w:w="1165" w:type="dxa"/>
            <w:shd w:val="clear" w:color="auto" w:fill="FFFFFF" w:themeFill="background1"/>
          </w:tcPr>
          <w:p w14:paraId="4BFA7640"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0.66</w:t>
            </w:r>
          </w:p>
        </w:tc>
        <w:tc>
          <w:tcPr>
            <w:tcW w:w="1164" w:type="dxa"/>
            <w:gridSpan w:val="3"/>
            <w:shd w:val="clear" w:color="auto" w:fill="FFFFFF" w:themeFill="background1"/>
          </w:tcPr>
          <w:p w14:paraId="62974319" w14:textId="41B63A90"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308"/>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308"/>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308"/>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7</w:t>
            </w:r>
          </w:p>
        </w:tc>
        <w:tc>
          <w:tcPr>
            <w:tcW w:w="1017" w:type="dxa"/>
            <w:shd w:val="clear" w:color="auto" w:fill="FFFFFF" w:themeFill="background1"/>
          </w:tcPr>
          <w:p w14:paraId="5FF60BB8"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+455.6%</w:t>
            </w:r>
          </w:p>
        </w:tc>
      </w:tr>
      <w:tr w:rsidR="00D41BD9" w:rsidRPr="00424AF9" w14:paraId="046B1E06" w14:textId="77777777" w:rsidTr="00414250">
        <w:tc>
          <w:tcPr>
            <w:tcW w:w="4653" w:type="dxa"/>
            <w:gridSpan w:val="3"/>
            <w:shd w:val="clear" w:color="auto" w:fill="FFFFFF" w:themeFill="background1"/>
            <w:vAlign w:val="center"/>
          </w:tcPr>
          <w:p w14:paraId="2D2E9E9C" w14:textId="77777777" w:rsidR="00D41BD9" w:rsidRPr="00424AF9" w:rsidRDefault="00D41BD9" w:rsidP="00D41BD9">
            <w:pPr>
              <w:keepNext/>
              <w:rPr>
                <w:rFonts w:ascii="Arial Narrow" w:hAnsi="Arial Narrow"/>
                <w:color w:val="000000"/>
                <w:sz w:val="20"/>
                <w:szCs w:val="20"/>
              </w:rPr>
            </w:pPr>
            <w:r w:rsidRPr="00424AF9">
              <w:rPr>
                <w:rFonts w:ascii="Arial Narrow" w:hAnsi="Arial Narrow"/>
                <w:color w:val="000000"/>
                <w:sz w:val="20"/>
                <w:szCs w:val="20"/>
              </w:rPr>
              <w:t>SA.5+SA.9+SA.15+SA.16+SA.13+SA.14+SA.6+SA.8</w:t>
            </w:r>
          </w:p>
        </w:tc>
        <w:tc>
          <w:tcPr>
            <w:tcW w:w="1018" w:type="dxa"/>
            <w:gridSpan w:val="3"/>
            <w:shd w:val="solid" w:color="000000" w:fill="000000"/>
          </w:tcPr>
          <w:p w14:paraId="7087866F" w14:textId="68D34410" w:rsidR="00D41BD9" w:rsidRPr="00414250" w:rsidRDefault="00414250" w:rsidP="00D41BD9">
            <w:pPr>
              <w:keepNext/>
              <w:jc w:val="center"/>
              <w:rPr>
                <w:rFonts w:ascii="Arial Narrow" w:hAnsi="Arial Narrow"/>
                <w:sz w:val="20"/>
                <w:szCs w:val="20"/>
              </w:rPr>
            </w:pPr>
            <w:r w:rsidRPr="00414250">
              <w:rPr>
                <w:rFonts w:ascii="Arial Narrow" w:hAnsi="Arial Narrow"/>
                <w:color w:val="000000"/>
                <w:spacing w:val="112"/>
                <w:sz w:val="20"/>
                <w:szCs w:val="20"/>
                <w:fitText w:val="188" w:id="-1305208307"/>
                <w14:textFill>
                  <w14:solidFill>
                    <w14:srgbClr w14:val="000000">
                      <w14:alpha w14:val="100000"/>
                    </w14:srgbClr>
                  </w14:solidFill>
                </w14:textFill>
              </w:rPr>
              <w:t>|</w:t>
            </w:r>
            <w:r w:rsidRPr="00414250">
              <w:rPr>
                <w:rFonts w:ascii="Arial Narrow" w:hAnsi="Arial Narrow"/>
                <w:color w:val="000000"/>
                <w:sz w:val="20"/>
                <w:szCs w:val="20"/>
                <w:fitText w:val="188" w:id="-1305208307"/>
                <w14:textFill>
                  <w14:solidFill>
                    <w14:srgbClr w14:val="000000">
                      <w14:alpha w14:val="100000"/>
                    </w14:srgbClr>
                  </w14:solidFill>
                </w14:textFill>
              </w:rPr>
              <w:t>|</w:t>
            </w:r>
          </w:p>
        </w:tc>
        <w:tc>
          <w:tcPr>
            <w:tcW w:w="1165" w:type="dxa"/>
            <w:shd w:val="clear" w:color="auto" w:fill="FFFFFF" w:themeFill="background1"/>
          </w:tcPr>
          <w:p w14:paraId="1A3D4045"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0.50</w:t>
            </w:r>
          </w:p>
        </w:tc>
        <w:tc>
          <w:tcPr>
            <w:tcW w:w="1164" w:type="dxa"/>
            <w:gridSpan w:val="3"/>
            <w:shd w:val="clear" w:color="auto" w:fill="FFFFFF" w:themeFill="background1"/>
          </w:tcPr>
          <w:p w14:paraId="3AD758EE" w14:textId="6A382C9F" w:rsidR="00D41BD9" w:rsidRPr="00424AF9" w:rsidRDefault="00414250" w:rsidP="00D41BD9">
            <w:pPr>
              <w:keepNext/>
              <w:jc w:val="center"/>
              <w:rPr>
                <w:rFonts w:ascii="Arial Narrow" w:hAnsi="Arial Narrow"/>
                <w:sz w:val="20"/>
                <w:szCs w:val="20"/>
              </w:rPr>
            </w:pPr>
            <w:r w:rsidRPr="00414250">
              <w:rPr>
                <w:rFonts w:ascii="Arial Narrow" w:hAnsi="Arial Narrow" w:hint="eastAsia"/>
                <w:color w:val="000000"/>
                <w:w w:val="33"/>
                <w:sz w:val="20"/>
                <w:szCs w:val="20"/>
                <w:shd w:val="solid" w:color="000000" w:fill="000000"/>
                <w:fitText w:val="150" w:id="-1305208306"/>
                <w14:textFill>
                  <w14:solidFill>
                    <w14:srgbClr w14:val="000000">
                      <w14:alpha w14:val="100000"/>
                    </w14:srgbClr>
                  </w14:solidFill>
                </w14:textFill>
              </w:rPr>
              <w:t xml:space="preserve">　</w:t>
            </w:r>
            <w:r w:rsidRPr="00414250">
              <w:rPr>
                <w:rFonts w:ascii="Arial Narrow" w:hAnsi="Arial Narrow"/>
                <w:color w:val="000000"/>
                <w:w w:val="33"/>
                <w:sz w:val="20"/>
                <w:szCs w:val="20"/>
                <w:shd w:val="solid" w:color="000000" w:fill="000000"/>
                <w:fitText w:val="150" w:id="-1305208306"/>
                <w14:textFill>
                  <w14:solidFill>
                    <w14:srgbClr w14:val="000000">
                      <w14:alpha w14:val="100000"/>
                    </w14:srgbClr>
                  </w14:solidFill>
                </w14:textFill>
              </w:rPr>
              <w:t>|</w:t>
            </w:r>
            <w:r w:rsidRPr="00414250">
              <w:rPr>
                <w:rFonts w:ascii="Arial Narrow" w:hAnsi="Arial Narrow" w:hint="eastAsia"/>
                <w:color w:val="000000"/>
                <w:spacing w:val="4"/>
                <w:w w:val="33"/>
                <w:sz w:val="20"/>
                <w:szCs w:val="20"/>
                <w:shd w:val="solid" w:color="000000" w:fill="000000"/>
                <w:fitText w:val="150" w:id="-1305208306"/>
                <w14:textFill>
                  <w14:solidFill>
                    <w14:srgbClr w14:val="000000">
                      <w14:alpha w14:val="100000"/>
                    </w14:srgbClr>
                  </w14:solidFill>
                </w14:textFill>
              </w:rPr>
              <w:t xml:space="preserve">　</w:t>
            </w:r>
            <w:r w:rsidR="00306CAE">
              <w:rPr>
                <w:rFonts w:ascii="Arial Narrow" w:hAnsi="Arial Narrow"/>
                <w:color w:val="000000"/>
                <w:sz w:val="20"/>
                <w:szCs w:val="20"/>
                <w:vertAlign w:val="superscript"/>
              </w:rPr>
              <w:t>9</w:t>
            </w:r>
          </w:p>
        </w:tc>
        <w:tc>
          <w:tcPr>
            <w:tcW w:w="1017" w:type="dxa"/>
            <w:shd w:val="clear" w:color="auto" w:fill="FFFFFF" w:themeFill="background1"/>
          </w:tcPr>
          <w:p w14:paraId="727B6F56" w14:textId="77777777" w:rsidR="00D41BD9" w:rsidRPr="00424AF9" w:rsidRDefault="00D41BD9" w:rsidP="00D41BD9">
            <w:pPr>
              <w:keepNext/>
              <w:jc w:val="center"/>
              <w:rPr>
                <w:rFonts w:ascii="Arial Narrow" w:hAnsi="Arial Narrow"/>
                <w:sz w:val="20"/>
                <w:szCs w:val="20"/>
              </w:rPr>
            </w:pPr>
            <w:r w:rsidRPr="00424AF9">
              <w:rPr>
                <w:rFonts w:ascii="Arial Narrow" w:hAnsi="Arial Narrow"/>
                <w:sz w:val="20"/>
                <w:szCs w:val="20"/>
              </w:rPr>
              <w:t>+647.4%</w:t>
            </w:r>
          </w:p>
        </w:tc>
      </w:tr>
    </w:tbl>
    <w:p w14:paraId="1C6B6F53" w14:textId="28D1B72E" w:rsidR="00D41BD9" w:rsidRPr="00424AF9" w:rsidRDefault="00D41BD9" w:rsidP="00D41BD9">
      <w:pPr>
        <w:pStyle w:val="FooterTableFigure"/>
      </w:pPr>
      <w:r>
        <w:t>Source: Table 115, pp228-229 of the submission</w:t>
      </w:r>
      <w:r w:rsidR="00424AF9">
        <w:t xml:space="preserve"> and </w:t>
      </w:r>
      <w:r w:rsidR="00424AF9" w:rsidRPr="00424AF9">
        <w:t>compiled during the evaluation, based on the</w:t>
      </w:r>
      <w:r w:rsidR="00723461">
        <w:t xml:space="preserve"> ‘</w:t>
      </w:r>
      <w:r w:rsidR="00424AF9" w:rsidRPr="00424AF9">
        <w:t>Mavacamten oHCM Economic Evaluation</w:t>
      </w:r>
      <w:r w:rsidR="00723461">
        <w:t>’</w:t>
      </w:r>
      <w:r w:rsidR="00424AF9" w:rsidRPr="00424AF9">
        <w:t xml:space="preserve"> Excel workbook</w:t>
      </w:r>
    </w:p>
    <w:p w14:paraId="609A7DE5" w14:textId="47F836E5" w:rsidR="00D41BD9" w:rsidRDefault="00D41BD9" w:rsidP="00D41BD9">
      <w:pPr>
        <w:pStyle w:val="FooterTableFigure"/>
      </w:pPr>
      <w:r>
        <w:t>BB = beta-blocker</w:t>
      </w:r>
      <w:r w:rsidRPr="00D63B98">
        <w:t>;</w:t>
      </w:r>
      <w:r>
        <w:t xml:space="preserve"> CCB = calcium channel blocker</w:t>
      </w:r>
      <w:r w:rsidRPr="00D63B98">
        <w:t xml:space="preserve">; </w:t>
      </w:r>
      <w:r>
        <w:t xml:space="preserve">ICER = incremental cost-effectiveness; MAVA = mavacamten; </w:t>
      </w:r>
      <w:r w:rsidRPr="00D63B98">
        <w:t>QALY = quality-adjusted life year; NYHA = New York Heart Association; SRT = septal reduction thera</w:t>
      </w:r>
      <w:r>
        <w:t>py; TP = transition probability</w:t>
      </w:r>
    </w:p>
    <w:p w14:paraId="09E82BD6" w14:textId="02E00544" w:rsidR="00723461" w:rsidRDefault="00723461" w:rsidP="00723461">
      <w:pPr>
        <w:pStyle w:val="FooterTableFigure"/>
      </w:pPr>
      <w:r w:rsidRPr="00723461">
        <w:t xml:space="preserve">a Sensitivity analyses performed during the evaluation. </w:t>
      </w:r>
    </w:p>
    <w:p w14:paraId="6736AFB5" w14:textId="51FE700D" w:rsidR="00F72968" w:rsidRDefault="00F72968" w:rsidP="00723461">
      <w:pPr>
        <w:pStyle w:val="FooterTableFigure"/>
      </w:pPr>
      <w:r>
        <w:t xml:space="preserve">b Sensitivity analyses performed </w:t>
      </w:r>
      <w:r w:rsidR="00B3065F">
        <w:t>during ESC evaluation.</w:t>
      </w:r>
    </w:p>
    <w:p w14:paraId="6AB0B873" w14:textId="77777777" w:rsidR="00306CAE" w:rsidRPr="009A6D58" w:rsidRDefault="00306CAE" w:rsidP="00306CA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8A0FB68" w14:textId="77777777" w:rsidR="00306CAE" w:rsidRPr="009A6D58" w:rsidRDefault="00306CAE" w:rsidP="00306CA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793548">
        <w:rPr>
          <w:rFonts w:ascii="Arial Narrow" w:hAnsi="Arial Narrow"/>
          <w:i/>
          <w:sz w:val="18"/>
          <w:szCs w:val="18"/>
        </w:rPr>
        <w:t>$35,000 to &lt; $45,000</w:t>
      </w:r>
    </w:p>
    <w:p w14:paraId="72D98046" w14:textId="4BB13298" w:rsidR="00306CAE" w:rsidRPr="009A6D58" w:rsidRDefault="00306CAE" w:rsidP="00306CA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793548">
        <w:rPr>
          <w:rFonts w:ascii="Arial Narrow" w:hAnsi="Arial Narrow"/>
          <w:i/>
          <w:sz w:val="18"/>
          <w:szCs w:val="18"/>
        </w:rPr>
        <w:t>$</w:t>
      </w:r>
      <w:r>
        <w:rPr>
          <w:rFonts w:ascii="Arial Narrow" w:hAnsi="Arial Narrow"/>
          <w:i/>
          <w:sz w:val="18"/>
          <w:szCs w:val="18"/>
        </w:rPr>
        <w:t>5</w:t>
      </w:r>
      <w:r w:rsidRPr="00793548">
        <w:rPr>
          <w:rFonts w:ascii="Arial Narrow" w:hAnsi="Arial Narrow"/>
          <w:i/>
          <w:sz w:val="18"/>
          <w:szCs w:val="18"/>
        </w:rPr>
        <w:t>5,000 to &lt; $</w:t>
      </w:r>
      <w:r>
        <w:rPr>
          <w:rFonts w:ascii="Arial Narrow" w:hAnsi="Arial Narrow"/>
          <w:i/>
          <w:sz w:val="18"/>
          <w:szCs w:val="18"/>
        </w:rPr>
        <w:t>7</w:t>
      </w:r>
      <w:r w:rsidRPr="00793548">
        <w:rPr>
          <w:rFonts w:ascii="Arial Narrow" w:hAnsi="Arial Narrow"/>
          <w:i/>
          <w:sz w:val="18"/>
          <w:szCs w:val="18"/>
        </w:rPr>
        <w:t>5,000</w:t>
      </w:r>
    </w:p>
    <w:p w14:paraId="1D1ADFD0" w14:textId="77777777" w:rsidR="00306CAE" w:rsidRDefault="00306CAE" w:rsidP="00306CA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793548">
        <w:rPr>
          <w:rFonts w:ascii="Arial Narrow" w:hAnsi="Arial Narrow"/>
          <w:i/>
          <w:sz w:val="18"/>
          <w:szCs w:val="18"/>
        </w:rPr>
        <w:t>$</w:t>
      </w:r>
      <w:r>
        <w:rPr>
          <w:rFonts w:ascii="Arial Narrow" w:hAnsi="Arial Narrow"/>
          <w:i/>
          <w:sz w:val="18"/>
          <w:szCs w:val="18"/>
        </w:rPr>
        <w:t>4</w:t>
      </w:r>
      <w:r w:rsidRPr="00793548">
        <w:rPr>
          <w:rFonts w:ascii="Arial Narrow" w:hAnsi="Arial Narrow"/>
          <w:i/>
          <w:sz w:val="18"/>
          <w:szCs w:val="18"/>
        </w:rPr>
        <w:t>5,000 to &lt; $</w:t>
      </w:r>
      <w:r>
        <w:rPr>
          <w:rFonts w:ascii="Arial Narrow" w:hAnsi="Arial Narrow"/>
          <w:i/>
          <w:sz w:val="18"/>
          <w:szCs w:val="18"/>
        </w:rPr>
        <w:t>5</w:t>
      </w:r>
      <w:r w:rsidRPr="00793548">
        <w:rPr>
          <w:rFonts w:ascii="Arial Narrow" w:hAnsi="Arial Narrow"/>
          <w:i/>
          <w:sz w:val="18"/>
          <w:szCs w:val="18"/>
        </w:rPr>
        <w:t>5,000</w:t>
      </w:r>
    </w:p>
    <w:p w14:paraId="2B08F512" w14:textId="788C104A" w:rsidR="00306CAE" w:rsidRDefault="00306CAE" w:rsidP="00306CA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793548">
        <w:rPr>
          <w:rFonts w:ascii="Arial Narrow" w:hAnsi="Arial Narrow"/>
          <w:i/>
          <w:sz w:val="18"/>
          <w:szCs w:val="18"/>
        </w:rPr>
        <w:t>$</w:t>
      </w:r>
      <w:r w:rsidR="00C04D9F">
        <w:rPr>
          <w:rFonts w:ascii="Arial Narrow" w:hAnsi="Arial Narrow"/>
          <w:i/>
          <w:sz w:val="18"/>
          <w:szCs w:val="18"/>
        </w:rPr>
        <w:t>7</w:t>
      </w:r>
      <w:r w:rsidRPr="00793548">
        <w:rPr>
          <w:rFonts w:ascii="Arial Narrow" w:hAnsi="Arial Narrow"/>
          <w:i/>
          <w:sz w:val="18"/>
          <w:szCs w:val="18"/>
        </w:rPr>
        <w:t>5,000 to &lt; $</w:t>
      </w:r>
      <w:r w:rsidR="00C04D9F">
        <w:rPr>
          <w:rFonts w:ascii="Arial Narrow" w:hAnsi="Arial Narrow"/>
          <w:i/>
          <w:sz w:val="18"/>
          <w:szCs w:val="18"/>
        </w:rPr>
        <w:t>9</w:t>
      </w:r>
      <w:r w:rsidRPr="00793548">
        <w:rPr>
          <w:rFonts w:ascii="Arial Narrow" w:hAnsi="Arial Narrow"/>
          <w:i/>
          <w:sz w:val="18"/>
          <w:szCs w:val="18"/>
        </w:rPr>
        <w:t>5,000</w:t>
      </w:r>
    </w:p>
    <w:p w14:paraId="2F2F493B" w14:textId="1ECDBAF2" w:rsidR="00306CAE" w:rsidRDefault="00306CAE" w:rsidP="00306CA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793548">
        <w:rPr>
          <w:rFonts w:ascii="Arial Narrow" w:hAnsi="Arial Narrow"/>
          <w:i/>
          <w:sz w:val="18"/>
          <w:szCs w:val="18"/>
        </w:rPr>
        <w:t>$</w:t>
      </w:r>
      <w:r w:rsidR="00C04D9F">
        <w:rPr>
          <w:rFonts w:ascii="Arial Narrow" w:hAnsi="Arial Narrow"/>
          <w:i/>
          <w:sz w:val="18"/>
          <w:szCs w:val="18"/>
        </w:rPr>
        <w:t>9</w:t>
      </w:r>
      <w:r w:rsidRPr="00793548">
        <w:rPr>
          <w:rFonts w:ascii="Arial Narrow" w:hAnsi="Arial Narrow"/>
          <w:i/>
          <w:sz w:val="18"/>
          <w:szCs w:val="18"/>
        </w:rPr>
        <w:t>5,000 to &lt; $</w:t>
      </w:r>
      <w:r w:rsidR="00C04D9F">
        <w:rPr>
          <w:rFonts w:ascii="Arial Narrow" w:hAnsi="Arial Narrow"/>
          <w:i/>
          <w:sz w:val="18"/>
          <w:szCs w:val="18"/>
        </w:rPr>
        <w:t>11</w:t>
      </w:r>
      <w:r w:rsidRPr="00793548">
        <w:rPr>
          <w:rFonts w:ascii="Arial Narrow" w:hAnsi="Arial Narrow"/>
          <w:i/>
          <w:sz w:val="18"/>
          <w:szCs w:val="18"/>
        </w:rPr>
        <w:t>5,000</w:t>
      </w:r>
    </w:p>
    <w:p w14:paraId="3E92011A" w14:textId="62336D63" w:rsidR="00306CAE" w:rsidRPr="009A6D58" w:rsidRDefault="00306CAE" w:rsidP="00306CA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793548">
        <w:rPr>
          <w:rFonts w:ascii="Arial Narrow" w:hAnsi="Arial Narrow"/>
          <w:i/>
          <w:sz w:val="18"/>
          <w:szCs w:val="18"/>
        </w:rPr>
        <w:t>$</w:t>
      </w:r>
      <w:r>
        <w:rPr>
          <w:rFonts w:ascii="Arial Narrow" w:hAnsi="Arial Narrow"/>
          <w:i/>
          <w:sz w:val="18"/>
          <w:szCs w:val="18"/>
        </w:rPr>
        <w:t>11</w:t>
      </w:r>
      <w:r w:rsidRPr="00793548">
        <w:rPr>
          <w:rFonts w:ascii="Arial Narrow" w:hAnsi="Arial Narrow"/>
          <w:i/>
          <w:sz w:val="18"/>
          <w:szCs w:val="18"/>
        </w:rPr>
        <w:t>5,000 to &lt; $</w:t>
      </w:r>
      <w:r>
        <w:rPr>
          <w:rFonts w:ascii="Arial Narrow" w:hAnsi="Arial Narrow"/>
          <w:i/>
          <w:sz w:val="18"/>
          <w:szCs w:val="18"/>
        </w:rPr>
        <w:t>13</w:t>
      </w:r>
      <w:r w:rsidRPr="00793548">
        <w:rPr>
          <w:rFonts w:ascii="Arial Narrow" w:hAnsi="Arial Narrow"/>
          <w:i/>
          <w:sz w:val="18"/>
          <w:szCs w:val="18"/>
        </w:rPr>
        <w:t>5,000</w:t>
      </w:r>
    </w:p>
    <w:p w14:paraId="02410C1B" w14:textId="1ECA4B38" w:rsidR="00306CAE" w:rsidRDefault="00306CAE" w:rsidP="00306CA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793548">
        <w:rPr>
          <w:rFonts w:ascii="Arial Narrow" w:hAnsi="Arial Narrow"/>
          <w:i/>
          <w:sz w:val="18"/>
          <w:szCs w:val="18"/>
        </w:rPr>
        <w:t>$</w:t>
      </w:r>
      <w:r>
        <w:rPr>
          <w:rFonts w:ascii="Arial Narrow" w:hAnsi="Arial Narrow"/>
          <w:i/>
          <w:sz w:val="18"/>
          <w:szCs w:val="18"/>
        </w:rPr>
        <w:t>15</w:t>
      </w:r>
      <w:r w:rsidRPr="00793548">
        <w:rPr>
          <w:rFonts w:ascii="Arial Narrow" w:hAnsi="Arial Narrow"/>
          <w:i/>
          <w:sz w:val="18"/>
          <w:szCs w:val="18"/>
        </w:rPr>
        <w:t>5,000 to &lt; $</w:t>
      </w:r>
      <w:r>
        <w:rPr>
          <w:rFonts w:ascii="Arial Narrow" w:hAnsi="Arial Narrow"/>
          <w:i/>
          <w:sz w:val="18"/>
          <w:szCs w:val="18"/>
        </w:rPr>
        <w:t>25</w:t>
      </w:r>
      <w:r w:rsidRPr="00793548">
        <w:rPr>
          <w:rFonts w:ascii="Arial Narrow" w:hAnsi="Arial Narrow"/>
          <w:i/>
          <w:sz w:val="18"/>
          <w:szCs w:val="18"/>
        </w:rPr>
        <w:t>5,000</w:t>
      </w:r>
    </w:p>
    <w:p w14:paraId="147A0A21" w14:textId="72406D69" w:rsidR="00306CAE" w:rsidRDefault="00306CAE" w:rsidP="00306CAE">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793548">
        <w:rPr>
          <w:rFonts w:ascii="Arial Narrow" w:hAnsi="Arial Narrow"/>
          <w:i/>
          <w:sz w:val="18"/>
          <w:szCs w:val="18"/>
        </w:rPr>
        <w:t>$</w:t>
      </w:r>
      <w:r>
        <w:rPr>
          <w:rFonts w:ascii="Arial Narrow" w:hAnsi="Arial Narrow"/>
          <w:i/>
          <w:sz w:val="18"/>
          <w:szCs w:val="18"/>
        </w:rPr>
        <w:t>13</w:t>
      </w:r>
      <w:r w:rsidRPr="00793548">
        <w:rPr>
          <w:rFonts w:ascii="Arial Narrow" w:hAnsi="Arial Narrow"/>
          <w:i/>
          <w:sz w:val="18"/>
          <w:szCs w:val="18"/>
        </w:rPr>
        <w:t>5,000 to &lt; $</w:t>
      </w:r>
      <w:r>
        <w:rPr>
          <w:rFonts w:ascii="Arial Narrow" w:hAnsi="Arial Narrow"/>
          <w:i/>
          <w:sz w:val="18"/>
          <w:szCs w:val="18"/>
        </w:rPr>
        <w:t>15</w:t>
      </w:r>
      <w:r w:rsidRPr="00793548">
        <w:rPr>
          <w:rFonts w:ascii="Arial Narrow" w:hAnsi="Arial Narrow"/>
          <w:i/>
          <w:sz w:val="18"/>
          <w:szCs w:val="18"/>
        </w:rPr>
        <w:t>5,000</w:t>
      </w:r>
    </w:p>
    <w:p w14:paraId="28E34ED0" w14:textId="71864E70" w:rsidR="00306CAE" w:rsidRPr="00723461" w:rsidRDefault="00306CAE" w:rsidP="00306CAE">
      <w:pPr>
        <w:pStyle w:val="FooterTableFigure"/>
      </w:pPr>
      <w:r>
        <w:rPr>
          <w:i/>
          <w:szCs w:val="18"/>
          <w:vertAlign w:val="superscript"/>
        </w:rPr>
        <w:t>9</w:t>
      </w:r>
      <w:r>
        <w:rPr>
          <w:i/>
          <w:szCs w:val="18"/>
        </w:rPr>
        <w:t xml:space="preserve"> </w:t>
      </w:r>
      <w:r w:rsidRPr="00793548">
        <w:rPr>
          <w:i/>
          <w:szCs w:val="18"/>
        </w:rPr>
        <w:t>$</w:t>
      </w:r>
      <w:r>
        <w:rPr>
          <w:i/>
          <w:szCs w:val="18"/>
        </w:rPr>
        <w:t>25</w:t>
      </w:r>
      <w:r w:rsidRPr="00793548">
        <w:rPr>
          <w:i/>
          <w:szCs w:val="18"/>
        </w:rPr>
        <w:t>5,000 to &lt; $</w:t>
      </w:r>
      <w:r>
        <w:rPr>
          <w:i/>
          <w:szCs w:val="18"/>
        </w:rPr>
        <w:t>35</w:t>
      </w:r>
      <w:r w:rsidRPr="00793548">
        <w:rPr>
          <w:i/>
          <w:szCs w:val="18"/>
        </w:rPr>
        <w:t>5,000</w:t>
      </w:r>
    </w:p>
    <w:p w14:paraId="291D78D1" w14:textId="33533C3C" w:rsidR="00306CAE" w:rsidRPr="00723461" w:rsidRDefault="00306CAE" w:rsidP="00306CAE">
      <w:pPr>
        <w:pStyle w:val="FooterTableFigure"/>
      </w:pPr>
    </w:p>
    <w:p w14:paraId="287DADAE" w14:textId="207A8DE4" w:rsidR="00D41BD9" w:rsidRDefault="00D41BD9" w:rsidP="00D41BD9">
      <w:pPr>
        <w:pStyle w:val="3-BodyText"/>
      </w:pPr>
      <w:r w:rsidRPr="00424AF9">
        <w:t xml:space="preserve">Results of key sensitivity analyses indicated that the model was very sensitive to the trial data truncation time point in the BB/CCB alone arm, the efficacy of subsequent </w:t>
      </w:r>
      <w:r w:rsidR="00432C1F" w:rsidRPr="00424AF9">
        <w:t>disopyramide</w:t>
      </w:r>
      <w:r w:rsidR="00432C1F">
        <w:t> </w:t>
      </w:r>
      <w:r w:rsidRPr="00424AF9">
        <w:t>+</w:t>
      </w:r>
      <w:r w:rsidR="00432C1F">
        <w:t> </w:t>
      </w:r>
      <w:r w:rsidRPr="00424AF9">
        <w:t>BB/CCB therapy, the cost per hospital admission due to a cardiovascular event, and the assumption of mavacamten treatment discontinuation due to lack of efficacy. Variables which moderately affected the ICER included health state utilities, treatment benefits from SRT, time horizon and discounting rate. All sensitivity analyses increased the ICER, except the analysis that assumed lower health state utilities and analyses using discounting rates less than 5%.</w:t>
      </w:r>
      <w:r>
        <w:t xml:space="preserve"> </w:t>
      </w:r>
      <w:r w:rsidRPr="00424AF9">
        <w:rPr>
          <w:iCs/>
        </w:rPr>
        <w:t>As shown in the multivariate sensitivity analyses</w:t>
      </w:r>
      <w:r>
        <w:t xml:space="preserve"> </w:t>
      </w:r>
      <w:r w:rsidRPr="00424AF9">
        <w:t>the impact of these model inputs changed markedly where multiple re-specifications were implemented.</w:t>
      </w:r>
    </w:p>
    <w:p w14:paraId="783810D0" w14:textId="18A219DB" w:rsidR="00A9788D" w:rsidRPr="00F72968" w:rsidRDefault="000940DC" w:rsidP="009419D2">
      <w:pPr>
        <w:pStyle w:val="3-BodyText"/>
        <w:rPr>
          <w:iCs/>
        </w:rPr>
      </w:pPr>
      <w:r w:rsidRPr="00F72968">
        <w:rPr>
          <w:iCs/>
        </w:rPr>
        <w:t>The</w:t>
      </w:r>
      <w:r w:rsidR="009419D2" w:rsidRPr="00F72968">
        <w:rPr>
          <w:iCs/>
        </w:rPr>
        <w:t xml:space="preserve"> sensitivity analysis removing the mortality benefit</w:t>
      </w:r>
      <w:r w:rsidRPr="00F72968">
        <w:rPr>
          <w:iCs/>
        </w:rPr>
        <w:t xml:space="preserve"> and assuming normal life expectancy</w:t>
      </w:r>
      <w:r w:rsidR="009419D2" w:rsidRPr="00F72968">
        <w:rPr>
          <w:iCs/>
        </w:rPr>
        <w:t xml:space="preserve"> </w:t>
      </w:r>
      <w:r w:rsidRPr="00F72968">
        <w:rPr>
          <w:iCs/>
        </w:rPr>
        <w:t>increased the ICER to $</w:t>
      </w:r>
      <w:r w:rsidR="00C04D9F" w:rsidRPr="00C04D9F">
        <w:rPr>
          <w:iCs/>
        </w:rPr>
        <w:t>55,000 to &lt; $75,000</w:t>
      </w:r>
      <w:r w:rsidRPr="00F72968">
        <w:rPr>
          <w:iCs/>
        </w:rPr>
        <w:t>/QALY gained</w:t>
      </w:r>
      <w:r w:rsidR="00551479" w:rsidRPr="00F72968">
        <w:rPr>
          <w:iCs/>
        </w:rPr>
        <w:t xml:space="preserve"> (SA</w:t>
      </w:r>
      <w:r w:rsidR="00B4648D" w:rsidRPr="00F72968">
        <w:rPr>
          <w:iCs/>
        </w:rPr>
        <w:t>.</w:t>
      </w:r>
      <w:r w:rsidR="00551479" w:rsidRPr="00F72968">
        <w:rPr>
          <w:iCs/>
        </w:rPr>
        <w:t>23)</w:t>
      </w:r>
      <w:r w:rsidR="009419D2" w:rsidRPr="00F72968">
        <w:rPr>
          <w:iCs/>
        </w:rPr>
        <w:t>.</w:t>
      </w:r>
    </w:p>
    <w:p w14:paraId="787CB869" w14:textId="77777777" w:rsidR="00D41BD9" w:rsidRDefault="00D41BD9" w:rsidP="00A9788D">
      <w:pPr>
        <w:pStyle w:val="4-SubsectionHeading"/>
      </w:pPr>
      <w:bookmarkStart w:id="55" w:name="_Toc113979746"/>
      <w:r w:rsidRPr="002C2775">
        <w:t>Drug cost/patient/</w:t>
      </w:r>
      <w:r>
        <w:t>year</w:t>
      </w:r>
      <w:bookmarkEnd w:id="55"/>
    </w:p>
    <w:p w14:paraId="63BB89EE" w14:textId="61B77790" w:rsidR="00D41BD9" w:rsidRPr="00424AF9" w:rsidRDefault="00D41BD9" w:rsidP="00D41BD9">
      <w:pPr>
        <w:pStyle w:val="3-BodyText"/>
      </w:pPr>
      <w:r>
        <w:t xml:space="preserve">A comparison of the drug cost of mavacamten estimated based on the EXPLORER-HCM trial, in the economic evaluation and in the financial analysis is presented in </w:t>
      </w:r>
      <w:r>
        <w:fldChar w:fldCharType="begin"/>
      </w:r>
      <w:r>
        <w:instrText xml:space="preserve"> REF _Ref110602640 \h </w:instrText>
      </w:r>
      <w:r>
        <w:fldChar w:fldCharType="separate"/>
      </w:r>
      <w:r w:rsidR="00645E50">
        <w:t xml:space="preserve">Table </w:t>
      </w:r>
      <w:r w:rsidR="00645E50">
        <w:rPr>
          <w:noProof/>
        </w:rPr>
        <w:t>22</w:t>
      </w:r>
      <w:r>
        <w:fldChar w:fldCharType="end"/>
      </w:r>
      <w:r>
        <w:t>. The cost of BB/CCB is not included in the table as patients in both treatment arms will receive BB/CCB therapy, either in combination with mavacamten or as monotherapy.</w:t>
      </w:r>
    </w:p>
    <w:p w14:paraId="2CA75DFB" w14:textId="1D18B895" w:rsidR="00D41BD9" w:rsidRPr="00BB732D" w:rsidRDefault="00D41BD9" w:rsidP="00D41BD9">
      <w:pPr>
        <w:pStyle w:val="Caption"/>
        <w:rPr>
          <w:rStyle w:val="CommentReference"/>
          <w:b/>
          <w:szCs w:val="24"/>
        </w:rPr>
      </w:pPr>
      <w:bookmarkStart w:id="56" w:name="_Ref110602640"/>
      <w:r>
        <w:lastRenderedPageBreak/>
        <w:t xml:space="preserve">Table </w:t>
      </w:r>
      <w:r w:rsidR="00645E50">
        <w:fldChar w:fldCharType="begin"/>
      </w:r>
      <w:r w:rsidR="00645E50">
        <w:instrText xml:space="preserve"> SEQ Table \* ARABIC </w:instrText>
      </w:r>
      <w:r w:rsidR="00645E50">
        <w:fldChar w:fldCharType="separate"/>
      </w:r>
      <w:r w:rsidR="00645E50">
        <w:rPr>
          <w:noProof/>
        </w:rPr>
        <w:t>22</w:t>
      </w:r>
      <w:r w:rsidR="00645E50">
        <w:rPr>
          <w:noProof/>
        </w:rPr>
        <w:fldChar w:fldCharType="end"/>
      </w:r>
      <w:bookmarkEnd w:id="56"/>
      <w:r>
        <w:t>:</w:t>
      </w:r>
      <w:r w:rsidRPr="00BB732D">
        <w:rPr>
          <w:rStyle w:val="CommentReference"/>
          <w:b/>
          <w:szCs w:val="24"/>
        </w:rPr>
        <w:t xml:space="preserve"> Drug cost per patient for </w:t>
      </w:r>
      <w:r>
        <w:rPr>
          <w:rStyle w:val="CommentReference"/>
          <w:b/>
          <w:szCs w:val="24"/>
        </w:rPr>
        <w:t>mavacamten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29"/>
        <w:gridCol w:w="2162"/>
        <w:gridCol w:w="2160"/>
        <w:gridCol w:w="2166"/>
      </w:tblGrid>
      <w:tr w:rsidR="00D41BD9" w:rsidRPr="00E2771E" w14:paraId="7BA57F8A" w14:textId="77777777" w:rsidTr="00D41BD9">
        <w:trPr>
          <w:cantSplit/>
          <w:tblHeader/>
        </w:trPr>
        <w:tc>
          <w:tcPr>
            <w:tcW w:w="1402" w:type="pct"/>
            <w:shd w:val="clear" w:color="auto" w:fill="auto"/>
            <w:vAlign w:val="center"/>
          </w:tcPr>
          <w:p w14:paraId="2BCD3CF4" w14:textId="77777777" w:rsidR="00D41BD9" w:rsidRPr="00E2771E" w:rsidRDefault="00D41BD9" w:rsidP="00D41BD9">
            <w:pPr>
              <w:pStyle w:val="In-tableHeading"/>
              <w:jc w:val="center"/>
            </w:pPr>
          </w:p>
        </w:tc>
        <w:tc>
          <w:tcPr>
            <w:tcW w:w="1199" w:type="pct"/>
            <w:shd w:val="clear" w:color="auto" w:fill="auto"/>
            <w:vAlign w:val="center"/>
          </w:tcPr>
          <w:p w14:paraId="7BA81D27" w14:textId="77777777" w:rsidR="00D41BD9" w:rsidRPr="00F65EAA" w:rsidRDefault="00D41BD9" w:rsidP="00D41BD9">
            <w:pPr>
              <w:pStyle w:val="In-tableHeading"/>
              <w:jc w:val="center"/>
            </w:pPr>
            <w:r w:rsidRPr="00F65EAA">
              <w:t>Trial</w:t>
            </w:r>
            <w:r>
              <w:t xml:space="preserve"> </w:t>
            </w:r>
            <w:r w:rsidRPr="00F65EAA">
              <w:t>dos</w:t>
            </w:r>
            <w:r>
              <w:t>e</w:t>
            </w:r>
            <w:r w:rsidRPr="00F65EAA">
              <w:t xml:space="preserve"> and duration</w:t>
            </w:r>
          </w:p>
        </w:tc>
        <w:tc>
          <w:tcPr>
            <w:tcW w:w="1198" w:type="pct"/>
            <w:shd w:val="clear" w:color="auto" w:fill="auto"/>
            <w:vAlign w:val="center"/>
          </w:tcPr>
          <w:p w14:paraId="7B734A10" w14:textId="77777777" w:rsidR="00D41BD9" w:rsidRPr="00E2771E" w:rsidRDefault="00D41BD9" w:rsidP="00D41BD9">
            <w:pPr>
              <w:pStyle w:val="In-tableHeading"/>
              <w:jc w:val="center"/>
            </w:pPr>
            <w:r>
              <w:t>Model</w:t>
            </w:r>
          </w:p>
        </w:tc>
        <w:tc>
          <w:tcPr>
            <w:tcW w:w="1201" w:type="pct"/>
            <w:shd w:val="clear" w:color="auto" w:fill="auto"/>
            <w:vAlign w:val="center"/>
          </w:tcPr>
          <w:p w14:paraId="10ED5368" w14:textId="77777777" w:rsidR="00D41BD9" w:rsidRPr="00E2771E" w:rsidRDefault="00D41BD9" w:rsidP="00D41BD9">
            <w:pPr>
              <w:pStyle w:val="In-tableHeading"/>
              <w:jc w:val="center"/>
            </w:pPr>
            <w:r>
              <w:t>Financial estimates</w:t>
            </w:r>
          </w:p>
        </w:tc>
      </w:tr>
      <w:tr w:rsidR="00D41BD9" w:rsidRPr="00E2771E" w14:paraId="1AED0B2B" w14:textId="77777777" w:rsidTr="00D41BD9">
        <w:trPr>
          <w:cantSplit/>
        </w:trPr>
        <w:tc>
          <w:tcPr>
            <w:tcW w:w="1402" w:type="pct"/>
            <w:shd w:val="clear" w:color="auto" w:fill="auto"/>
            <w:vAlign w:val="center"/>
          </w:tcPr>
          <w:p w14:paraId="171ACB45" w14:textId="77777777" w:rsidR="00D41BD9" w:rsidRPr="001F5BDA" w:rsidRDefault="00D41BD9" w:rsidP="00D41BD9">
            <w:pPr>
              <w:pStyle w:val="TableText0"/>
              <w:rPr>
                <w:lang w:val="en-US"/>
              </w:rPr>
            </w:pPr>
            <w:r w:rsidRPr="001F5BDA">
              <w:rPr>
                <w:lang w:val="en-US"/>
              </w:rPr>
              <w:t>Mean dose</w:t>
            </w:r>
          </w:p>
        </w:tc>
        <w:tc>
          <w:tcPr>
            <w:tcW w:w="1199" w:type="pct"/>
            <w:shd w:val="clear" w:color="auto" w:fill="auto"/>
            <w:vAlign w:val="center"/>
          </w:tcPr>
          <w:p w14:paraId="79F4CC89" w14:textId="77777777" w:rsidR="00D41BD9" w:rsidRPr="0014273B" w:rsidRDefault="00D41BD9" w:rsidP="00D41BD9">
            <w:pPr>
              <w:pStyle w:val="TableText0"/>
              <w:jc w:val="center"/>
              <w:rPr>
                <w:vertAlign w:val="superscript"/>
                <w:lang w:val="en-US"/>
              </w:rPr>
            </w:pPr>
            <w:r w:rsidRPr="0014273B">
              <w:rPr>
                <w:color w:val="000000" w:themeColor="text1"/>
                <w:lang w:val="en-US"/>
              </w:rPr>
              <w:t xml:space="preserve">6.69 mg </w:t>
            </w:r>
            <w:r>
              <w:rPr>
                <w:color w:val="000000" w:themeColor="text1"/>
                <w:lang w:val="en-US"/>
              </w:rPr>
              <w:t>per day</w:t>
            </w:r>
            <w:r>
              <w:rPr>
                <w:color w:val="000000" w:themeColor="text1"/>
                <w:vertAlign w:val="superscript"/>
                <w:lang w:val="en-US"/>
              </w:rPr>
              <w:t>a,b</w:t>
            </w:r>
          </w:p>
        </w:tc>
        <w:tc>
          <w:tcPr>
            <w:tcW w:w="1198" w:type="pct"/>
            <w:shd w:val="clear" w:color="auto" w:fill="auto"/>
            <w:vAlign w:val="center"/>
          </w:tcPr>
          <w:p w14:paraId="3F57A5FF" w14:textId="77777777" w:rsidR="00D41BD9" w:rsidRPr="0014273B" w:rsidRDefault="00D41BD9" w:rsidP="00D41BD9">
            <w:pPr>
              <w:pStyle w:val="TableText0"/>
              <w:jc w:val="center"/>
              <w:rPr>
                <w:vertAlign w:val="superscript"/>
                <w:lang w:val="en-US"/>
              </w:rPr>
            </w:pPr>
            <w:r w:rsidRPr="0014273B">
              <w:rPr>
                <w:lang w:val="en-US"/>
              </w:rPr>
              <w:t>Not estimated</w:t>
            </w:r>
            <w:r>
              <w:rPr>
                <w:vertAlign w:val="superscript"/>
                <w:lang w:val="en-US"/>
              </w:rPr>
              <w:t>b</w:t>
            </w:r>
          </w:p>
        </w:tc>
        <w:tc>
          <w:tcPr>
            <w:tcW w:w="1201" w:type="pct"/>
            <w:shd w:val="clear" w:color="auto" w:fill="auto"/>
            <w:vAlign w:val="center"/>
          </w:tcPr>
          <w:p w14:paraId="2087F5CA" w14:textId="77777777" w:rsidR="00D41BD9" w:rsidRDefault="00D41BD9" w:rsidP="00D41BD9">
            <w:pPr>
              <w:pStyle w:val="TableText0"/>
              <w:jc w:val="center"/>
              <w:rPr>
                <w:b/>
                <w:lang w:val="en-US"/>
              </w:rPr>
            </w:pPr>
            <w:r w:rsidRPr="0014273B">
              <w:rPr>
                <w:lang w:val="en-US"/>
              </w:rPr>
              <w:t>Not estimated</w:t>
            </w:r>
            <w:r>
              <w:rPr>
                <w:vertAlign w:val="superscript"/>
                <w:lang w:val="en-US"/>
              </w:rPr>
              <w:t>b</w:t>
            </w:r>
          </w:p>
        </w:tc>
      </w:tr>
      <w:tr w:rsidR="00D41BD9" w:rsidRPr="00E2771E" w14:paraId="560B3510" w14:textId="77777777" w:rsidTr="00D41BD9">
        <w:trPr>
          <w:cantSplit/>
        </w:trPr>
        <w:tc>
          <w:tcPr>
            <w:tcW w:w="1402" w:type="pct"/>
            <w:shd w:val="clear" w:color="auto" w:fill="auto"/>
            <w:vAlign w:val="center"/>
          </w:tcPr>
          <w:p w14:paraId="12D240B9" w14:textId="77777777" w:rsidR="00D41BD9" w:rsidRPr="001F5BDA" w:rsidRDefault="00D41BD9" w:rsidP="00D41BD9">
            <w:pPr>
              <w:pStyle w:val="TableText0"/>
              <w:rPr>
                <w:lang w:val="en-US"/>
              </w:rPr>
            </w:pPr>
            <w:r>
              <w:rPr>
                <w:lang w:val="en-US"/>
              </w:rPr>
              <w:t>Cost per 28 capsules</w:t>
            </w:r>
          </w:p>
        </w:tc>
        <w:tc>
          <w:tcPr>
            <w:tcW w:w="1199" w:type="pct"/>
            <w:shd w:val="clear" w:color="auto" w:fill="auto"/>
            <w:vAlign w:val="center"/>
          </w:tcPr>
          <w:p w14:paraId="2709B35A" w14:textId="10CF32FD" w:rsidR="00D41BD9" w:rsidRPr="00086E0A" w:rsidRDefault="00D41BD9" w:rsidP="00D41BD9">
            <w:pPr>
              <w:pStyle w:val="TableText0"/>
              <w:jc w:val="center"/>
              <w:rPr>
                <w:color w:val="000000" w:themeColor="text1"/>
                <w:vertAlign w:val="superscript"/>
                <w:lang w:val="en-US"/>
              </w:rPr>
            </w:pPr>
            <w:r w:rsidRPr="00F71748">
              <w:rPr>
                <w:color w:val="000000" w:themeColor="text1"/>
                <w:lang w:val="en-US"/>
              </w:rPr>
              <w:t>$</w:t>
            </w:r>
            <w:r w:rsidR="00414250" w:rsidRPr="00414250">
              <w:rPr>
                <w:color w:val="000000" w:themeColor="text1"/>
                <w:shd w:val="solid" w:color="000000" w:fill="000000"/>
                <w:lang w:val="en-US"/>
                <w14:textFill>
                  <w14:solidFill>
                    <w14:schemeClr w14:val="tx1">
                      <w14:alpha w14:val="100000"/>
                    </w14:schemeClr>
                  </w14:solidFill>
                </w14:textFill>
              </w:rPr>
              <w:t>|</w:t>
            </w:r>
            <w:r>
              <w:rPr>
                <w:color w:val="000000" w:themeColor="text1"/>
                <w:vertAlign w:val="superscript"/>
                <w:lang w:val="en-US"/>
              </w:rPr>
              <w:t>c</w:t>
            </w:r>
          </w:p>
        </w:tc>
        <w:tc>
          <w:tcPr>
            <w:tcW w:w="1198" w:type="pct"/>
            <w:shd w:val="clear" w:color="auto" w:fill="auto"/>
            <w:vAlign w:val="center"/>
          </w:tcPr>
          <w:p w14:paraId="3A325BBD" w14:textId="52882604" w:rsidR="00D41BD9" w:rsidRPr="00086E0A" w:rsidRDefault="00D41BD9" w:rsidP="00D41BD9">
            <w:pPr>
              <w:pStyle w:val="TableText0"/>
              <w:jc w:val="center"/>
              <w:rPr>
                <w:vertAlign w:val="superscript"/>
                <w:lang w:val="en-US"/>
              </w:rPr>
            </w:pPr>
            <w:r w:rsidRPr="00F71748">
              <w:rPr>
                <w:lang w:val="en-US"/>
              </w:rPr>
              <w:t>$</w:t>
            </w:r>
            <w:r w:rsidR="00414250" w:rsidRPr="00414250">
              <w:rPr>
                <w:color w:val="000000"/>
                <w:shd w:val="solid" w:color="000000" w:fill="000000"/>
                <w:lang w:val="en-US"/>
                <w14:textFill>
                  <w14:solidFill>
                    <w14:srgbClr w14:val="000000">
                      <w14:alpha w14:val="100000"/>
                    </w14:srgbClr>
                  </w14:solidFill>
                </w14:textFill>
              </w:rPr>
              <w:t>|</w:t>
            </w:r>
            <w:r>
              <w:rPr>
                <w:vertAlign w:val="superscript"/>
                <w:lang w:val="en-US"/>
              </w:rPr>
              <w:t>c</w:t>
            </w:r>
          </w:p>
        </w:tc>
        <w:tc>
          <w:tcPr>
            <w:tcW w:w="1201" w:type="pct"/>
            <w:shd w:val="clear" w:color="auto" w:fill="auto"/>
            <w:vAlign w:val="center"/>
          </w:tcPr>
          <w:p w14:paraId="38F6258C" w14:textId="3518F214" w:rsidR="00D41BD9" w:rsidRPr="00086E0A" w:rsidRDefault="00D41BD9" w:rsidP="00D41BD9">
            <w:pPr>
              <w:pStyle w:val="TableText0"/>
              <w:jc w:val="center"/>
              <w:rPr>
                <w:vertAlign w:val="superscript"/>
                <w:lang w:val="en-US"/>
              </w:rPr>
            </w:pPr>
            <w:r w:rsidRPr="00F71748">
              <w:rPr>
                <w:lang w:val="en-US"/>
              </w:rPr>
              <w:t>$</w:t>
            </w:r>
            <w:r w:rsidR="00414250" w:rsidRPr="00414250">
              <w:rPr>
                <w:color w:val="000000"/>
                <w:shd w:val="solid" w:color="000000" w:fill="000000"/>
                <w:lang w:val="en-US"/>
                <w14:textFill>
                  <w14:solidFill>
                    <w14:srgbClr w14:val="000000">
                      <w14:alpha w14:val="100000"/>
                    </w14:srgbClr>
                  </w14:solidFill>
                </w14:textFill>
              </w:rPr>
              <w:t>|</w:t>
            </w:r>
            <w:r>
              <w:rPr>
                <w:vertAlign w:val="superscript"/>
                <w:lang w:val="en-US"/>
              </w:rPr>
              <w:t>c</w:t>
            </w:r>
          </w:p>
        </w:tc>
      </w:tr>
      <w:tr w:rsidR="00D41BD9" w:rsidRPr="00E2771E" w14:paraId="56F6EA7D" w14:textId="77777777" w:rsidTr="00D41BD9">
        <w:trPr>
          <w:cantSplit/>
        </w:trPr>
        <w:tc>
          <w:tcPr>
            <w:tcW w:w="1402" w:type="pct"/>
            <w:shd w:val="clear" w:color="auto" w:fill="auto"/>
            <w:vAlign w:val="center"/>
          </w:tcPr>
          <w:p w14:paraId="06FF926A" w14:textId="77777777" w:rsidR="00D41BD9" w:rsidRDefault="00D41BD9" w:rsidP="00D41BD9">
            <w:pPr>
              <w:pStyle w:val="TableText0"/>
              <w:rPr>
                <w:lang w:val="en-US"/>
              </w:rPr>
            </w:pPr>
            <w:r>
              <w:rPr>
                <w:lang w:val="en-US"/>
              </w:rPr>
              <w:t>Number of scripts per year</w:t>
            </w:r>
          </w:p>
        </w:tc>
        <w:tc>
          <w:tcPr>
            <w:tcW w:w="1199" w:type="pct"/>
            <w:shd w:val="clear" w:color="auto" w:fill="auto"/>
            <w:vAlign w:val="center"/>
          </w:tcPr>
          <w:p w14:paraId="15A099B1" w14:textId="77777777" w:rsidR="00D41BD9" w:rsidRPr="00F71748" w:rsidRDefault="00D41BD9" w:rsidP="00D41BD9">
            <w:pPr>
              <w:pStyle w:val="TableText0"/>
              <w:jc w:val="center"/>
              <w:rPr>
                <w:color w:val="000000" w:themeColor="text1"/>
                <w:lang w:val="en-US"/>
              </w:rPr>
            </w:pPr>
            <w:r>
              <w:rPr>
                <w:color w:val="000000" w:themeColor="text1"/>
                <w:lang w:val="en-US"/>
              </w:rPr>
              <w:t>–</w:t>
            </w:r>
          </w:p>
        </w:tc>
        <w:tc>
          <w:tcPr>
            <w:tcW w:w="1198" w:type="pct"/>
            <w:shd w:val="clear" w:color="auto" w:fill="auto"/>
            <w:vAlign w:val="center"/>
          </w:tcPr>
          <w:p w14:paraId="284D8B8F" w14:textId="1B22B6FA" w:rsidR="00285D8A" w:rsidRPr="00285D8A" w:rsidRDefault="00285D8A" w:rsidP="00D41BD9">
            <w:pPr>
              <w:pStyle w:val="TableText0"/>
              <w:jc w:val="center"/>
              <w:rPr>
                <w:vertAlign w:val="superscript"/>
                <w:lang w:val="en-US"/>
              </w:rPr>
            </w:pPr>
            <w:r>
              <w:rPr>
                <w:lang w:val="en-US"/>
              </w:rPr>
              <w:t>12.87</w:t>
            </w:r>
            <w:r>
              <w:rPr>
                <w:vertAlign w:val="superscript"/>
                <w:lang w:val="en-US"/>
              </w:rPr>
              <w:t>d</w:t>
            </w:r>
          </w:p>
          <w:p w14:paraId="4D34E315" w14:textId="7CFDB5AF" w:rsidR="00D41BD9" w:rsidRPr="00285D8A" w:rsidRDefault="00285D8A" w:rsidP="00D41BD9">
            <w:pPr>
              <w:pStyle w:val="TableText0"/>
              <w:jc w:val="center"/>
              <w:rPr>
                <w:i/>
                <w:lang w:val="en-US"/>
              </w:rPr>
            </w:pPr>
            <w:r w:rsidRPr="00424AF9">
              <w:rPr>
                <w:lang w:val="en-US"/>
              </w:rPr>
              <w:t>(13</w:t>
            </w:r>
            <w:r w:rsidR="00D41BD9" w:rsidRPr="00424AF9">
              <w:rPr>
                <w:lang w:val="en-US"/>
              </w:rPr>
              <w:t>.04</w:t>
            </w:r>
            <w:r w:rsidRPr="00424AF9">
              <w:rPr>
                <w:vertAlign w:val="superscript"/>
                <w:lang w:val="en-US"/>
              </w:rPr>
              <w:t>e</w:t>
            </w:r>
            <w:r w:rsidRPr="00424AF9">
              <w:rPr>
                <w:lang w:val="en-US"/>
              </w:rPr>
              <w:t>)</w:t>
            </w:r>
          </w:p>
        </w:tc>
        <w:tc>
          <w:tcPr>
            <w:tcW w:w="1201" w:type="pct"/>
            <w:shd w:val="clear" w:color="auto" w:fill="auto"/>
            <w:vAlign w:val="center"/>
          </w:tcPr>
          <w:p w14:paraId="7A8C9AE8" w14:textId="7495092D" w:rsidR="00D41BD9" w:rsidRPr="00285D8A" w:rsidRDefault="00285D8A" w:rsidP="00D41BD9">
            <w:pPr>
              <w:pStyle w:val="TableText0"/>
              <w:jc w:val="center"/>
              <w:rPr>
                <w:vertAlign w:val="superscript"/>
                <w:lang w:val="en-US"/>
              </w:rPr>
            </w:pPr>
            <w:r>
              <w:rPr>
                <w:lang w:val="en-US"/>
              </w:rPr>
              <w:t>12.73</w:t>
            </w:r>
            <w:r>
              <w:rPr>
                <w:vertAlign w:val="superscript"/>
                <w:lang w:val="en-US"/>
              </w:rPr>
              <w:t>f</w:t>
            </w:r>
          </w:p>
          <w:p w14:paraId="00F876EC" w14:textId="6AFA9351" w:rsidR="00D41BD9" w:rsidRPr="00285D8A" w:rsidRDefault="00285D8A" w:rsidP="00D41BD9">
            <w:pPr>
              <w:pStyle w:val="TableText0"/>
              <w:jc w:val="center"/>
              <w:rPr>
                <w:i/>
                <w:lang w:val="en-US"/>
              </w:rPr>
            </w:pPr>
            <w:r w:rsidRPr="00424AF9">
              <w:rPr>
                <w:lang w:val="en-US"/>
              </w:rPr>
              <w:t>(</w:t>
            </w:r>
            <w:r w:rsidR="00D41BD9" w:rsidRPr="00424AF9">
              <w:rPr>
                <w:lang w:val="en-US"/>
              </w:rPr>
              <w:t>13.04</w:t>
            </w:r>
            <w:r w:rsidRPr="00424AF9">
              <w:rPr>
                <w:vertAlign w:val="superscript"/>
                <w:lang w:val="en-US"/>
              </w:rPr>
              <w:t>e</w:t>
            </w:r>
            <w:r w:rsidRPr="00424AF9">
              <w:rPr>
                <w:lang w:val="en-US"/>
              </w:rPr>
              <w:t>)</w:t>
            </w:r>
          </w:p>
        </w:tc>
      </w:tr>
      <w:tr w:rsidR="00D41BD9" w:rsidRPr="00E2771E" w14:paraId="0D60A076" w14:textId="77777777" w:rsidTr="00D41BD9">
        <w:trPr>
          <w:cantSplit/>
        </w:trPr>
        <w:tc>
          <w:tcPr>
            <w:tcW w:w="1402" w:type="pct"/>
            <w:shd w:val="clear" w:color="auto" w:fill="auto"/>
            <w:vAlign w:val="center"/>
          </w:tcPr>
          <w:p w14:paraId="475FB23F" w14:textId="62CB2A44" w:rsidR="00D41BD9" w:rsidRPr="00E2771E" w:rsidRDefault="00D41BD9" w:rsidP="00D41BD9">
            <w:pPr>
              <w:pStyle w:val="TableText0"/>
              <w:rPr>
                <w:lang w:val="en-US"/>
              </w:rPr>
            </w:pPr>
            <w:r>
              <w:rPr>
                <w:lang w:val="en-US"/>
              </w:rPr>
              <w:t>Cost/patient/year</w:t>
            </w:r>
          </w:p>
        </w:tc>
        <w:tc>
          <w:tcPr>
            <w:tcW w:w="1199" w:type="pct"/>
            <w:shd w:val="clear" w:color="auto" w:fill="auto"/>
            <w:vAlign w:val="center"/>
          </w:tcPr>
          <w:p w14:paraId="3D45E55E" w14:textId="48E8E3F6" w:rsidR="00D41BD9" w:rsidRPr="0014273B" w:rsidRDefault="00D41BD9" w:rsidP="00D41BD9">
            <w:pPr>
              <w:pStyle w:val="TableText0"/>
              <w:jc w:val="center"/>
              <w:rPr>
                <w:vertAlign w:val="superscript"/>
                <w:lang w:val="en-US"/>
              </w:rPr>
            </w:pPr>
            <w:r>
              <w:rPr>
                <w:color w:val="000000" w:themeColor="text1"/>
                <w:lang w:val="en-US"/>
              </w:rPr>
              <w:t>–</w:t>
            </w:r>
          </w:p>
        </w:tc>
        <w:tc>
          <w:tcPr>
            <w:tcW w:w="1198" w:type="pct"/>
            <w:shd w:val="clear" w:color="auto" w:fill="auto"/>
            <w:vAlign w:val="center"/>
          </w:tcPr>
          <w:p w14:paraId="3D7D0FC1" w14:textId="4E7B82AB" w:rsidR="00D41BD9" w:rsidRDefault="00D41BD9" w:rsidP="00D41BD9">
            <w:pPr>
              <w:pStyle w:val="TableText0"/>
              <w:jc w:val="center"/>
              <w:rPr>
                <w:vertAlign w:val="superscript"/>
                <w:lang w:val="en-US"/>
              </w:rPr>
            </w:pPr>
            <w:r>
              <w:rPr>
                <w:lang w:val="en-US"/>
              </w:rPr>
              <w:t>$</w:t>
            </w:r>
            <w:r w:rsidR="00414250" w:rsidRPr="00414250">
              <w:rPr>
                <w:color w:val="000000"/>
                <w:shd w:val="solid" w:color="000000" w:fill="000000"/>
                <w:lang w:val="en-US"/>
                <w14:textFill>
                  <w14:solidFill>
                    <w14:srgbClr w14:val="000000">
                      <w14:alpha w14:val="100000"/>
                    </w14:srgbClr>
                  </w14:solidFill>
                </w14:textFill>
              </w:rPr>
              <w:t>|</w:t>
            </w:r>
            <w:r w:rsidR="00285D8A">
              <w:rPr>
                <w:vertAlign w:val="superscript"/>
                <w:lang w:val="en-US"/>
              </w:rPr>
              <w:t>d</w:t>
            </w:r>
          </w:p>
          <w:p w14:paraId="01D23955" w14:textId="6163A6DE" w:rsidR="00D41BD9" w:rsidRPr="00394F83" w:rsidRDefault="00D41BD9" w:rsidP="00D41BD9">
            <w:pPr>
              <w:pStyle w:val="TableText0"/>
              <w:jc w:val="center"/>
              <w:rPr>
                <w:i/>
                <w:vertAlign w:val="superscript"/>
                <w:lang w:val="en-US"/>
              </w:rPr>
            </w:pPr>
            <w:r w:rsidRPr="00424AF9">
              <w:rPr>
                <w:lang w:val="en-US"/>
              </w:rPr>
              <w:t>($</w:t>
            </w:r>
            <w:r w:rsidR="00414250" w:rsidRPr="00414250">
              <w:rPr>
                <w:color w:val="000000"/>
                <w:shd w:val="solid" w:color="000000" w:fill="000000"/>
                <w:lang w:val="en-US"/>
                <w14:textFill>
                  <w14:solidFill>
                    <w14:srgbClr w14:val="000000">
                      <w14:alpha w14:val="100000"/>
                    </w14:srgbClr>
                  </w14:solidFill>
                </w14:textFill>
              </w:rPr>
              <w:t>|</w:t>
            </w:r>
            <w:r w:rsidRPr="00424AF9">
              <w:rPr>
                <w:vertAlign w:val="superscript"/>
                <w:lang w:val="en-US"/>
              </w:rPr>
              <w:t>e</w:t>
            </w:r>
            <w:r w:rsidRPr="00424AF9">
              <w:rPr>
                <w:lang w:val="en-US"/>
              </w:rPr>
              <w:t>)</w:t>
            </w:r>
          </w:p>
        </w:tc>
        <w:tc>
          <w:tcPr>
            <w:tcW w:w="1201" w:type="pct"/>
            <w:shd w:val="clear" w:color="auto" w:fill="auto"/>
            <w:vAlign w:val="center"/>
          </w:tcPr>
          <w:p w14:paraId="78EE19AA" w14:textId="61CDA223" w:rsidR="00D41BD9" w:rsidRDefault="00D41BD9" w:rsidP="00D41BD9">
            <w:pPr>
              <w:pStyle w:val="TableText0"/>
              <w:jc w:val="center"/>
              <w:rPr>
                <w:lang w:val="en-US"/>
              </w:rPr>
            </w:pPr>
            <w:r>
              <w:rPr>
                <w:lang w:val="en-US"/>
              </w:rPr>
              <w:t>$</w:t>
            </w:r>
            <w:r w:rsidR="00414250" w:rsidRPr="00414250">
              <w:rPr>
                <w:color w:val="000000"/>
                <w:shd w:val="solid" w:color="000000" w:fill="000000"/>
                <w:lang w:val="en-US"/>
                <w14:textFill>
                  <w14:solidFill>
                    <w14:srgbClr w14:val="000000">
                      <w14:alpha w14:val="100000"/>
                    </w14:srgbClr>
                  </w14:solidFill>
                </w14:textFill>
              </w:rPr>
              <w:t>|</w:t>
            </w:r>
            <w:r>
              <w:rPr>
                <w:vertAlign w:val="superscript"/>
                <w:lang w:val="en-US"/>
              </w:rPr>
              <w:t>f</w:t>
            </w:r>
          </w:p>
          <w:p w14:paraId="615B79E8" w14:textId="3B299ED0" w:rsidR="00D41BD9" w:rsidRPr="00E2771E" w:rsidRDefault="00D41BD9" w:rsidP="00D41BD9">
            <w:pPr>
              <w:pStyle w:val="TableText0"/>
              <w:jc w:val="center"/>
              <w:rPr>
                <w:lang w:val="en-US"/>
              </w:rPr>
            </w:pPr>
            <w:r w:rsidRPr="00424AF9">
              <w:rPr>
                <w:lang w:val="en-US"/>
              </w:rPr>
              <w:t>($</w:t>
            </w:r>
            <w:r w:rsidR="00414250" w:rsidRPr="00414250">
              <w:rPr>
                <w:color w:val="000000"/>
                <w:shd w:val="solid" w:color="000000" w:fill="000000"/>
                <w:lang w:val="en-US"/>
                <w14:textFill>
                  <w14:solidFill>
                    <w14:srgbClr w14:val="000000">
                      <w14:alpha w14:val="100000"/>
                    </w14:srgbClr>
                  </w14:solidFill>
                </w14:textFill>
              </w:rPr>
              <w:t>|</w:t>
            </w:r>
            <w:r w:rsidR="00285D8A" w:rsidRPr="00424AF9">
              <w:rPr>
                <w:vertAlign w:val="superscript"/>
                <w:lang w:val="en-US"/>
              </w:rPr>
              <w:t>e</w:t>
            </w:r>
            <w:r w:rsidRPr="00424AF9">
              <w:rPr>
                <w:lang w:val="en-US"/>
              </w:rPr>
              <w:t>)</w:t>
            </w:r>
          </w:p>
        </w:tc>
      </w:tr>
      <w:tr w:rsidR="00D41BD9" w:rsidRPr="00E2771E" w14:paraId="1C771AB8" w14:textId="77777777" w:rsidTr="00D41BD9">
        <w:trPr>
          <w:cantSplit/>
        </w:trPr>
        <w:tc>
          <w:tcPr>
            <w:tcW w:w="1402" w:type="pct"/>
            <w:shd w:val="clear" w:color="auto" w:fill="auto"/>
            <w:vAlign w:val="center"/>
          </w:tcPr>
          <w:p w14:paraId="4EF886EA" w14:textId="77777777" w:rsidR="00D41BD9" w:rsidRPr="00467A27" w:rsidRDefault="00D41BD9" w:rsidP="00D41BD9">
            <w:pPr>
              <w:pStyle w:val="TableText0"/>
              <w:rPr>
                <w:vertAlign w:val="superscript"/>
                <w:lang w:val="en-US"/>
              </w:rPr>
            </w:pPr>
            <w:r>
              <w:rPr>
                <w:lang w:val="en-US"/>
              </w:rPr>
              <w:t>Proportion of patients on treatment</w:t>
            </w:r>
          </w:p>
        </w:tc>
        <w:tc>
          <w:tcPr>
            <w:tcW w:w="1199" w:type="pct"/>
            <w:shd w:val="clear" w:color="auto" w:fill="auto"/>
            <w:vAlign w:val="center"/>
          </w:tcPr>
          <w:p w14:paraId="2F5C93C1" w14:textId="77777777" w:rsidR="00D41BD9" w:rsidDel="00F71748" w:rsidRDefault="00D41BD9" w:rsidP="00D41BD9">
            <w:pPr>
              <w:pStyle w:val="TableText0"/>
              <w:jc w:val="center"/>
              <w:rPr>
                <w:lang w:val="en-US"/>
              </w:rPr>
            </w:pPr>
            <w:r w:rsidRPr="002763D9">
              <w:rPr>
                <w:lang w:val="en-US"/>
              </w:rPr>
              <w:t xml:space="preserve">At 30 </w:t>
            </w:r>
            <w:r>
              <w:rPr>
                <w:lang w:val="en-US"/>
              </w:rPr>
              <w:t>week</w:t>
            </w:r>
            <w:r w:rsidRPr="002763D9">
              <w:rPr>
                <w:lang w:val="en-US"/>
              </w:rPr>
              <w:t xml:space="preserve">s, </w:t>
            </w:r>
            <w:r>
              <w:rPr>
                <w:lang w:val="en-US"/>
              </w:rPr>
              <w:t>3.3</w:t>
            </w:r>
            <w:r w:rsidRPr="002763D9">
              <w:rPr>
                <w:lang w:val="en-US"/>
              </w:rPr>
              <w:t xml:space="preserve">% of patients in the </w:t>
            </w:r>
            <w:r>
              <w:rPr>
                <w:lang w:val="en-US"/>
              </w:rPr>
              <w:t>mavacamten</w:t>
            </w:r>
            <w:r w:rsidRPr="002763D9">
              <w:rPr>
                <w:lang w:val="en-US"/>
              </w:rPr>
              <w:t xml:space="preserve"> arm of the </w:t>
            </w:r>
            <w:r>
              <w:rPr>
                <w:lang w:val="en-US"/>
              </w:rPr>
              <w:t>EXPLORER-HCM</w:t>
            </w:r>
            <w:r w:rsidRPr="002763D9">
              <w:rPr>
                <w:lang w:val="en-US"/>
              </w:rPr>
              <w:t xml:space="preserve"> trial had discontinued</w:t>
            </w:r>
            <w:r>
              <w:rPr>
                <w:lang w:val="en-US"/>
              </w:rPr>
              <w:t xml:space="preserve"> treatment</w:t>
            </w:r>
          </w:p>
        </w:tc>
        <w:tc>
          <w:tcPr>
            <w:tcW w:w="1198" w:type="pct"/>
            <w:shd w:val="clear" w:color="auto" w:fill="auto"/>
            <w:vAlign w:val="center"/>
          </w:tcPr>
          <w:p w14:paraId="0D9D174D" w14:textId="77777777" w:rsidR="00D41BD9" w:rsidRPr="006638E9" w:rsidRDefault="00D41BD9" w:rsidP="00D41BD9">
            <w:pPr>
              <w:pStyle w:val="TableText0"/>
              <w:jc w:val="center"/>
              <w:rPr>
                <w:vertAlign w:val="superscript"/>
                <w:lang w:val="en-US"/>
              </w:rPr>
            </w:pPr>
            <w:r>
              <w:rPr>
                <w:lang w:val="en-US"/>
              </w:rPr>
              <w:t>Year 1: 100%</w:t>
            </w:r>
            <w:r>
              <w:rPr>
                <w:vertAlign w:val="superscript"/>
                <w:lang w:val="en-US"/>
              </w:rPr>
              <w:t>g</w:t>
            </w:r>
          </w:p>
          <w:p w14:paraId="5E93A3B0" w14:textId="77777777" w:rsidR="00D41BD9" w:rsidRPr="006638E9" w:rsidRDefault="00D41BD9" w:rsidP="00D41BD9">
            <w:pPr>
              <w:pStyle w:val="TableText0"/>
              <w:jc w:val="center"/>
              <w:rPr>
                <w:vertAlign w:val="superscript"/>
                <w:lang w:val="en-US"/>
              </w:rPr>
            </w:pPr>
            <w:r>
              <w:rPr>
                <w:lang w:val="en-US"/>
              </w:rPr>
              <w:t>Year 2: 63.6%</w:t>
            </w:r>
          </w:p>
          <w:p w14:paraId="60FB720C" w14:textId="77777777" w:rsidR="00D41BD9" w:rsidRDefault="00D41BD9" w:rsidP="00D41BD9">
            <w:pPr>
              <w:pStyle w:val="TableText0"/>
              <w:jc w:val="center"/>
              <w:rPr>
                <w:lang w:val="en-US"/>
              </w:rPr>
            </w:pPr>
            <w:r>
              <w:rPr>
                <w:lang w:val="en-US"/>
              </w:rPr>
              <w:t>Year 3: 60.0%</w:t>
            </w:r>
          </w:p>
          <w:p w14:paraId="295331C5" w14:textId="77777777" w:rsidR="00D41BD9" w:rsidRDefault="00D41BD9" w:rsidP="00D41BD9">
            <w:pPr>
              <w:pStyle w:val="TableText0"/>
              <w:jc w:val="center"/>
              <w:rPr>
                <w:lang w:val="en-US"/>
              </w:rPr>
            </w:pPr>
            <w:r>
              <w:rPr>
                <w:lang w:val="en-US"/>
              </w:rPr>
              <w:t>Year 4: 56.6%</w:t>
            </w:r>
          </w:p>
          <w:p w14:paraId="77A90C42" w14:textId="77777777" w:rsidR="00D41BD9" w:rsidRDefault="00D41BD9" w:rsidP="00D41BD9">
            <w:pPr>
              <w:pStyle w:val="TableText0"/>
              <w:jc w:val="center"/>
              <w:rPr>
                <w:lang w:val="en-US"/>
              </w:rPr>
            </w:pPr>
            <w:r>
              <w:rPr>
                <w:lang w:val="en-US"/>
              </w:rPr>
              <w:t>Year 5: 53.3%</w:t>
            </w:r>
          </w:p>
          <w:p w14:paraId="2B483AEF" w14:textId="77777777" w:rsidR="00D41BD9" w:rsidDel="00086E0A" w:rsidRDefault="00D41BD9" w:rsidP="00D41BD9">
            <w:pPr>
              <w:pStyle w:val="TableText0"/>
              <w:jc w:val="center"/>
              <w:rPr>
                <w:lang w:val="en-US"/>
              </w:rPr>
            </w:pPr>
            <w:r>
              <w:rPr>
                <w:lang w:val="en-US"/>
              </w:rPr>
              <w:t>Year 6: 50.2%</w:t>
            </w:r>
          </w:p>
        </w:tc>
        <w:tc>
          <w:tcPr>
            <w:tcW w:w="1201" w:type="pct"/>
            <w:shd w:val="clear" w:color="auto" w:fill="auto"/>
            <w:vAlign w:val="center"/>
          </w:tcPr>
          <w:p w14:paraId="0D09BF84" w14:textId="77777777" w:rsidR="00D41BD9" w:rsidRPr="006638E9" w:rsidRDefault="00D41BD9" w:rsidP="00D41BD9">
            <w:pPr>
              <w:pStyle w:val="TableText0"/>
              <w:jc w:val="center"/>
              <w:rPr>
                <w:vertAlign w:val="superscript"/>
                <w:lang w:val="en-US"/>
              </w:rPr>
            </w:pPr>
            <w:r>
              <w:rPr>
                <w:lang w:val="en-US"/>
              </w:rPr>
              <w:t>Year 1: 100%</w:t>
            </w:r>
            <w:r>
              <w:rPr>
                <w:vertAlign w:val="superscript"/>
                <w:lang w:val="en-US"/>
              </w:rPr>
              <w:t>h</w:t>
            </w:r>
          </w:p>
          <w:p w14:paraId="4A04D284" w14:textId="77777777" w:rsidR="00D41BD9" w:rsidRPr="00467A27" w:rsidRDefault="00D41BD9" w:rsidP="00D41BD9">
            <w:pPr>
              <w:pStyle w:val="TableText0"/>
              <w:jc w:val="center"/>
              <w:rPr>
                <w:vertAlign w:val="superscript"/>
                <w:lang w:val="en-US"/>
              </w:rPr>
            </w:pPr>
            <w:r>
              <w:rPr>
                <w:lang w:val="en-US"/>
              </w:rPr>
              <w:t>Year 2: 66.1%</w:t>
            </w:r>
          </w:p>
          <w:p w14:paraId="360CE832" w14:textId="77777777" w:rsidR="00D41BD9" w:rsidRDefault="00D41BD9" w:rsidP="00D41BD9">
            <w:pPr>
              <w:pStyle w:val="TableText0"/>
              <w:jc w:val="center"/>
              <w:rPr>
                <w:lang w:val="en-US"/>
              </w:rPr>
            </w:pPr>
            <w:r>
              <w:rPr>
                <w:lang w:val="en-US"/>
              </w:rPr>
              <w:t>Year 3: 62.1%</w:t>
            </w:r>
          </w:p>
          <w:p w14:paraId="2834A2A1" w14:textId="77777777" w:rsidR="00D41BD9" w:rsidRDefault="00D41BD9" w:rsidP="00D41BD9">
            <w:pPr>
              <w:pStyle w:val="TableText0"/>
              <w:jc w:val="center"/>
              <w:rPr>
                <w:lang w:val="en-US"/>
              </w:rPr>
            </w:pPr>
            <w:r>
              <w:rPr>
                <w:lang w:val="en-US"/>
              </w:rPr>
              <w:t>Year 4: 58.3%</w:t>
            </w:r>
          </w:p>
          <w:p w14:paraId="064FB383" w14:textId="77777777" w:rsidR="00D41BD9" w:rsidRDefault="00D41BD9" w:rsidP="00D41BD9">
            <w:pPr>
              <w:pStyle w:val="TableText0"/>
              <w:jc w:val="center"/>
              <w:rPr>
                <w:lang w:val="en-US"/>
              </w:rPr>
            </w:pPr>
            <w:r>
              <w:rPr>
                <w:lang w:val="en-US"/>
              </w:rPr>
              <w:t>Year 5: 54.8%</w:t>
            </w:r>
          </w:p>
          <w:p w14:paraId="3AA664D5" w14:textId="77777777" w:rsidR="00D41BD9" w:rsidDel="00BC3B0C" w:rsidRDefault="00D41BD9" w:rsidP="00D41BD9">
            <w:pPr>
              <w:pStyle w:val="TableText0"/>
              <w:jc w:val="center"/>
              <w:rPr>
                <w:lang w:val="en-US"/>
              </w:rPr>
            </w:pPr>
            <w:r>
              <w:rPr>
                <w:lang w:val="en-US"/>
              </w:rPr>
              <w:t>Year 6: 51.5%</w:t>
            </w:r>
          </w:p>
        </w:tc>
      </w:tr>
    </w:tbl>
    <w:p w14:paraId="45F2D499" w14:textId="77777777" w:rsidR="00D41BD9" w:rsidRDefault="00D41BD9" w:rsidP="00D41BD9">
      <w:pPr>
        <w:pStyle w:val="FooterTableFigure"/>
      </w:pPr>
      <w:r w:rsidRPr="007F1017">
        <w:t xml:space="preserve">Source: </w:t>
      </w:r>
      <w:r w:rsidRPr="00424AF9">
        <w:t xml:space="preserve">Table constructed during the evaluation, </w:t>
      </w:r>
      <w:r>
        <w:t>based on Table 9, p37 and Table 29, p70 of the submission; the “</w:t>
      </w:r>
      <w:r w:rsidRPr="00511C82">
        <w:t>Mavacamten oHCM Economic Evaluation</w:t>
      </w:r>
      <w:r>
        <w:t>” Excel workbook; and the “</w:t>
      </w:r>
      <w:r w:rsidRPr="00511C82">
        <w:t>Mavacamten-obstructive HCM-Utilisation and Cost Model</w:t>
      </w:r>
      <w:r>
        <w:t xml:space="preserve">” Excel workbook </w:t>
      </w:r>
    </w:p>
    <w:p w14:paraId="0FD2DE88" w14:textId="77777777" w:rsidR="00D41BD9" w:rsidRDefault="00D41BD9" w:rsidP="00D41BD9">
      <w:pPr>
        <w:pStyle w:val="FooterTableFigure"/>
      </w:pPr>
      <w:r>
        <w:rPr>
          <w:vertAlign w:val="superscript"/>
        </w:rPr>
        <w:t xml:space="preserve">a </w:t>
      </w:r>
      <w:r>
        <w:t>Sourced from Table 14.1.12.1 in Attachment 12 – EXPLORER-HCM Tables &amp; Figures</w:t>
      </w:r>
    </w:p>
    <w:p w14:paraId="27AFBEEE" w14:textId="77777777" w:rsidR="00D41BD9" w:rsidRDefault="00D41BD9" w:rsidP="00D41BD9">
      <w:pPr>
        <w:pStyle w:val="FooterTableFigure"/>
      </w:pPr>
      <w:r>
        <w:rPr>
          <w:vertAlign w:val="superscript"/>
        </w:rPr>
        <w:t xml:space="preserve">b </w:t>
      </w:r>
      <w:r>
        <w:t>The submission proposed flat pricing for mavacamten. The daily dose of mavacamten does not affect the drug price as patients will take one mavacamten capsule per day regardless.</w:t>
      </w:r>
    </w:p>
    <w:p w14:paraId="1C3C7ACB" w14:textId="77777777" w:rsidR="00D41BD9" w:rsidRPr="00F71748" w:rsidRDefault="00D41BD9" w:rsidP="00D41BD9">
      <w:pPr>
        <w:pStyle w:val="FooterTableFigure"/>
      </w:pPr>
      <w:r>
        <w:rPr>
          <w:vertAlign w:val="superscript"/>
        </w:rPr>
        <w:t xml:space="preserve">c </w:t>
      </w:r>
      <w:r>
        <w:t>Dispensed price using the updated PBS fees and mark-up as in July 2022.</w:t>
      </w:r>
    </w:p>
    <w:p w14:paraId="735CE22B" w14:textId="5B01DE50" w:rsidR="00DB3935" w:rsidRDefault="00D41BD9" w:rsidP="00D41BD9">
      <w:pPr>
        <w:pStyle w:val="FooterTableFigure"/>
      </w:pPr>
      <w:r>
        <w:rPr>
          <w:vertAlign w:val="superscript"/>
        </w:rPr>
        <w:t xml:space="preserve">d </w:t>
      </w:r>
      <w:r w:rsidR="00DB3935">
        <w:t>1</w:t>
      </w:r>
      <w:r w:rsidR="00285D8A" w:rsidRPr="00DB3935">
        <w:t>2</w:t>
      </w:r>
      <w:r w:rsidR="00285D8A">
        <w:t xml:space="preserve">.87=365.25/28*98.64%. </w:t>
      </w:r>
      <w:r>
        <w:t xml:space="preserve">The submission’s economic evaluation assumed that 1.36% of patients did not receive any dose of mavacamten. The submission stated that </w:t>
      </w:r>
      <w:r w:rsidRPr="0014273B">
        <w:t xml:space="preserve">98.64% of patients </w:t>
      </w:r>
      <w:r>
        <w:t xml:space="preserve">in the trial </w:t>
      </w:r>
      <w:r w:rsidRPr="0014273B">
        <w:t>did not miss any doses</w:t>
      </w:r>
      <w:r>
        <w:t xml:space="preserve"> (p211); however, the number of pills missed in the remaining 1.36% trial subjects was not reported. </w:t>
      </w:r>
    </w:p>
    <w:p w14:paraId="1E2A3D22" w14:textId="1B565015" w:rsidR="00D41BD9" w:rsidRDefault="00DB3935" w:rsidP="00D41BD9">
      <w:pPr>
        <w:pStyle w:val="FooterTableFigure"/>
      </w:pPr>
      <w:r w:rsidRPr="00424AF9">
        <w:rPr>
          <w:vertAlign w:val="superscript"/>
        </w:rPr>
        <w:t xml:space="preserve">e </w:t>
      </w:r>
      <w:r w:rsidR="00D41BD9" w:rsidRPr="00424AF9">
        <w:t xml:space="preserve">The revised </w:t>
      </w:r>
      <w:r w:rsidRPr="00424AF9">
        <w:t xml:space="preserve">number of scripts and </w:t>
      </w:r>
      <w:r w:rsidR="00D41BD9" w:rsidRPr="00424AF9">
        <w:t>drug cost w</w:t>
      </w:r>
      <w:r w:rsidRPr="00424AF9">
        <w:t>ere</w:t>
      </w:r>
      <w:r w:rsidR="00D41BD9" w:rsidRPr="00424AF9">
        <w:t xml:space="preserve"> calculated by assuming 100% compliance rate. </w:t>
      </w:r>
      <w:r w:rsidR="002F02B9" w:rsidRPr="00424AF9">
        <w:t>13.04=365.25/28.</w:t>
      </w:r>
    </w:p>
    <w:p w14:paraId="4E54B9CB" w14:textId="019AB809" w:rsidR="00D41BD9" w:rsidRDefault="00D41BD9" w:rsidP="00DB3935">
      <w:pPr>
        <w:pStyle w:val="FooterTableFigure"/>
      </w:pPr>
      <w:r w:rsidRPr="00A80EC1">
        <w:rPr>
          <w:vertAlign w:val="superscript"/>
        </w:rPr>
        <w:t>f</w:t>
      </w:r>
      <w:r w:rsidRPr="00AA55A9">
        <w:t xml:space="preserve"> </w:t>
      </w:r>
      <w:r w:rsidR="00DB3935">
        <w:t xml:space="preserve">12.73=365.25/28*97.56%. </w:t>
      </w:r>
      <w:r>
        <w:t>The submission’s financial analysis assumed that 2.44% of patients did not receive any dose of mavacamten. The submission stated that 97.56</w:t>
      </w:r>
      <w:r w:rsidRPr="00AA55A9">
        <w:t xml:space="preserve">% of patients in the trial did not </w:t>
      </w:r>
      <w:r>
        <w:t>reach 80% of targeted dose (p234</w:t>
      </w:r>
      <w:r w:rsidRPr="00AA55A9">
        <w:t>)</w:t>
      </w:r>
      <w:r>
        <w:t>; however, t</w:t>
      </w:r>
      <w:r w:rsidRPr="00AA55A9">
        <w:t xml:space="preserve">he number of </w:t>
      </w:r>
      <w:r>
        <w:t>cumulative doses in the remaining 2.4</w:t>
      </w:r>
      <w:r w:rsidRPr="00AA55A9">
        <w:t>4% trial subjects was not reported.</w:t>
      </w:r>
      <w:r>
        <w:t xml:space="preserve"> </w:t>
      </w:r>
    </w:p>
    <w:p w14:paraId="236875CB" w14:textId="77777777" w:rsidR="00D41BD9" w:rsidRDefault="00D41BD9" w:rsidP="00D41BD9">
      <w:pPr>
        <w:pStyle w:val="FooterTableFigure"/>
      </w:pPr>
      <w:r w:rsidRPr="00467A27">
        <w:rPr>
          <w:vertAlign w:val="superscript"/>
        </w:rPr>
        <w:t>g</w:t>
      </w:r>
      <w:r>
        <w:rPr>
          <w:vertAlign w:val="superscript"/>
        </w:rPr>
        <w:t xml:space="preserve"> </w:t>
      </w:r>
      <w:r w:rsidRPr="00467A27">
        <w:t xml:space="preserve">Proportions of patients alive and on treatment at the start of each year </w:t>
      </w:r>
      <w:r>
        <w:t xml:space="preserve">sourced </w:t>
      </w:r>
      <w:r w:rsidRPr="00467A27">
        <w:t xml:space="preserve">from the economic model. </w:t>
      </w:r>
    </w:p>
    <w:p w14:paraId="705E5D78" w14:textId="310A865C" w:rsidR="00A9788D" w:rsidRPr="006638E9" w:rsidRDefault="00D41BD9" w:rsidP="00D41BD9">
      <w:pPr>
        <w:pStyle w:val="FooterTableFigure"/>
      </w:pPr>
      <w:r>
        <w:rPr>
          <w:vertAlign w:val="superscript"/>
        </w:rPr>
        <w:t xml:space="preserve">h </w:t>
      </w:r>
      <w:r>
        <w:t>Proportion of patients on treatment at the start of each year. The submission stated that 33.90% of patients did not achieve a New York Heart Association (NYHA) class improvement at Week 30 in EXPLORER-HCM. It was assumed that these patients would discontinue treatment, and therefore in each year, for new initiating patients, the persistence rate was calculated as 66.1% (100%-33.90%). In Year 2 and beyond, the applied persistence rate was 93.94% (in patients on treatment in the previous treatment year), based on data from the EXPLORER-LTE cohort of the MAVA-LTE study.</w:t>
      </w:r>
    </w:p>
    <w:p w14:paraId="268768EF" w14:textId="01AC7F43" w:rsidR="00B60939" w:rsidRPr="00C9624D" w:rsidRDefault="00B60939" w:rsidP="00A9788D">
      <w:pPr>
        <w:pStyle w:val="4-SubsectionHeading"/>
      </w:pPr>
      <w:bookmarkStart w:id="57" w:name="_Toc113979747"/>
      <w:bookmarkEnd w:id="42"/>
      <w:r w:rsidRPr="00C9624D">
        <w:t>Estimated PBS usage &amp; financial implications</w:t>
      </w:r>
      <w:bookmarkEnd w:id="43"/>
      <w:bookmarkEnd w:id="57"/>
    </w:p>
    <w:p w14:paraId="5C6BE536" w14:textId="3B1B153E" w:rsidR="001E546F" w:rsidRPr="00E635F8" w:rsidRDefault="001E546F" w:rsidP="001E546F">
      <w:pPr>
        <w:pStyle w:val="3-BodyText"/>
      </w:pPr>
      <w:bookmarkStart w:id="58" w:name="_Toc22897648"/>
      <w:bookmarkStart w:id="59" w:name="_Toc113979748"/>
      <w:bookmarkStart w:id="60" w:name="_Toc22897650"/>
      <w:r>
        <w:t>This submission was considered by DUSC</w:t>
      </w:r>
      <w:r w:rsidRPr="00F86D41">
        <w:t xml:space="preserve">. </w:t>
      </w:r>
    </w:p>
    <w:p w14:paraId="3245303F" w14:textId="464C0D58" w:rsidR="001E546F" w:rsidRPr="00E635F8" w:rsidRDefault="001E546F" w:rsidP="001E546F">
      <w:pPr>
        <w:pStyle w:val="3-BodyText"/>
      </w:pPr>
      <w:r w:rsidRPr="00E635F8">
        <w:t xml:space="preserve">The submission presented an epidemiological approach to estimate the use and financial implications of the proposed listing of mavacamten. The key inputs for the financial estimates and their data sources are summarised in </w:t>
      </w:r>
      <w:r w:rsidRPr="00E635F8">
        <w:fldChar w:fldCharType="begin"/>
      </w:r>
      <w:r w:rsidRPr="00E635F8">
        <w:instrText xml:space="preserve"> REF _Ref104805262 \h </w:instrText>
      </w:r>
      <w:r w:rsidRPr="00E635F8">
        <w:fldChar w:fldCharType="separate"/>
      </w:r>
      <w:r w:rsidR="00645E50">
        <w:t xml:space="preserve">Table </w:t>
      </w:r>
      <w:r w:rsidR="00645E50">
        <w:rPr>
          <w:noProof/>
        </w:rPr>
        <w:t>23</w:t>
      </w:r>
      <w:r w:rsidRPr="00E635F8">
        <w:fldChar w:fldCharType="end"/>
      </w:r>
      <w:r w:rsidRPr="00E635F8">
        <w:t>.</w:t>
      </w:r>
    </w:p>
    <w:p w14:paraId="23589C62" w14:textId="740D27E9" w:rsidR="001E546F" w:rsidRPr="007925DF" w:rsidRDefault="001E546F" w:rsidP="001E546F">
      <w:pPr>
        <w:pStyle w:val="Caption"/>
        <w:rPr>
          <w:rStyle w:val="CommentReference"/>
          <w:b/>
          <w:szCs w:val="24"/>
        </w:rPr>
      </w:pPr>
      <w:bookmarkStart w:id="61" w:name="_Ref104805262"/>
      <w:r>
        <w:lastRenderedPageBreak/>
        <w:t xml:space="preserve">Table </w:t>
      </w:r>
      <w:r w:rsidR="00645E50">
        <w:fldChar w:fldCharType="begin"/>
      </w:r>
      <w:r w:rsidR="00645E50">
        <w:instrText xml:space="preserve"> SEQ Table \* ARABIC </w:instrText>
      </w:r>
      <w:r w:rsidR="00645E50">
        <w:fldChar w:fldCharType="separate"/>
      </w:r>
      <w:r w:rsidR="00645E50">
        <w:rPr>
          <w:noProof/>
        </w:rPr>
        <w:t>23</w:t>
      </w:r>
      <w:r w:rsidR="00645E50">
        <w:rPr>
          <w:noProof/>
        </w:rPr>
        <w:fldChar w:fldCharType="end"/>
      </w:r>
      <w:bookmarkEnd w:id="61"/>
      <w:r>
        <w:t>:</w:t>
      </w:r>
      <w:r w:rsidRPr="007925DF">
        <w:rPr>
          <w:rStyle w:val="CommentReference"/>
          <w:b/>
          <w:szCs w:val="24"/>
        </w:rPr>
        <w:t xml:space="preserve"> Key inputs for financial estimates</w:t>
      </w:r>
    </w:p>
    <w:tbl>
      <w:tblPr>
        <w:tblW w:w="49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698"/>
        <w:gridCol w:w="2913"/>
        <w:gridCol w:w="2497"/>
      </w:tblGrid>
      <w:tr w:rsidR="001E546F" w:rsidRPr="00662FB3" w14:paraId="5A459217" w14:textId="77777777" w:rsidTr="004A78D6">
        <w:trPr>
          <w:tblHeader/>
        </w:trPr>
        <w:tc>
          <w:tcPr>
            <w:tcW w:w="1813" w:type="dxa"/>
            <w:vAlign w:val="center"/>
          </w:tcPr>
          <w:p w14:paraId="1974179F" w14:textId="77777777" w:rsidR="001E546F" w:rsidRPr="00662FB3" w:rsidRDefault="001E546F" w:rsidP="004A78D6">
            <w:pPr>
              <w:pStyle w:val="In-tableHeading"/>
              <w:jc w:val="center"/>
            </w:pPr>
            <w:r w:rsidRPr="00662FB3">
              <w:t>Data</w:t>
            </w:r>
          </w:p>
        </w:tc>
        <w:tc>
          <w:tcPr>
            <w:tcW w:w="1698" w:type="dxa"/>
            <w:vAlign w:val="center"/>
          </w:tcPr>
          <w:p w14:paraId="15BAF532" w14:textId="77777777" w:rsidR="001E546F" w:rsidRPr="00662FB3" w:rsidRDefault="001E546F" w:rsidP="004A78D6">
            <w:pPr>
              <w:pStyle w:val="In-tableHeading"/>
              <w:jc w:val="center"/>
            </w:pPr>
            <w:r w:rsidRPr="00662FB3">
              <w:t>Value</w:t>
            </w:r>
          </w:p>
        </w:tc>
        <w:tc>
          <w:tcPr>
            <w:tcW w:w="2913" w:type="dxa"/>
            <w:vAlign w:val="center"/>
          </w:tcPr>
          <w:p w14:paraId="405D4F1D" w14:textId="77777777" w:rsidR="001E546F" w:rsidRPr="00662FB3" w:rsidRDefault="001E546F" w:rsidP="004A78D6">
            <w:pPr>
              <w:pStyle w:val="In-tableHeading"/>
              <w:jc w:val="center"/>
            </w:pPr>
            <w:r w:rsidRPr="00662FB3">
              <w:t>Source</w:t>
            </w:r>
          </w:p>
        </w:tc>
        <w:tc>
          <w:tcPr>
            <w:tcW w:w="2497" w:type="dxa"/>
            <w:vAlign w:val="center"/>
          </w:tcPr>
          <w:p w14:paraId="56B0DE1B" w14:textId="77777777" w:rsidR="001E546F" w:rsidRPr="00662FB3" w:rsidRDefault="001E546F" w:rsidP="004A78D6">
            <w:pPr>
              <w:pStyle w:val="In-tableHeading"/>
              <w:jc w:val="center"/>
            </w:pPr>
            <w:r w:rsidRPr="00662FB3">
              <w:t>Comment</w:t>
            </w:r>
          </w:p>
        </w:tc>
      </w:tr>
      <w:tr w:rsidR="001E546F" w:rsidRPr="00662FB3" w14:paraId="090A52CF" w14:textId="77777777" w:rsidTr="004A78D6">
        <w:tc>
          <w:tcPr>
            <w:tcW w:w="8921" w:type="dxa"/>
            <w:gridSpan w:val="4"/>
            <w:vAlign w:val="center"/>
          </w:tcPr>
          <w:p w14:paraId="3A0265DB" w14:textId="77777777" w:rsidR="001E546F" w:rsidRPr="00662FB3" w:rsidRDefault="001E546F" w:rsidP="004A78D6">
            <w:pPr>
              <w:pStyle w:val="In-tableHeading"/>
            </w:pPr>
            <w:r w:rsidRPr="00662FB3">
              <w:t>Eligible population</w:t>
            </w:r>
          </w:p>
        </w:tc>
      </w:tr>
      <w:tr w:rsidR="001E546F" w:rsidRPr="00662FB3" w14:paraId="52179CFC" w14:textId="77777777" w:rsidTr="004A78D6">
        <w:tc>
          <w:tcPr>
            <w:tcW w:w="1813" w:type="dxa"/>
            <w:vAlign w:val="center"/>
          </w:tcPr>
          <w:p w14:paraId="6C179747" w14:textId="77777777" w:rsidR="001E546F" w:rsidRPr="00662FB3" w:rsidRDefault="001E546F" w:rsidP="004A78D6">
            <w:pPr>
              <w:pStyle w:val="TableText0"/>
            </w:pPr>
            <w:r w:rsidRPr="00662FB3">
              <w:t>Prevalent HCM population</w:t>
            </w:r>
          </w:p>
          <w:p w14:paraId="601374F4" w14:textId="77777777" w:rsidR="001E546F" w:rsidRPr="00662FB3" w:rsidRDefault="001E546F" w:rsidP="004A78D6">
            <w:pPr>
              <w:pStyle w:val="TableText0"/>
            </w:pPr>
          </w:p>
        </w:tc>
        <w:tc>
          <w:tcPr>
            <w:tcW w:w="1698" w:type="dxa"/>
            <w:vAlign w:val="center"/>
          </w:tcPr>
          <w:p w14:paraId="657A9FB6" w14:textId="77777777" w:rsidR="001E546F" w:rsidRPr="00662FB3" w:rsidRDefault="001E546F" w:rsidP="004A78D6">
            <w:pPr>
              <w:pStyle w:val="TableText0"/>
            </w:pPr>
            <w:r w:rsidRPr="00662FB3">
              <w:t>1 in 350 persons</w:t>
            </w:r>
          </w:p>
          <w:p w14:paraId="2C4DF89D" w14:textId="77777777" w:rsidR="001E546F" w:rsidRPr="00662FB3" w:rsidRDefault="001E546F" w:rsidP="004A78D6">
            <w:pPr>
              <w:pStyle w:val="TableText0"/>
            </w:pPr>
            <w:r w:rsidRPr="00662FB3">
              <w:t>Increasing from 60,236 in Year 1 to  64,898 in Year 6</w:t>
            </w:r>
          </w:p>
        </w:tc>
        <w:tc>
          <w:tcPr>
            <w:tcW w:w="2913" w:type="dxa"/>
            <w:vAlign w:val="center"/>
          </w:tcPr>
          <w:p w14:paraId="46475D4D" w14:textId="77777777" w:rsidR="001E546F" w:rsidRPr="00662FB3" w:rsidRDefault="001E546F" w:rsidP="004A78D6">
            <w:pPr>
              <w:pStyle w:val="TableText0"/>
            </w:pPr>
            <w:r w:rsidRPr="00662FB3">
              <w:t>Midpoint of 1 case per 200-500 persons based on Maron et.al, 1995 and Semsarian et.al. 2015 applied to ABS population &gt;18 years</w:t>
            </w:r>
          </w:p>
        </w:tc>
        <w:tc>
          <w:tcPr>
            <w:tcW w:w="2497" w:type="dxa"/>
            <w:vAlign w:val="center"/>
          </w:tcPr>
          <w:p w14:paraId="3AD32AA4" w14:textId="77777777" w:rsidR="001E546F" w:rsidRPr="00662FB3" w:rsidRDefault="001E546F" w:rsidP="004A78D6">
            <w:pPr>
              <w:pStyle w:val="TableText0"/>
            </w:pPr>
            <w:r w:rsidRPr="00662FB3">
              <w:t>No data were identified specifically on the Australian prevalence of HCM.</w:t>
            </w:r>
          </w:p>
        </w:tc>
      </w:tr>
      <w:tr w:rsidR="001E546F" w:rsidRPr="00662FB3" w14:paraId="03D80DF9" w14:textId="77777777" w:rsidTr="004A78D6">
        <w:tc>
          <w:tcPr>
            <w:tcW w:w="1813" w:type="dxa"/>
            <w:vAlign w:val="center"/>
          </w:tcPr>
          <w:p w14:paraId="6EEE4D5B" w14:textId="77777777" w:rsidR="001E546F" w:rsidRPr="00662FB3" w:rsidRDefault="001E546F" w:rsidP="004A78D6">
            <w:pPr>
              <w:pStyle w:val="TableText0"/>
            </w:pPr>
            <w:r w:rsidRPr="00662FB3">
              <w:t xml:space="preserve">Diagnosis rate </w:t>
            </w:r>
          </w:p>
        </w:tc>
        <w:tc>
          <w:tcPr>
            <w:tcW w:w="1698" w:type="dxa"/>
            <w:vAlign w:val="center"/>
          </w:tcPr>
          <w:p w14:paraId="471A85C8" w14:textId="77777777" w:rsidR="001E546F" w:rsidRPr="00662FB3" w:rsidRDefault="001E546F" w:rsidP="004A78D6">
            <w:pPr>
              <w:pStyle w:val="TableText0"/>
            </w:pPr>
            <w:r w:rsidRPr="00662FB3">
              <w:t xml:space="preserve">10.95% (Year 1) increasing by 20% per year </w:t>
            </w:r>
          </w:p>
        </w:tc>
        <w:tc>
          <w:tcPr>
            <w:tcW w:w="2913" w:type="dxa"/>
            <w:vAlign w:val="center"/>
          </w:tcPr>
          <w:p w14:paraId="5F8B2EE2" w14:textId="77777777" w:rsidR="001E546F" w:rsidRPr="00662FB3" w:rsidRDefault="001E546F" w:rsidP="004A78D6">
            <w:pPr>
              <w:pStyle w:val="TableText0"/>
            </w:pPr>
            <w:r w:rsidRPr="00662FB3">
              <w:t>Calculation for 10.95% [= (1/3,195)/(1/350)*100] based on data from Maron et.al, 2016 (1/3,195) divided by the midpoint of HCM prevalence reported above (1/350).</w:t>
            </w:r>
          </w:p>
        </w:tc>
        <w:tc>
          <w:tcPr>
            <w:tcW w:w="2497" w:type="dxa"/>
            <w:vAlign w:val="center"/>
          </w:tcPr>
          <w:p w14:paraId="79927D26" w14:textId="77777777" w:rsidR="001E546F" w:rsidRPr="00662FB3" w:rsidRDefault="001E546F" w:rsidP="004A78D6">
            <w:pPr>
              <w:pStyle w:val="TableText0"/>
            </w:pPr>
            <w:r w:rsidRPr="00662FB3">
              <w:t xml:space="preserve">The extent of underdiagnosis of HCM is uncertain. Application of this factor may further reduce the diagnosed population. </w:t>
            </w:r>
          </w:p>
        </w:tc>
      </w:tr>
      <w:tr w:rsidR="001E546F" w:rsidRPr="00662FB3" w14:paraId="4EBDCB81" w14:textId="77777777" w:rsidTr="004A78D6">
        <w:tc>
          <w:tcPr>
            <w:tcW w:w="1813" w:type="dxa"/>
            <w:vAlign w:val="center"/>
          </w:tcPr>
          <w:p w14:paraId="129CC3FB" w14:textId="77777777" w:rsidR="001E546F" w:rsidRPr="00662FB3" w:rsidRDefault="001E546F" w:rsidP="004A78D6">
            <w:pPr>
              <w:pStyle w:val="TableText0"/>
            </w:pPr>
            <w:r w:rsidRPr="00662FB3">
              <w:t>Proportion of patients with obstructive HCM</w:t>
            </w:r>
          </w:p>
        </w:tc>
        <w:tc>
          <w:tcPr>
            <w:tcW w:w="1698" w:type="dxa"/>
            <w:vAlign w:val="center"/>
          </w:tcPr>
          <w:p w14:paraId="23172257" w14:textId="77777777" w:rsidR="001E546F" w:rsidRPr="00662FB3" w:rsidRDefault="001E546F" w:rsidP="004A78D6">
            <w:pPr>
              <w:pStyle w:val="TableText0"/>
            </w:pPr>
            <w:r w:rsidRPr="00662FB3">
              <w:t>37.70%</w:t>
            </w:r>
          </w:p>
        </w:tc>
        <w:tc>
          <w:tcPr>
            <w:tcW w:w="2913" w:type="dxa"/>
            <w:vAlign w:val="center"/>
          </w:tcPr>
          <w:p w14:paraId="498D3940" w14:textId="77777777" w:rsidR="001E546F" w:rsidRPr="00662FB3" w:rsidRDefault="001E546F" w:rsidP="004A78D6">
            <w:pPr>
              <w:pStyle w:val="TableText0"/>
            </w:pPr>
            <w:r w:rsidRPr="00662FB3">
              <w:t>Canepa et.al. 2020</w:t>
            </w:r>
          </w:p>
        </w:tc>
        <w:tc>
          <w:tcPr>
            <w:tcW w:w="2497" w:type="dxa"/>
            <w:vMerge w:val="restart"/>
            <w:vAlign w:val="center"/>
          </w:tcPr>
          <w:p w14:paraId="49DA1754" w14:textId="77777777" w:rsidR="001E546F" w:rsidRPr="00662FB3" w:rsidRDefault="001E546F" w:rsidP="004A78D6">
            <w:pPr>
              <w:pStyle w:val="TableText0"/>
            </w:pPr>
            <w:r w:rsidRPr="00662FB3">
              <w:t>These proportions reflect the characteristics of patients diagnosed with HCM in the SHaRE Registry. No data is available on treatment with BB/CCB at/before diagnosis.</w:t>
            </w:r>
          </w:p>
        </w:tc>
      </w:tr>
      <w:tr w:rsidR="001E546F" w:rsidRPr="00662FB3" w14:paraId="080E9211" w14:textId="77777777" w:rsidTr="004A78D6">
        <w:tc>
          <w:tcPr>
            <w:tcW w:w="1813" w:type="dxa"/>
            <w:vAlign w:val="center"/>
          </w:tcPr>
          <w:p w14:paraId="6234F378" w14:textId="77777777" w:rsidR="001E546F" w:rsidRPr="00662FB3" w:rsidRDefault="001E546F" w:rsidP="004A78D6">
            <w:pPr>
              <w:pStyle w:val="TableText0"/>
            </w:pPr>
            <w:r w:rsidRPr="00662FB3">
              <w:t>Proportion of obstructive HCM who are NYHA Class II or III</w:t>
            </w:r>
          </w:p>
        </w:tc>
        <w:tc>
          <w:tcPr>
            <w:tcW w:w="1698" w:type="dxa"/>
            <w:vAlign w:val="center"/>
          </w:tcPr>
          <w:p w14:paraId="246D3A1B" w14:textId="77777777" w:rsidR="001E546F" w:rsidRPr="00662FB3" w:rsidRDefault="001E546F" w:rsidP="004A78D6">
            <w:pPr>
              <w:pStyle w:val="TableText0"/>
            </w:pPr>
            <w:r w:rsidRPr="00662FB3">
              <w:t>49.54%</w:t>
            </w:r>
          </w:p>
        </w:tc>
        <w:tc>
          <w:tcPr>
            <w:tcW w:w="2913" w:type="dxa"/>
            <w:vAlign w:val="center"/>
          </w:tcPr>
          <w:p w14:paraId="0D5AECC9" w14:textId="77777777" w:rsidR="001E546F" w:rsidRPr="00662FB3" w:rsidRDefault="001E546F" w:rsidP="004A78D6">
            <w:pPr>
              <w:pStyle w:val="TableText0"/>
            </w:pPr>
            <w:r w:rsidRPr="00662FB3">
              <w:t>Canepa et.al. 2020</w:t>
            </w:r>
          </w:p>
        </w:tc>
        <w:tc>
          <w:tcPr>
            <w:tcW w:w="2497" w:type="dxa"/>
            <w:vMerge/>
            <w:vAlign w:val="center"/>
          </w:tcPr>
          <w:p w14:paraId="743A9FBA" w14:textId="77777777" w:rsidR="001E546F" w:rsidRPr="00662FB3" w:rsidRDefault="001E546F" w:rsidP="004A78D6">
            <w:pPr>
              <w:pStyle w:val="TableText0"/>
            </w:pPr>
          </w:p>
        </w:tc>
      </w:tr>
      <w:tr w:rsidR="001E546F" w:rsidRPr="00662FB3" w14:paraId="69F1C62C" w14:textId="77777777" w:rsidTr="004A78D6">
        <w:tc>
          <w:tcPr>
            <w:tcW w:w="1813" w:type="dxa"/>
          </w:tcPr>
          <w:p w14:paraId="32065471" w14:textId="77777777" w:rsidR="001E546F" w:rsidRPr="00662FB3" w:rsidRDefault="001E546F" w:rsidP="004A78D6">
            <w:pPr>
              <w:pStyle w:val="TableText0"/>
            </w:pPr>
            <w:r w:rsidRPr="00662FB3">
              <w:t>Proportion of obstructive HCM patients with LVEF ≥55</w:t>
            </w:r>
          </w:p>
        </w:tc>
        <w:tc>
          <w:tcPr>
            <w:tcW w:w="1698" w:type="dxa"/>
            <w:vAlign w:val="center"/>
          </w:tcPr>
          <w:p w14:paraId="37E24AB8" w14:textId="77777777" w:rsidR="001E546F" w:rsidRPr="00662FB3" w:rsidRDefault="001E546F" w:rsidP="004A78D6">
            <w:pPr>
              <w:pStyle w:val="TableText0"/>
            </w:pPr>
            <w:r w:rsidRPr="00662FB3">
              <w:t>88.92%</w:t>
            </w:r>
          </w:p>
        </w:tc>
        <w:tc>
          <w:tcPr>
            <w:tcW w:w="2913" w:type="dxa"/>
            <w:vAlign w:val="center"/>
          </w:tcPr>
          <w:p w14:paraId="7F593C3F" w14:textId="77777777" w:rsidR="001E546F" w:rsidRPr="00662FB3" w:rsidRDefault="001E546F" w:rsidP="004A78D6">
            <w:pPr>
              <w:pStyle w:val="TableText0"/>
            </w:pPr>
            <w:r w:rsidRPr="00662FB3">
              <w:t>Canepa et.al. 2020</w:t>
            </w:r>
          </w:p>
        </w:tc>
        <w:tc>
          <w:tcPr>
            <w:tcW w:w="2497" w:type="dxa"/>
            <w:vMerge/>
            <w:vAlign w:val="center"/>
          </w:tcPr>
          <w:p w14:paraId="1D694110" w14:textId="77777777" w:rsidR="001E546F" w:rsidRPr="00662FB3" w:rsidRDefault="001E546F" w:rsidP="004A78D6">
            <w:pPr>
              <w:pStyle w:val="TableText0"/>
            </w:pPr>
          </w:p>
        </w:tc>
      </w:tr>
      <w:tr w:rsidR="001E546F" w:rsidRPr="00662FB3" w14:paraId="50A1028B" w14:textId="77777777" w:rsidTr="004A78D6">
        <w:tc>
          <w:tcPr>
            <w:tcW w:w="1813" w:type="dxa"/>
          </w:tcPr>
          <w:p w14:paraId="7B4C6B22" w14:textId="77777777" w:rsidR="001E546F" w:rsidRPr="00662FB3" w:rsidRDefault="001E546F" w:rsidP="004A78D6">
            <w:pPr>
              <w:pStyle w:val="TableText0"/>
            </w:pPr>
            <w:r w:rsidRPr="00662FB3">
              <w:t>Proportion electing treatment (uptake rate)</w:t>
            </w:r>
          </w:p>
        </w:tc>
        <w:tc>
          <w:tcPr>
            <w:tcW w:w="1698" w:type="dxa"/>
            <w:vAlign w:val="center"/>
          </w:tcPr>
          <w:p w14:paraId="3DB6FFCC" w14:textId="77777777" w:rsidR="001E546F" w:rsidRPr="00662FB3" w:rsidRDefault="001E546F" w:rsidP="004A78D6">
            <w:pPr>
              <w:pStyle w:val="TableText0"/>
            </w:pPr>
            <w:r w:rsidRPr="00662FB3">
              <w:t>Yr 1: 61.11%</w:t>
            </w:r>
          </w:p>
          <w:p w14:paraId="3080061C" w14:textId="77777777" w:rsidR="001E546F" w:rsidRPr="00662FB3" w:rsidRDefault="001E546F" w:rsidP="004A78D6">
            <w:pPr>
              <w:pStyle w:val="TableText0"/>
            </w:pPr>
            <w:r w:rsidRPr="00662FB3">
              <w:t>Yr 2: 66.11%</w:t>
            </w:r>
          </w:p>
          <w:p w14:paraId="3A772136" w14:textId="77777777" w:rsidR="001E546F" w:rsidRPr="00662FB3" w:rsidRDefault="001E546F" w:rsidP="004A78D6">
            <w:pPr>
              <w:pStyle w:val="TableText0"/>
            </w:pPr>
            <w:r w:rsidRPr="00662FB3">
              <w:t>Yr 3+: 71.11%</w:t>
            </w:r>
          </w:p>
        </w:tc>
        <w:tc>
          <w:tcPr>
            <w:tcW w:w="2913" w:type="dxa"/>
            <w:vAlign w:val="center"/>
          </w:tcPr>
          <w:p w14:paraId="0741E193" w14:textId="77777777" w:rsidR="001E546F" w:rsidRPr="00662FB3" w:rsidRDefault="001E546F" w:rsidP="004A78D6">
            <w:pPr>
              <w:pStyle w:val="TableText0"/>
            </w:pPr>
            <w:r w:rsidRPr="00662FB3">
              <w:t>Assumption based on a sponsor advisory board (nine cardiologists).</w:t>
            </w:r>
          </w:p>
        </w:tc>
        <w:tc>
          <w:tcPr>
            <w:tcW w:w="2497" w:type="dxa"/>
            <w:vAlign w:val="center"/>
          </w:tcPr>
          <w:p w14:paraId="0577666C" w14:textId="77777777" w:rsidR="001E546F" w:rsidRPr="00662FB3" w:rsidRDefault="001E546F" w:rsidP="004A78D6">
            <w:pPr>
              <w:pStyle w:val="TableText0"/>
            </w:pPr>
            <w:r w:rsidRPr="00662FB3">
              <w:t>The assumption</w:t>
            </w:r>
            <w:r w:rsidRPr="00662FB3">
              <w:rPr>
                <w:rFonts w:ascii="Calibri" w:eastAsia="Times New Roman" w:hAnsi="Calibri" w:cs="Arial"/>
                <w:bCs w:val="0"/>
                <w:sz w:val="24"/>
              </w:rPr>
              <w:t xml:space="preserve"> </w:t>
            </w:r>
            <w:r w:rsidRPr="00662FB3">
              <w:t>is uncertain.</w:t>
            </w:r>
          </w:p>
        </w:tc>
      </w:tr>
      <w:tr w:rsidR="001E546F" w:rsidRPr="00662FB3" w14:paraId="21285BC1" w14:textId="77777777" w:rsidTr="004A78D6">
        <w:tc>
          <w:tcPr>
            <w:tcW w:w="8921" w:type="dxa"/>
            <w:gridSpan w:val="4"/>
            <w:vAlign w:val="center"/>
          </w:tcPr>
          <w:p w14:paraId="4BEB6902" w14:textId="77777777" w:rsidR="001E546F" w:rsidRPr="00662FB3" w:rsidRDefault="001E546F" w:rsidP="004A78D6">
            <w:pPr>
              <w:pStyle w:val="TableText0"/>
              <w:rPr>
                <w:b/>
              </w:rPr>
            </w:pPr>
            <w:r w:rsidRPr="00662FB3">
              <w:rPr>
                <w:b/>
              </w:rPr>
              <w:t>Treatment utilisation</w:t>
            </w:r>
          </w:p>
        </w:tc>
      </w:tr>
      <w:tr w:rsidR="001E546F" w:rsidRPr="00662FB3" w14:paraId="4DFF5AC5" w14:textId="77777777" w:rsidTr="004A78D6">
        <w:trPr>
          <w:trHeight w:val="1036"/>
        </w:trPr>
        <w:tc>
          <w:tcPr>
            <w:tcW w:w="1813" w:type="dxa"/>
            <w:vAlign w:val="center"/>
          </w:tcPr>
          <w:p w14:paraId="2454AF6A" w14:textId="77777777" w:rsidR="001E546F" w:rsidRPr="00662FB3" w:rsidRDefault="001E546F" w:rsidP="004A78D6">
            <w:pPr>
              <w:pStyle w:val="TableText0"/>
            </w:pPr>
            <w:r w:rsidRPr="00662FB3">
              <w:t>Compliance</w:t>
            </w:r>
          </w:p>
        </w:tc>
        <w:tc>
          <w:tcPr>
            <w:tcW w:w="1698" w:type="dxa"/>
            <w:vAlign w:val="center"/>
          </w:tcPr>
          <w:p w14:paraId="5FDA471A" w14:textId="77777777" w:rsidR="001E546F" w:rsidRPr="00662FB3" w:rsidRDefault="001E546F" w:rsidP="004A78D6">
            <w:pPr>
              <w:pStyle w:val="TableText0"/>
            </w:pPr>
            <w:r w:rsidRPr="00662FB3">
              <w:t>97.56%</w:t>
            </w:r>
          </w:p>
        </w:tc>
        <w:tc>
          <w:tcPr>
            <w:tcW w:w="2913" w:type="dxa"/>
            <w:vAlign w:val="center"/>
          </w:tcPr>
          <w:p w14:paraId="53E6A93B" w14:textId="77777777" w:rsidR="001E546F" w:rsidRPr="00662FB3" w:rsidRDefault="001E546F" w:rsidP="004A78D6">
            <w:pPr>
              <w:pStyle w:val="TableText0"/>
            </w:pPr>
            <w:r w:rsidRPr="00662FB3">
              <w:t xml:space="preserve">EXPLORER-HCM </w:t>
            </w:r>
          </w:p>
          <w:p w14:paraId="52F70EC7" w14:textId="77777777" w:rsidR="001E546F" w:rsidRPr="00662FB3" w:rsidRDefault="001E546F" w:rsidP="004A78D6">
            <w:pPr>
              <w:pStyle w:val="TableText0"/>
            </w:pPr>
            <w:r w:rsidRPr="00662FB3">
              <w:t xml:space="preserve">The three patients (out of 123) in the mavacamten arm with an overall compliance &lt;80% were considered as ‘not compliant’. </w:t>
            </w:r>
          </w:p>
        </w:tc>
        <w:tc>
          <w:tcPr>
            <w:tcW w:w="2497" w:type="dxa"/>
            <w:vAlign w:val="center"/>
          </w:tcPr>
          <w:p w14:paraId="6AFEDA08" w14:textId="77777777" w:rsidR="001E546F" w:rsidRPr="00662FB3" w:rsidRDefault="001E546F" w:rsidP="004A78D6">
            <w:pPr>
              <w:pStyle w:val="TableText0"/>
            </w:pPr>
            <w:r w:rsidRPr="00662FB3">
              <w:t xml:space="preserve">Not reasonable, as it assumes 2.44% of patients did not receive any mavacamten dose. </w:t>
            </w:r>
          </w:p>
        </w:tc>
      </w:tr>
      <w:tr w:rsidR="001E546F" w:rsidRPr="00662FB3" w14:paraId="2CB0C7DC" w14:textId="77777777" w:rsidTr="004A78D6">
        <w:tc>
          <w:tcPr>
            <w:tcW w:w="1813" w:type="dxa"/>
            <w:vAlign w:val="center"/>
          </w:tcPr>
          <w:p w14:paraId="584A06C4" w14:textId="77777777" w:rsidR="001E546F" w:rsidRPr="00662FB3" w:rsidRDefault="001E546F" w:rsidP="004A78D6">
            <w:pPr>
              <w:pStyle w:val="TableText0"/>
            </w:pPr>
            <w:r w:rsidRPr="00662FB3">
              <w:t>Persistence</w:t>
            </w:r>
          </w:p>
        </w:tc>
        <w:tc>
          <w:tcPr>
            <w:tcW w:w="1698" w:type="dxa"/>
            <w:vAlign w:val="center"/>
          </w:tcPr>
          <w:p w14:paraId="2AF266D2" w14:textId="77777777" w:rsidR="001E546F" w:rsidRPr="00662FB3" w:rsidRDefault="001E546F" w:rsidP="004A78D6">
            <w:pPr>
              <w:pStyle w:val="TableText0"/>
            </w:pPr>
            <w:r w:rsidRPr="00662FB3">
              <w:t>Yr 1: 66.10%</w:t>
            </w:r>
          </w:p>
          <w:p w14:paraId="305F430F" w14:textId="77777777" w:rsidR="001E546F" w:rsidRPr="00662FB3" w:rsidRDefault="001E546F" w:rsidP="004A78D6">
            <w:pPr>
              <w:pStyle w:val="TableText0"/>
            </w:pPr>
            <w:r w:rsidRPr="00662FB3">
              <w:t>Yr 2 to Yr 6: 93.94%</w:t>
            </w:r>
          </w:p>
        </w:tc>
        <w:tc>
          <w:tcPr>
            <w:tcW w:w="2913" w:type="dxa"/>
            <w:vAlign w:val="center"/>
          </w:tcPr>
          <w:p w14:paraId="519C55D6" w14:textId="77777777" w:rsidR="001E546F" w:rsidRPr="00662FB3" w:rsidRDefault="001E546F" w:rsidP="004A78D6">
            <w:pPr>
              <w:pStyle w:val="TableText0"/>
            </w:pPr>
            <w:r w:rsidRPr="00662FB3">
              <w:t xml:space="preserve">EXPLORER-HCM </w:t>
            </w:r>
          </w:p>
          <w:p w14:paraId="7595E634" w14:textId="77777777" w:rsidR="001E546F" w:rsidRPr="00662FB3" w:rsidRDefault="001E546F" w:rsidP="004A78D6">
            <w:pPr>
              <w:pStyle w:val="TableText0"/>
            </w:pPr>
            <w:r w:rsidRPr="00662FB3">
              <w:t xml:space="preserve">EXPLORER-LTE </w:t>
            </w:r>
          </w:p>
          <w:p w14:paraId="12AD5593" w14:textId="77777777" w:rsidR="001E546F" w:rsidRPr="00662FB3" w:rsidRDefault="001E546F" w:rsidP="004A78D6">
            <w:pPr>
              <w:pStyle w:val="TableText0"/>
            </w:pPr>
            <w:r w:rsidRPr="00662FB3">
              <w:t>Rader et.al. 2022</w:t>
            </w:r>
          </w:p>
        </w:tc>
        <w:tc>
          <w:tcPr>
            <w:tcW w:w="2497" w:type="dxa"/>
            <w:vAlign w:val="center"/>
          </w:tcPr>
          <w:p w14:paraId="1EB8A579" w14:textId="40C61106" w:rsidR="001E546F" w:rsidRPr="00662FB3" w:rsidRDefault="001E546F" w:rsidP="004A78D6">
            <w:pPr>
              <w:pStyle w:val="TableText0"/>
            </w:pPr>
            <w:r w:rsidRPr="00662FB3">
              <w:t>It is unknown whether the high persistence rate observed in the clinical trial would reflect clinical practice.</w:t>
            </w:r>
          </w:p>
        </w:tc>
      </w:tr>
      <w:tr w:rsidR="001E546F" w:rsidRPr="00662FB3" w14:paraId="5885DC05" w14:textId="77777777" w:rsidTr="004A78D6">
        <w:tc>
          <w:tcPr>
            <w:tcW w:w="1813" w:type="dxa"/>
            <w:vAlign w:val="center"/>
          </w:tcPr>
          <w:p w14:paraId="14EFFF8B" w14:textId="77777777" w:rsidR="001E546F" w:rsidRPr="00662FB3" w:rsidRDefault="001E546F" w:rsidP="004A78D6">
            <w:pPr>
              <w:pStyle w:val="TableText0"/>
            </w:pPr>
            <w:r w:rsidRPr="00662FB3">
              <w:t>Utilisation across mavacamten strengths</w:t>
            </w:r>
          </w:p>
          <w:p w14:paraId="562B28F3" w14:textId="77777777" w:rsidR="001E546F" w:rsidRPr="00662FB3" w:rsidRDefault="001E546F" w:rsidP="004A78D6">
            <w:pPr>
              <w:pStyle w:val="TableText0"/>
            </w:pPr>
            <w:r w:rsidRPr="00662FB3">
              <w:t>(2.5mg, 5mg, 10mg, and 15mg)</w:t>
            </w:r>
          </w:p>
        </w:tc>
        <w:tc>
          <w:tcPr>
            <w:tcW w:w="1698" w:type="dxa"/>
            <w:vAlign w:val="center"/>
          </w:tcPr>
          <w:p w14:paraId="50CEC79F" w14:textId="77777777" w:rsidR="001E546F" w:rsidRPr="00662FB3" w:rsidRDefault="001E546F" w:rsidP="004A78D6">
            <w:pPr>
              <w:pStyle w:val="TableText0"/>
            </w:pPr>
            <w:r w:rsidRPr="00662FB3">
              <w:t>5%:50%:34%:11%</w:t>
            </w:r>
          </w:p>
        </w:tc>
        <w:tc>
          <w:tcPr>
            <w:tcW w:w="2913" w:type="dxa"/>
            <w:vAlign w:val="center"/>
          </w:tcPr>
          <w:p w14:paraId="27CCF455" w14:textId="77777777" w:rsidR="001E546F" w:rsidRPr="00662FB3" w:rsidRDefault="001E546F" w:rsidP="004A78D6">
            <w:pPr>
              <w:pStyle w:val="TableText0"/>
            </w:pPr>
            <w:r w:rsidRPr="00662FB3">
              <w:t>EXPLORER-HCM: Dose levels assumed as per Week 26 dosing, acknowledging anticipated ongoing therapy. Missing and 0mg doses excluded.</w:t>
            </w:r>
          </w:p>
        </w:tc>
        <w:tc>
          <w:tcPr>
            <w:tcW w:w="2497" w:type="dxa"/>
            <w:vAlign w:val="center"/>
          </w:tcPr>
          <w:p w14:paraId="7CC624FC" w14:textId="77777777" w:rsidR="001E546F" w:rsidRPr="00662FB3" w:rsidRDefault="001E546F" w:rsidP="004A78D6">
            <w:pPr>
              <w:pStyle w:val="TableText0"/>
            </w:pPr>
            <w:r w:rsidRPr="00662FB3">
              <w:t xml:space="preserve">Given the proposed flat pricing, the change in the distribution of strengths has no effect on the results. </w:t>
            </w:r>
          </w:p>
        </w:tc>
      </w:tr>
    </w:tbl>
    <w:p w14:paraId="22568B0D" w14:textId="77777777" w:rsidR="001E546F" w:rsidRDefault="001E546F" w:rsidP="001E546F">
      <w:pPr>
        <w:pStyle w:val="FooterTableFigure"/>
      </w:pPr>
      <w:r>
        <w:t>Source: Tables 116-122, p231-6 of the submission</w:t>
      </w:r>
    </w:p>
    <w:p w14:paraId="6D214664" w14:textId="77777777" w:rsidR="001E546F" w:rsidRPr="007925DF" w:rsidRDefault="001E546F" w:rsidP="001E546F">
      <w:pPr>
        <w:pStyle w:val="FooterTableFigure"/>
      </w:pPr>
      <w:r>
        <w:t xml:space="preserve">BB = beta-blocker; CCB = calcium channel blockers; DPMQ = dispensed price for maximum quantity; HCM = hypertrophic cardiomyopathy; LVEF = left ventricular ejection fraction; NYHA = New York Heart Association; PBS = Pharmaceutical Benefits Scheme; RPBS = Repatriation Pharmaceutical Benefits Scheme; SRT = septal reduction therapy; TTE = transthoracic echocardiogram. </w:t>
      </w:r>
    </w:p>
    <w:p w14:paraId="30964DE9" w14:textId="23944503" w:rsidR="001E546F" w:rsidRPr="00B505C8" w:rsidRDefault="001E546F" w:rsidP="001E546F">
      <w:pPr>
        <w:pStyle w:val="3-BodyText"/>
        <w:rPr>
          <w:color w:val="0066FF"/>
        </w:rPr>
      </w:pPr>
      <w:r>
        <w:t xml:space="preserve">The </w:t>
      </w:r>
      <w:r w:rsidRPr="0063580C">
        <w:t xml:space="preserve">estimated use and financial </w:t>
      </w:r>
      <w:r>
        <w:t>impact</w:t>
      </w:r>
      <w:r w:rsidRPr="0063580C">
        <w:t xml:space="preserve">s of listing </w:t>
      </w:r>
      <w:r>
        <w:t xml:space="preserve">mavacamten are summarised in </w:t>
      </w:r>
      <w:r>
        <w:fldChar w:fldCharType="begin"/>
      </w:r>
      <w:r>
        <w:instrText xml:space="preserve"> REF _Ref104805295 \h </w:instrText>
      </w:r>
      <w:r>
        <w:fldChar w:fldCharType="separate"/>
      </w:r>
      <w:r w:rsidR="00645E50">
        <w:t xml:space="preserve">Table </w:t>
      </w:r>
      <w:r w:rsidR="00645E50">
        <w:rPr>
          <w:noProof/>
        </w:rPr>
        <w:t>24</w:t>
      </w:r>
      <w:r>
        <w:fldChar w:fldCharType="end"/>
      </w:r>
      <w:r>
        <w:t>.</w:t>
      </w:r>
    </w:p>
    <w:p w14:paraId="1137A68F" w14:textId="007F574A" w:rsidR="001E546F" w:rsidRPr="00606FBA" w:rsidRDefault="001E546F" w:rsidP="001E546F">
      <w:pPr>
        <w:pStyle w:val="Caption"/>
      </w:pPr>
      <w:bookmarkStart w:id="62" w:name="_Ref104805295"/>
      <w:r>
        <w:lastRenderedPageBreak/>
        <w:t xml:space="preserve">Table </w:t>
      </w:r>
      <w:r w:rsidR="00645E50">
        <w:fldChar w:fldCharType="begin"/>
      </w:r>
      <w:r w:rsidR="00645E50">
        <w:instrText xml:space="preserve"> SEQ Table \* ARABIC </w:instrText>
      </w:r>
      <w:r w:rsidR="00645E50">
        <w:fldChar w:fldCharType="separate"/>
      </w:r>
      <w:r w:rsidR="00645E50">
        <w:rPr>
          <w:noProof/>
        </w:rPr>
        <w:t>24</w:t>
      </w:r>
      <w:r w:rsidR="00645E50">
        <w:rPr>
          <w:noProof/>
        </w:rPr>
        <w:fldChar w:fldCharType="end"/>
      </w:r>
      <w:bookmarkEnd w:id="62"/>
      <w:r>
        <w:t>:</w:t>
      </w:r>
      <w:r w:rsidRPr="00606FBA">
        <w:rPr>
          <w:rStyle w:val="CommentReference"/>
          <w:b/>
          <w:szCs w:val="24"/>
        </w:rPr>
        <w:t xml:space="preserve"> Estimated use and financial implications</w:t>
      </w:r>
      <w:r>
        <w:rPr>
          <w:rStyle w:val="CommentReference"/>
          <w:b/>
          <w:szCs w:val="24"/>
        </w:rPr>
        <w:t xml:space="preserve"> using the proposed effective price of mavacamten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1E546F" w:rsidRPr="00D1078F" w14:paraId="1C4F6FE2" w14:textId="77777777" w:rsidTr="004A78D6">
        <w:trPr>
          <w:tblHeader/>
        </w:trPr>
        <w:tc>
          <w:tcPr>
            <w:tcW w:w="1334" w:type="pct"/>
            <w:shd w:val="clear" w:color="auto" w:fill="auto"/>
            <w:vAlign w:val="center"/>
          </w:tcPr>
          <w:p w14:paraId="1EFD774B" w14:textId="77777777" w:rsidR="001E546F" w:rsidRPr="003639A6" w:rsidRDefault="001E546F" w:rsidP="004A78D6">
            <w:pPr>
              <w:pStyle w:val="In-tableHeading"/>
              <w:jc w:val="center"/>
            </w:pPr>
          </w:p>
        </w:tc>
        <w:tc>
          <w:tcPr>
            <w:tcW w:w="611" w:type="pct"/>
            <w:shd w:val="clear" w:color="auto" w:fill="auto"/>
            <w:vAlign w:val="center"/>
          </w:tcPr>
          <w:p w14:paraId="7CD64CB0" w14:textId="77777777" w:rsidR="001E546F" w:rsidRPr="00D1078F" w:rsidRDefault="001E546F" w:rsidP="004A78D6">
            <w:pPr>
              <w:pStyle w:val="In-tableHeading"/>
              <w:jc w:val="center"/>
            </w:pPr>
            <w:r w:rsidRPr="00D1078F">
              <w:t>Year 1</w:t>
            </w:r>
          </w:p>
        </w:tc>
        <w:tc>
          <w:tcPr>
            <w:tcW w:w="611" w:type="pct"/>
            <w:shd w:val="clear" w:color="auto" w:fill="auto"/>
            <w:vAlign w:val="center"/>
          </w:tcPr>
          <w:p w14:paraId="4448F0FA" w14:textId="77777777" w:rsidR="001E546F" w:rsidRPr="00D1078F" w:rsidRDefault="001E546F" w:rsidP="004A78D6">
            <w:pPr>
              <w:pStyle w:val="In-tableHeading"/>
              <w:jc w:val="center"/>
            </w:pPr>
            <w:r w:rsidRPr="00D1078F">
              <w:t>Year 2</w:t>
            </w:r>
          </w:p>
        </w:tc>
        <w:tc>
          <w:tcPr>
            <w:tcW w:w="611" w:type="pct"/>
            <w:shd w:val="clear" w:color="auto" w:fill="auto"/>
            <w:vAlign w:val="center"/>
          </w:tcPr>
          <w:p w14:paraId="3D51762B" w14:textId="77777777" w:rsidR="001E546F" w:rsidRPr="00D1078F" w:rsidRDefault="001E546F" w:rsidP="004A78D6">
            <w:pPr>
              <w:pStyle w:val="In-tableHeading"/>
              <w:jc w:val="center"/>
            </w:pPr>
            <w:r w:rsidRPr="00D1078F">
              <w:t>Year 3</w:t>
            </w:r>
          </w:p>
        </w:tc>
        <w:tc>
          <w:tcPr>
            <w:tcW w:w="611" w:type="pct"/>
            <w:shd w:val="clear" w:color="auto" w:fill="auto"/>
            <w:vAlign w:val="center"/>
          </w:tcPr>
          <w:p w14:paraId="792F372B" w14:textId="77777777" w:rsidR="001E546F" w:rsidRPr="00D1078F" w:rsidRDefault="001E546F" w:rsidP="004A78D6">
            <w:pPr>
              <w:pStyle w:val="In-tableHeading"/>
              <w:jc w:val="center"/>
            </w:pPr>
            <w:r w:rsidRPr="00D1078F">
              <w:t>Year 4</w:t>
            </w:r>
          </w:p>
        </w:tc>
        <w:tc>
          <w:tcPr>
            <w:tcW w:w="611" w:type="pct"/>
            <w:shd w:val="clear" w:color="auto" w:fill="auto"/>
            <w:vAlign w:val="center"/>
          </w:tcPr>
          <w:p w14:paraId="23646DE0" w14:textId="77777777" w:rsidR="001E546F" w:rsidRPr="00D1078F" w:rsidRDefault="001E546F" w:rsidP="004A78D6">
            <w:pPr>
              <w:pStyle w:val="In-tableHeading"/>
              <w:jc w:val="center"/>
            </w:pPr>
            <w:r w:rsidRPr="00D1078F">
              <w:t>Year 5</w:t>
            </w:r>
          </w:p>
        </w:tc>
        <w:tc>
          <w:tcPr>
            <w:tcW w:w="611" w:type="pct"/>
          </w:tcPr>
          <w:p w14:paraId="5ED7EA96" w14:textId="77777777" w:rsidR="001E546F" w:rsidRPr="00D1078F" w:rsidRDefault="001E546F" w:rsidP="004A78D6">
            <w:pPr>
              <w:pStyle w:val="In-tableHeading"/>
              <w:jc w:val="center"/>
            </w:pPr>
            <w:r w:rsidRPr="00D1078F">
              <w:t>Year 6</w:t>
            </w:r>
          </w:p>
        </w:tc>
      </w:tr>
      <w:tr w:rsidR="001E546F" w:rsidRPr="00D1078F" w14:paraId="19122355" w14:textId="77777777" w:rsidTr="004A78D6">
        <w:tc>
          <w:tcPr>
            <w:tcW w:w="5000" w:type="pct"/>
            <w:gridSpan w:val="7"/>
            <w:shd w:val="clear" w:color="auto" w:fill="auto"/>
            <w:vAlign w:val="center"/>
          </w:tcPr>
          <w:p w14:paraId="2E840074" w14:textId="77777777" w:rsidR="001E546F" w:rsidRPr="00D1078F" w:rsidRDefault="001E546F" w:rsidP="004A78D6">
            <w:pPr>
              <w:pStyle w:val="In-tableHeading"/>
              <w:rPr>
                <w:bCs/>
                <w:color w:val="000000"/>
              </w:rPr>
            </w:pPr>
            <w:r w:rsidRPr="00D1078F">
              <w:rPr>
                <w:bCs/>
                <w:color w:val="000000"/>
              </w:rPr>
              <w:t>Estimated extent of use</w:t>
            </w:r>
          </w:p>
        </w:tc>
      </w:tr>
      <w:tr w:rsidR="001E546F" w:rsidRPr="003639A6" w14:paraId="73473BA1" w14:textId="77777777" w:rsidTr="004A78D6">
        <w:tc>
          <w:tcPr>
            <w:tcW w:w="1334" w:type="pct"/>
            <w:shd w:val="clear" w:color="auto" w:fill="auto"/>
            <w:vAlign w:val="center"/>
          </w:tcPr>
          <w:p w14:paraId="67E22867" w14:textId="77777777" w:rsidR="001E546F" w:rsidRPr="003639A6" w:rsidRDefault="001E546F" w:rsidP="004A78D6">
            <w:pPr>
              <w:pStyle w:val="TableText0"/>
              <w:rPr>
                <w:rFonts w:ascii="Times" w:hAnsi="Times"/>
              </w:rPr>
            </w:pPr>
            <w:r w:rsidRPr="003639A6">
              <w:t>Number of patients</w:t>
            </w:r>
            <w:r>
              <w:t xml:space="preserve"> initiating mavacamten treatment</w:t>
            </w:r>
          </w:p>
        </w:tc>
        <w:tc>
          <w:tcPr>
            <w:tcW w:w="611" w:type="pct"/>
            <w:shd w:val="clear" w:color="auto" w:fill="auto"/>
          </w:tcPr>
          <w:p w14:paraId="6A34DDEB" w14:textId="609EF1BE" w:rsidR="001E546F" w:rsidRPr="003639A6" w:rsidRDefault="00414250" w:rsidP="004A78D6">
            <w:pPr>
              <w:pStyle w:val="TableText0"/>
              <w:jc w:val="center"/>
              <w:rPr>
                <w:color w:val="000000"/>
              </w:rPr>
            </w:pPr>
            <w:r w:rsidRPr="00414250">
              <w:rPr>
                <w:rFonts w:hint="eastAsia"/>
                <w:color w:val="000000"/>
                <w:w w:val="25"/>
                <w:shd w:val="solid" w:color="000000" w:fill="000000"/>
                <w:fitText w:val="113" w:id="-1305208305"/>
                <w14:textFill>
                  <w14:solidFill>
                    <w14:srgbClr w14:val="000000">
                      <w14:alpha w14:val="100000"/>
                    </w14:srgbClr>
                  </w14:solidFill>
                </w14:textFill>
              </w:rPr>
              <w:t xml:space="preserve">　</w:t>
            </w:r>
            <w:r w:rsidRPr="00414250">
              <w:rPr>
                <w:color w:val="000000"/>
                <w:w w:val="25"/>
                <w:shd w:val="solid" w:color="000000" w:fill="000000"/>
                <w:fitText w:val="113" w:id="-1305208305"/>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5"/>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09326CCC" w14:textId="5ED37C4F"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04"/>
                <w14:textFill>
                  <w14:solidFill>
                    <w14:srgbClr w14:val="000000">
                      <w14:alpha w14:val="100000"/>
                    </w14:srgbClr>
                  </w14:solidFill>
                </w14:textFill>
              </w:rPr>
              <w:t xml:space="preserve">　</w:t>
            </w:r>
            <w:r w:rsidRPr="00FB0844">
              <w:rPr>
                <w:color w:val="000000"/>
                <w:w w:val="25"/>
                <w:shd w:val="solid" w:color="000000" w:fill="000000"/>
                <w:fitText w:val="113" w:id="-1305208304"/>
                <w14:textFill>
                  <w14:solidFill>
                    <w14:srgbClr w14:val="000000">
                      <w14:alpha w14:val="100000"/>
                    </w14:srgbClr>
                  </w14:solidFill>
                </w14:textFill>
              </w:rPr>
              <w:t>|</w:t>
            </w:r>
            <w:r w:rsidRPr="00FB0844">
              <w:rPr>
                <w:rFonts w:hint="eastAsia"/>
                <w:color w:val="000000"/>
                <w:spacing w:val="2"/>
                <w:w w:val="25"/>
                <w:shd w:val="solid" w:color="000000" w:fill="000000"/>
                <w:fitText w:val="113" w:id="-1305208304"/>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6E847B37" w14:textId="1ED8EABB" w:rsidR="001E546F" w:rsidRPr="003639A6" w:rsidRDefault="00414250" w:rsidP="004A78D6">
            <w:pPr>
              <w:pStyle w:val="TableText0"/>
              <w:jc w:val="center"/>
              <w:rPr>
                <w:color w:val="000000"/>
              </w:rPr>
            </w:pPr>
            <w:r w:rsidRPr="00414250">
              <w:rPr>
                <w:rFonts w:hint="eastAsia"/>
                <w:color w:val="000000"/>
                <w:w w:val="25"/>
                <w:shd w:val="solid" w:color="000000" w:fill="000000"/>
                <w:fitText w:val="113" w:id="-1305208320"/>
                <w14:textFill>
                  <w14:solidFill>
                    <w14:srgbClr w14:val="000000">
                      <w14:alpha w14:val="100000"/>
                    </w14:srgbClr>
                  </w14:solidFill>
                </w14:textFill>
              </w:rPr>
              <w:t xml:space="preserve">　</w:t>
            </w:r>
            <w:r w:rsidRPr="00414250">
              <w:rPr>
                <w:color w:val="000000"/>
                <w:w w:val="25"/>
                <w:shd w:val="solid" w:color="000000" w:fill="000000"/>
                <w:fitText w:val="113" w:id="-1305208320"/>
                <w14:textFill>
                  <w14:solidFill>
                    <w14:srgbClr w14:val="000000">
                      <w14:alpha w14:val="100000"/>
                    </w14:srgbClr>
                  </w14:solidFill>
                </w14:textFill>
              </w:rPr>
              <w:t>|</w:t>
            </w:r>
            <w:r w:rsidRPr="00414250">
              <w:rPr>
                <w:rFonts w:hint="eastAsia"/>
                <w:color w:val="000000"/>
                <w:spacing w:val="2"/>
                <w:w w:val="25"/>
                <w:shd w:val="solid" w:color="000000" w:fill="000000"/>
                <w:fitText w:val="113" w:id="-1305208320"/>
                <w14:textFill>
                  <w14:solidFill>
                    <w14:srgbClr w14:val="000000">
                      <w14:alpha w14:val="100000"/>
                    </w14:srgbClr>
                  </w14:solidFill>
                </w14:textFill>
              </w:rPr>
              <w:t xml:space="preserve">　</w:t>
            </w:r>
            <w:r w:rsidR="00FE6287">
              <w:rPr>
                <w:vertAlign w:val="superscript"/>
              </w:rPr>
              <w:t>1</w:t>
            </w:r>
            <w:r w:rsidR="00FE6287" w:rsidRPr="00CD4D9E">
              <w:t xml:space="preserve"> </w:t>
            </w:r>
          </w:p>
        </w:tc>
        <w:tc>
          <w:tcPr>
            <w:tcW w:w="611" w:type="pct"/>
            <w:shd w:val="clear" w:color="auto" w:fill="auto"/>
          </w:tcPr>
          <w:p w14:paraId="6B77D428" w14:textId="22D6C7D9"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19"/>
                <w14:textFill>
                  <w14:solidFill>
                    <w14:srgbClr w14:val="000000">
                      <w14:alpha w14:val="100000"/>
                    </w14:srgbClr>
                  </w14:solidFill>
                </w14:textFill>
              </w:rPr>
              <w:t xml:space="preserve">　</w:t>
            </w:r>
            <w:r w:rsidRPr="00FB0844">
              <w:rPr>
                <w:color w:val="000000"/>
                <w:w w:val="25"/>
                <w:shd w:val="solid" w:color="000000" w:fill="000000"/>
                <w:fitText w:val="113" w:id="-1305208319"/>
                <w14:textFill>
                  <w14:solidFill>
                    <w14:srgbClr w14:val="000000">
                      <w14:alpha w14:val="100000"/>
                    </w14:srgbClr>
                  </w14:solidFill>
                </w14:textFill>
              </w:rPr>
              <w:t>|</w:t>
            </w:r>
            <w:r w:rsidRPr="00FB0844">
              <w:rPr>
                <w:rFonts w:hint="eastAsia"/>
                <w:color w:val="000000"/>
                <w:spacing w:val="2"/>
                <w:w w:val="25"/>
                <w:shd w:val="solid" w:color="000000" w:fill="000000"/>
                <w:fitText w:val="113" w:id="-1305208319"/>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6F12E103" w14:textId="57A0F994" w:rsidR="001E546F" w:rsidRPr="003639A6" w:rsidRDefault="00414250" w:rsidP="004A78D6">
            <w:pPr>
              <w:pStyle w:val="TableText0"/>
              <w:jc w:val="center"/>
              <w:rPr>
                <w:color w:val="000000"/>
              </w:rPr>
            </w:pPr>
            <w:r w:rsidRPr="00414250">
              <w:rPr>
                <w:rFonts w:hint="eastAsia"/>
                <w:color w:val="000000"/>
                <w:w w:val="25"/>
                <w:shd w:val="solid" w:color="000000" w:fill="000000"/>
                <w:fitText w:val="113" w:id="-1305208318"/>
                <w14:textFill>
                  <w14:solidFill>
                    <w14:srgbClr w14:val="000000">
                      <w14:alpha w14:val="100000"/>
                    </w14:srgbClr>
                  </w14:solidFill>
                </w14:textFill>
              </w:rPr>
              <w:t xml:space="preserve">　</w:t>
            </w:r>
            <w:r w:rsidRPr="00414250">
              <w:rPr>
                <w:color w:val="000000"/>
                <w:w w:val="25"/>
                <w:shd w:val="solid" w:color="000000" w:fill="000000"/>
                <w:fitText w:val="113" w:id="-1305208318"/>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8"/>
                <w14:textFill>
                  <w14:solidFill>
                    <w14:srgbClr w14:val="000000">
                      <w14:alpha w14:val="100000"/>
                    </w14:srgbClr>
                  </w14:solidFill>
                </w14:textFill>
              </w:rPr>
              <w:t xml:space="preserve">　</w:t>
            </w:r>
            <w:r w:rsidR="00FE6287">
              <w:rPr>
                <w:vertAlign w:val="superscript"/>
              </w:rPr>
              <w:t>1</w:t>
            </w:r>
          </w:p>
        </w:tc>
        <w:tc>
          <w:tcPr>
            <w:tcW w:w="611" w:type="pct"/>
          </w:tcPr>
          <w:p w14:paraId="424F323E" w14:textId="235B61E5"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17"/>
                <w14:textFill>
                  <w14:solidFill>
                    <w14:srgbClr w14:val="000000">
                      <w14:alpha w14:val="100000"/>
                    </w14:srgbClr>
                  </w14:solidFill>
                </w14:textFill>
              </w:rPr>
              <w:t xml:space="preserve">　</w:t>
            </w:r>
            <w:r w:rsidRPr="00FB0844">
              <w:rPr>
                <w:color w:val="000000"/>
                <w:w w:val="25"/>
                <w:shd w:val="solid" w:color="000000" w:fill="000000"/>
                <w:fitText w:val="113" w:id="-1305208317"/>
                <w14:textFill>
                  <w14:solidFill>
                    <w14:srgbClr w14:val="000000">
                      <w14:alpha w14:val="100000"/>
                    </w14:srgbClr>
                  </w14:solidFill>
                </w14:textFill>
              </w:rPr>
              <w:t>|</w:t>
            </w:r>
            <w:r w:rsidRPr="00FB0844">
              <w:rPr>
                <w:rFonts w:hint="eastAsia"/>
                <w:color w:val="000000"/>
                <w:spacing w:val="2"/>
                <w:w w:val="25"/>
                <w:shd w:val="solid" w:color="000000" w:fill="000000"/>
                <w:fitText w:val="113" w:id="-1305208317"/>
                <w14:textFill>
                  <w14:solidFill>
                    <w14:srgbClr w14:val="000000">
                      <w14:alpha w14:val="100000"/>
                    </w14:srgbClr>
                  </w14:solidFill>
                </w14:textFill>
              </w:rPr>
              <w:t xml:space="preserve">　</w:t>
            </w:r>
            <w:r w:rsidR="00FE6287">
              <w:rPr>
                <w:vertAlign w:val="superscript"/>
              </w:rPr>
              <w:t>1</w:t>
            </w:r>
          </w:p>
        </w:tc>
      </w:tr>
      <w:tr w:rsidR="001E546F" w:rsidRPr="003639A6" w14:paraId="4E9E1B9B" w14:textId="77777777" w:rsidTr="004A78D6">
        <w:tc>
          <w:tcPr>
            <w:tcW w:w="1334" w:type="pct"/>
            <w:shd w:val="clear" w:color="auto" w:fill="auto"/>
            <w:vAlign w:val="center"/>
          </w:tcPr>
          <w:p w14:paraId="0EC777CB" w14:textId="77777777" w:rsidR="001E546F" w:rsidRPr="003639A6" w:rsidRDefault="001E546F" w:rsidP="004A78D6">
            <w:pPr>
              <w:pStyle w:val="TableText0"/>
            </w:pPr>
            <w:r>
              <w:t xml:space="preserve">Total treated </w:t>
            </w:r>
            <w:r w:rsidRPr="007E6B20">
              <w:t>patient</w:t>
            </w:r>
            <w:r>
              <w:t>s</w:t>
            </w:r>
            <w:r w:rsidRPr="003639A6">
              <w:rPr>
                <w:vertAlign w:val="superscript"/>
              </w:rPr>
              <w:t>a</w:t>
            </w:r>
            <w:r>
              <w:rPr>
                <w:vertAlign w:val="superscript"/>
              </w:rPr>
              <w:t xml:space="preserve"> </w:t>
            </w:r>
          </w:p>
        </w:tc>
        <w:tc>
          <w:tcPr>
            <w:tcW w:w="611" w:type="pct"/>
            <w:shd w:val="clear" w:color="auto" w:fill="auto"/>
          </w:tcPr>
          <w:p w14:paraId="154B543B" w14:textId="3D69D8ED" w:rsidR="001E546F" w:rsidRPr="00CD4D9E" w:rsidRDefault="00414250" w:rsidP="004A78D6">
            <w:pPr>
              <w:pStyle w:val="TableText0"/>
              <w:jc w:val="center"/>
            </w:pPr>
            <w:r w:rsidRPr="00414250">
              <w:rPr>
                <w:rFonts w:hint="eastAsia"/>
                <w:color w:val="000000"/>
                <w:w w:val="25"/>
                <w:shd w:val="solid" w:color="000000" w:fill="000000"/>
                <w:fitText w:val="113" w:id="-1305208316"/>
                <w14:textFill>
                  <w14:solidFill>
                    <w14:srgbClr w14:val="000000">
                      <w14:alpha w14:val="100000"/>
                    </w14:srgbClr>
                  </w14:solidFill>
                </w14:textFill>
              </w:rPr>
              <w:t xml:space="preserve">　</w:t>
            </w:r>
            <w:r w:rsidRPr="00414250">
              <w:rPr>
                <w:color w:val="000000"/>
                <w:w w:val="25"/>
                <w:shd w:val="solid" w:color="000000" w:fill="000000"/>
                <w:fitText w:val="113" w:id="-1305208316"/>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6"/>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05EB18BB" w14:textId="7C2A7F0C" w:rsidR="001E546F" w:rsidRPr="00CD4D9E" w:rsidRDefault="00414250" w:rsidP="004A78D6">
            <w:pPr>
              <w:pStyle w:val="TableText0"/>
              <w:jc w:val="center"/>
            </w:pPr>
            <w:r w:rsidRPr="00FB0844">
              <w:rPr>
                <w:rFonts w:hint="eastAsia"/>
                <w:color w:val="000000"/>
                <w:w w:val="25"/>
                <w:shd w:val="solid" w:color="000000" w:fill="000000"/>
                <w:fitText w:val="113" w:id="-1305208315"/>
                <w14:textFill>
                  <w14:solidFill>
                    <w14:srgbClr w14:val="000000">
                      <w14:alpha w14:val="100000"/>
                    </w14:srgbClr>
                  </w14:solidFill>
                </w14:textFill>
              </w:rPr>
              <w:t xml:space="preserve">　</w:t>
            </w:r>
            <w:r w:rsidRPr="00FB0844">
              <w:rPr>
                <w:color w:val="000000"/>
                <w:w w:val="25"/>
                <w:shd w:val="solid" w:color="000000" w:fill="000000"/>
                <w:fitText w:val="113" w:id="-1305208315"/>
                <w14:textFill>
                  <w14:solidFill>
                    <w14:srgbClr w14:val="000000">
                      <w14:alpha w14:val="100000"/>
                    </w14:srgbClr>
                  </w14:solidFill>
                </w14:textFill>
              </w:rPr>
              <w:t>|</w:t>
            </w:r>
            <w:r w:rsidRPr="00FB0844">
              <w:rPr>
                <w:rFonts w:hint="eastAsia"/>
                <w:color w:val="000000"/>
                <w:spacing w:val="2"/>
                <w:w w:val="25"/>
                <w:shd w:val="solid" w:color="000000" w:fill="000000"/>
                <w:fitText w:val="113" w:id="-1305208315"/>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27206160" w14:textId="3BAEAD30" w:rsidR="001E546F" w:rsidRPr="00CD4D9E" w:rsidRDefault="00414250" w:rsidP="004A78D6">
            <w:pPr>
              <w:pStyle w:val="TableText0"/>
              <w:jc w:val="center"/>
            </w:pPr>
            <w:r w:rsidRPr="00414250">
              <w:rPr>
                <w:rFonts w:hint="eastAsia"/>
                <w:color w:val="000000"/>
                <w:w w:val="25"/>
                <w:shd w:val="solid" w:color="000000" w:fill="000000"/>
                <w:fitText w:val="113" w:id="-1305208314"/>
                <w14:textFill>
                  <w14:solidFill>
                    <w14:srgbClr w14:val="000000">
                      <w14:alpha w14:val="100000"/>
                    </w14:srgbClr>
                  </w14:solidFill>
                </w14:textFill>
              </w:rPr>
              <w:t xml:space="preserve">　</w:t>
            </w:r>
            <w:r w:rsidRPr="00414250">
              <w:rPr>
                <w:color w:val="000000"/>
                <w:w w:val="25"/>
                <w:shd w:val="solid" w:color="000000" w:fill="000000"/>
                <w:fitText w:val="113" w:id="-1305208314"/>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4"/>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2044767F" w14:textId="022EB178" w:rsidR="001E546F" w:rsidRPr="00CD4D9E" w:rsidRDefault="00414250" w:rsidP="004A78D6">
            <w:pPr>
              <w:pStyle w:val="TableText0"/>
              <w:jc w:val="center"/>
            </w:pPr>
            <w:r w:rsidRPr="00FB0844">
              <w:rPr>
                <w:rFonts w:hint="eastAsia"/>
                <w:color w:val="000000"/>
                <w:w w:val="25"/>
                <w:shd w:val="solid" w:color="000000" w:fill="000000"/>
                <w:fitText w:val="113" w:id="-1305208313"/>
                <w14:textFill>
                  <w14:solidFill>
                    <w14:srgbClr w14:val="000000">
                      <w14:alpha w14:val="100000"/>
                    </w14:srgbClr>
                  </w14:solidFill>
                </w14:textFill>
              </w:rPr>
              <w:t xml:space="preserve">　</w:t>
            </w:r>
            <w:r w:rsidRPr="00FB0844">
              <w:rPr>
                <w:color w:val="000000"/>
                <w:w w:val="25"/>
                <w:shd w:val="solid" w:color="000000" w:fill="000000"/>
                <w:fitText w:val="113" w:id="-1305208313"/>
                <w14:textFill>
                  <w14:solidFill>
                    <w14:srgbClr w14:val="000000">
                      <w14:alpha w14:val="100000"/>
                    </w14:srgbClr>
                  </w14:solidFill>
                </w14:textFill>
              </w:rPr>
              <w:t>|</w:t>
            </w:r>
            <w:r w:rsidRPr="00FB0844">
              <w:rPr>
                <w:rFonts w:hint="eastAsia"/>
                <w:color w:val="000000"/>
                <w:spacing w:val="2"/>
                <w:w w:val="25"/>
                <w:shd w:val="solid" w:color="000000" w:fill="000000"/>
                <w:fitText w:val="113" w:id="-1305208313"/>
                <w14:textFill>
                  <w14:solidFill>
                    <w14:srgbClr w14:val="000000">
                      <w14:alpha w14:val="100000"/>
                    </w14:srgbClr>
                  </w14:solidFill>
                </w14:textFill>
              </w:rPr>
              <w:t xml:space="preserve">　</w:t>
            </w:r>
            <w:r w:rsidR="00FE6287">
              <w:rPr>
                <w:vertAlign w:val="superscript"/>
              </w:rPr>
              <w:t>1</w:t>
            </w:r>
          </w:p>
        </w:tc>
        <w:tc>
          <w:tcPr>
            <w:tcW w:w="611" w:type="pct"/>
            <w:shd w:val="clear" w:color="auto" w:fill="auto"/>
          </w:tcPr>
          <w:p w14:paraId="7D8298B6" w14:textId="0964EAB4" w:rsidR="001E546F" w:rsidRPr="00CD4D9E" w:rsidRDefault="00414250" w:rsidP="004A78D6">
            <w:pPr>
              <w:pStyle w:val="TableText0"/>
              <w:jc w:val="center"/>
            </w:pPr>
            <w:r w:rsidRPr="00414250">
              <w:rPr>
                <w:rFonts w:hint="eastAsia"/>
                <w:color w:val="000000"/>
                <w:w w:val="25"/>
                <w:shd w:val="solid" w:color="000000" w:fill="000000"/>
                <w:fitText w:val="113" w:id="-1305208312"/>
                <w14:textFill>
                  <w14:solidFill>
                    <w14:srgbClr w14:val="000000">
                      <w14:alpha w14:val="100000"/>
                    </w14:srgbClr>
                  </w14:solidFill>
                </w14:textFill>
              </w:rPr>
              <w:t xml:space="preserve">　</w:t>
            </w:r>
            <w:r w:rsidRPr="00414250">
              <w:rPr>
                <w:color w:val="000000"/>
                <w:w w:val="25"/>
                <w:shd w:val="solid" w:color="000000" w:fill="000000"/>
                <w:fitText w:val="113" w:id="-1305208312"/>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2"/>
                <w14:textFill>
                  <w14:solidFill>
                    <w14:srgbClr w14:val="000000">
                      <w14:alpha w14:val="100000"/>
                    </w14:srgbClr>
                  </w14:solidFill>
                </w14:textFill>
              </w:rPr>
              <w:t xml:space="preserve">　</w:t>
            </w:r>
            <w:r w:rsidR="00FE6287">
              <w:rPr>
                <w:vertAlign w:val="superscript"/>
              </w:rPr>
              <w:t>1</w:t>
            </w:r>
          </w:p>
        </w:tc>
        <w:tc>
          <w:tcPr>
            <w:tcW w:w="611" w:type="pct"/>
          </w:tcPr>
          <w:p w14:paraId="16296F43" w14:textId="516B4442" w:rsidR="001E546F" w:rsidRPr="00CD4D9E" w:rsidRDefault="00414250" w:rsidP="004A78D6">
            <w:pPr>
              <w:pStyle w:val="TableText0"/>
              <w:jc w:val="center"/>
            </w:pPr>
            <w:r w:rsidRPr="00FB0844">
              <w:rPr>
                <w:rFonts w:hint="eastAsia"/>
                <w:color w:val="000000"/>
                <w:w w:val="25"/>
                <w:shd w:val="solid" w:color="000000" w:fill="000000"/>
                <w:fitText w:val="113" w:id="-1305208311"/>
                <w14:textFill>
                  <w14:solidFill>
                    <w14:srgbClr w14:val="000000">
                      <w14:alpha w14:val="100000"/>
                    </w14:srgbClr>
                  </w14:solidFill>
                </w14:textFill>
              </w:rPr>
              <w:t xml:space="preserve">　</w:t>
            </w:r>
            <w:r w:rsidRPr="00FB0844">
              <w:rPr>
                <w:color w:val="000000"/>
                <w:w w:val="25"/>
                <w:shd w:val="solid" w:color="000000" w:fill="000000"/>
                <w:fitText w:val="113" w:id="-1305208311"/>
                <w14:textFill>
                  <w14:solidFill>
                    <w14:srgbClr w14:val="000000">
                      <w14:alpha w14:val="100000"/>
                    </w14:srgbClr>
                  </w14:solidFill>
                </w14:textFill>
              </w:rPr>
              <w:t>|</w:t>
            </w:r>
            <w:r w:rsidRPr="00FB0844">
              <w:rPr>
                <w:rFonts w:hint="eastAsia"/>
                <w:color w:val="000000"/>
                <w:spacing w:val="2"/>
                <w:w w:val="25"/>
                <w:shd w:val="solid" w:color="000000" w:fill="000000"/>
                <w:fitText w:val="113" w:id="-1305208311"/>
                <w14:textFill>
                  <w14:solidFill>
                    <w14:srgbClr w14:val="000000">
                      <w14:alpha w14:val="100000"/>
                    </w14:srgbClr>
                  </w14:solidFill>
                </w14:textFill>
              </w:rPr>
              <w:t xml:space="preserve">　</w:t>
            </w:r>
            <w:r w:rsidR="00FE6287">
              <w:rPr>
                <w:vertAlign w:val="superscript"/>
              </w:rPr>
              <w:t>2</w:t>
            </w:r>
          </w:p>
        </w:tc>
      </w:tr>
      <w:tr w:rsidR="001E546F" w:rsidRPr="003639A6" w14:paraId="1990D2A0" w14:textId="77777777" w:rsidTr="004A78D6">
        <w:tc>
          <w:tcPr>
            <w:tcW w:w="1334" w:type="pct"/>
            <w:shd w:val="clear" w:color="auto" w:fill="auto"/>
            <w:vAlign w:val="center"/>
          </w:tcPr>
          <w:p w14:paraId="2295E0FA" w14:textId="77777777" w:rsidR="001E546F" w:rsidRPr="003639A6" w:rsidRDefault="001E546F" w:rsidP="004A78D6">
            <w:pPr>
              <w:pStyle w:val="TableText0"/>
              <w:rPr>
                <w:rFonts w:ascii="Times" w:hAnsi="Times"/>
              </w:rPr>
            </w:pPr>
            <w:r w:rsidRPr="003639A6">
              <w:t xml:space="preserve">Number of </w:t>
            </w:r>
            <w:r>
              <w:t>packs per patient per year</w:t>
            </w:r>
            <w:r>
              <w:rPr>
                <w:vertAlign w:val="superscript"/>
              </w:rPr>
              <w:t>b</w:t>
            </w:r>
          </w:p>
        </w:tc>
        <w:tc>
          <w:tcPr>
            <w:tcW w:w="611" w:type="pct"/>
            <w:shd w:val="clear" w:color="auto" w:fill="auto"/>
          </w:tcPr>
          <w:p w14:paraId="6AE49E3A" w14:textId="63CC5D54" w:rsidR="001E546F" w:rsidRPr="003639A6" w:rsidRDefault="00414250" w:rsidP="004A78D6">
            <w:pPr>
              <w:pStyle w:val="TableText0"/>
              <w:jc w:val="center"/>
              <w:rPr>
                <w:color w:val="000000"/>
              </w:rPr>
            </w:pPr>
            <w:r w:rsidRPr="00414250">
              <w:rPr>
                <w:rFonts w:hint="eastAsia"/>
                <w:color w:val="000000"/>
                <w:w w:val="25"/>
                <w:shd w:val="solid" w:color="000000" w:fill="000000"/>
                <w:fitText w:val="113" w:id="-1305208310"/>
                <w14:textFill>
                  <w14:solidFill>
                    <w14:srgbClr w14:val="000000">
                      <w14:alpha w14:val="100000"/>
                    </w14:srgbClr>
                  </w14:solidFill>
                </w14:textFill>
              </w:rPr>
              <w:t xml:space="preserve">　</w:t>
            </w:r>
            <w:r w:rsidRPr="00414250">
              <w:rPr>
                <w:color w:val="000000"/>
                <w:w w:val="25"/>
                <w:shd w:val="solid" w:color="000000" w:fill="000000"/>
                <w:fitText w:val="113" w:id="-1305208310"/>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0"/>
                <w14:textFill>
                  <w14:solidFill>
                    <w14:srgbClr w14:val="000000">
                      <w14:alpha w14:val="100000"/>
                    </w14:srgbClr>
                  </w14:solidFill>
                </w14:textFill>
              </w:rPr>
              <w:t xml:space="preserve">　</w:t>
            </w:r>
            <w:r w:rsidR="00FE6287">
              <w:rPr>
                <w:vertAlign w:val="superscript"/>
              </w:rPr>
              <w:t>2</w:t>
            </w:r>
          </w:p>
        </w:tc>
        <w:tc>
          <w:tcPr>
            <w:tcW w:w="611" w:type="pct"/>
            <w:shd w:val="clear" w:color="auto" w:fill="auto"/>
          </w:tcPr>
          <w:p w14:paraId="5F96F4E1" w14:textId="5465F8BA"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09"/>
                <w14:textFill>
                  <w14:solidFill>
                    <w14:srgbClr w14:val="000000">
                      <w14:alpha w14:val="100000"/>
                    </w14:srgbClr>
                  </w14:solidFill>
                </w14:textFill>
              </w:rPr>
              <w:t xml:space="preserve">　</w:t>
            </w:r>
            <w:r w:rsidRPr="00FB0844">
              <w:rPr>
                <w:color w:val="000000"/>
                <w:w w:val="25"/>
                <w:shd w:val="solid" w:color="000000" w:fill="000000"/>
                <w:fitText w:val="113" w:id="-1305208309"/>
                <w14:textFill>
                  <w14:solidFill>
                    <w14:srgbClr w14:val="000000">
                      <w14:alpha w14:val="100000"/>
                    </w14:srgbClr>
                  </w14:solidFill>
                </w14:textFill>
              </w:rPr>
              <w:t>|</w:t>
            </w:r>
            <w:r w:rsidRPr="00FB0844">
              <w:rPr>
                <w:rFonts w:hint="eastAsia"/>
                <w:color w:val="000000"/>
                <w:spacing w:val="2"/>
                <w:w w:val="25"/>
                <w:shd w:val="solid" w:color="000000" w:fill="000000"/>
                <w:fitText w:val="113" w:id="-1305208309"/>
                <w14:textFill>
                  <w14:solidFill>
                    <w14:srgbClr w14:val="000000">
                      <w14:alpha w14:val="100000"/>
                    </w14:srgbClr>
                  </w14:solidFill>
                </w14:textFill>
              </w:rPr>
              <w:t xml:space="preserve">　</w:t>
            </w:r>
            <w:r w:rsidR="00FE6287">
              <w:rPr>
                <w:vertAlign w:val="superscript"/>
              </w:rPr>
              <w:t>3</w:t>
            </w:r>
          </w:p>
        </w:tc>
        <w:tc>
          <w:tcPr>
            <w:tcW w:w="611" w:type="pct"/>
            <w:shd w:val="clear" w:color="auto" w:fill="auto"/>
          </w:tcPr>
          <w:p w14:paraId="3D3D4576" w14:textId="43846654"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08"/>
                <w14:textFill>
                  <w14:solidFill>
                    <w14:srgbClr w14:val="000000">
                      <w14:alpha w14:val="100000"/>
                    </w14:srgbClr>
                  </w14:solidFill>
                </w14:textFill>
              </w:rPr>
              <w:t xml:space="preserve">　</w:t>
            </w:r>
            <w:r w:rsidRPr="00FB0844">
              <w:rPr>
                <w:color w:val="000000"/>
                <w:w w:val="25"/>
                <w:shd w:val="solid" w:color="000000" w:fill="000000"/>
                <w:fitText w:val="113" w:id="-1305208308"/>
                <w14:textFill>
                  <w14:solidFill>
                    <w14:srgbClr w14:val="000000">
                      <w14:alpha w14:val="100000"/>
                    </w14:srgbClr>
                  </w14:solidFill>
                </w14:textFill>
              </w:rPr>
              <w:t>|</w:t>
            </w:r>
            <w:r w:rsidRPr="00FB0844">
              <w:rPr>
                <w:rFonts w:hint="eastAsia"/>
                <w:color w:val="000000"/>
                <w:spacing w:val="2"/>
                <w:w w:val="25"/>
                <w:shd w:val="solid" w:color="000000" w:fill="000000"/>
                <w:fitText w:val="113" w:id="-1305208308"/>
                <w14:textFill>
                  <w14:solidFill>
                    <w14:srgbClr w14:val="000000">
                      <w14:alpha w14:val="100000"/>
                    </w14:srgbClr>
                  </w14:solidFill>
                </w14:textFill>
              </w:rPr>
              <w:t xml:space="preserve">　</w:t>
            </w:r>
            <w:r w:rsidR="00FE6287">
              <w:rPr>
                <w:vertAlign w:val="superscript"/>
              </w:rPr>
              <w:t>4</w:t>
            </w:r>
          </w:p>
        </w:tc>
        <w:tc>
          <w:tcPr>
            <w:tcW w:w="611" w:type="pct"/>
            <w:shd w:val="clear" w:color="auto" w:fill="auto"/>
          </w:tcPr>
          <w:p w14:paraId="729EA505" w14:textId="4899E2E4" w:rsidR="001E546F" w:rsidRPr="003639A6" w:rsidRDefault="00414250" w:rsidP="004A78D6">
            <w:pPr>
              <w:pStyle w:val="TableText0"/>
              <w:jc w:val="center"/>
              <w:rPr>
                <w:color w:val="000000"/>
              </w:rPr>
            </w:pPr>
            <w:r w:rsidRPr="00414250">
              <w:rPr>
                <w:rFonts w:hint="eastAsia"/>
                <w:color w:val="000000"/>
                <w:w w:val="25"/>
                <w:shd w:val="solid" w:color="000000" w:fill="000000"/>
                <w:fitText w:val="113" w:id="-1305208307"/>
                <w14:textFill>
                  <w14:solidFill>
                    <w14:srgbClr w14:val="000000">
                      <w14:alpha w14:val="100000"/>
                    </w14:srgbClr>
                  </w14:solidFill>
                </w14:textFill>
              </w:rPr>
              <w:t xml:space="preserve">　</w:t>
            </w:r>
            <w:r w:rsidRPr="00414250">
              <w:rPr>
                <w:color w:val="000000"/>
                <w:w w:val="25"/>
                <w:shd w:val="solid" w:color="000000" w:fill="000000"/>
                <w:fitText w:val="113" w:id="-1305208307"/>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7"/>
                <w14:textFill>
                  <w14:solidFill>
                    <w14:srgbClr w14:val="000000">
                      <w14:alpha w14:val="100000"/>
                    </w14:srgbClr>
                  </w14:solidFill>
                </w14:textFill>
              </w:rPr>
              <w:t xml:space="preserve">　</w:t>
            </w:r>
            <w:r w:rsidR="00FE6287">
              <w:rPr>
                <w:vertAlign w:val="superscript"/>
              </w:rPr>
              <w:t>5</w:t>
            </w:r>
            <w:r w:rsidR="001E546F" w:rsidRPr="006E4122">
              <w:t xml:space="preserve"> </w:t>
            </w:r>
          </w:p>
        </w:tc>
        <w:tc>
          <w:tcPr>
            <w:tcW w:w="611" w:type="pct"/>
            <w:shd w:val="clear" w:color="auto" w:fill="auto"/>
          </w:tcPr>
          <w:p w14:paraId="4B2D92E6" w14:textId="10A117AB"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06"/>
                <w14:textFill>
                  <w14:solidFill>
                    <w14:srgbClr w14:val="000000">
                      <w14:alpha w14:val="100000"/>
                    </w14:srgbClr>
                  </w14:solidFill>
                </w14:textFill>
              </w:rPr>
              <w:t xml:space="preserve">　</w:t>
            </w:r>
            <w:r w:rsidRPr="00FB0844">
              <w:rPr>
                <w:color w:val="000000"/>
                <w:w w:val="25"/>
                <w:shd w:val="solid" w:color="000000" w:fill="000000"/>
                <w:fitText w:val="113" w:id="-1305208306"/>
                <w14:textFill>
                  <w14:solidFill>
                    <w14:srgbClr w14:val="000000">
                      <w14:alpha w14:val="100000"/>
                    </w14:srgbClr>
                  </w14:solidFill>
                </w14:textFill>
              </w:rPr>
              <w:t>|</w:t>
            </w:r>
            <w:r w:rsidRPr="00FB0844">
              <w:rPr>
                <w:rFonts w:hint="eastAsia"/>
                <w:color w:val="000000"/>
                <w:spacing w:val="2"/>
                <w:w w:val="25"/>
                <w:shd w:val="solid" w:color="000000" w:fill="000000"/>
                <w:fitText w:val="113" w:id="-1305208306"/>
                <w14:textFill>
                  <w14:solidFill>
                    <w14:srgbClr w14:val="000000">
                      <w14:alpha w14:val="100000"/>
                    </w14:srgbClr>
                  </w14:solidFill>
                </w14:textFill>
              </w:rPr>
              <w:t xml:space="preserve">　</w:t>
            </w:r>
            <w:r w:rsidR="00FE6287">
              <w:rPr>
                <w:vertAlign w:val="superscript"/>
              </w:rPr>
              <w:t>6</w:t>
            </w:r>
          </w:p>
        </w:tc>
        <w:tc>
          <w:tcPr>
            <w:tcW w:w="611" w:type="pct"/>
          </w:tcPr>
          <w:p w14:paraId="2E69528E" w14:textId="2B526301" w:rsidR="001E546F" w:rsidRPr="003639A6" w:rsidRDefault="00414250" w:rsidP="004A78D6">
            <w:pPr>
              <w:pStyle w:val="TableText0"/>
              <w:jc w:val="center"/>
              <w:rPr>
                <w:color w:val="000000"/>
              </w:rPr>
            </w:pPr>
            <w:r w:rsidRPr="00FB0844">
              <w:rPr>
                <w:rFonts w:hint="eastAsia"/>
                <w:color w:val="000000"/>
                <w:w w:val="25"/>
                <w:shd w:val="solid" w:color="000000" w:fill="000000"/>
                <w:fitText w:val="113" w:id="-1305208305"/>
                <w14:textFill>
                  <w14:solidFill>
                    <w14:srgbClr w14:val="000000">
                      <w14:alpha w14:val="100000"/>
                    </w14:srgbClr>
                  </w14:solidFill>
                </w14:textFill>
              </w:rPr>
              <w:t xml:space="preserve">　</w:t>
            </w:r>
            <w:r w:rsidRPr="00FB0844">
              <w:rPr>
                <w:color w:val="000000"/>
                <w:w w:val="25"/>
                <w:shd w:val="solid" w:color="000000" w:fill="000000"/>
                <w:fitText w:val="113" w:id="-1305208305"/>
                <w14:textFill>
                  <w14:solidFill>
                    <w14:srgbClr w14:val="000000">
                      <w14:alpha w14:val="100000"/>
                    </w14:srgbClr>
                  </w14:solidFill>
                </w14:textFill>
              </w:rPr>
              <w:t>|</w:t>
            </w:r>
            <w:r w:rsidRPr="00FB0844">
              <w:rPr>
                <w:rFonts w:hint="eastAsia"/>
                <w:color w:val="000000"/>
                <w:spacing w:val="2"/>
                <w:w w:val="25"/>
                <w:shd w:val="solid" w:color="000000" w:fill="000000"/>
                <w:fitText w:val="113" w:id="-1305208305"/>
                <w14:textFill>
                  <w14:solidFill>
                    <w14:srgbClr w14:val="000000">
                      <w14:alpha w14:val="100000"/>
                    </w14:srgbClr>
                  </w14:solidFill>
                </w14:textFill>
              </w:rPr>
              <w:t xml:space="preserve">　</w:t>
            </w:r>
            <w:r w:rsidR="00FE6287">
              <w:rPr>
                <w:vertAlign w:val="superscript"/>
              </w:rPr>
              <w:t>7</w:t>
            </w:r>
          </w:p>
        </w:tc>
      </w:tr>
      <w:tr w:rsidR="001E546F" w:rsidRPr="00D1078F" w14:paraId="18B4F4A6" w14:textId="77777777" w:rsidTr="004A78D6">
        <w:tc>
          <w:tcPr>
            <w:tcW w:w="5000" w:type="pct"/>
            <w:gridSpan w:val="7"/>
            <w:shd w:val="clear" w:color="auto" w:fill="auto"/>
            <w:vAlign w:val="center"/>
          </w:tcPr>
          <w:p w14:paraId="63ED1113" w14:textId="692DE9DC" w:rsidR="001E546F" w:rsidRPr="00D1078F" w:rsidRDefault="001E546F" w:rsidP="004A78D6">
            <w:pPr>
              <w:pStyle w:val="In-tableHeading"/>
            </w:pPr>
            <w:r w:rsidRPr="00D1078F">
              <w:t xml:space="preserve">Estimated </w:t>
            </w:r>
            <w:r>
              <w:t>financial implications of mavacamten</w:t>
            </w:r>
          </w:p>
        </w:tc>
      </w:tr>
      <w:tr w:rsidR="004C5F0E" w:rsidRPr="003639A6" w14:paraId="5B26A666" w14:textId="77777777" w:rsidTr="004A78D6">
        <w:tc>
          <w:tcPr>
            <w:tcW w:w="1334" w:type="pct"/>
            <w:shd w:val="clear" w:color="auto" w:fill="auto"/>
            <w:vAlign w:val="center"/>
          </w:tcPr>
          <w:p w14:paraId="711A499C" w14:textId="37783639" w:rsidR="004C5F0E" w:rsidRDefault="004C5F0E" w:rsidP="004C5F0E">
            <w:pPr>
              <w:pStyle w:val="TableText0"/>
              <w:rPr>
                <w:sz w:val="19"/>
                <w:szCs w:val="19"/>
              </w:rPr>
            </w:pPr>
            <w:r>
              <w:rPr>
                <w:sz w:val="19"/>
                <w:szCs w:val="19"/>
              </w:rPr>
              <w:t>Cost to PBS/RPBS less copayments</w:t>
            </w:r>
            <w:r w:rsidR="00DC2BDF">
              <w:rPr>
                <w:sz w:val="19"/>
                <w:szCs w:val="19"/>
              </w:rPr>
              <w:t xml:space="preserve"> ($)</w:t>
            </w:r>
          </w:p>
        </w:tc>
        <w:tc>
          <w:tcPr>
            <w:tcW w:w="611" w:type="pct"/>
            <w:shd w:val="clear" w:color="auto" w:fill="auto"/>
          </w:tcPr>
          <w:p w14:paraId="1886E68D" w14:textId="44F25275" w:rsidR="004C5F0E" w:rsidRPr="00414250" w:rsidRDefault="00414250" w:rsidP="00414250">
            <w:pPr>
              <w:pStyle w:val="TableText0"/>
              <w:jc w:val="center"/>
              <w:rPr>
                <w:highlight w:val="darkGray"/>
              </w:rPr>
            </w:pPr>
            <w:r w:rsidRPr="00FB0844">
              <w:rPr>
                <w:iCs/>
                <w:color w:val="000000"/>
                <w:spacing w:val="60"/>
                <w:shd w:val="solid" w:color="000000" w:fill="000000"/>
                <w:fitText w:val="364" w:id="-1305208304"/>
                <w14:textFill>
                  <w14:solidFill>
                    <w14:srgbClr w14:val="000000">
                      <w14:alpha w14:val="100000"/>
                    </w14:srgbClr>
                  </w14:solidFill>
                </w14:textFill>
              </w:rPr>
              <w:t>|||</w:t>
            </w:r>
            <w:r w:rsidRPr="00FB0844">
              <w:rPr>
                <w:iCs/>
                <w:color w:val="000000"/>
                <w:spacing w:val="20"/>
                <w:shd w:val="solid" w:color="000000" w:fill="000000"/>
                <w:fitText w:val="364" w:id="-1305208304"/>
                <w14:textFill>
                  <w14:solidFill>
                    <w14:srgbClr w14:val="000000">
                      <w14:alpha w14:val="100000"/>
                    </w14:srgbClr>
                  </w14:solidFill>
                </w14:textFill>
              </w:rPr>
              <w:t>|</w:t>
            </w:r>
            <w:r w:rsidR="00286644" w:rsidRPr="00414250">
              <w:rPr>
                <w:iCs/>
                <w:vertAlign w:val="superscript"/>
              </w:rPr>
              <w:t>8</w:t>
            </w:r>
          </w:p>
        </w:tc>
        <w:tc>
          <w:tcPr>
            <w:tcW w:w="611" w:type="pct"/>
            <w:shd w:val="clear" w:color="auto" w:fill="auto"/>
          </w:tcPr>
          <w:p w14:paraId="0A4772E3" w14:textId="2ADFF62B" w:rsidR="004C5F0E" w:rsidRPr="003639A6" w:rsidRDefault="00414250" w:rsidP="004C5F0E">
            <w:pPr>
              <w:pStyle w:val="TableText0"/>
              <w:jc w:val="center"/>
            </w:pPr>
            <w:r w:rsidRPr="00414250">
              <w:rPr>
                <w:rFonts w:hint="eastAsia"/>
                <w:iCs/>
                <w:color w:val="000000"/>
                <w:w w:val="25"/>
                <w:shd w:val="solid" w:color="000000" w:fill="000000"/>
                <w:fitText w:val="113" w:id="-1305208320"/>
                <w14:textFill>
                  <w14:solidFill>
                    <w14:srgbClr w14:val="000000">
                      <w14:alpha w14:val="100000"/>
                    </w14:srgbClr>
                  </w14:solidFill>
                </w14:textFill>
              </w:rPr>
              <w:t xml:space="preserve">　</w:t>
            </w:r>
            <w:r w:rsidRPr="00414250">
              <w:rPr>
                <w:iCs/>
                <w:color w:val="000000"/>
                <w:w w:val="25"/>
                <w:shd w:val="solid" w:color="000000" w:fill="000000"/>
                <w:fitText w:val="113" w:id="-1305208320"/>
                <w14:textFill>
                  <w14:solidFill>
                    <w14:srgbClr w14:val="000000">
                      <w14:alpha w14:val="100000"/>
                    </w14:srgbClr>
                  </w14:solidFill>
                </w14:textFill>
              </w:rPr>
              <w:t>|</w:t>
            </w:r>
            <w:r w:rsidRPr="00414250">
              <w:rPr>
                <w:rFonts w:hint="eastAsia"/>
                <w:iCs/>
                <w:color w:val="000000"/>
                <w:spacing w:val="2"/>
                <w:w w:val="25"/>
                <w:shd w:val="solid" w:color="000000" w:fill="000000"/>
                <w:fitText w:val="113" w:id="-1305208320"/>
                <w14:textFill>
                  <w14:solidFill>
                    <w14:srgbClr w14:val="000000">
                      <w14:alpha w14:val="100000"/>
                    </w14:srgbClr>
                  </w14:solidFill>
                </w14:textFill>
              </w:rPr>
              <w:t xml:space="preserve">　</w:t>
            </w:r>
            <w:r w:rsidR="00286644">
              <w:rPr>
                <w:iCs/>
                <w:vertAlign w:val="superscript"/>
              </w:rPr>
              <w:t>9</w:t>
            </w:r>
          </w:p>
        </w:tc>
        <w:tc>
          <w:tcPr>
            <w:tcW w:w="611" w:type="pct"/>
            <w:shd w:val="clear" w:color="auto" w:fill="auto"/>
          </w:tcPr>
          <w:p w14:paraId="720F22C3" w14:textId="5943B7AA" w:rsidR="004C5F0E" w:rsidRPr="003639A6" w:rsidRDefault="00414250" w:rsidP="004C5F0E">
            <w:pPr>
              <w:pStyle w:val="TableText0"/>
              <w:jc w:val="center"/>
            </w:pPr>
            <w:r w:rsidRPr="00FB0844">
              <w:rPr>
                <w:rFonts w:hint="eastAsia"/>
                <w:iCs/>
                <w:color w:val="000000"/>
                <w:w w:val="28"/>
                <w:shd w:val="solid" w:color="000000" w:fill="000000"/>
                <w:fitText w:val="125" w:id="-1305208319"/>
                <w14:textFill>
                  <w14:solidFill>
                    <w14:srgbClr w14:val="000000">
                      <w14:alpha w14:val="100000"/>
                    </w14:srgbClr>
                  </w14:solidFill>
                </w14:textFill>
              </w:rPr>
              <w:t xml:space="preserve">　</w:t>
            </w:r>
            <w:r w:rsidRPr="00FB0844">
              <w:rPr>
                <w:iCs/>
                <w:color w:val="000000"/>
                <w:w w:val="28"/>
                <w:shd w:val="solid" w:color="000000" w:fill="000000"/>
                <w:fitText w:val="125" w:id="-1305208319"/>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9"/>
                <w14:textFill>
                  <w14:solidFill>
                    <w14:srgbClr w14:val="000000">
                      <w14:alpha w14:val="100000"/>
                    </w14:srgbClr>
                  </w14:solidFill>
                </w14:textFill>
              </w:rPr>
              <w:t xml:space="preserve">　</w:t>
            </w:r>
            <w:r w:rsidR="00286644">
              <w:rPr>
                <w:iCs/>
                <w:vertAlign w:val="superscript"/>
              </w:rPr>
              <w:t>10</w:t>
            </w:r>
          </w:p>
        </w:tc>
        <w:tc>
          <w:tcPr>
            <w:tcW w:w="611" w:type="pct"/>
            <w:shd w:val="clear" w:color="auto" w:fill="auto"/>
          </w:tcPr>
          <w:p w14:paraId="49B58ACD" w14:textId="50C8451E" w:rsidR="004C5F0E" w:rsidRPr="003639A6" w:rsidRDefault="00414250" w:rsidP="004C5F0E">
            <w:pPr>
              <w:pStyle w:val="TableText0"/>
              <w:jc w:val="center"/>
            </w:pPr>
            <w:r w:rsidRPr="00FB0844">
              <w:rPr>
                <w:rFonts w:hint="eastAsia"/>
                <w:iCs/>
                <w:color w:val="000000"/>
                <w:w w:val="28"/>
                <w:shd w:val="solid" w:color="000000" w:fill="000000"/>
                <w:fitText w:val="125" w:id="-1305208318"/>
                <w14:textFill>
                  <w14:solidFill>
                    <w14:srgbClr w14:val="000000">
                      <w14:alpha w14:val="100000"/>
                    </w14:srgbClr>
                  </w14:solidFill>
                </w14:textFill>
              </w:rPr>
              <w:t xml:space="preserve">　</w:t>
            </w:r>
            <w:r w:rsidRPr="00FB0844">
              <w:rPr>
                <w:iCs/>
                <w:color w:val="000000"/>
                <w:w w:val="28"/>
                <w:shd w:val="solid" w:color="000000" w:fill="000000"/>
                <w:fitText w:val="125" w:id="-1305208318"/>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8"/>
                <w14:textFill>
                  <w14:solidFill>
                    <w14:srgbClr w14:val="000000">
                      <w14:alpha w14:val="100000"/>
                    </w14:srgbClr>
                  </w14:solidFill>
                </w14:textFill>
              </w:rPr>
              <w:t xml:space="preserve">　</w:t>
            </w:r>
            <w:r w:rsidR="00286644">
              <w:rPr>
                <w:iCs/>
                <w:vertAlign w:val="superscript"/>
              </w:rPr>
              <w:t>11</w:t>
            </w:r>
          </w:p>
        </w:tc>
        <w:tc>
          <w:tcPr>
            <w:tcW w:w="611" w:type="pct"/>
            <w:shd w:val="clear" w:color="auto" w:fill="auto"/>
          </w:tcPr>
          <w:p w14:paraId="549AACF8" w14:textId="0B4F914F" w:rsidR="004C5F0E" w:rsidRPr="003639A6" w:rsidRDefault="00414250" w:rsidP="004C5F0E">
            <w:pPr>
              <w:pStyle w:val="TableText0"/>
              <w:jc w:val="center"/>
            </w:pPr>
            <w:r w:rsidRPr="00414250">
              <w:rPr>
                <w:rFonts w:hint="eastAsia"/>
                <w:iCs/>
                <w:color w:val="000000"/>
                <w:w w:val="28"/>
                <w:shd w:val="solid" w:color="000000" w:fill="000000"/>
                <w:fitText w:val="125" w:id="-1305208317"/>
                <w14:textFill>
                  <w14:solidFill>
                    <w14:srgbClr w14:val="000000">
                      <w14:alpha w14:val="100000"/>
                    </w14:srgbClr>
                  </w14:solidFill>
                </w14:textFill>
              </w:rPr>
              <w:t xml:space="preserve">　</w:t>
            </w:r>
            <w:r w:rsidRPr="00414250">
              <w:rPr>
                <w:iCs/>
                <w:color w:val="000000"/>
                <w:w w:val="28"/>
                <w:shd w:val="solid" w:color="000000" w:fill="000000"/>
                <w:fitText w:val="125" w:id="-1305208317"/>
                <w14:textFill>
                  <w14:solidFill>
                    <w14:srgbClr w14:val="000000">
                      <w14:alpha w14:val="100000"/>
                    </w14:srgbClr>
                  </w14:solidFill>
                </w14:textFill>
              </w:rPr>
              <w:t>|</w:t>
            </w:r>
            <w:r w:rsidRPr="00414250">
              <w:rPr>
                <w:rFonts w:hint="eastAsia"/>
                <w:iCs/>
                <w:color w:val="000000"/>
                <w:spacing w:val="3"/>
                <w:w w:val="28"/>
                <w:shd w:val="solid" w:color="000000" w:fill="000000"/>
                <w:fitText w:val="125" w:id="-1305208317"/>
                <w14:textFill>
                  <w14:solidFill>
                    <w14:srgbClr w14:val="000000">
                      <w14:alpha w14:val="100000"/>
                    </w14:srgbClr>
                  </w14:solidFill>
                </w14:textFill>
              </w:rPr>
              <w:t xml:space="preserve">　</w:t>
            </w:r>
            <w:r w:rsidR="00286644">
              <w:rPr>
                <w:iCs/>
                <w:vertAlign w:val="superscript"/>
              </w:rPr>
              <w:t>12</w:t>
            </w:r>
          </w:p>
        </w:tc>
        <w:tc>
          <w:tcPr>
            <w:tcW w:w="611" w:type="pct"/>
          </w:tcPr>
          <w:p w14:paraId="4CEA7F68" w14:textId="5F1B24A1" w:rsidR="004C5F0E" w:rsidRPr="003639A6" w:rsidRDefault="00414250" w:rsidP="004C5F0E">
            <w:pPr>
              <w:pStyle w:val="TableText0"/>
              <w:jc w:val="center"/>
            </w:pPr>
            <w:r w:rsidRPr="00FB0844">
              <w:rPr>
                <w:rFonts w:hint="eastAsia"/>
                <w:iCs/>
                <w:color w:val="000000"/>
                <w:w w:val="28"/>
                <w:shd w:val="solid" w:color="000000" w:fill="000000"/>
                <w:fitText w:val="125" w:id="-1305208316"/>
                <w14:textFill>
                  <w14:solidFill>
                    <w14:srgbClr w14:val="000000">
                      <w14:alpha w14:val="100000"/>
                    </w14:srgbClr>
                  </w14:solidFill>
                </w14:textFill>
              </w:rPr>
              <w:t xml:space="preserve">　</w:t>
            </w:r>
            <w:r w:rsidRPr="00FB0844">
              <w:rPr>
                <w:iCs/>
                <w:color w:val="000000"/>
                <w:w w:val="28"/>
                <w:shd w:val="solid" w:color="000000" w:fill="000000"/>
                <w:fitText w:val="125" w:id="-1305208316"/>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6"/>
                <w14:textFill>
                  <w14:solidFill>
                    <w14:srgbClr w14:val="000000">
                      <w14:alpha w14:val="100000"/>
                    </w14:srgbClr>
                  </w14:solidFill>
                </w14:textFill>
              </w:rPr>
              <w:t xml:space="preserve">　</w:t>
            </w:r>
            <w:r w:rsidR="00286644">
              <w:rPr>
                <w:iCs/>
                <w:vertAlign w:val="superscript"/>
              </w:rPr>
              <w:t>13</w:t>
            </w:r>
          </w:p>
        </w:tc>
      </w:tr>
      <w:tr w:rsidR="004C5F0E" w:rsidRPr="00FC22AB" w14:paraId="17776DA2" w14:textId="77777777" w:rsidTr="004A78D6">
        <w:tc>
          <w:tcPr>
            <w:tcW w:w="5000" w:type="pct"/>
            <w:gridSpan w:val="7"/>
            <w:shd w:val="clear" w:color="auto" w:fill="auto"/>
            <w:vAlign w:val="center"/>
          </w:tcPr>
          <w:p w14:paraId="0297DFF5" w14:textId="34608069" w:rsidR="004C5F0E" w:rsidRPr="00FC22AB" w:rsidRDefault="004C5F0E" w:rsidP="004C5F0E">
            <w:pPr>
              <w:pStyle w:val="In-tableHeading"/>
            </w:pPr>
            <w:r w:rsidRPr="00FC22AB">
              <w:t>Net financial implications</w:t>
            </w:r>
          </w:p>
        </w:tc>
      </w:tr>
      <w:tr w:rsidR="004C5F0E" w:rsidRPr="003639A6" w14:paraId="33EB6189" w14:textId="77777777" w:rsidTr="004A78D6">
        <w:tc>
          <w:tcPr>
            <w:tcW w:w="1334" w:type="pct"/>
            <w:shd w:val="clear" w:color="auto" w:fill="auto"/>
            <w:vAlign w:val="center"/>
          </w:tcPr>
          <w:p w14:paraId="5BB59919" w14:textId="3115E513" w:rsidR="004C5F0E" w:rsidRDefault="004C5F0E" w:rsidP="004C5F0E">
            <w:pPr>
              <w:pStyle w:val="TableText0"/>
              <w:rPr>
                <w:sz w:val="19"/>
                <w:szCs w:val="19"/>
              </w:rPr>
            </w:pPr>
            <w:r>
              <w:rPr>
                <w:sz w:val="19"/>
                <w:szCs w:val="19"/>
              </w:rPr>
              <w:t>Net cost to PBS/RPBS</w:t>
            </w:r>
            <w:r w:rsidR="00DC2BDF">
              <w:rPr>
                <w:sz w:val="19"/>
                <w:szCs w:val="19"/>
              </w:rPr>
              <w:t xml:space="preserve"> ($)</w:t>
            </w:r>
          </w:p>
        </w:tc>
        <w:tc>
          <w:tcPr>
            <w:tcW w:w="611" w:type="pct"/>
            <w:shd w:val="clear" w:color="auto" w:fill="auto"/>
          </w:tcPr>
          <w:p w14:paraId="60BF3C3B" w14:textId="11E53E18" w:rsidR="004C5F0E" w:rsidRPr="003639A6" w:rsidRDefault="00414250" w:rsidP="004C5F0E">
            <w:pPr>
              <w:pStyle w:val="TableText0"/>
              <w:jc w:val="center"/>
            </w:pPr>
            <w:r w:rsidRPr="00FB0844">
              <w:rPr>
                <w:rFonts w:hint="eastAsia"/>
                <w:iCs/>
                <w:color w:val="000000"/>
                <w:w w:val="25"/>
                <w:shd w:val="solid" w:color="000000" w:fill="000000"/>
                <w:fitText w:val="113" w:id="-1305208315"/>
                <w14:textFill>
                  <w14:solidFill>
                    <w14:srgbClr w14:val="000000">
                      <w14:alpha w14:val="100000"/>
                    </w14:srgbClr>
                  </w14:solidFill>
                </w14:textFill>
              </w:rPr>
              <w:t xml:space="preserve">　</w:t>
            </w:r>
            <w:r w:rsidRPr="00FB0844">
              <w:rPr>
                <w:iCs/>
                <w:color w:val="000000"/>
                <w:w w:val="25"/>
                <w:shd w:val="solid" w:color="000000" w:fill="000000"/>
                <w:fitText w:val="113" w:id="-1305208315"/>
                <w14:textFill>
                  <w14:solidFill>
                    <w14:srgbClr w14:val="000000">
                      <w14:alpha w14:val="100000"/>
                    </w14:srgbClr>
                  </w14:solidFill>
                </w14:textFill>
              </w:rPr>
              <w:t>|</w:t>
            </w:r>
            <w:r w:rsidRPr="00FB0844">
              <w:rPr>
                <w:rFonts w:hint="eastAsia"/>
                <w:iCs/>
                <w:color w:val="000000"/>
                <w:spacing w:val="2"/>
                <w:w w:val="25"/>
                <w:shd w:val="solid" w:color="000000" w:fill="000000"/>
                <w:fitText w:val="113" w:id="-1305208315"/>
                <w14:textFill>
                  <w14:solidFill>
                    <w14:srgbClr w14:val="000000">
                      <w14:alpha w14:val="100000"/>
                    </w14:srgbClr>
                  </w14:solidFill>
                </w14:textFill>
              </w:rPr>
              <w:t xml:space="preserve">　</w:t>
            </w:r>
            <w:r w:rsidR="00286644" w:rsidRPr="002503FB">
              <w:rPr>
                <w:iCs/>
                <w:vertAlign w:val="superscript"/>
              </w:rPr>
              <w:t>8</w:t>
            </w:r>
          </w:p>
        </w:tc>
        <w:tc>
          <w:tcPr>
            <w:tcW w:w="611" w:type="pct"/>
            <w:shd w:val="clear" w:color="auto" w:fill="auto"/>
          </w:tcPr>
          <w:p w14:paraId="23768FB5" w14:textId="0067B73E" w:rsidR="004C5F0E" w:rsidRPr="003639A6" w:rsidRDefault="00414250" w:rsidP="004C5F0E">
            <w:pPr>
              <w:pStyle w:val="TableText0"/>
              <w:jc w:val="center"/>
            </w:pPr>
            <w:r w:rsidRPr="00FB0844">
              <w:rPr>
                <w:rFonts w:hint="eastAsia"/>
                <w:iCs/>
                <w:color w:val="000000"/>
                <w:w w:val="25"/>
                <w:shd w:val="solid" w:color="000000" w:fill="000000"/>
                <w:fitText w:val="113" w:id="-1305208314"/>
                <w14:textFill>
                  <w14:solidFill>
                    <w14:srgbClr w14:val="000000">
                      <w14:alpha w14:val="100000"/>
                    </w14:srgbClr>
                  </w14:solidFill>
                </w14:textFill>
              </w:rPr>
              <w:t xml:space="preserve">　</w:t>
            </w:r>
            <w:r w:rsidRPr="00FB0844">
              <w:rPr>
                <w:iCs/>
                <w:color w:val="000000"/>
                <w:w w:val="25"/>
                <w:shd w:val="solid" w:color="000000" w:fill="000000"/>
                <w:fitText w:val="113" w:id="-1305208314"/>
                <w14:textFill>
                  <w14:solidFill>
                    <w14:srgbClr w14:val="000000">
                      <w14:alpha w14:val="100000"/>
                    </w14:srgbClr>
                  </w14:solidFill>
                </w14:textFill>
              </w:rPr>
              <w:t>|</w:t>
            </w:r>
            <w:r w:rsidRPr="00FB0844">
              <w:rPr>
                <w:rFonts w:hint="eastAsia"/>
                <w:iCs/>
                <w:color w:val="000000"/>
                <w:spacing w:val="2"/>
                <w:w w:val="25"/>
                <w:shd w:val="solid" w:color="000000" w:fill="000000"/>
                <w:fitText w:val="113" w:id="-1305208314"/>
                <w14:textFill>
                  <w14:solidFill>
                    <w14:srgbClr w14:val="000000">
                      <w14:alpha w14:val="100000"/>
                    </w14:srgbClr>
                  </w14:solidFill>
                </w14:textFill>
              </w:rPr>
              <w:t xml:space="preserve">　</w:t>
            </w:r>
            <w:r w:rsidR="00286644">
              <w:rPr>
                <w:iCs/>
                <w:vertAlign w:val="superscript"/>
              </w:rPr>
              <w:t>9</w:t>
            </w:r>
          </w:p>
        </w:tc>
        <w:tc>
          <w:tcPr>
            <w:tcW w:w="611" w:type="pct"/>
            <w:shd w:val="clear" w:color="auto" w:fill="auto"/>
          </w:tcPr>
          <w:p w14:paraId="1673D84A" w14:textId="4C3095FC" w:rsidR="004C5F0E" w:rsidRPr="003639A6" w:rsidRDefault="00414250" w:rsidP="004C5F0E">
            <w:pPr>
              <w:pStyle w:val="TableText0"/>
              <w:jc w:val="center"/>
            </w:pPr>
            <w:r w:rsidRPr="00FB0844">
              <w:rPr>
                <w:rFonts w:hint="eastAsia"/>
                <w:iCs/>
                <w:color w:val="000000"/>
                <w:w w:val="28"/>
                <w:shd w:val="solid" w:color="000000" w:fill="000000"/>
                <w:fitText w:val="125" w:id="-1305208313"/>
                <w14:textFill>
                  <w14:solidFill>
                    <w14:srgbClr w14:val="000000">
                      <w14:alpha w14:val="100000"/>
                    </w14:srgbClr>
                  </w14:solidFill>
                </w14:textFill>
              </w:rPr>
              <w:t xml:space="preserve">　</w:t>
            </w:r>
            <w:r w:rsidRPr="00FB0844">
              <w:rPr>
                <w:iCs/>
                <w:color w:val="000000"/>
                <w:w w:val="28"/>
                <w:shd w:val="solid" w:color="000000" w:fill="000000"/>
                <w:fitText w:val="125" w:id="-1305208313"/>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3"/>
                <w14:textFill>
                  <w14:solidFill>
                    <w14:srgbClr w14:val="000000">
                      <w14:alpha w14:val="100000"/>
                    </w14:srgbClr>
                  </w14:solidFill>
                </w14:textFill>
              </w:rPr>
              <w:t xml:space="preserve">　</w:t>
            </w:r>
            <w:r w:rsidR="00286644">
              <w:rPr>
                <w:iCs/>
                <w:vertAlign w:val="superscript"/>
              </w:rPr>
              <w:t>10</w:t>
            </w:r>
          </w:p>
        </w:tc>
        <w:tc>
          <w:tcPr>
            <w:tcW w:w="611" w:type="pct"/>
            <w:shd w:val="clear" w:color="auto" w:fill="auto"/>
          </w:tcPr>
          <w:p w14:paraId="753D57EF" w14:textId="42E65C38" w:rsidR="004C5F0E" w:rsidRPr="003639A6" w:rsidRDefault="00414250" w:rsidP="004C5F0E">
            <w:pPr>
              <w:pStyle w:val="TableText0"/>
              <w:jc w:val="center"/>
            </w:pPr>
            <w:r w:rsidRPr="00FB0844">
              <w:rPr>
                <w:rFonts w:hint="eastAsia"/>
                <w:iCs/>
                <w:color w:val="000000"/>
                <w:w w:val="28"/>
                <w:shd w:val="solid" w:color="000000" w:fill="000000"/>
                <w:fitText w:val="125" w:id="-1305208312"/>
                <w14:textFill>
                  <w14:solidFill>
                    <w14:srgbClr w14:val="000000">
                      <w14:alpha w14:val="100000"/>
                    </w14:srgbClr>
                  </w14:solidFill>
                </w14:textFill>
              </w:rPr>
              <w:t xml:space="preserve">　</w:t>
            </w:r>
            <w:r w:rsidRPr="00FB0844">
              <w:rPr>
                <w:iCs/>
                <w:color w:val="000000"/>
                <w:w w:val="28"/>
                <w:shd w:val="solid" w:color="000000" w:fill="000000"/>
                <w:fitText w:val="125" w:id="-1305208312"/>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2"/>
                <w14:textFill>
                  <w14:solidFill>
                    <w14:srgbClr w14:val="000000">
                      <w14:alpha w14:val="100000"/>
                    </w14:srgbClr>
                  </w14:solidFill>
                </w14:textFill>
              </w:rPr>
              <w:t xml:space="preserve">　</w:t>
            </w:r>
            <w:r w:rsidR="00286644">
              <w:rPr>
                <w:iCs/>
                <w:vertAlign w:val="superscript"/>
              </w:rPr>
              <w:t>11</w:t>
            </w:r>
          </w:p>
        </w:tc>
        <w:tc>
          <w:tcPr>
            <w:tcW w:w="611" w:type="pct"/>
            <w:shd w:val="clear" w:color="auto" w:fill="auto"/>
          </w:tcPr>
          <w:p w14:paraId="4D636FD9" w14:textId="49FD992E" w:rsidR="004C5F0E" w:rsidRPr="003639A6" w:rsidRDefault="00414250" w:rsidP="004C5F0E">
            <w:pPr>
              <w:pStyle w:val="TableText0"/>
              <w:jc w:val="center"/>
            </w:pPr>
            <w:r w:rsidRPr="00FB0844">
              <w:rPr>
                <w:rFonts w:hint="eastAsia"/>
                <w:iCs/>
                <w:color w:val="000000"/>
                <w:w w:val="28"/>
                <w:shd w:val="solid" w:color="000000" w:fill="000000"/>
                <w:fitText w:val="125" w:id="-1305208311"/>
                <w14:textFill>
                  <w14:solidFill>
                    <w14:srgbClr w14:val="000000">
                      <w14:alpha w14:val="100000"/>
                    </w14:srgbClr>
                  </w14:solidFill>
                </w14:textFill>
              </w:rPr>
              <w:t xml:space="preserve">　</w:t>
            </w:r>
            <w:r w:rsidRPr="00FB0844">
              <w:rPr>
                <w:iCs/>
                <w:color w:val="000000"/>
                <w:w w:val="28"/>
                <w:shd w:val="solid" w:color="000000" w:fill="000000"/>
                <w:fitText w:val="125" w:id="-1305208311"/>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1"/>
                <w14:textFill>
                  <w14:solidFill>
                    <w14:srgbClr w14:val="000000">
                      <w14:alpha w14:val="100000"/>
                    </w14:srgbClr>
                  </w14:solidFill>
                </w14:textFill>
              </w:rPr>
              <w:t xml:space="preserve">　</w:t>
            </w:r>
            <w:r w:rsidR="00286644">
              <w:rPr>
                <w:iCs/>
                <w:vertAlign w:val="superscript"/>
              </w:rPr>
              <w:t>12</w:t>
            </w:r>
          </w:p>
        </w:tc>
        <w:tc>
          <w:tcPr>
            <w:tcW w:w="611" w:type="pct"/>
          </w:tcPr>
          <w:p w14:paraId="7AC6B3C4" w14:textId="36E45D6F" w:rsidR="004C5F0E" w:rsidRPr="003639A6" w:rsidRDefault="00414250" w:rsidP="004C5F0E">
            <w:pPr>
              <w:pStyle w:val="TableText0"/>
              <w:jc w:val="center"/>
            </w:pPr>
            <w:r w:rsidRPr="00FB0844">
              <w:rPr>
                <w:rFonts w:hint="eastAsia"/>
                <w:iCs/>
                <w:color w:val="000000"/>
                <w:w w:val="28"/>
                <w:shd w:val="solid" w:color="000000" w:fill="000000"/>
                <w:fitText w:val="125" w:id="-1305208310"/>
                <w14:textFill>
                  <w14:solidFill>
                    <w14:srgbClr w14:val="000000">
                      <w14:alpha w14:val="100000"/>
                    </w14:srgbClr>
                  </w14:solidFill>
                </w14:textFill>
              </w:rPr>
              <w:t xml:space="preserve">　</w:t>
            </w:r>
            <w:r w:rsidRPr="00FB0844">
              <w:rPr>
                <w:iCs/>
                <w:color w:val="000000"/>
                <w:w w:val="28"/>
                <w:shd w:val="solid" w:color="000000" w:fill="000000"/>
                <w:fitText w:val="125" w:id="-1305208310"/>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0"/>
                <w14:textFill>
                  <w14:solidFill>
                    <w14:srgbClr w14:val="000000">
                      <w14:alpha w14:val="100000"/>
                    </w14:srgbClr>
                  </w14:solidFill>
                </w14:textFill>
              </w:rPr>
              <w:t xml:space="preserve">　</w:t>
            </w:r>
            <w:r w:rsidR="00286644">
              <w:rPr>
                <w:iCs/>
                <w:vertAlign w:val="superscript"/>
              </w:rPr>
              <w:t>13</w:t>
            </w:r>
          </w:p>
        </w:tc>
      </w:tr>
      <w:tr w:rsidR="004C5F0E" w:rsidRPr="003639A6" w14:paraId="1C2CF6AC" w14:textId="77777777" w:rsidTr="004A78D6">
        <w:tc>
          <w:tcPr>
            <w:tcW w:w="1334" w:type="pct"/>
            <w:shd w:val="clear" w:color="auto" w:fill="auto"/>
            <w:vAlign w:val="center"/>
          </w:tcPr>
          <w:p w14:paraId="1BCCC9EF" w14:textId="3E94F0AC" w:rsidR="004C5F0E" w:rsidRPr="003639A6" w:rsidRDefault="004C5F0E" w:rsidP="004C5F0E">
            <w:pPr>
              <w:pStyle w:val="TableText0"/>
              <w:rPr>
                <w:rFonts w:ascii="Times" w:hAnsi="Times"/>
              </w:rPr>
            </w:pPr>
            <w:r>
              <w:rPr>
                <w:sz w:val="19"/>
                <w:szCs w:val="19"/>
              </w:rPr>
              <w:t>Net cost to</w:t>
            </w:r>
            <w:r w:rsidRPr="003639A6">
              <w:rPr>
                <w:sz w:val="19"/>
                <w:szCs w:val="19"/>
              </w:rPr>
              <w:t xml:space="preserve"> MBS</w:t>
            </w:r>
            <w:r w:rsidR="00FE6287">
              <w:rPr>
                <w:sz w:val="19"/>
                <w:szCs w:val="19"/>
              </w:rPr>
              <w:t xml:space="preserve"> ($)</w:t>
            </w:r>
          </w:p>
        </w:tc>
        <w:tc>
          <w:tcPr>
            <w:tcW w:w="611" w:type="pct"/>
            <w:shd w:val="clear" w:color="auto" w:fill="auto"/>
          </w:tcPr>
          <w:p w14:paraId="1A6BA374" w14:textId="53DC938A" w:rsidR="004C5F0E" w:rsidRPr="003639A6" w:rsidRDefault="00414250" w:rsidP="004C5F0E">
            <w:pPr>
              <w:pStyle w:val="TableText0"/>
              <w:jc w:val="center"/>
            </w:pPr>
            <w:r w:rsidRPr="00FB0844">
              <w:rPr>
                <w:rFonts w:hint="eastAsia"/>
                <w:iCs/>
                <w:color w:val="000000"/>
                <w:w w:val="28"/>
                <w:shd w:val="solid" w:color="000000" w:fill="000000"/>
                <w:fitText w:val="126" w:id="-1305208309"/>
                <w14:textFill>
                  <w14:solidFill>
                    <w14:srgbClr w14:val="000000">
                      <w14:alpha w14:val="100000"/>
                    </w14:srgbClr>
                  </w14:solidFill>
                </w14:textFill>
              </w:rPr>
              <w:t xml:space="preserve">　</w:t>
            </w:r>
            <w:r w:rsidRPr="00FB0844">
              <w:rPr>
                <w:iCs/>
                <w:color w:val="000000"/>
                <w:w w:val="28"/>
                <w:shd w:val="solid" w:color="000000" w:fill="000000"/>
                <w:fitText w:val="126" w:id="-1305208309"/>
                <w14:textFill>
                  <w14:solidFill>
                    <w14:srgbClr w14:val="000000">
                      <w14:alpha w14:val="100000"/>
                    </w14:srgbClr>
                  </w14:solidFill>
                </w14:textFill>
              </w:rPr>
              <w:t>|</w:t>
            </w:r>
            <w:r w:rsidRPr="00FB0844">
              <w:rPr>
                <w:rFonts w:hint="eastAsia"/>
                <w:iCs/>
                <w:color w:val="000000"/>
                <w:spacing w:val="4"/>
                <w:w w:val="28"/>
                <w:shd w:val="solid" w:color="000000" w:fill="000000"/>
                <w:fitText w:val="126" w:id="-1305208309"/>
                <w14:textFill>
                  <w14:solidFill>
                    <w14:srgbClr w14:val="000000">
                      <w14:alpha w14:val="100000"/>
                    </w14:srgbClr>
                  </w14:solidFill>
                </w14:textFill>
              </w:rPr>
              <w:t xml:space="preserve">　</w:t>
            </w:r>
            <w:r w:rsidR="00286644">
              <w:rPr>
                <w:iCs/>
                <w:vertAlign w:val="superscript"/>
              </w:rPr>
              <w:t>14</w:t>
            </w:r>
          </w:p>
        </w:tc>
        <w:tc>
          <w:tcPr>
            <w:tcW w:w="611" w:type="pct"/>
            <w:shd w:val="clear" w:color="auto" w:fill="auto"/>
          </w:tcPr>
          <w:p w14:paraId="2E6A5383" w14:textId="6E54400F" w:rsidR="004C5F0E" w:rsidRPr="003639A6" w:rsidRDefault="00414250" w:rsidP="004C5F0E">
            <w:pPr>
              <w:pStyle w:val="TableText0"/>
              <w:jc w:val="center"/>
            </w:pPr>
            <w:r w:rsidRPr="00FB0844">
              <w:rPr>
                <w:rFonts w:hint="eastAsia"/>
                <w:iCs/>
                <w:color w:val="000000"/>
                <w:w w:val="28"/>
                <w:shd w:val="solid" w:color="000000" w:fill="000000"/>
                <w:fitText w:val="125" w:id="-1305208308"/>
                <w14:textFill>
                  <w14:solidFill>
                    <w14:srgbClr w14:val="000000">
                      <w14:alpha w14:val="100000"/>
                    </w14:srgbClr>
                  </w14:solidFill>
                </w14:textFill>
              </w:rPr>
              <w:t xml:space="preserve">　</w:t>
            </w:r>
            <w:r w:rsidRPr="00FB0844">
              <w:rPr>
                <w:iCs/>
                <w:color w:val="000000"/>
                <w:w w:val="28"/>
                <w:shd w:val="solid" w:color="000000" w:fill="000000"/>
                <w:fitText w:val="125" w:id="-1305208308"/>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08"/>
                <w14:textFill>
                  <w14:solidFill>
                    <w14:srgbClr w14:val="000000">
                      <w14:alpha w14:val="100000"/>
                    </w14:srgbClr>
                  </w14:solidFill>
                </w14:textFill>
              </w:rPr>
              <w:t xml:space="preserve">　</w:t>
            </w:r>
            <w:r w:rsidR="00286644">
              <w:rPr>
                <w:iCs/>
                <w:vertAlign w:val="superscript"/>
              </w:rPr>
              <w:t>14</w:t>
            </w:r>
          </w:p>
        </w:tc>
        <w:tc>
          <w:tcPr>
            <w:tcW w:w="611" w:type="pct"/>
            <w:shd w:val="clear" w:color="auto" w:fill="auto"/>
          </w:tcPr>
          <w:p w14:paraId="40128F2C" w14:textId="0D7A81B8" w:rsidR="004C5F0E" w:rsidRPr="003639A6" w:rsidRDefault="00414250" w:rsidP="004C5F0E">
            <w:pPr>
              <w:pStyle w:val="TableText0"/>
              <w:jc w:val="center"/>
            </w:pPr>
            <w:r w:rsidRPr="00FB0844">
              <w:rPr>
                <w:rFonts w:hint="eastAsia"/>
                <w:iCs/>
                <w:color w:val="000000"/>
                <w:w w:val="28"/>
                <w:shd w:val="solid" w:color="000000" w:fill="000000"/>
                <w:fitText w:val="125" w:id="-1305208307"/>
                <w14:textFill>
                  <w14:solidFill>
                    <w14:srgbClr w14:val="000000">
                      <w14:alpha w14:val="100000"/>
                    </w14:srgbClr>
                  </w14:solidFill>
                </w14:textFill>
              </w:rPr>
              <w:t xml:space="preserve">　</w:t>
            </w:r>
            <w:r w:rsidRPr="00FB0844">
              <w:rPr>
                <w:iCs/>
                <w:color w:val="000000"/>
                <w:w w:val="28"/>
                <w:shd w:val="solid" w:color="000000" w:fill="000000"/>
                <w:fitText w:val="125" w:id="-1305208307"/>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07"/>
                <w14:textFill>
                  <w14:solidFill>
                    <w14:srgbClr w14:val="000000">
                      <w14:alpha w14:val="100000"/>
                    </w14:srgbClr>
                  </w14:solidFill>
                </w14:textFill>
              </w:rPr>
              <w:t xml:space="preserve">　</w:t>
            </w:r>
            <w:r w:rsidR="00286644">
              <w:rPr>
                <w:iCs/>
                <w:vertAlign w:val="superscript"/>
              </w:rPr>
              <w:t>14</w:t>
            </w:r>
          </w:p>
        </w:tc>
        <w:tc>
          <w:tcPr>
            <w:tcW w:w="611" w:type="pct"/>
            <w:shd w:val="clear" w:color="auto" w:fill="auto"/>
          </w:tcPr>
          <w:p w14:paraId="230B68DF" w14:textId="1532ECD6" w:rsidR="004C5F0E" w:rsidRPr="003639A6" w:rsidRDefault="00414250" w:rsidP="004C5F0E">
            <w:pPr>
              <w:pStyle w:val="TableText0"/>
              <w:jc w:val="center"/>
            </w:pPr>
            <w:r w:rsidRPr="00FB0844">
              <w:rPr>
                <w:rFonts w:hint="eastAsia"/>
                <w:iCs/>
                <w:color w:val="000000"/>
                <w:w w:val="28"/>
                <w:shd w:val="solid" w:color="000000" w:fill="000000"/>
                <w:fitText w:val="125" w:id="-1305208306"/>
                <w14:textFill>
                  <w14:solidFill>
                    <w14:srgbClr w14:val="000000">
                      <w14:alpha w14:val="100000"/>
                    </w14:srgbClr>
                  </w14:solidFill>
                </w14:textFill>
              </w:rPr>
              <w:t xml:space="preserve">　</w:t>
            </w:r>
            <w:r w:rsidRPr="00FB0844">
              <w:rPr>
                <w:iCs/>
                <w:color w:val="000000"/>
                <w:w w:val="28"/>
                <w:shd w:val="solid" w:color="000000" w:fill="000000"/>
                <w:fitText w:val="125" w:id="-1305208306"/>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06"/>
                <w14:textFill>
                  <w14:solidFill>
                    <w14:srgbClr w14:val="000000">
                      <w14:alpha w14:val="100000"/>
                    </w14:srgbClr>
                  </w14:solidFill>
                </w14:textFill>
              </w:rPr>
              <w:t xml:space="preserve">　</w:t>
            </w:r>
            <w:r w:rsidR="00286644">
              <w:rPr>
                <w:iCs/>
                <w:vertAlign w:val="superscript"/>
              </w:rPr>
              <w:t>14</w:t>
            </w:r>
          </w:p>
        </w:tc>
        <w:tc>
          <w:tcPr>
            <w:tcW w:w="611" w:type="pct"/>
            <w:shd w:val="clear" w:color="auto" w:fill="auto"/>
          </w:tcPr>
          <w:p w14:paraId="07C2FD58" w14:textId="2D7083F1" w:rsidR="004C5F0E" w:rsidRPr="003639A6" w:rsidRDefault="00414250" w:rsidP="004C5F0E">
            <w:pPr>
              <w:pStyle w:val="TableText0"/>
              <w:jc w:val="center"/>
            </w:pPr>
            <w:r w:rsidRPr="00FB0844">
              <w:rPr>
                <w:rFonts w:hint="eastAsia"/>
                <w:iCs/>
                <w:color w:val="000000"/>
                <w:w w:val="28"/>
                <w:shd w:val="solid" w:color="000000" w:fill="000000"/>
                <w:fitText w:val="125" w:id="-1305208305"/>
                <w14:textFill>
                  <w14:solidFill>
                    <w14:srgbClr w14:val="000000">
                      <w14:alpha w14:val="100000"/>
                    </w14:srgbClr>
                  </w14:solidFill>
                </w14:textFill>
              </w:rPr>
              <w:t xml:space="preserve">　</w:t>
            </w:r>
            <w:r w:rsidRPr="00FB0844">
              <w:rPr>
                <w:iCs/>
                <w:color w:val="000000"/>
                <w:w w:val="28"/>
                <w:shd w:val="solid" w:color="000000" w:fill="000000"/>
                <w:fitText w:val="125" w:id="-1305208305"/>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05"/>
                <w14:textFill>
                  <w14:solidFill>
                    <w14:srgbClr w14:val="000000">
                      <w14:alpha w14:val="100000"/>
                    </w14:srgbClr>
                  </w14:solidFill>
                </w14:textFill>
              </w:rPr>
              <w:t xml:space="preserve">　</w:t>
            </w:r>
            <w:r w:rsidR="00286644">
              <w:rPr>
                <w:iCs/>
                <w:vertAlign w:val="superscript"/>
              </w:rPr>
              <w:t>14</w:t>
            </w:r>
          </w:p>
        </w:tc>
        <w:tc>
          <w:tcPr>
            <w:tcW w:w="611" w:type="pct"/>
          </w:tcPr>
          <w:p w14:paraId="5E7DD3A3" w14:textId="0BD7C244" w:rsidR="004C5F0E" w:rsidRPr="003639A6" w:rsidRDefault="00414250" w:rsidP="004C5F0E">
            <w:pPr>
              <w:pStyle w:val="TableText0"/>
              <w:jc w:val="center"/>
            </w:pPr>
            <w:r w:rsidRPr="00FB0844">
              <w:rPr>
                <w:rFonts w:hint="eastAsia"/>
                <w:iCs/>
                <w:color w:val="000000"/>
                <w:w w:val="28"/>
                <w:shd w:val="solid" w:color="000000" w:fill="000000"/>
                <w:fitText w:val="125" w:id="-1305208304"/>
                <w14:textFill>
                  <w14:solidFill>
                    <w14:srgbClr w14:val="000000">
                      <w14:alpha w14:val="100000"/>
                    </w14:srgbClr>
                  </w14:solidFill>
                </w14:textFill>
              </w:rPr>
              <w:t xml:space="preserve">　</w:t>
            </w:r>
            <w:r w:rsidRPr="00FB0844">
              <w:rPr>
                <w:iCs/>
                <w:color w:val="000000"/>
                <w:w w:val="28"/>
                <w:shd w:val="solid" w:color="000000" w:fill="000000"/>
                <w:fitText w:val="125" w:id="-1305208304"/>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04"/>
                <w14:textFill>
                  <w14:solidFill>
                    <w14:srgbClr w14:val="000000">
                      <w14:alpha w14:val="100000"/>
                    </w14:srgbClr>
                  </w14:solidFill>
                </w14:textFill>
              </w:rPr>
              <w:t xml:space="preserve">　</w:t>
            </w:r>
            <w:r w:rsidR="00286644">
              <w:rPr>
                <w:iCs/>
                <w:vertAlign w:val="superscript"/>
              </w:rPr>
              <w:t>14</w:t>
            </w:r>
          </w:p>
        </w:tc>
      </w:tr>
      <w:tr w:rsidR="004C5F0E" w:rsidRPr="003639A6" w14:paraId="5C237633" w14:textId="77777777" w:rsidTr="004A78D6">
        <w:tc>
          <w:tcPr>
            <w:tcW w:w="1334" w:type="pct"/>
            <w:shd w:val="clear" w:color="auto" w:fill="auto"/>
            <w:vAlign w:val="center"/>
          </w:tcPr>
          <w:p w14:paraId="1C3DBC30" w14:textId="3B929835" w:rsidR="004C5F0E" w:rsidRPr="003639A6" w:rsidRDefault="004C5F0E" w:rsidP="004C5F0E">
            <w:pPr>
              <w:pStyle w:val="TableText0"/>
              <w:rPr>
                <w:sz w:val="19"/>
                <w:szCs w:val="19"/>
              </w:rPr>
            </w:pPr>
            <w:r>
              <w:rPr>
                <w:sz w:val="19"/>
                <w:szCs w:val="19"/>
              </w:rPr>
              <w:t>Net cost to PBS/RPBS/MBS</w:t>
            </w:r>
            <w:r w:rsidR="00FE6287">
              <w:rPr>
                <w:sz w:val="19"/>
                <w:szCs w:val="19"/>
              </w:rPr>
              <w:t xml:space="preserve"> ($)</w:t>
            </w:r>
          </w:p>
        </w:tc>
        <w:tc>
          <w:tcPr>
            <w:tcW w:w="611" w:type="pct"/>
            <w:shd w:val="clear" w:color="auto" w:fill="auto"/>
          </w:tcPr>
          <w:p w14:paraId="0769345D" w14:textId="2D92C173" w:rsidR="004C5F0E" w:rsidRPr="003639A6" w:rsidRDefault="00414250" w:rsidP="004C5F0E">
            <w:pPr>
              <w:pStyle w:val="TableText0"/>
              <w:jc w:val="center"/>
            </w:pPr>
            <w:r w:rsidRPr="00414250">
              <w:rPr>
                <w:rFonts w:hint="eastAsia"/>
                <w:iCs/>
                <w:color w:val="000000"/>
                <w:w w:val="25"/>
                <w:shd w:val="solid" w:color="000000" w:fill="000000"/>
                <w:fitText w:val="113" w:id="-1305208320"/>
                <w14:textFill>
                  <w14:solidFill>
                    <w14:srgbClr w14:val="000000">
                      <w14:alpha w14:val="100000"/>
                    </w14:srgbClr>
                  </w14:solidFill>
                </w14:textFill>
              </w:rPr>
              <w:t xml:space="preserve">　</w:t>
            </w:r>
            <w:r w:rsidRPr="00414250">
              <w:rPr>
                <w:iCs/>
                <w:color w:val="000000"/>
                <w:w w:val="25"/>
                <w:shd w:val="solid" w:color="000000" w:fill="000000"/>
                <w:fitText w:val="113" w:id="-1305208320"/>
                <w14:textFill>
                  <w14:solidFill>
                    <w14:srgbClr w14:val="000000">
                      <w14:alpha w14:val="100000"/>
                    </w14:srgbClr>
                  </w14:solidFill>
                </w14:textFill>
              </w:rPr>
              <w:t>|</w:t>
            </w:r>
            <w:r w:rsidRPr="00414250">
              <w:rPr>
                <w:rFonts w:hint="eastAsia"/>
                <w:iCs/>
                <w:color w:val="000000"/>
                <w:spacing w:val="2"/>
                <w:w w:val="25"/>
                <w:shd w:val="solid" w:color="000000" w:fill="000000"/>
                <w:fitText w:val="113" w:id="-1305208320"/>
                <w14:textFill>
                  <w14:solidFill>
                    <w14:srgbClr w14:val="000000">
                      <w14:alpha w14:val="100000"/>
                    </w14:srgbClr>
                  </w14:solidFill>
                </w14:textFill>
              </w:rPr>
              <w:t xml:space="preserve">　</w:t>
            </w:r>
            <w:r w:rsidR="00286644" w:rsidRPr="002503FB">
              <w:rPr>
                <w:iCs/>
                <w:vertAlign w:val="superscript"/>
              </w:rPr>
              <w:t>8</w:t>
            </w:r>
          </w:p>
        </w:tc>
        <w:tc>
          <w:tcPr>
            <w:tcW w:w="611" w:type="pct"/>
            <w:shd w:val="clear" w:color="auto" w:fill="auto"/>
          </w:tcPr>
          <w:p w14:paraId="6A0A8CBA" w14:textId="3668576B" w:rsidR="004C5F0E" w:rsidRPr="00414250" w:rsidRDefault="00414250" w:rsidP="004C5F0E">
            <w:pPr>
              <w:pStyle w:val="TableText0"/>
              <w:jc w:val="center"/>
              <w:rPr>
                <w:highlight w:val="darkGray"/>
              </w:rPr>
            </w:pPr>
            <w:r w:rsidRPr="00FB0844">
              <w:rPr>
                <w:rFonts w:hint="eastAsia"/>
                <w:iCs/>
                <w:color w:val="000000"/>
                <w:w w:val="25"/>
                <w:shd w:val="solid" w:color="000000" w:fill="000000"/>
                <w:fitText w:val="113" w:id="-1305208319"/>
                <w14:textFill>
                  <w14:solidFill>
                    <w14:srgbClr w14:val="000000">
                      <w14:alpha w14:val="100000"/>
                    </w14:srgbClr>
                  </w14:solidFill>
                </w14:textFill>
              </w:rPr>
              <w:t xml:space="preserve">　</w:t>
            </w:r>
            <w:r w:rsidRPr="00FB0844">
              <w:rPr>
                <w:iCs/>
                <w:color w:val="000000"/>
                <w:w w:val="25"/>
                <w:shd w:val="solid" w:color="000000" w:fill="000000"/>
                <w:fitText w:val="113" w:id="-1305208319"/>
                <w14:textFill>
                  <w14:solidFill>
                    <w14:srgbClr w14:val="000000">
                      <w14:alpha w14:val="100000"/>
                    </w14:srgbClr>
                  </w14:solidFill>
                </w14:textFill>
              </w:rPr>
              <w:t>|</w:t>
            </w:r>
            <w:r w:rsidRPr="00FB0844">
              <w:rPr>
                <w:rFonts w:hint="eastAsia"/>
                <w:iCs/>
                <w:color w:val="000000"/>
                <w:spacing w:val="2"/>
                <w:w w:val="25"/>
                <w:shd w:val="solid" w:color="000000" w:fill="000000"/>
                <w:fitText w:val="113" w:id="-1305208319"/>
                <w14:textFill>
                  <w14:solidFill>
                    <w14:srgbClr w14:val="000000">
                      <w14:alpha w14:val="100000"/>
                    </w14:srgbClr>
                  </w14:solidFill>
                </w14:textFill>
              </w:rPr>
              <w:t xml:space="preserve">　</w:t>
            </w:r>
            <w:r w:rsidR="00286644" w:rsidRPr="00497E65">
              <w:rPr>
                <w:iCs/>
                <w:vertAlign w:val="superscript"/>
              </w:rPr>
              <w:t>9</w:t>
            </w:r>
          </w:p>
        </w:tc>
        <w:tc>
          <w:tcPr>
            <w:tcW w:w="611" w:type="pct"/>
            <w:shd w:val="clear" w:color="auto" w:fill="auto"/>
          </w:tcPr>
          <w:p w14:paraId="31C5BD92" w14:textId="38D33EB8" w:rsidR="004C5F0E" w:rsidRPr="003639A6" w:rsidRDefault="00414250" w:rsidP="004C5F0E">
            <w:pPr>
              <w:pStyle w:val="TableText0"/>
              <w:jc w:val="center"/>
            </w:pPr>
            <w:r w:rsidRPr="00FB0844">
              <w:rPr>
                <w:rFonts w:hint="eastAsia"/>
                <w:iCs/>
                <w:color w:val="000000"/>
                <w:w w:val="28"/>
                <w:shd w:val="solid" w:color="000000" w:fill="000000"/>
                <w:fitText w:val="125" w:id="-1305208318"/>
                <w14:textFill>
                  <w14:solidFill>
                    <w14:srgbClr w14:val="000000">
                      <w14:alpha w14:val="100000"/>
                    </w14:srgbClr>
                  </w14:solidFill>
                </w14:textFill>
              </w:rPr>
              <w:t xml:space="preserve">　</w:t>
            </w:r>
            <w:r w:rsidRPr="00FB0844">
              <w:rPr>
                <w:iCs/>
                <w:color w:val="000000"/>
                <w:w w:val="28"/>
                <w:shd w:val="solid" w:color="000000" w:fill="000000"/>
                <w:fitText w:val="125" w:id="-1305208318"/>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8"/>
                <w14:textFill>
                  <w14:solidFill>
                    <w14:srgbClr w14:val="000000">
                      <w14:alpha w14:val="100000"/>
                    </w14:srgbClr>
                  </w14:solidFill>
                </w14:textFill>
              </w:rPr>
              <w:t xml:space="preserve">　</w:t>
            </w:r>
            <w:r w:rsidR="00286644">
              <w:rPr>
                <w:iCs/>
                <w:vertAlign w:val="superscript"/>
              </w:rPr>
              <w:t>10</w:t>
            </w:r>
          </w:p>
        </w:tc>
        <w:tc>
          <w:tcPr>
            <w:tcW w:w="611" w:type="pct"/>
            <w:shd w:val="clear" w:color="auto" w:fill="auto"/>
          </w:tcPr>
          <w:p w14:paraId="0A066980" w14:textId="3D14B2E2" w:rsidR="004C5F0E" w:rsidRPr="003639A6" w:rsidRDefault="00414250" w:rsidP="004C5F0E">
            <w:pPr>
              <w:pStyle w:val="TableText0"/>
              <w:jc w:val="center"/>
            </w:pPr>
            <w:r w:rsidRPr="00FB0844">
              <w:rPr>
                <w:rFonts w:hint="eastAsia"/>
                <w:iCs/>
                <w:color w:val="000000"/>
                <w:w w:val="28"/>
                <w:shd w:val="solid" w:color="000000" w:fill="000000"/>
                <w:fitText w:val="125" w:id="-1305208317"/>
                <w14:textFill>
                  <w14:solidFill>
                    <w14:srgbClr w14:val="000000">
                      <w14:alpha w14:val="100000"/>
                    </w14:srgbClr>
                  </w14:solidFill>
                </w14:textFill>
              </w:rPr>
              <w:t xml:space="preserve">　</w:t>
            </w:r>
            <w:r w:rsidRPr="00FB0844">
              <w:rPr>
                <w:iCs/>
                <w:color w:val="000000"/>
                <w:w w:val="28"/>
                <w:shd w:val="solid" w:color="000000" w:fill="000000"/>
                <w:fitText w:val="125" w:id="-1305208317"/>
                <w14:textFill>
                  <w14:solidFill>
                    <w14:srgbClr w14:val="000000">
                      <w14:alpha w14:val="100000"/>
                    </w14:srgbClr>
                  </w14:solidFill>
                </w14:textFill>
              </w:rPr>
              <w:t>|</w:t>
            </w:r>
            <w:r w:rsidRPr="00FB0844">
              <w:rPr>
                <w:rFonts w:hint="eastAsia"/>
                <w:iCs/>
                <w:color w:val="000000"/>
                <w:spacing w:val="3"/>
                <w:w w:val="28"/>
                <w:shd w:val="solid" w:color="000000" w:fill="000000"/>
                <w:fitText w:val="125" w:id="-1305208317"/>
                <w14:textFill>
                  <w14:solidFill>
                    <w14:srgbClr w14:val="000000">
                      <w14:alpha w14:val="100000"/>
                    </w14:srgbClr>
                  </w14:solidFill>
                </w14:textFill>
              </w:rPr>
              <w:t xml:space="preserve">　</w:t>
            </w:r>
            <w:r w:rsidR="00286644">
              <w:rPr>
                <w:iCs/>
                <w:vertAlign w:val="superscript"/>
              </w:rPr>
              <w:t>11</w:t>
            </w:r>
          </w:p>
        </w:tc>
        <w:tc>
          <w:tcPr>
            <w:tcW w:w="611" w:type="pct"/>
            <w:shd w:val="clear" w:color="auto" w:fill="auto"/>
          </w:tcPr>
          <w:p w14:paraId="330A16B6" w14:textId="27C6E73A" w:rsidR="004C5F0E" w:rsidRPr="003639A6" w:rsidRDefault="00414250" w:rsidP="004C5F0E">
            <w:pPr>
              <w:pStyle w:val="TableText0"/>
              <w:jc w:val="center"/>
            </w:pPr>
            <w:r w:rsidRPr="00414250">
              <w:rPr>
                <w:rFonts w:hint="eastAsia"/>
                <w:iCs/>
                <w:color w:val="000000"/>
                <w:w w:val="28"/>
                <w:shd w:val="solid" w:color="000000" w:fill="000000"/>
                <w:fitText w:val="125" w:id="-1305208316"/>
                <w14:textFill>
                  <w14:solidFill>
                    <w14:srgbClr w14:val="000000">
                      <w14:alpha w14:val="100000"/>
                    </w14:srgbClr>
                  </w14:solidFill>
                </w14:textFill>
              </w:rPr>
              <w:t xml:space="preserve">　</w:t>
            </w:r>
            <w:r w:rsidRPr="00414250">
              <w:rPr>
                <w:iCs/>
                <w:color w:val="000000"/>
                <w:w w:val="28"/>
                <w:shd w:val="solid" w:color="000000" w:fill="000000"/>
                <w:fitText w:val="125" w:id="-1305208316"/>
                <w14:textFill>
                  <w14:solidFill>
                    <w14:srgbClr w14:val="000000">
                      <w14:alpha w14:val="100000"/>
                    </w14:srgbClr>
                  </w14:solidFill>
                </w14:textFill>
              </w:rPr>
              <w:t>|</w:t>
            </w:r>
            <w:r w:rsidRPr="00414250">
              <w:rPr>
                <w:rFonts w:hint="eastAsia"/>
                <w:iCs/>
                <w:color w:val="000000"/>
                <w:spacing w:val="3"/>
                <w:w w:val="28"/>
                <w:shd w:val="solid" w:color="000000" w:fill="000000"/>
                <w:fitText w:val="125" w:id="-1305208316"/>
                <w14:textFill>
                  <w14:solidFill>
                    <w14:srgbClr w14:val="000000">
                      <w14:alpha w14:val="100000"/>
                    </w14:srgbClr>
                  </w14:solidFill>
                </w14:textFill>
              </w:rPr>
              <w:t xml:space="preserve">　</w:t>
            </w:r>
            <w:r w:rsidR="00286644">
              <w:rPr>
                <w:iCs/>
                <w:vertAlign w:val="superscript"/>
              </w:rPr>
              <w:t>15</w:t>
            </w:r>
          </w:p>
        </w:tc>
        <w:tc>
          <w:tcPr>
            <w:tcW w:w="611" w:type="pct"/>
          </w:tcPr>
          <w:p w14:paraId="25161B56" w14:textId="512B9D70" w:rsidR="004C5F0E" w:rsidRPr="003639A6" w:rsidRDefault="00414250" w:rsidP="004C5F0E">
            <w:pPr>
              <w:pStyle w:val="TableText0"/>
              <w:jc w:val="center"/>
            </w:pPr>
            <w:r w:rsidRPr="00414250">
              <w:rPr>
                <w:rFonts w:hint="eastAsia"/>
                <w:iCs/>
                <w:color w:val="000000"/>
                <w:w w:val="28"/>
                <w:shd w:val="solid" w:color="000000" w:fill="000000"/>
                <w:fitText w:val="125" w:id="-1305208315"/>
                <w14:textFill>
                  <w14:solidFill>
                    <w14:srgbClr w14:val="000000">
                      <w14:alpha w14:val="100000"/>
                    </w14:srgbClr>
                  </w14:solidFill>
                </w14:textFill>
              </w:rPr>
              <w:t xml:space="preserve">　</w:t>
            </w:r>
            <w:r w:rsidRPr="00414250">
              <w:rPr>
                <w:iCs/>
                <w:color w:val="000000"/>
                <w:w w:val="28"/>
                <w:shd w:val="solid" w:color="000000" w:fill="000000"/>
                <w:fitText w:val="125" w:id="-1305208315"/>
                <w14:textFill>
                  <w14:solidFill>
                    <w14:srgbClr w14:val="000000">
                      <w14:alpha w14:val="100000"/>
                    </w14:srgbClr>
                  </w14:solidFill>
                </w14:textFill>
              </w:rPr>
              <w:t>|</w:t>
            </w:r>
            <w:r w:rsidRPr="00414250">
              <w:rPr>
                <w:rFonts w:hint="eastAsia"/>
                <w:iCs/>
                <w:color w:val="000000"/>
                <w:spacing w:val="3"/>
                <w:w w:val="28"/>
                <w:shd w:val="solid" w:color="000000" w:fill="000000"/>
                <w:fitText w:val="125" w:id="-1305208315"/>
                <w14:textFill>
                  <w14:solidFill>
                    <w14:srgbClr w14:val="000000">
                      <w14:alpha w14:val="100000"/>
                    </w14:srgbClr>
                  </w14:solidFill>
                </w14:textFill>
              </w:rPr>
              <w:t xml:space="preserve">　</w:t>
            </w:r>
            <w:r w:rsidR="00286644">
              <w:rPr>
                <w:iCs/>
                <w:vertAlign w:val="superscript"/>
              </w:rPr>
              <w:t>13</w:t>
            </w:r>
          </w:p>
        </w:tc>
      </w:tr>
    </w:tbl>
    <w:p w14:paraId="3BD939F4" w14:textId="77777777" w:rsidR="004C5F0E" w:rsidRDefault="001E546F" w:rsidP="001E546F">
      <w:pPr>
        <w:pStyle w:val="FooterTableFigure"/>
      </w:pPr>
      <w:r>
        <w:t xml:space="preserve">Source: Table 123, p237 and Table 130, p242 of the submission, and </w:t>
      </w:r>
      <w:r w:rsidRPr="008D521B" w:rsidDel="008F0D60">
        <w:t xml:space="preserve">Excel workbook ‘Mavacamten_obstructive HCM_Utilisation and Cost Model’ </w:t>
      </w:r>
    </w:p>
    <w:p w14:paraId="2197F81D" w14:textId="2459BD54" w:rsidR="001E546F" w:rsidRDefault="004C5F0E" w:rsidP="001E546F">
      <w:pPr>
        <w:pStyle w:val="FooterTableFigure"/>
      </w:pPr>
      <w:r>
        <w:t>Note: drug costs were revised</w:t>
      </w:r>
      <w:r w:rsidRPr="005A4635">
        <w:t xml:space="preserve"> during evaluation using the updated PBS mark-up and MBS fees as </w:t>
      </w:r>
      <w:r>
        <w:t>of</w:t>
      </w:r>
      <w:r w:rsidRPr="005A4635">
        <w:t xml:space="preserve"> July 2022</w:t>
      </w:r>
      <w:r>
        <w:t>.</w:t>
      </w:r>
    </w:p>
    <w:p w14:paraId="5E1628A8" w14:textId="77777777" w:rsidR="001E546F" w:rsidRDefault="001E546F" w:rsidP="001E546F">
      <w:pPr>
        <w:pStyle w:val="FooterTableFigure"/>
      </w:pPr>
      <w:r w:rsidRPr="003639A6">
        <w:rPr>
          <w:vertAlign w:val="superscript"/>
        </w:rPr>
        <w:t>a</w:t>
      </w:r>
      <w:r>
        <w:t xml:space="preserve"> Assuming a persistence rate of 66.1% in Year 1, and 93.94% in Year 2 and beyond. </w:t>
      </w:r>
    </w:p>
    <w:p w14:paraId="132290BF" w14:textId="77777777" w:rsidR="001E546F" w:rsidRDefault="001E546F" w:rsidP="001E546F">
      <w:pPr>
        <w:pStyle w:val="FooterTableFigure"/>
      </w:pPr>
      <w:r>
        <w:rPr>
          <w:vertAlign w:val="superscript"/>
        </w:rPr>
        <w:t>b</w:t>
      </w:r>
      <w:r w:rsidRPr="008D521B">
        <w:t xml:space="preserve"> </w:t>
      </w:r>
      <w:r>
        <w:t xml:space="preserve">Assuming 12.73 packs per year </w:t>
      </w:r>
      <w:r w:rsidRPr="003639A6">
        <w:t>as estimated by the submission</w:t>
      </w:r>
      <w:r>
        <w:t xml:space="preserve">, based on a compliance rate of 97.56%. </w:t>
      </w:r>
    </w:p>
    <w:p w14:paraId="537818E9" w14:textId="77777777" w:rsidR="00FE6287" w:rsidRPr="009A6D58" w:rsidRDefault="00FE6287" w:rsidP="00FE628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16083FA" w14:textId="67402B43" w:rsidR="00FE6287" w:rsidRPr="009A6D58" w:rsidRDefault="00FE6287" w:rsidP="00FE628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E6287">
        <w:rPr>
          <w:rFonts w:ascii="Arial Narrow" w:hAnsi="Arial Narrow"/>
          <w:i/>
          <w:sz w:val="18"/>
          <w:szCs w:val="18"/>
        </w:rPr>
        <w:t>500 to &lt; 5,000</w:t>
      </w:r>
    </w:p>
    <w:p w14:paraId="2EB3E5CA" w14:textId="2EF5572A" w:rsidR="00FE6287" w:rsidRPr="009A6D58" w:rsidRDefault="00FE6287" w:rsidP="00FE628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E6287">
        <w:rPr>
          <w:rFonts w:ascii="Arial Narrow" w:hAnsi="Arial Narrow"/>
          <w:i/>
          <w:sz w:val="18"/>
          <w:szCs w:val="18"/>
        </w:rPr>
        <w:t>5,000 to &lt; 10,000</w:t>
      </w:r>
    </w:p>
    <w:p w14:paraId="4683334D" w14:textId="07FA7212" w:rsidR="00FE6287" w:rsidRDefault="00FE6287" w:rsidP="00FE628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E6287">
        <w:rPr>
          <w:rFonts w:ascii="Arial Narrow" w:hAnsi="Arial Narrow"/>
          <w:i/>
          <w:sz w:val="18"/>
          <w:szCs w:val="18"/>
        </w:rPr>
        <w:t>10,000 to &lt; 20,000</w:t>
      </w:r>
    </w:p>
    <w:p w14:paraId="3253DE4D" w14:textId="6FD9F4E6" w:rsidR="00FE6287" w:rsidRDefault="00FE6287" w:rsidP="00FE6287">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E6287">
        <w:rPr>
          <w:rFonts w:ascii="Arial Narrow" w:hAnsi="Arial Narrow"/>
          <w:i/>
          <w:sz w:val="18"/>
          <w:szCs w:val="18"/>
        </w:rPr>
        <w:t>20,000 to &lt; 30,000</w:t>
      </w:r>
    </w:p>
    <w:p w14:paraId="5683F4D5" w14:textId="3A9D9698" w:rsidR="00FE6287" w:rsidRDefault="00FE6287" w:rsidP="00FE6287">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E6287">
        <w:rPr>
          <w:rFonts w:ascii="Arial Narrow" w:hAnsi="Arial Narrow"/>
          <w:i/>
          <w:sz w:val="18"/>
          <w:szCs w:val="18"/>
        </w:rPr>
        <w:t>30,000 to &lt; 40,000</w:t>
      </w:r>
    </w:p>
    <w:p w14:paraId="1F546673" w14:textId="3578D5BA" w:rsidR="00FE6287" w:rsidRPr="009A6D58" w:rsidRDefault="00FE6287" w:rsidP="00FE6287">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286644" w:rsidRPr="00286644">
        <w:rPr>
          <w:rFonts w:ascii="Arial Narrow" w:hAnsi="Arial Narrow"/>
          <w:i/>
          <w:sz w:val="18"/>
          <w:szCs w:val="18"/>
        </w:rPr>
        <w:t>50,000 to &lt; 60,000</w:t>
      </w:r>
    </w:p>
    <w:p w14:paraId="03EAFFCE" w14:textId="5A0F987D" w:rsidR="00FE6287" w:rsidRDefault="00FE6287" w:rsidP="00FE6287">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286644" w:rsidRPr="00286644">
        <w:rPr>
          <w:rFonts w:ascii="Arial Narrow" w:hAnsi="Arial Narrow"/>
          <w:i/>
          <w:sz w:val="18"/>
          <w:szCs w:val="18"/>
        </w:rPr>
        <w:t>70,000 to &lt; 80,000</w:t>
      </w:r>
    </w:p>
    <w:p w14:paraId="696433E3" w14:textId="3DC95AD6" w:rsidR="00FE6287" w:rsidRDefault="00FE6287">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286644" w:rsidRPr="00286644">
        <w:rPr>
          <w:rFonts w:ascii="Arial Narrow" w:hAnsi="Arial Narrow"/>
          <w:i/>
          <w:sz w:val="18"/>
          <w:szCs w:val="18"/>
        </w:rPr>
        <w:t>$10 million to &lt; $20 million</w:t>
      </w:r>
    </w:p>
    <w:p w14:paraId="44277231" w14:textId="67CEFC25" w:rsidR="00FE6287" w:rsidRPr="00723461" w:rsidRDefault="00FE6287" w:rsidP="00414250">
      <w:pPr>
        <w:pStyle w:val="FooterTableFigure"/>
        <w:spacing w:after="0"/>
        <w:contextualSpacing w:val="0"/>
      </w:pPr>
      <w:r>
        <w:rPr>
          <w:i/>
          <w:szCs w:val="18"/>
          <w:vertAlign w:val="superscript"/>
        </w:rPr>
        <w:t>9</w:t>
      </w:r>
      <w:r>
        <w:rPr>
          <w:i/>
          <w:szCs w:val="18"/>
        </w:rPr>
        <w:t xml:space="preserve"> </w:t>
      </w:r>
      <w:r w:rsidR="00286644">
        <w:rPr>
          <w:i/>
          <w:szCs w:val="18"/>
        </w:rPr>
        <w:t>$</w:t>
      </w:r>
      <w:r w:rsidR="00286644" w:rsidRPr="00286644">
        <w:rPr>
          <w:i/>
          <w:szCs w:val="18"/>
        </w:rPr>
        <w:t>20 million to &lt; $30 million</w:t>
      </w:r>
    </w:p>
    <w:p w14:paraId="34C28FCD" w14:textId="4BA94F69" w:rsidR="00286644" w:rsidRDefault="00286644">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286644">
        <w:rPr>
          <w:rFonts w:ascii="Arial Narrow" w:hAnsi="Arial Narrow"/>
          <w:i/>
          <w:sz w:val="18"/>
          <w:szCs w:val="18"/>
        </w:rPr>
        <w:t>$</w:t>
      </w:r>
      <w:r>
        <w:rPr>
          <w:rFonts w:ascii="Arial Narrow" w:hAnsi="Arial Narrow"/>
          <w:i/>
          <w:sz w:val="18"/>
          <w:szCs w:val="18"/>
        </w:rPr>
        <w:t>4</w:t>
      </w:r>
      <w:r w:rsidRPr="00286644">
        <w:rPr>
          <w:rFonts w:ascii="Arial Narrow" w:hAnsi="Arial Narrow"/>
          <w:i/>
          <w:sz w:val="18"/>
          <w:szCs w:val="18"/>
        </w:rPr>
        <w:t>0 million to &lt; $</w:t>
      </w:r>
      <w:r>
        <w:rPr>
          <w:rFonts w:ascii="Arial Narrow" w:hAnsi="Arial Narrow"/>
          <w:i/>
          <w:sz w:val="18"/>
          <w:szCs w:val="18"/>
        </w:rPr>
        <w:t>5</w:t>
      </w:r>
      <w:r w:rsidRPr="00286644">
        <w:rPr>
          <w:rFonts w:ascii="Arial Narrow" w:hAnsi="Arial Narrow"/>
          <w:i/>
          <w:sz w:val="18"/>
          <w:szCs w:val="18"/>
        </w:rPr>
        <w:t>0 million</w:t>
      </w:r>
    </w:p>
    <w:p w14:paraId="2713835E" w14:textId="59EF040A" w:rsidR="00286644" w:rsidRPr="00723461" w:rsidRDefault="00286644" w:rsidP="00414250">
      <w:pPr>
        <w:pStyle w:val="FooterTableFigure"/>
        <w:spacing w:after="0"/>
        <w:contextualSpacing w:val="0"/>
      </w:pPr>
      <w:r>
        <w:rPr>
          <w:i/>
          <w:szCs w:val="18"/>
          <w:vertAlign w:val="superscript"/>
        </w:rPr>
        <w:t>11</w:t>
      </w:r>
      <w:r>
        <w:rPr>
          <w:i/>
          <w:szCs w:val="18"/>
        </w:rPr>
        <w:t xml:space="preserve"> </w:t>
      </w:r>
      <w:r w:rsidRPr="00286644">
        <w:rPr>
          <w:i/>
          <w:szCs w:val="18"/>
        </w:rPr>
        <w:t>$</w:t>
      </w:r>
      <w:r>
        <w:rPr>
          <w:i/>
          <w:szCs w:val="18"/>
        </w:rPr>
        <w:t>6</w:t>
      </w:r>
      <w:r w:rsidRPr="00286644">
        <w:rPr>
          <w:i/>
          <w:szCs w:val="18"/>
        </w:rPr>
        <w:t>0 million to &lt; $</w:t>
      </w:r>
      <w:r>
        <w:rPr>
          <w:i/>
          <w:szCs w:val="18"/>
        </w:rPr>
        <w:t>7</w:t>
      </w:r>
      <w:r w:rsidRPr="00286644">
        <w:rPr>
          <w:i/>
          <w:szCs w:val="18"/>
        </w:rPr>
        <w:t>0 million</w:t>
      </w:r>
    </w:p>
    <w:p w14:paraId="32A36319" w14:textId="51A43B9C" w:rsidR="00286644" w:rsidRDefault="00286644">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286644">
        <w:rPr>
          <w:rFonts w:ascii="Arial Narrow" w:hAnsi="Arial Narrow"/>
          <w:i/>
          <w:sz w:val="18"/>
          <w:szCs w:val="18"/>
        </w:rPr>
        <w:t>$</w:t>
      </w:r>
      <w:r>
        <w:rPr>
          <w:rFonts w:ascii="Arial Narrow" w:hAnsi="Arial Narrow"/>
          <w:i/>
          <w:sz w:val="18"/>
          <w:szCs w:val="18"/>
        </w:rPr>
        <w:t>8</w:t>
      </w:r>
      <w:r w:rsidRPr="00286644">
        <w:rPr>
          <w:rFonts w:ascii="Arial Narrow" w:hAnsi="Arial Narrow"/>
          <w:i/>
          <w:sz w:val="18"/>
          <w:szCs w:val="18"/>
        </w:rPr>
        <w:t>0 million to &lt; $</w:t>
      </w:r>
      <w:r>
        <w:rPr>
          <w:rFonts w:ascii="Arial Narrow" w:hAnsi="Arial Narrow"/>
          <w:i/>
          <w:sz w:val="18"/>
          <w:szCs w:val="18"/>
        </w:rPr>
        <w:t>9</w:t>
      </w:r>
      <w:r w:rsidRPr="00286644">
        <w:rPr>
          <w:rFonts w:ascii="Arial Narrow" w:hAnsi="Arial Narrow"/>
          <w:i/>
          <w:sz w:val="18"/>
          <w:szCs w:val="18"/>
        </w:rPr>
        <w:t>0 million</w:t>
      </w:r>
    </w:p>
    <w:p w14:paraId="411D8788" w14:textId="5A4136D8" w:rsidR="00286644" w:rsidRPr="00723461" w:rsidRDefault="00286644" w:rsidP="00414250">
      <w:pPr>
        <w:pStyle w:val="FooterTableFigure"/>
        <w:spacing w:after="0"/>
        <w:contextualSpacing w:val="0"/>
      </w:pPr>
      <w:r>
        <w:rPr>
          <w:i/>
          <w:szCs w:val="18"/>
          <w:vertAlign w:val="superscript"/>
        </w:rPr>
        <w:t>13</w:t>
      </w:r>
      <w:r>
        <w:rPr>
          <w:i/>
          <w:szCs w:val="18"/>
        </w:rPr>
        <w:t xml:space="preserve"> </w:t>
      </w:r>
      <w:r w:rsidRPr="00286644">
        <w:rPr>
          <w:i/>
          <w:szCs w:val="18"/>
        </w:rPr>
        <w:t>$</w:t>
      </w:r>
      <w:r>
        <w:rPr>
          <w:i/>
          <w:szCs w:val="18"/>
        </w:rPr>
        <w:t>10</w:t>
      </w:r>
      <w:r w:rsidRPr="00286644">
        <w:rPr>
          <w:i/>
          <w:szCs w:val="18"/>
        </w:rPr>
        <w:t>0 million to &lt; $</w:t>
      </w:r>
      <w:r>
        <w:rPr>
          <w:i/>
          <w:szCs w:val="18"/>
        </w:rPr>
        <w:t>20</w:t>
      </w:r>
      <w:r w:rsidRPr="00286644">
        <w:rPr>
          <w:i/>
          <w:szCs w:val="18"/>
        </w:rPr>
        <w:t>0 million</w:t>
      </w:r>
    </w:p>
    <w:p w14:paraId="0885BDAE" w14:textId="35EFF7E8" w:rsidR="00286644" w:rsidRDefault="00286644" w:rsidP="00286644">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286644">
        <w:rPr>
          <w:rFonts w:ascii="Arial Narrow" w:hAnsi="Arial Narrow"/>
          <w:i/>
          <w:sz w:val="18"/>
          <w:szCs w:val="18"/>
        </w:rPr>
        <w:t>$0 to &lt; $10 million</w:t>
      </w:r>
    </w:p>
    <w:p w14:paraId="0DCA6E6B" w14:textId="7C68A3DC" w:rsidR="00286644" w:rsidRPr="00723461" w:rsidRDefault="00286644" w:rsidP="00286644">
      <w:pPr>
        <w:pStyle w:val="FooterTableFigure"/>
        <w:spacing w:after="0"/>
        <w:contextualSpacing w:val="0"/>
      </w:pPr>
      <w:r>
        <w:rPr>
          <w:i/>
          <w:szCs w:val="18"/>
          <w:vertAlign w:val="superscript"/>
        </w:rPr>
        <w:t>15</w:t>
      </w:r>
      <w:r>
        <w:rPr>
          <w:i/>
          <w:szCs w:val="18"/>
        </w:rPr>
        <w:t xml:space="preserve"> </w:t>
      </w:r>
      <w:r w:rsidRPr="00286644">
        <w:rPr>
          <w:i/>
          <w:szCs w:val="18"/>
        </w:rPr>
        <w:t>$</w:t>
      </w:r>
      <w:r>
        <w:rPr>
          <w:i/>
          <w:szCs w:val="18"/>
        </w:rPr>
        <w:t>9</w:t>
      </w:r>
      <w:r w:rsidRPr="00286644">
        <w:rPr>
          <w:i/>
          <w:szCs w:val="18"/>
        </w:rPr>
        <w:t>0 million to &lt; $</w:t>
      </w:r>
      <w:r>
        <w:rPr>
          <w:i/>
          <w:szCs w:val="18"/>
        </w:rPr>
        <w:t>10</w:t>
      </w:r>
      <w:r w:rsidRPr="00286644">
        <w:rPr>
          <w:i/>
          <w:szCs w:val="18"/>
        </w:rPr>
        <w:t>0 million</w:t>
      </w:r>
    </w:p>
    <w:p w14:paraId="17B2B43C" w14:textId="77777777" w:rsidR="001E546F" w:rsidRDefault="001E546F" w:rsidP="001E546F">
      <w:pPr>
        <w:pStyle w:val="FooterTableFigure"/>
      </w:pPr>
    </w:p>
    <w:p w14:paraId="3DB91306" w14:textId="22B2DC50" w:rsidR="001E546F" w:rsidRPr="00B2588E" w:rsidRDefault="001E546F" w:rsidP="001E546F">
      <w:pPr>
        <w:pStyle w:val="3-BodyText"/>
      </w:pPr>
      <w:r w:rsidRPr="00B2588E">
        <w:t xml:space="preserve">The total cost to the PBS/RPBS of listing mavacamten using the effective proposed price was estimated to be </w:t>
      </w:r>
      <w:r w:rsidR="00DC2BDF" w:rsidRPr="00DC2BDF">
        <w:t>$100</w:t>
      </w:r>
      <w:r w:rsidR="00DC2BDF">
        <w:t> </w:t>
      </w:r>
      <w:r w:rsidR="00DC2BDF" w:rsidRPr="00DC2BDF">
        <w:t>million to &lt;</w:t>
      </w:r>
      <w:r w:rsidR="00DC2BDF">
        <w:t> </w:t>
      </w:r>
      <w:r w:rsidR="00DC2BDF" w:rsidRPr="00DC2BDF">
        <w:t>$200 million</w:t>
      </w:r>
      <w:r w:rsidR="00DC2BDF">
        <w:t xml:space="preserve"> </w:t>
      </w:r>
      <w:r w:rsidRPr="00B2588E">
        <w:t xml:space="preserve">in Year 6, and a total of </w:t>
      </w:r>
      <w:r w:rsidR="00286644" w:rsidRPr="00286644">
        <w:t>$300 million to &lt; $400 million</w:t>
      </w:r>
      <w:r w:rsidR="00286644" w:rsidRPr="00286644" w:rsidDel="00286644">
        <w:t xml:space="preserve"> </w:t>
      </w:r>
      <w:r w:rsidRPr="00B2588E">
        <w:t>in the first 6 years of listing</w:t>
      </w:r>
      <w:r>
        <w:t xml:space="preserve"> </w:t>
      </w:r>
      <w:r w:rsidRPr="00662FB3">
        <w:t xml:space="preserve">(minor differences were observed when the PBS mark-up and fees were updated). </w:t>
      </w:r>
    </w:p>
    <w:p w14:paraId="001BB3FC" w14:textId="77777777" w:rsidR="001E546F" w:rsidRPr="001E546F" w:rsidRDefault="001E546F" w:rsidP="001E546F">
      <w:pPr>
        <w:pStyle w:val="3-BodyText"/>
        <w:rPr>
          <w:color w:val="0066FF"/>
        </w:rPr>
      </w:pPr>
      <w:r w:rsidRPr="001E546F">
        <w:t xml:space="preserve">The estimates did not include any grandfathered patients and the submission did not anticipate that any patients will require grandfathering, if listed. </w:t>
      </w:r>
    </w:p>
    <w:p w14:paraId="41D4861D" w14:textId="77777777" w:rsidR="001E546F" w:rsidRPr="001E546F" w:rsidRDefault="001E546F" w:rsidP="001E546F">
      <w:pPr>
        <w:pStyle w:val="3-BodyText"/>
        <w:rPr>
          <w:color w:val="0066FF"/>
        </w:rPr>
      </w:pPr>
      <w:r w:rsidRPr="001E546F">
        <w:t xml:space="preserve">The estimated financial impact of listing mavacamten presented in the submission was uncertain and may be an underestimate. The main sources of uncertainty in estimating the number of patients likely to receive mavacamten treatment were related to the prevalence and diagnosis rate of HCM, and the proportion of patients with obstructive disease in Australian population. </w:t>
      </w:r>
    </w:p>
    <w:p w14:paraId="1129EFE4" w14:textId="42BAB54D" w:rsidR="001E546F" w:rsidRPr="001E546F" w:rsidRDefault="001E546F" w:rsidP="001E546F">
      <w:pPr>
        <w:pStyle w:val="3-BodyText"/>
      </w:pPr>
      <w:r w:rsidRPr="001E546F">
        <w:t xml:space="preserve">In addition, the number of patients who are treated BB or CCB but do not respond, lose response, or are unable to tolerate BB or CCB in the first-line treatment was not </w:t>
      </w:r>
      <w:r w:rsidRPr="001E546F">
        <w:lastRenderedPageBreak/>
        <w:t>discussed in the submission. It is unknown whether patients in Study Canepa 2020 had previously received BB/CCB or were on BB/CCB when the patient characteristics (e.g. proportion of patients with NYHA class II or III and proportion of patients with LVOT gradient of 30</w:t>
      </w:r>
      <w:r w:rsidR="00432C1F">
        <w:t> </w:t>
      </w:r>
      <w:r w:rsidRPr="001E546F">
        <w:t xml:space="preserve">mmHg) were collected. </w:t>
      </w:r>
    </w:p>
    <w:p w14:paraId="10E4A82A" w14:textId="3B62E7CC" w:rsidR="001E546F" w:rsidRPr="00B2588E" w:rsidRDefault="001E546F" w:rsidP="001E546F">
      <w:pPr>
        <w:pStyle w:val="3-BodyText"/>
        <w:rPr>
          <w:color w:val="0066FF"/>
        </w:rPr>
      </w:pPr>
      <w:r>
        <w:t>The submission conducted the following sensitivity analyses to address the uncertainties regarding the number of patients eligible for treatment (</w:t>
      </w:r>
      <w:r>
        <w:fldChar w:fldCharType="begin"/>
      </w:r>
      <w:r>
        <w:instrText xml:space="preserve"> REF _Ref111461970 \h </w:instrText>
      </w:r>
      <w:r>
        <w:fldChar w:fldCharType="separate"/>
      </w:r>
      <w:r w:rsidR="00645E50">
        <w:t xml:space="preserve">Table </w:t>
      </w:r>
      <w:r w:rsidR="00645E50">
        <w:rPr>
          <w:noProof/>
        </w:rPr>
        <w:t>25</w:t>
      </w:r>
      <w:r>
        <w:fldChar w:fldCharType="end"/>
      </w:r>
      <w:r>
        <w:t xml:space="preserve">). </w:t>
      </w:r>
    </w:p>
    <w:p w14:paraId="2F141EC9" w14:textId="2302219E" w:rsidR="001E546F" w:rsidRDefault="001E546F" w:rsidP="001E546F">
      <w:pPr>
        <w:pStyle w:val="Caption"/>
      </w:pPr>
      <w:bookmarkStart w:id="63" w:name="_Ref111461970"/>
      <w:r>
        <w:t xml:space="preserve">Table </w:t>
      </w:r>
      <w:r w:rsidR="00645E50">
        <w:fldChar w:fldCharType="begin"/>
      </w:r>
      <w:r w:rsidR="00645E50">
        <w:instrText xml:space="preserve"> SEQ Table \* ARABIC </w:instrText>
      </w:r>
      <w:r w:rsidR="00645E50">
        <w:fldChar w:fldCharType="separate"/>
      </w:r>
      <w:r w:rsidR="00645E50">
        <w:rPr>
          <w:noProof/>
        </w:rPr>
        <w:t>25</w:t>
      </w:r>
      <w:r w:rsidR="00645E50">
        <w:rPr>
          <w:noProof/>
        </w:rPr>
        <w:fldChar w:fldCharType="end"/>
      </w:r>
      <w:bookmarkEnd w:id="63"/>
      <w:r>
        <w:t>:</w:t>
      </w:r>
      <w:r w:rsidRPr="00606FBA">
        <w:rPr>
          <w:rStyle w:val="CommentReference"/>
          <w:b/>
          <w:szCs w:val="24"/>
        </w:rPr>
        <w:t xml:space="preserve"> </w:t>
      </w:r>
      <w:r>
        <w:rPr>
          <w:rStyle w:val="CommentReference"/>
          <w:b/>
          <w:szCs w:val="24"/>
        </w:rPr>
        <w:t xml:space="preserve">The results of the sensitivity </w:t>
      </w:r>
      <w:r w:rsidRPr="00AC0E88">
        <w:t>analyses (</w:t>
      </w:r>
      <w:r>
        <w:t>using the proposed effective price of mavacamten</w:t>
      </w:r>
      <w:r w:rsidRPr="00AC0E8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5"/>
        <w:gridCol w:w="3170"/>
        <w:gridCol w:w="1789"/>
        <w:gridCol w:w="2126"/>
        <w:gridCol w:w="1367"/>
      </w:tblGrid>
      <w:tr w:rsidR="001E546F" w:rsidRPr="00A86C81" w14:paraId="3FDA2605" w14:textId="77777777" w:rsidTr="004A78D6">
        <w:tc>
          <w:tcPr>
            <w:tcW w:w="2071" w:type="pct"/>
            <w:gridSpan w:val="2"/>
            <w:tcBorders>
              <w:bottom w:val="single" w:sz="4" w:space="0" w:color="auto"/>
            </w:tcBorders>
          </w:tcPr>
          <w:p w14:paraId="31EDE275" w14:textId="77777777" w:rsidR="001E546F" w:rsidRPr="00A86C81" w:rsidRDefault="001E546F" w:rsidP="004A78D6">
            <w:pPr>
              <w:pStyle w:val="In-tableHeading"/>
            </w:pPr>
            <w:r w:rsidRPr="00A86C81">
              <w:t>Variable</w:t>
            </w:r>
          </w:p>
        </w:tc>
        <w:tc>
          <w:tcPr>
            <w:tcW w:w="992" w:type="pct"/>
          </w:tcPr>
          <w:p w14:paraId="0E156964" w14:textId="77777777" w:rsidR="001E546F" w:rsidRPr="00A86C81" w:rsidRDefault="001E546F" w:rsidP="004A78D6">
            <w:pPr>
              <w:pStyle w:val="In-tableHeading"/>
            </w:pPr>
            <w:r w:rsidRPr="00A86C81">
              <w:t>Parameters used in sensitivity analysis</w:t>
            </w:r>
          </w:p>
        </w:tc>
        <w:tc>
          <w:tcPr>
            <w:tcW w:w="1179" w:type="pct"/>
          </w:tcPr>
          <w:p w14:paraId="6678CE5C" w14:textId="77777777" w:rsidR="001E546F" w:rsidRPr="00A86C81" w:rsidRDefault="001E546F" w:rsidP="004A78D6">
            <w:pPr>
              <w:pStyle w:val="In-tableHeading"/>
              <w:jc w:val="center"/>
            </w:pPr>
            <w:r w:rsidRPr="00A86C81">
              <w:t>Overall net cost to PBS/RPBS over 6 years</w:t>
            </w:r>
            <w:r w:rsidRPr="00A86C81">
              <w:rPr>
                <w:vertAlign w:val="superscript"/>
              </w:rPr>
              <w:t>a</w:t>
            </w:r>
          </w:p>
        </w:tc>
        <w:tc>
          <w:tcPr>
            <w:tcW w:w="758" w:type="pct"/>
          </w:tcPr>
          <w:p w14:paraId="43917FA1" w14:textId="77777777" w:rsidR="001E546F" w:rsidRPr="00A86C81" w:rsidRDefault="001E546F" w:rsidP="004A78D6">
            <w:pPr>
              <w:pStyle w:val="In-tableHeading"/>
              <w:jc w:val="center"/>
            </w:pPr>
            <w:r w:rsidRPr="00A86C81">
              <w:t>% change over 6 years</w:t>
            </w:r>
          </w:p>
        </w:tc>
      </w:tr>
      <w:tr w:rsidR="001E546F" w:rsidRPr="00A86C81" w14:paraId="39411CEB" w14:textId="77777777" w:rsidTr="004A78D6">
        <w:tc>
          <w:tcPr>
            <w:tcW w:w="2071" w:type="pct"/>
            <w:gridSpan w:val="2"/>
            <w:tcBorders>
              <w:bottom w:val="single" w:sz="4" w:space="0" w:color="auto"/>
              <w:right w:val="nil"/>
            </w:tcBorders>
          </w:tcPr>
          <w:p w14:paraId="2EF16230" w14:textId="77777777" w:rsidR="001E546F" w:rsidRPr="00A86C81" w:rsidRDefault="001E546F" w:rsidP="004A78D6">
            <w:pPr>
              <w:pStyle w:val="In-tableHeading"/>
            </w:pPr>
            <w:r w:rsidRPr="00A86C81">
              <w:t xml:space="preserve">Base Case </w:t>
            </w:r>
          </w:p>
        </w:tc>
        <w:tc>
          <w:tcPr>
            <w:tcW w:w="992" w:type="pct"/>
            <w:tcBorders>
              <w:left w:val="nil"/>
            </w:tcBorders>
          </w:tcPr>
          <w:p w14:paraId="7D509324" w14:textId="77777777" w:rsidR="001E546F" w:rsidRPr="00A86C81" w:rsidRDefault="001E546F" w:rsidP="004A78D6">
            <w:pPr>
              <w:pStyle w:val="In-tableHeading"/>
            </w:pPr>
          </w:p>
        </w:tc>
        <w:tc>
          <w:tcPr>
            <w:tcW w:w="1179" w:type="pct"/>
          </w:tcPr>
          <w:p w14:paraId="1729C5C4" w14:textId="22708A5D" w:rsidR="001E546F" w:rsidRPr="00A86C81" w:rsidRDefault="001E546F" w:rsidP="004A78D6">
            <w:pPr>
              <w:pStyle w:val="In-tableHeading"/>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sidRPr="00414250">
              <w:rPr>
                <w:vertAlign w:val="superscript"/>
              </w:rPr>
              <w:t>1</w:t>
            </w:r>
          </w:p>
        </w:tc>
        <w:tc>
          <w:tcPr>
            <w:tcW w:w="758" w:type="pct"/>
          </w:tcPr>
          <w:p w14:paraId="3894A315" w14:textId="77777777" w:rsidR="001E546F" w:rsidRPr="00A86C81" w:rsidRDefault="001E546F" w:rsidP="004A78D6">
            <w:pPr>
              <w:pStyle w:val="In-tableHeading"/>
              <w:jc w:val="center"/>
            </w:pPr>
          </w:p>
        </w:tc>
      </w:tr>
      <w:tr w:rsidR="001E546F" w:rsidRPr="00A86C81" w14:paraId="3926E54C" w14:textId="77777777" w:rsidTr="004A78D6">
        <w:tc>
          <w:tcPr>
            <w:tcW w:w="313" w:type="pct"/>
            <w:tcBorders>
              <w:bottom w:val="nil"/>
            </w:tcBorders>
            <w:vAlign w:val="center"/>
          </w:tcPr>
          <w:p w14:paraId="11FF375E" w14:textId="77777777" w:rsidR="001E546F" w:rsidRPr="00A86C81" w:rsidRDefault="001E546F" w:rsidP="004A78D6">
            <w:pPr>
              <w:pStyle w:val="TableText0"/>
            </w:pPr>
            <w:r w:rsidRPr="00A86C81">
              <w:t>SA.1</w:t>
            </w:r>
          </w:p>
        </w:tc>
        <w:tc>
          <w:tcPr>
            <w:tcW w:w="1758" w:type="pct"/>
            <w:tcBorders>
              <w:bottom w:val="nil"/>
            </w:tcBorders>
          </w:tcPr>
          <w:p w14:paraId="06FBDC61" w14:textId="77777777" w:rsidR="001E546F" w:rsidRPr="00A86C81" w:rsidRDefault="001E546F" w:rsidP="004A78D6">
            <w:pPr>
              <w:pStyle w:val="TableText0"/>
            </w:pPr>
            <w:r w:rsidRPr="00A86C81">
              <w:t>Prevalence of HCM</w:t>
            </w:r>
          </w:p>
        </w:tc>
        <w:tc>
          <w:tcPr>
            <w:tcW w:w="992" w:type="pct"/>
          </w:tcPr>
          <w:p w14:paraId="074236CE" w14:textId="77777777" w:rsidR="001E546F" w:rsidRPr="00A86C81" w:rsidRDefault="001E546F" w:rsidP="004A78D6">
            <w:pPr>
              <w:pStyle w:val="TableText0"/>
            </w:pPr>
            <w:r w:rsidRPr="00A86C81">
              <w:t>1 in 500 persons</w:t>
            </w:r>
          </w:p>
        </w:tc>
        <w:tc>
          <w:tcPr>
            <w:tcW w:w="1179" w:type="pct"/>
          </w:tcPr>
          <w:p w14:paraId="123D2DD8" w14:textId="6DD4E603"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sidRPr="00414250">
              <w:rPr>
                <w:vertAlign w:val="superscript"/>
              </w:rPr>
              <w:t>2</w:t>
            </w:r>
          </w:p>
        </w:tc>
        <w:tc>
          <w:tcPr>
            <w:tcW w:w="758" w:type="pct"/>
          </w:tcPr>
          <w:p w14:paraId="50146300" w14:textId="77777777" w:rsidR="001E546F" w:rsidRPr="00A86C81" w:rsidRDefault="001E546F" w:rsidP="004A78D6">
            <w:pPr>
              <w:pStyle w:val="TableText0"/>
              <w:jc w:val="center"/>
            </w:pPr>
            <w:r w:rsidRPr="00A86C81">
              <w:t>-30%</w:t>
            </w:r>
          </w:p>
        </w:tc>
      </w:tr>
      <w:tr w:rsidR="001E546F" w:rsidRPr="00A86C81" w14:paraId="4D667CCD" w14:textId="77777777" w:rsidTr="004A78D6">
        <w:tc>
          <w:tcPr>
            <w:tcW w:w="313" w:type="pct"/>
            <w:tcBorders>
              <w:top w:val="nil"/>
              <w:bottom w:val="single" w:sz="4" w:space="0" w:color="auto"/>
            </w:tcBorders>
            <w:vAlign w:val="center"/>
          </w:tcPr>
          <w:p w14:paraId="24375679" w14:textId="77777777" w:rsidR="001E546F" w:rsidRPr="00A86C81" w:rsidRDefault="001E546F" w:rsidP="004A78D6">
            <w:pPr>
              <w:pStyle w:val="TableText0"/>
            </w:pPr>
          </w:p>
        </w:tc>
        <w:tc>
          <w:tcPr>
            <w:tcW w:w="1758" w:type="pct"/>
            <w:tcBorders>
              <w:top w:val="nil"/>
              <w:bottom w:val="single" w:sz="4" w:space="0" w:color="auto"/>
            </w:tcBorders>
          </w:tcPr>
          <w:p w14:paraId="79FD2CD5" w14:textId="77777777" w:rsidR="001E546F" w:rsidRPr="00A86C81" w:rsidRDefault="001E546F" w:rsidP="004A78D6">
            <w:pPr>
              <w:pStyle w:val="TableText0"/>
            </w:pPr>
          </w:p>
        </w:tc>
        <w:tc>
          <w:tcPr>
            <w:tcW w:w="992" w:type="pct"/>
          </w:tcPr>
          <w:p w14:paraId="00ADCF29" w14:textId="77777777" w:rsidR="001E546F" w:rsidRPr="00A86C81" w:rsidRDefault="001E546F" w:rsidP="004A78D6">
            <w:pPr>
              <w:pStyle w:val="TableText0"/>
            </w:pPr>
            <w:r w:rsidRPr="00A86C81">
              <w:t>1 in 200 persons</w:t>
            </w:r>
          </w:p>
        </w:tc>
        <w:tc>
          <w:tcPr>
            <w:tcW w:w="1179" w:type="pct"/>
          </w:tcPr>
          <w:p w14:paraId="26F0FB0A" w14:textId="272086AE"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Pr>
                <w:vertAlign w:val="superscript"/>
              </w:rPr>
              <w:t>3</w:t>
            </w:r>
          </w:p>
        </w:tc>
        <w:tc>
          <w:tcPr>
            <w:tcW w:w="758" w:type="pct"/>
            <w:tcBorders>
              <w:bottom w:val="single" w:sz="4" w:space="0" w:color="auto"/>
            </w:tcBorders>
          </w:tcPr>
          <w:p w14:paraId="05DB6962" w14:textId="77777777" w:rsidR="001E546F" w:rsidRPr="00A86C81" w:rsidRDefault="001E546F" w:rsidP="004A78D6">
            <w:pPr>
              <w:pStyle w:val="TableText0"/>
              <w:jc w:val="center"/>
            </w:pPr>
            <w:r w:rsidRPr="00A86C81">
              <w:t>75%</w:t>
            </w:r>
          </w:p>
        </w:tc>
      </w:tr>
      <w:tr w:rsidR="001E546F" w:rsidRPr="00A86C81" w14:paraId="535FCFAC" w14:textId="77777777" w:rsidTr="004A78D6">
        <w:tc>
          <w:tcPr>
            <w:tcW w:w="313" w:type="pct"/>
            <w:tcBorders>
              <w:bottom w:val="nil"/>
            </w:tcBorders>
            <w:vAlign w:val="center"/>
          </w:tcPr>
          <w:p w14:paraId="6FCE9C66" w14:textId="77777777" w:rsidR="001E546F" w:rsidRPr="00A86C81" w:rsidRDefault="001E546F" w:rsidP="004A78D6">
            <w:pPr>
              <w:pStyle w:val="TableText0"/>
            </w:pPr>
            <w:r w:rsidRPr="00A86C81">
              <w:t>SA.2</w:t>
            </w:r>
          </w:p>
        </w:tc>
        <w:tc>
          <w:tcPr>
            <w:tcW w:w="1758" w:type="pct"/>
            <w:tcBorders>
              <w:bottom w:val="nil"/>
            </w:tcBorders>
          </w:tcPr>
          <w:p w14:paraId="6452E7FE" w14:textId="77777777" w:rsidR="001E546F" w:rsidRPr="00A86C81" w:rsidRDefault="001E546F" w:rsidP="004A78D6">
            <w:pPr>
              <w:pStyle w:val="TableText0"/>
            </w:pPr>
            <w:r w:rsidRPr="00A86C81">
              <w:t>Diagnosis rate of HCM</w:t>
            </w:r>
          </w:p>
        </w:tc>
        <w:tc>
          <w:tcPr>
            <w:tcW w:w="992" w:type="pct"/>
          </w:tcPr>
          <w:p w14:paraId="5B9AEDB0" w14:textId="77777777" w:rsidR="001E546F" w:rsidRPr="00A86C81" w:rsidRDefault="001E546F" w:rsidP="004A78D6">
            <w:pPr>
              <w:pStyle w:val="TableText0"/>
            </w:pPr>
            <w:r w:rsidRPr="00A86C81">
              <w:t>6.26%</w:t>
            </w:r>
          </w:p>
        </w:tc>
        <w:tc>
          <w:tcPr>
            <w:tcW w:w="1179" w:type="pct"/>
          </w:tcPr>
          <w:p w14:paraId="619D60C9" w14:textId="4FB7E988"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Pr>
                <w:vertAlign w:val="superscript"/>
              </w:rPr>
              <w:t>4</w:t>
            </w:r>
          </w:p>
        </w:tc>
        <w:tc>
          <w:tcPr>
            <w:tcW w:w="758" w:type="pct"/>
          </w:tcPr>
          <w:p w14:paraId="6D96F5C7" w14:textId="77777777" w:rsidR="001E546F" w:rsidRPr="00A86C81" w:rsidRDefault="001E546F" w:rsidP="004A78D6">
            <w:pPr>
              <w:pStyle w:val="TableText0"/>
              <w:jc w:val="center"/>
            </w:pPr>
            <w:r w:rsidRPr="00A86C81">
              <w:t>-43%</w:t>
            </w:r>
          </w:p>
        </w:tc>
      </w:tr>
      <w:tr w:rsidR="001E546F" w:rsidRPr="00A86C81" w14:paraId="3BDE97C5" w14:textId="77777777" w:rsidTr="004A78D6">
        <w:tc>
          <w:tcPr>
            <w:tcW w:w="313" w:type="pct"/>
            <w:tcBorders>
              <w:top w:val="nil"/>
              <w:bottom w:val="single" w:sz="4" w:space="0" w:color="auto"/>
            </w:tcBorders>
            <w:vAlign w:val="center"/>
          </w:tcPr>
          <w:p w14:paraId="1DAEE768" w14:textId="77777777" w:rsidR="001E546F" w:rsidRPr="00A86C81" w:rsidRDefault="001E546F" w:rsidP="004A78D6">
            <w:pPr>
              <w:pStyle w:val="TableText0"/>
            </w:pPr>
          </w:p>
        </w:tc>
        <w:tc>
          <w:tcPr>
            <w:tcW w:w="1758" w:type="pct"/>
            <w:tcBorders>
              <w:top w:val="nil"/>
              <w:bottom w:val="single" w:sz="4" w:space="0" w:color="auto"/>
            </w:tcBorders>
          </w:tcPr>
          <w:p w14:paraId="59F0462A" w14:textId="77777777" w:rsidR="001E546F" w:rsidRPr="00A86C81" w:rsidRDefault="001E546F" w:rsidP="004A78D6">
            <w:pPr>
              <w:pStyle w:val="TableText0"/>
            </w:pPr>
          </w:p>
        </w:tc>
        <w:tc>
          <w:tcPr>
            <w:tcW w:w="992" w:type="pct"/>
          </w:tcPr>
          <w:p w14:paraId="71C09ABD" w14:textId="77777777" w:rsidR="001E546F" w:rsidRPr="00A86C81" w:rsidRDefault="001E546F" w:rsidP="004A78D6">
            <w:pPr>
              <w:pStyle w:val="TableText0"/>
            </w:pPr>
            <w:r w:rsidRPr="00A86C81">
              <w:t>15.65%</w:t>
            </w:r>
          </w:p>
        </w:tc>
        <w:tc>
          <w:tcPr>
            <w:tcW w:w="1179" w:type="pct"/>
          </w:tcPr>
          <w:p w14:paraId="04FD2A91" w14:textId="23B3961F"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Pr>
                <w:vertAlign w:val="superscript"/>
              </w:rPr>
              <w:t>5</w:t>
            </w:r>
          </w:p>
        </w:tc>
        <w:tc>
          <w:tcPr>
            <w:tcW w:w="758" w:type="pct"/>
            <w:tcBorders>
              <w:bottom w:val="single" w:sz="4" w:space="0" w:color="auto"/>
            </w:tcBorders>
          </w:tcPr>
          <w:p w14:paraId="7F56B159" w14:textId="77777777" w:rsidR="001E546F" w:rsidRPr="00A86C81" w:rsidRDefault="001E546F" w:rsidP="004A78D6">
            <w:pPr>
              <w:pStyle w:val="TableText0"/>
              <w:jc w:val="center"/>
            </w:pPr>
            <w:r w:rsidRPr="00A86C81">
              <w:t>43%</w:t>
            </w:r>
          </w:p>
        </w:tc>
      </w:tr>
      <w:tr w:rsidR="001E546F" w:rsidRPr="00A86C81" w14:paraId="20AFFE31" w14:textId="77777777" w:rsidTr="004A78D6">
        <w:tc>
          <w:tcPr>
            <w:tcW w:w="313" w:type="pct"/>
            <w:tcBorders>
              <w:bottom w:val="nil"/>
            </w:tcBorders>
            <w:vAlign w:val="center"/>
          </w:tcPr>
          <w:p w14:paraId="657144E5" w14:textId="77777777" w:rsidR="001E546F" w:rsidRPr="00A86C81" w:rsidRDefault="001E546F" w:rsidP="004A78D6">
            <w:pPr>
              <w:pStyle w:val="TableText0"/>
            </w:pPr>
            <w:r w:rsidRPr="00A86C81">
              <w:t>SA.3</w:t>
            </w:r>
          </w:p>
        </w:tc>
        <w:tc>
          <w:tcPr>
            <w:tcW w:w="1758" w:type="pct"/>
            <w:tcBorders>
              <w:bottom w:val="nil"/>
            </w:tcBorders>
          </w:tcPr>
          <w:p w14:paraId="456CE759" w14:textId="77777777" w:rsidR="001E546F" w:rsidRPr="00A86C81" w:rsidRDefault="001E546F" w:rsidP="004A78D6">
            <w:pPr>
              <w:pStyle w:val="TableText0"/>
            </w:pPr>
            <w:r w:rsidRPr="00A86C81">
              <w:t>Proportion of HCM patients with obstructive disease</w:t>
            </w:r>
          </w:p>
        </w:tc>
        <w:tc>
          <w:tcPr>
            <w:tcW w:w="992" w:type="pct"/>
          </w:tcPr>
          <w:p w14:paraId="7DF41938" w14:textId="77777777" w:rsidR="001E546F" w:rsidRPr="00A86C81" w:rsidRDefault="001E546F" w:rsidP="004A78D6">
            <w:pPr>
              <w:pStyle w:val="TableText0"/>
            </w:pPr>
            <w:r w:rsidRPr="00A86C81">
              <w:t>31.41%</w:t>
            </w:r>
          </w:p>
        </w:tc>
        <w:tc>
          <w:tcPr>
            <w:tcW w:w="1179" w:type="pct"/>
          </w:tcPr>
          <w:p w14:paraId="18787C05" w14:textId="39C0C7A4"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sidRPr="002503FB">
              <w:rPr>
                <w:vertAlign w:val="superscript"/>
              </w:rPr>
              <w:t>2</w:t>
            </w:r>
          </w:p>
        </w:tc>
        <w:tc>
          <w:tcPr>
            <w:tcW w:w="758" w:type="pct"/>
            <w:tcBorders>
              <w:bottom w:val="single" w:sz="4" w:space="0" w:color="auto"/>
            </w:tcBorders>
          </w:tcPr>
          <w:p w14:paraId="613A9D43" w14:textId="77777777" w:rsidR="001E546F" w:rsidRPr="00A86C81" w:rsidRDefault="001E546F" w:rsidP="004A78D6">
            <w:pPr>
              <w:pStyle w:val="TableText0"/>
              <w:jc w:val="center"/>
            </w:pPr>
            <w:r w:rsidRPr="00A86C81">
              <w:t>-17%</w:t>
            </w:r>
          </w:p>
        </w:tc>
      </w:tr>
      <w:tr w:rsidR="001E546F" w:rsidRPr="00A86C81" w14:paraId="5208B48A" w14:textId="77777777" w:rsidTr="004A78D6">
        <w:tc>
          <w:tcPr>
            <w:tcW w:w="313" w:type="pct"/>
            <w:tcBorders>
              <w:top w:val="nil"/>
              <w:bottom w:val="single" w:sz="4" w:space="0" w:color="auto"/>
            </w:tcBorders>
            <w:vAlign w:val="center"/>
          </w:tcPr>
          <w:p w14:paraId="1AB75207" w14:textId="77777777" w:rsidR="001E546F" w:rsidRPr="00A86C81" w:rsidRDefault="001E546F" w:rsidP="004A78D6">
            <w:pPr>
              <w:pStyle w:val="TableText0"/>
            </w:pPr>
          </w:p>
        </w:tc>
        <w:tc>
          <w:tcPr>
            <w:tcW w:w="1758" w:type="pct"/>
            <w:tcBorders>
              <w:top w:val="nil"/>
              <w:bottom w:val="single" w:sz="4" w:space="0" w:color="auto"/>
            </w:tcBorders>
          </w:tcPr>
          <w:p w14:paraId="05D2A12D" w14:textId="77777777" w:rsidR="001E546F" w:rsidRPr="00A86C81" w:rsidRDefault="001E546F" w:rsidP="004A78D6">
            <w:pPr>
              <w:pStyle w:val="TableText0"/>
            </w:pPr>
          </w:p>
        </w:tc>
        <w:tc>
          <w:tcPr>
            <w:tcW w:w="992" w:type="pct"/>
          </w:tcPr>
          <w:p w14:paraId="7C7DEB86" w14:textId="77777777" w:rsidR="001E546F" w:rsidRPr="00A86C81" w:rsidRDefault="001E546F" w:rsidP="004A78D6">
            <w:pPr>
              <w:pStyle w:val="TableText0"/>
            </w:pPr>
            <w:r w:rsidRPr="00A86C81">
              <w:t>60.94%</w:t>
            </w:r>
          </w:p>
        </w:tc>
        <w:tc>
          <w:tcPr>
            <w:tcW w:w="1179" w:type="pct"/>
          </w:tcPr>
          <w:p w14:paraId="05C16C05" w14:textId="0B4B1599"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6</w:t>
            </w:r>
          </w:p>
        </w:tc>
        <w:tc>
          <w:tcPr>
            <w:tcW w:w="758" w:type="pct"/>
            <w:tcBorders>
              <w:top w:val="single" w:sz="4" w:space="0" w:color="auto"/>
              <w:bottom w:val="single" w:sz="4" w:space="0" w:color="auto"/>
            </w:tcBorders>
          </w:tcPr>
          <w:p w14:paraId="6859A480" w14:textId="77777777" w:rsidR="001E546F" w:rsidRPr="00A86C81" w:rsidRDefault="001E546F" w:rsidP="004A78D6">
            <w:pPr>
              <w:pStyle w:val="TableText0"/>
              <w:jc w:val="center"/>
            </w:pPr>
            <w:r w:rsidRPr="00A86C81">
              <w:t>62%</w:t>
            </w:r>
          </w:p>
        </w:tc>
      </w:tr>
      <w:tr w:rsidR="001E546F" w:rsidRPr="00A86C81" w14:paraId="06126EA3" w14:textId="77777777" w:rsidTr="004A78D6">
        <w:tc>
          <w:tcPr>
            <w:tcW w:w="313" w:type="pct"/>
            <w:tcBorders>
              <w:bottom w:val="nil"/>
            </w:tcBorders>
            <w:vAlign w:val="center"/>
          </w:tcPr>
          <w:p w14:paraId="3302FD82" w14:textId="77777777" w:rsidR="001E546F" w:rsidRPr="00A86C81" w:rsidRDefault="001E546F" w:rsidP="004A78D6">
            <w:pPr>
              <w:pStyle w:val="TableText0"/>
            </w:pPr>
            <w:r w:rsidRPr="00A86C81">
              <w:t>SA.4</w:t>
            </w:r>
          </w:p>
        </w:tc>
        <w:tc>
          <w:tcPr>
            <w:tcW w:w="1758" w:type="pct"/>
            <w:tcBorders>
              <w:bottom w:val="nil"/>
            </w:tcBorders>
          </w:tcPr>
          <w:p w14:paraId="14C422DF" w14:textId="77777777" w:rsidR="001E546F" w:rsidRPr="00A86C81" w:rsidRDefault="001E546F" w:rsidP="004A78D6">
            <w:pPr>
              <w:pStyle w:val="TableText0"/>
            </w:pPr>
            <w:r w:rsidRPr="00A86C81">
              <w:t>Proportion of obstructive HCM patients who are NYHA Class II/III</w:t>
            </w:r>
          </w:p>
        </w:tc>
        <w:tc>
          <w:tcPr>
            <w:tcW w:w="992" w:type="pct"/>
          </w:tcPr>
          <w:p w14:paraId="437A72CB" w14:textId="77777777" w:rsidR="001E546F" w:rsidRPr="00A86C81" w:rsidRDefault="001E546F" w:rsidP="004A78D6">
            <w:pPr>
              <w:pStyle w:val="TableText0"/>
            </w:pPr>
            <w:r w:rsidRPr="00A86C81">
              <w:t xml:space="preserve">39.54% </w:t>
            </w:r>
          </w:p>
        </w:tc>
        <w:tc>
          <w:tcPr>
            <w:tcW w:w="1179" w:type="pct"/>
          </w:tcPr>
          <w:p w14:paraId="4B92AEE9" w14:textId="5DA98FC2"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sidRPr="002503FB">
              <w:rPr>
                <w:vertAlign w:val="superscript"/>
              </w:rPr>
              <w:t>2</w:t>
            </w:r>
          </w:p>
        </w:tc>
        <w:tc>
          <w:tcPr>
            <w:tcW w:w="758" w:type="pct"/>
          </w:tcPr>
          <w:p w14:paraId="554D0054" w14:textId="77777777" w:rsidR="001E546F" w:rsidRPr="00A86C81" w:rsidRDefault="001E546F" w:rsidP="004A78D6">
            <w:pPr>
              <w:pStyle w:val="TableText0"/>
              <w:jc w:val="center"/>
            </w:pPr>
            <w:r w:rsidRPr="00A86C81">
              <w:t>-20%</w:t>
            </w:r>
          </w:p>
        </w:tc>
      </w:tr>
      <w:tr w:rsidR="001E546F" w:rsidRPr="00A86C81" w14:paraId="1353AD95" w14:textId="77777777" w:rsidTr="004A78D6">
        <w:tc>
          <w:tcPr>
            <w:tcW w:w="313" w:type="pct"/>
            <w:tcBorders>
              <w:top w:val="nil"/>
              <w:bottom w:val="nil"/>
            </w:tcBorders>
            <w:vAlign w:val="center"/>
          </w:tcPr>
          <w:p w14:paraId="0C2B07B5" w14:textId="77777777" w:rsidR="001E546F" w:rsidRPr="00A86C81" w:rsidRDefault="001E546F" w:rsidP="004A78D6">
            <w:pPr>
              <w:pStyle w:val="TableText0"/>
            </w:pPr>
          </w:p>
        </w:tc>
        <w:tc>
          <w:tcPr>
            <w:tcW w:w="1758" w:type="pct"/>
            <w:tcBorders>
              <w:top w:val="nil"/>
              <w:bottom w:val="nil"/>
            </w:tcBorders>
          </w:tcPr>
          <w:p w14:paraId="69D36FD6" w14:textId="77777777" w:rsidR="001E546F" w:rsidRPr="00A86C81" w:rsidRDefault="001E546F" w:rsidP="004A78D6">
            <w:pPr>
              <w:pStyle w:val="TableText0"/>
            </w:pPr>
          </w:p>
        </w:tc>
        <w:tc>
          <w:tcPr>
            <w:tcW w:w="992" w:type="pct"/>
          </w:tcPr>
          <w:p w14:paraId="6F7650B6" w14:textId="77777777" w:rsidR="001E546F" w:rsidRPr="00A86C81" w:rsidRDefault="001E546F" w:rsidP="004A78D6">
            <w:pPr>
              <w:pStyle w:val="TableText0"/>
            </w:pPr>
            <w:r w:rsidRPr="00A86C81">
              <w:t>59.54%</w:t>
            </w:r>
          </w:p>
        </w:tc>
        <w:tc>
          <w:tcPr>
            <w:tcW w:w="1179" w:type="pct"/>
          </w:tcPr>
          <w:p w14:paraId="29034C81" w14:textId="7819F0D9"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5</w:t>
            </w:r>
          </w:p>
        </w:tc>
        <w:tc>
          <w:tcPr>
            <w:tcW w:w="758" w:type="pct"/>
            <w:tcBorders>
              <w:bottom w:val="single" w:sz="4" w:space="0" w:color="auto"/>
            </w:tcBorders>
          </w:tcPr>
          <w:p w14:paraId="7E9ACA66" w14:textId="77777777" w:rsidR="001E546F" w:rsidRPr="00A86C81" w:rsidRDefault="001E546F" w:rsidP="004A78D6">
            <w:pPr>
              <w:pStyle w:val="TableText0"/>
              <w:jc w:val="center"/>
            </w:pPr>
            <w:r w:rsidRPr="00A86C81">
              <w:t>20%</w:t>
            </w:r>
          </w:p>
        </w:tc>
      </w:tr>
      <w:tr w:rsidR="001E546F" w:rsidRPr="00A86C81" w14:paraId="13BE2C4C" w14:textId="77777777" w:rsidTr="004A78D6">
        <w:tc>
          <w:tcPr>
            <w:tcW w:w="313" w:type="pct"/>
            <w:tcBorders>
              <w:top w:val="nil"/>
              <w:bottom w:val="single" w:sz="4" w:space="0" w:color="auto"/>
            </w:tcBorders>
            <w:vAlign w:val="center"/>
          </w:tcPr>
          <w:p w14:paraId="0C36F0CB" w14:textId="77777777" w:rsidR="001E546F" w:rsidRPr="00A86C81" w:rsidRDefault="001E546F" w:rsidP="004A78D6">
            <w:pPr>
              <w:pStyle w:val="TableText0"/>
            </w:pPr>
          </w:p>
        </w:tc>
        <w:tc>
          <w:tcPr>
            <w:tcW w:w="1758" w:type="pct"/>
            <w:tcBorders>
              <w:top w:val="nil"/>
              <w:bottom w:val="single" w:sz="4" w:space="0" w:color="auto"/>
            </w:tcBorders>
          </w:tcPr>
          <w:p w14:paraId="32C0500C" w14:textId="77777777" w:rsidR="001E546F" w:rsidRPr="00A86C81" w:rsidRDefault="001E546F" w:rsidP="004A78D6">
            <w:pPr>
              <w:pStyle w:val="TableText0"/>
            </w:pPr>
          </w:p>
        </w:tc>
        <w:tc>
          <w:tcPr>
            <w:tcW w:w="992" w:type="pct"/>
          </w:tcPr>
          <w:p w14:paraId="16CBADF6" w14:textId="77777777" w:rsidR="001E546F" w:rsidRPr="00A86C81" w:rsidRDefault="001E546F" w:rsidP="004A78D6">
            <w:pPr>
              <w:pStyle w:val="TableText0"/>
            </w:pPr>
            <w:r w:rsidRPr="00A86C81">
              <w:t>64.10%</w:t>
            </w:r>
          </w:p>
        </w:tc>
        <w:tc>
          <w:tcPr>
            <w:tcW w:w="1179" w:type="pct"/>
          </w:tcPr>
          <w:p w14:paraId="1EDD626D" w14:textId="33D5F6A0"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5</w:t>
            </w:r>
          </w:p>
        </w:tc>
        <w:tc>
          <w:tcPr>
            <w:tcW w:w="758" w:type="pct"/>
          </w:tcPr>
          <w:p w14:paraId="2E15C1F2" w14:textId="77777777" w:rsidR="001E546F" w:rsidRPr="00A86C81" w:rsidRDefault="001E546F" w:rsidP="004A78D6">
            <w:pPr>
              <w:pStyle w:val="TableText0"/>
              <w:jc w:val="center"/>
            </w:pPr>
            <w:r w:rsidRPr="00A86C81">
              <w:t>29%</w:t>
            </w:r>
          </w:p>
        </w:tc>
      </w:tr>
      <w:tr w:rsidR="001E546F" w:rsidRPr="00A86C81" w14:paraId="6F34B3B7" w14:textId="77777777" w:rsidTr="004A78D6">
        <w:tc>
          <w:tcPr>
            <w:tcW w:w="313" w:type="pct"/>
            <w:tcBorders>
              <w:top w:val="single" w:sz="4" w:space="0" w:color="auto"/>
              <w:bottom w:val="nil"/>
            </w:tcBorders>
            <w:vAlign w:val="center"/>
          </w:tcPr>
          <w:p w14:paraId="01B608C0" w14:textId="77777777" w:rsidR="001E546F" w:rsidRPr="00A86C81" w:rsidRDefault="001E546F" w:rsidP="004A78D6">
            <w:pPr>
              <w:pStyle w:val="TableText0"/>
            </w:pPr>
            <w:r w:rsidRPr="00A86C81">
              <w:t>SA.5</w:t>
            </w:r>
          </w:p>
        </w:tc>
        <w:tc>
          <w:tcPr>
            <w:tcW w:w="1758" w:type="pct"/>
            <w:tcBorders>
              <w:top w:val="single" w:sz="4" w:space="0" w:color="auto"/>
              <w:bottom w:val="nil"/>
            </w:tcBorders>
          </w:tcPr>
          <w:p w14:paraId="3F7A5683" w14:textId="77777777" w:rsidR="001E546F" w:rsidRPr="00A86C81" w:rsidRDefault="001E546F" w:rsidP="004A78D6">
            <w:pPr>
              <w:pStyle w:val="TableText0"/>
            </w:pPr>
            <w:r w:rsidRPr="00A86C81">
              <w:t>Mavacamten uptake</w:t>
            </w:r>
          </w:p>
        </w:tc>
        <w:tc>
          <w:tcPr>
            <w:tcW w:w="992" w:type="pct"/>
          </w:tcPr>
          <w:p w14:paraId="5355B23D" w14:textId="77777777" w:rsidR="001E546F" w:rsidRPr="00A86C81" w:rsidRDefault="001E546F" w:rsidP="004A78D6">
            <w:pPr>
              <w:pStyle w:val="TableText0"/>
            </w:pPr>
            <w:r w:rsidRPr="00A86C81">
              <w:t>61.11%</w:t>
            </w:r>
          </w:p>
        </w:tc>
        <w:tc>
          <w:tcPr>
            <w:tcW w:w="1179" w:type="pct"/>
          </w:tcPr>
          <w:p w14:paraId="19A3A60E" w14:textId="0C810129"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286644" w:rsidRPr="002503FB">
              <w:rPr>
                <w:vertAlign w:val="superscript"/>
              </w:rPr>
              <w:t>2</w:t>
            </w:r>
          </w:p>
        </w:tc>
        <w:tc>
          <w:tcPr>
            <w:tcW w:w="758" w:type="pct"/>
          </w:tcPr>
          <w:p w14:paraId="36261D09" w14:textId="77777777" w:rsidR="001E546F" w:rsidRPr="00A86C81" w:rsidRDefault="001E546F" w:rsidP="004A78D6">
            <w:pPr>
              <w:pStyle w:val="TableText0"/>
              <w:jc w:val="center"/>
            </w:pPr>
            <w:r w:rsidRPr="00A86C81">
              <w:rPr>
                <w:szCs w:val="20"/>
              </w:rPr>
              <w:t>-15%</w:t>
            </w:r>
          </w:p>
        </w:tc>
      </w:tr>
      <w:tr w:rsidR="001E546F" w:rsidRPr="00A86C81" w14:paraId="1F89C46C" w14:textId="77777777" w:rsidTr="004A78D6">
        <w:tc>
          <w:tcPr>
            <w:tcW w:w="313" w:type="pct"/>
            <w:tcBorders>
              <w:top w:val="nil"/>
              <w:bottom w:val="single" w:sz="4" w:space="0" w:color="auto"/>
            </w:tcBorders>
            <w:vAlign w:val="center"/>
          </w:tcPr>
          <w:p w14:paraId="53DF5E54" w14:textId="77777777" w:rsidR="001E546F" w:rsidRPr="00A86C81" w:rsidRDefault="001E546F" w:rsidP="004A78D6">
            <w:pPr>
              <w:pStyle w:val="TableText0"/>
            </w:pPr>
          </w:p>
        </w:tc>
        <w:tc>
          <w:tcPr>
            <w:tcW w:w="1758" w:type="pct"/>
            <w:tcBorders>
              <w:top w:val="nil"/>
              <w:bottom w:val="single" w:sz="4" w:space="0" w:color="auto"/>
            </w:tcBorders>
          </w:tcPr>
          <w:p w14:paraId="3B329741" w14:textId="77777777" w:rsidR="001E546F" w:rsidRPr="00A86C81" w:rsidRDefault="001E546F" w:rsidP="004A78D6">
            <w:pPr>
              <w:pStyle w:val="TableText0"/>
            </w:pPr>
          </w:p>
        </w:tc>
        <w:tc>
          <w:tcPr>
            <w:tcW w:w="992" w:type="pct"/>
          </w:tcPr>
          <w:p w14:paraId="1EE1712E" w14:textId="77777777" w:rsidR="001E546F" w:rsidRPr="00A86C81" w:rsidRDefault="001E546F" w:rsidP="004A78D6">
            <w:pPr>
              <w:pStyle w:val="TableText0"/>
            </w:pPr>
            <w:r w:rsidRPr="00A86C81">
              <w:t>81.11%</w:t>
            </w:r>
          </w:p>
        </w:tc>
        <w:tc>
          <w:tcPr>
            <w:tcW w:w="1179" w:type="pct"/>
          </w:tcPr>
          <w:p w14:paraId="49BFC003" w14:textId="0BE7766B"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1</w:t>
            </w:r>
          </w:p>
        </w:tc>
        <w:tc>
          <w:tcPr>
            <w:tcW w:w="758" w:type="pct"/>
          </w:tcPr>
          <w:p w14:paraId="5C3605CF" w14:textId="77777777" w:rsidR="001E546F" w:rsidRPr="00A86C81" w:rsidRDefault="001E546F" w:rsidP="004A78D6">
            <w:pPr>
              <w:pStyle w:val="TableText0"/>
              <w:jc w:val="center"/>
            </w:pPr>
            <w:r w:rsidRPr="00A86C81">
              <w:rPr>
                <w:szCs w:val="20"/>
              </w:rPr>
              <w:t>15%</w:t>
            </w:r>
          </w:p>
        </w:tc>
      </w:tr>
      <w:tr w:rsidR="001E546F" w:rsidRPr="00A86C81" w14:paraId="7F42E98E" w14:textId="77777777" w:rsidTr="004A78D6">
        <w:tc>
          <w:tcPr>
            <w:tcW w:w="313" w:type="pct"/>
            <w:tcBorders>
              <w:top w:val="single" w:sz="4" w:space="0" w:color="auto"/>
              <w:bottom w:val="nil"/>
            </w:tcBorders>
            <w:vAlign w:val="center"/>
          </w:tcPr>
          <w:p w14:paraId="03411E22" w14:textId="77777777" w:rsidR="001E546F" w:rsidRPr="00A86C81" w:rsidRDefault="001E546F" w:rsidP="004A78D6">
            <w:pPr>
              <w:pStyle w:val="TableText0"/>
            </w:pPr>
            <w:r w:rsidRPr="00A86C81">
              <w:t>SA.6</w:t>
            </w:r>
          </w:p>
        </w:tc>
        <w:tc>
          <w:tcPr>
            <w:tcW w:w="1758" w:type="pct"/>
            <w:tcBorders>
              <w:top w:val="single" w:sz="4" w:space="0" w:color="auto"/>
              <w:bottom w:val="nil"/>
            </w:tcBorders>
          </w:tcPr>
          <w:p w14:paraId="742DA8FC" w14:textId="77777777" w:rsidR="001E546F" w:rsidRPr="00A86C81" w:rsidRDefault="001E546F" w:rsidP="004A78D6">
            <w:pPr>
              <w:pStyle w:val="TableText0"/>
            </w:pPr>
            <w:r w:rsidRPr="00A86C81">
              <w:t>Persistence in Year 1</w:t>
            </w:r>
          </w:p>
        </w:tc>
        <w:tc>
          <w:tcPr>
            <w:tcW w:w="992" w:type="pct"/>
          </w:tcPr>
          <w:p w14:paraId="16B8B2F4" w14:textId="77777777" w:rsidR="001E546F" w:rsidRPr="00A86C81" w:rsidRDefault="001E546F" w:rsidP="004A78D6">
            <w:pPr>
              <w:pStyle w:val="TableText0"/>
            </w:pPr>
            <w:r w:rsidRPr="00A86C81">
              <w:t>59.49%</w:t>
            </w:r>
          </w:p>
        </w:tc>
        <w:tc>
          <w:tcPr>
            <w:tcW w:w="1179" w:type="pct"/>
          </w:tcPr>
          <w:p w14:paraId="46B5F84E" w14:textId="02083304"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1</w:t>
            </w:r>
          </w:p>
        </w:tc>
        <w:tc>
          <w:tcPr>
            <w:tcW w:w="758" w:type="pct"/>
          </w:tcPr>
          <w:p w14:paraId="4E03B4FB" w14:textId="77777777" w:rsidR="001E546F" w:rsidRPr="00A86C81" w:rsidRDefault="001E546F" w:rsidP="004A78D6">
            <w:pPr>
              <w:pStyle w:val="TableText0"/>
              <w:jc w:val="center"/>
            </w:pPr>
            <w:r w:rsidRPr="00A86C81">
              <w:rPr>
                <w:szCs w:val="20"/>
              </w:rPr>
              <w:t>-5%</w:t>
            </w:r>
          </w:p>
        </w:tc>
      </w:tr>
      <w:tr w:rsidR="001E546F" w:rsidRPr="00A86C81" w14:paraId="4326E9CC" w14:textId="77777777" w:rsidTr="004A78D6">
        <w:tc>
          <w:tcPr>
            <w:tcW w:w="313" w:type="pct"/>
            <w:tcBorders>
              <w:top w:val="nil"/>
              <w:bottom w:val="nil"/>
            </w:tcBorders>
            <w:vAlign w:val="center"/>
          </w:tcPr>
          <w:p w14:paraId="4506EDC3" w14:textId="77777777" w:rsidR="001E546F" w:rsidRPr="00A86C81" w:rsidRDefault="001E546F" w:rsidP="004A78D6">
            <w:pPr>
              <w:pStyle w:val="TableText0"/>
            </w:pPr>
          </w:p>
        </w:tc>
        <w:tc>
          <w:tcPr>
            <w:tcW w:w="1758" w:type="pct"/>
            <w:tcBorders>
              <w:top w:val="nil"/>
              <w:bottom w:val="nil"/>
            </w:tcBorders>
          </w:tcPr>
          <w:p w14:paraId="35DC3160" w14:textId="77777777" w:rsidR="001E546F" w:rsidRPr="00A86C81" w:rsidRDefault="001E546F" w:rsidP="004A78D6">
            <w:pPr>
              <w:pStyle w:val="TableText0"/>
            </w:pPr>
          </w:p>
        </w:tc>
        <w:tc>
          <w:tcPr>
            <w:tcW w:w="992" w:type="pct"/>
          </w:tcPr>
          <w:p w14:paraId="5B5EFA0D" w14:textId="77777777" w:rsidR="001E546F" w:rsidRPr="00A86C81" w:rsidRDefault="001E546F" w:rsidP="004A78D6">
            <w:pPr>
              <w:pStyle w:val="TableText0"/>
            </w:pPr>
            <w:r w:rsidRPr="00A86C81">
              <w:t>72.71%</w:t>
            </w:r>
          </w:p>
        </w:tc>
        <w:tc>
          <w:tcPr>
            <w:tcW w:w="1179" w:type="pct"/>
          </w:tcPr>
          <w:p w14:paraId="65ABBE2E" w14:textId="4A690DBC"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1</w:t>
            </w:r>
          </w:p>
        </w:tc>
        <w:tc>
          <w:tcPr>
            <w:tcW w:w="758" w:type="pct"/>
          </w:tcPr>
          <w:p w14:paraId="08ABD56A" w14:textId="77777777" w:rsidR="001E546F" w:rsidRPr="00A86C81" w:rsidRDefault="001E546F" w:rsidP="004A78D6">
            <w:pPr>
              <w:pStyle w:val="TableText0"/>
              <w:jc w:val="center"/>
            </w:pPr>
            <w:r w:rsidRPr="00A86C81">
              <w:rPr>
                <w:szCs w:val="20"/>
              </w:rPr>
              <w:t>5%</w:t>
            </w:r>
          </w:p>
        </w:tc>
      </w:tr>
      <w:tr w:rsidR="001E546F" w:rsidRPr="00A86C81" w14:paraId="65F5CBAB" w14:textId="77777777" w:rsidTr="004A78D6">
        <w:tc>
          <w:tcPr>
            <w:tcW w:w="313" w:type="pct"/>
            <w:tcBorders>
              <w:top w:val="nil"/>
              <w:bottom w:val="nil"/>
            </w:tcBorders>
            <w:vAlign w:val="center"/>
          </w:tcPr>
          <w:p w14:paraId="46E409FB" w14:textId="77777777" w:rsidR="001E546F" w:rsidRPr="00A86C81" w:rsidRDefault="001E546F" w:rsidP="004A78D6">
            <w:pPr>
              <w:pStyle w:val="TableText0"/>
            </w:pPr>
          </w:p>
        </w:tc>
        <w:tc>
          <w:tcPr>
            <w:tcW w:w="1758" w:type="pct"/>
            <w:tcBorders>
              <w:top w:val="nil"/>
              <w:bottom w:val="nil"/>
            </w:tcBorders>
          </w:tcPr>
          <w:p w14:paraId="355FB7FA" w14:textId="77777777" w:rsidR="001E546F" w:rsidRPr="00A86C81" w:rsidRDefault="001E546F" w:rsidP="004A78D6">
            <w:pPr>
              <w:pStyle w:val="TableText0"/>
            </w:pPr>
            <w:r w:rsidRPr="00A86C81">
              <w:t>Persistence in Year 2 and onwards</w:t>
            </w:r>
          </w:p>
        </w:tc>
        <w:tc>
          <w:tcPr>
            <w:tcW w:w="992" w:type="pct"/>
          </w:tcPr>
          <w:p w14:paraId="3421CAD6" w14:textId="77777777" w:rsidR="001E546F" w:rsidRPr="00A86C81" w:rsidRDefault="001E546F" w:rsidP="004A78D6">
            <w:pPr>
              <w:pStyle w:val="TableText0"/>
            </w:pPr>
            <w:r w:rsidRPr="00A86C81">
              <w:t>84.55%</w:t>
            </w:r>
          </w:p>
        </w:tc>
        <w:tc>
          <w:tcPr>
            <w:tcW w:w="1179" w:type="pct"/>
          </w:tcPr>
          <w:p w14:paraId="0F6F457E" w14:textId="42AA2AFF"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1</w:t>
            </w:r>
          </w:p>
        </w:tc>
        <w:tc>
          <w:tcPr>
            <w:tcW w:w="758" w:type="pct"/>
          </w:tcPr>
          <w:p w14:paraId="3AC9ACC5" w14:textId="77777777" w:rsidR="001E546F" w:rsidRPr="00A86C81" w:rsidRDefault="001E546F" w:rsidP="004A78D6">
            <w:pPr>
              <w:pStyle w:val="TableText0"/>
              <w:jc w:val="center"/>
            </w:pPr>
            <w:r w:rsidRPr="00A86C81">
              <w:rPr>
                <w:szCs w:val="20"/>
              </w:rPr>
              <w:t>-5%</w:t>
            </w:r>
          </w:p>
        </w:tc>
      </w:tr>
      <w:tr w:rsidR="001E546F" w:rsidRPr="00A86C81" w14:paraId="491C54F7" w14:textId="77777777" w:rsidTr="004A78D6">
        <w:tc>
          <w:tcPr>
            <w:tcW w:w="313" w:type="pct"/>
            <w:tcBorders>
              <w:top w:val="nil"/>
              <w:bottom w:val="single" w:sz="4" w:space="0" w:color="auto"/>
            </w:tcBorders>
            <w:vAlign w:val="center"/>
          </w:tcPr>
          <w:p w14:paraId="2193519D" w14:textId="77777777" w:rsidR="001E546F" w:rsidRPr="00A86C81" w:rsidRDefault="001E546F" w:rsidP="004A78D6">
            <w:pPr>
              <w:pStyle w:val="TableText0"/>
            </w:pPr>
          </w:p>
        </w:tc>
        <w:tc>
          <w:tcPr>
            <w:tcW w:w="1758" w:type="pct"/>
            <w:tcBorders>
              <w:top w:val="nil"/>
              <w:bottom w:val="single" w:sz="4" w:space="0" w:color="auto"/>
            </w:tcBorders>
          </w:tcPr>
          <w:p w14:paraId="2BAEBC7E" w14:textId="77777777" w:rsidR="001E546F" w:rsidRPr="00A86C81" w:rsidRDefault="001E546F" w:rsidP="004A78D6">
            <w:pPr>
              <w:pStyle w:val="TableText0"/>
            </w:pPr>
          </w:p>
        </w:tc>
        <w:tc>
          <w:tcPr>
            <w:tcW w:w="992" w:type="pct"/>
            <w:tcBorders>
              <w:bottom w:val="single" w:sz="4" w:space="0" w:color="auto"/>
            </w:tcBorders>
          </w:tcPr>
          <w:p w14:paraId="6981FA0C" w14:textId="77777777" w:rsidR="001E546F" w:rsidRPr="00A86C81" w:rsidRDefault="001E546F" w:rsidP="004A78D6">
            <w:pPr>
              <w:pStyle w:val="TableText0"/>
            </w:pPr>
            <w:r w:rsidRPr="00A86C81">
              <w:t>100.00%</w:t>
            </w:r>
          </w:p>
        </w:tc>
        <w:tc>
          <w:tcPr>
            <w:tcW w:w="1179" w:type="pct"/>
            <w:tcBorders>
              <w:bottom w:val="single" w:sz="4" w:space="0" w:color="auto"/>
            </w:tcBorders>
          </w:tcPr>
          <w:p w14:paraId="3A629B1E" w14:textId="7FB33603" w:rsidR="001E546F" w:rsidRPr="00A86C81" w:rsidRDefault="001E546F" w:rsidP="004A78D6">
            <w:pPr>
              <w:pStyle w:val="TableText0"/>
              <w:jc w:val="center"/>
            </w:pPr>
            <w:r w:rsidRPr="00A86C81">
              <w:t>$</w:t>
            </w:r>
            <w:r w:rsidR="00414250" w:rsidRPr="00414250">
              <w:rPr>
                <w:color w:val="000000"/>
                <w:shd w:val="solid" w:color="000000" w:fill="000000"/>
                <w14:textFill>
                  <w14:solidFill>
                    <w14:srgbClr w14:val="000000">
                      <w14:alpha w14:val="100000"/>
                    </w14:srgbClr>
                  </w14:solidFill>
                </w14:textFill>
              </w:rPr>
              <w:t>|</w:t>
            </w:r>
            <w:r w:rsidR="00582474">
              <w:rPr>
                <w:vertAlign w:val="superscript"/>
              </w:rPr>
              <w:t>1</w:t>
            </w:r>
          </w:p>
        </w:tc>
        <w:tc>
          <w:tcPr>
            <w:tcW w:w="758" w:type="pct"/>
            <w:tcBorders>
              <w:bottom w:val="single" w:sz="4" w:space="0" w:color="auto"/>
            </w:tcBorders>
          </w:tcPr>
          <w:p w14:paraId="73E591EE" w14:textId="77777777" w:rsidR="001E546F" w:rsidRPr="00A86C81" w:rsidRDefault="001E546F" w:rsidP="004A78D6">
            <w:pPr>
              <w:pStyle w:val="TableText0"/>
              <w:jc w:val="center"/>
            </w:pPr>
            <w:r w:rsidRPr="00A86C81">
              <w:rPr>
                <w:szCs w:val="20"/>
              </w:rPr>
              <w:t>4%</w:t>
            </w:r>
          </w:p>
        </w:tc>
      </w:tr>
    </w:tbl>
    <w:p w14:paraId="5EF46B29" w14:textId="77777777" w:rsidR="001E546F" w:rsidRDefault="001E546F" w:rsidP="001E546F">
      <w:pPr>
        <w:rPr>
          <w:rFonts w:ascii="Arial Narrow" w:hAnsi="Arial Narrow"/>
          <w:snapToGrid w:val="0"/>
          <w:sz w:val="18"/>
          <w:szCs w:val="22"/>
        </w:rPr>
      </w:pPr>
      <w:r w:rsidRPr="00316DBA">
        <w:rPr>
          <w:rFonts w:ascii="Arial Narrow" w:hAnsi="Arial Narrow"/>
          <w:snapToGrid w:val="0"/>
          <w:sz w:val="18"/>
          <w:szCs w:val="22"/>
        </w:rPr>
        <w:t xml:space="preserve">Source: Compiled during evaluation based on Table132, p244 of the submission </w:t>
      </w:r>
      <w:r w:rsidRPr="00316DBA" w:rsidDel="007B437F">
        <w:rPr>
          <w:rFonts w:ascii="Arial Narrow" w:hAnsi="Arial Narrow"/>
          <w:snapToGrid w:val="0"/>
          <w:sz w:val="18"/>
          <w:szCs w:val="22"/>
        </w:rPr>
        <w:t>worksheet</w:t>
      </w:r>
      <w:r>
        <w:rPr>
          <w:rFonts w:ascii="Arial Narrow" w:hAnsi="Arial Narrow"/>
          <w:snapToGrid w:val="0"/>
          <w:sz w:val="18"/>
          <w:szCs w:val="22"/>
        </w:rPr>
        <w:t>s</w:t>
      </w:r>
      <w:r w:rsidRPr="00316DBA" w:rsidDel="007B437F">
        <w:rPr>
          <w:rFonts w:ascii="Arial Narrow" w:hAnsi="Arial Narrow"/>
          <w:snapToGrid w:val="0"/>
          <w:sz w:val="18"/>
          <w:szCs w:val="22"/>
        </w:rPr>
        <w:t xml:space="preserve"> ‘2b. Patients – prevalent’, ‘8. ABS population’, and ’11. Persistent population’ in</w:t>
      </w:r>
      <w:r>
        <w:rPr>
          <w:rFonts w:ascii="Arial Narrow" w:hAnsi="Arial Narrow"/>
          <w:snapToGrid w:val="0"/>
          <w:sz w:val="18"/>
          <w:szCs w:val="22"/>
        </w:rPr>
        <w:t xml:space="preserve"> </w:t>
      </w:r>
      <w:r w:rsidRPr="006F626E">
        <w:rPr>
          <w:rFonts w:ascii="Arial Narrow" w:hAnsi="Arial Narrow"/>
          <w:snapToGrid w:val="0"/>
          <w:sz w:val="18"/>
          <w:szCs w:val="22"/>
        </w:rPr>
        <w:t>Excel workbook</w:t>
      </w:r>
      <w:r w:rsidRPr="00316DBA" w:rsidDel="007B437F">
        <w:rPr>
          <w:rFonts w:ascii="Arial Narrow" w:hAnsi="Arial Narrow"/>
          <w:snapToGrid w:val="0"/>
          <w:sz w:val="18"/>
          <w:szCs w:val="22"/>
        </w:rPr>
        <w:t xml:space="preserve"> ‘Mavacamten_obstructive HCM_Utilisation and Cost Model’. </w:t>
      </w:r>
    </w:p>
    <w:p w14:paraId="61BFDF28" w14:textId="77777777" w:rsidR="001E546F" w:rsidRDefault="001E546F" w:rsidP="001E546F">
      <w:pPr>
        <w:rPr>
          <w:rFonts w:ascii="Arial Narrow" w:hAnsi="Arial Narrow"/>
          <w:snapToGrid w:val="0"/>
          <w:sz w:val="18"/>
          <w:szCs w:val="22"/>
        </w:rPr>
      </w:pPr>
      <w:r w:rsidRPr="00316DBA">
        <w:rPr>
          <w:rFonts w:ascii="Arial Narrow" w:hAnsi="Arial Narrow"/>
          <w:snapToGrid w:val="0"/>
          <w:sz w:val="18"/>
          <w:szCs w:val="22"/>
        </w:rPr>
        <w:t>DPMQ = dispensed price for maximum quantity; HCM = hypertrophic cardiomyopathy; NYHA = New York Heart Association</w:t>
      </w:r>
    </w:p>
    <w:p w14:paraId="79FD7502" w14:textId="11C829A1" w:rsidR="001E546F" w:rsidRDefault="001E546F" w:rsidP="001E546F">
      <w:pPr>
        <w:rPr>
          <w:rFonts w:ascii="Arial Narrow" w:hAnsi="Arial Narrow"/>
          <w:snapToGrid w:val="0"/>
          <w:sz w:val="18"/>
          <w:szCs w:val="22"/>
        </w:rPr>
      </w:pPr>
      <w:r w:rsidRPr="007B437F">
        <w:rPr>
          <w:rFonts w:ascii="Arial Narrow" w:hAnsi="Arial Narrow"/>
          <w:snapToGrid w:val="0"/>
          <w:sz w:val="18"/>
          <w:szCs w:val="22"/>
          <w:vertAlign w:val="superscript"/>
        </w:rPr>
        <w:t>a</w:t>
      </w:r>
      <w:r>
        <w:rPr>
          <w:rFonts w:ascii="Arial Narrow" w:hAnsi="Arial Narrow"/>
          <w:snapToGrid w:val="0"/>
          <w:sz w:val="18"/>
          <w:szCs w:val="22"/>
        </w:rPr>
        <w:t xml:space="preserve"> </w:t>
      </w:r>
      <w:r w:rsidRPr="00D670C1">
        <w:rPr>
          <w:rFonts w:ascii="Arial Narrow" w:hAnsi="Arial Narrow"/>
          <w:snapToGrid w:val="0"/>
          <w:sz w:val="18"/>
          <w:szCs w:val="22"/>
        </w:rPr>
        <w:t xml:space="preserve">The figures in </w:t>
      </w:r>
      <w:r w:rsidRPr="00D670C1">
        <w:rPr>
          <w:rFonts w:ascii="Arial Narrow" w:hAnsi="Arial Narrow"/>
          <w:i/>
          <w:snapToGrid w:val="0"/>
          <w:sz w:val="18"/>
          <w:szCs w:val="22"/>
        </w:rPr>
        <w:t>italics</w:t>
      </w:r>
      <w:r w:rsidRPr="00D670C1">
        <w:rPr>
          <w:rFonts w:ascii="Arial Narrow" w:hAnsi="Arial Narrow"/>
          <w:snapToGrid w:val="0"/>
          <w:sz w:val="18"/>
          <w:szCs w:val="22"/>
        </w:rPr>
        <w:t xml:space="preserve"> are </w:t>
      </w:r>
      <w:r>
        <w:rPr>
          <w:rFonts w:ascii="Arial Narrow" w:hAnsi="Arial Narrow"/>
          <w:snapToGrid w:val="0"/>
          <w:sz w:val="18"/>
          <w:szCs w:val="22"/>
        </w:rPr>
        <w:t>revised</w:t>
      </w:r>
      <w:r w:rsidRPr="00D670C1">
        <w:rPr>
          <w:rFonts w:ascii="Arial Narrow" w:hAnsi="Arial Narrow"/>
          <w:snapToGrid w:val="0"/>
          <w:sz w:val="18"/>
          <w:szCs w:val="22"/>
        </w:rPr>
        <w:t xml:space="preserve"> during evaluation using the updated PBS mark-up and MBS fees as of July 2022.</w:t>
      </w:r>
      <w:r>
        <w:rPr>
          <w:rFonts w:ascii="Arial Narrow" w:hAnsi="Arial Narrow"/>
          <w:i/>
          <w:snapToGrid w:val="0"/>
          <w:sz w:val="18"/>
          <w:szCs w:val="22"/>
        </w:rPr>
        <w:t xml:space="preserve"> </w:t>
      </w:r>
      <w:r w:rsidRPr="007B437F">
        <w:rPr>
          <w:rFonts w:ascii="Arial Narrow" w:hAnsi="Arial Narrow"/>
          <w:snapToGrid w:val="0"/>
          <w:sz w:val="18"/>
          <w:szCs w:val="22"/>
        </w:rPr>
        <w:t xml:space="preserve"> </w:t>
      </w:r>
    </w:p>
    <w:p w14:paraId="424ECD88" w14:textId="77777777" w:rsidR="00582474" w:rsidRPr="009A6D58" w:rsidRDefault="00582474" w:rsidP="00414250">
      <w:pPr>
        <w:spacing w:before="120"/>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42FB7EA" w14:textId="450B5C17" w:rsidR="00582474" w:rsidRPr="009A6D58" w:rsidRDefault="00582474" w:rsidP="0058247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82474">
        <w:rPr>
          <w:rFonts w:ascii="Arial Narrow" w:hAnsi="Arial Narrow"/>
          <w:i/>
          <w:sz w:val="18"/>
          <w:szCs w:val="18"/>
        </w:rPr>
        <w:t>$300 million to &lt; $400 million</w:t>
      </w:r>
    </w:p>
    <w:p w14:paraId="15AF8039" w14:textId="25FE4F98" w:rsidR="00582474" w:rsidRPr="009A6D58" w:rsidRDefault="00582474" w:rsidP="0058247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82474">
        <w:rPr>
          <w:rFonts w:ascii="Arial Narrow" w:hAnsi="Arial Narrow"/>
          <w:i/>
          <w:sz w:val="18"/>
          <w:szCs w:val="18"/>
        </w:rPr>
        <w:t>$</w:t>
      </w:r>
      <w:r>
        <w:rPr>
          <w:rFonts w:ascii="Arial Narrow" w:hAnsi="Arial Narrow"/>
          <w:i/>
          <w:sz w:val="18"/>
          <w:szCs w:val="18"/>
        </w:rPr>
        <w:t>2</w:t>
      </w:r>
      <w:r w:rsidRPr="00582474">
        <w:rPr>
          <w:rFonts w:ascii="Arial Narrow" w:hAnsi="Arial Narrow"/>
          <w:i/>
          <w:sz w:val="18"/>
          <w:szCs w:val="18"/>
        </w:rPr>
        <w:t>00 million to &lt; $</w:t>
      </w:r>
      <w:r>
        <w:rPr>
          <w:rFonts w:ascii="Arial Narrow" w:hAnsi="Arial Narrow"/>
          <w:i/>
          <w:sz w:val="18"/>
          <w:szCs w:val="18"/>
        </w:rPr>
        <w:t>3</w:t>
      </w:r>
      <w:r w:rsidRPr="00582474">
        <w:rPr>
          <w:rFonts w:ascii="Arial Narrow" w:hAnsi="Arial Narrow"/>
          <w:i/>
          <w:sz w:val="18"/>
          <w:szCs w:val="18"/>
        </w:rPr>
        <w:t>00 million</w:t>
      </w:r>
    </w:p>
    <w:p w14:paraId="08D6D9FC" w14:textId="0B7A7386" w:rsidR="00582474" w:rsidRDefault="00582474" w:rsidP="0058247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82474">
        <w:rPr>
          <w:rFonts w:ascii="Arial Narrow" w:hAnsi="Arial Narrow"/>
          <w:i/>
          <w:sz w:val="18"/>
          <w:szCs w:val="18"/>
        </w:rPr>
        <w:t>$</w:t>
      </w:r>
      <w:r>
        <w:rPr>
          <w:rFonts w:ascii="Arial Narrow" w:hAnsi="Arial Narrow"/>
          <w:i/>
          <w:sz w:val="18"/>
          <w:szCs w:val="18"/>
        </w:rPr>
        <w:t>6</w:t>
      </w:r>
      <w:r w:rsidRPr="00582474">
        <w:rPr>
          <w:rFonts w:ascii="Arial Narrow" w:hAnsi="Arial Narrow"/>
          <w:i/>
          <w:sz w:val="18"/>
          <w:szCs w:val="18"/>
        </w:rPr>
        <w:t>00 million to &lt; $</w:t>
      </w:r>
      <w:r>
        <w:rPr>
          <w:rFonts w:ascii="Arial Narrow" w:hAnsi="Arial Narrow"/>
          <w:i/>
          <w:sz w:val="18"/>
          <w:szCs w:val="18"/>
        </w:rPr>
        <w:t>7</w:t>
      </w:r>
      <w:r w:rsidRPr="00582474">
        <w:rPr>
          <w:rFonts w:ascii="Arial Narrow" w:hAnsi="Arial Narrow"/>
          <w:i/>
          <w:sz w:val="18"/>
          <w:szCs w:val="18"/>
        </w:rPr>
        <w:t>00 million</w:t>
      </w:r>
    </w:p>
    <w:p w14:paraId="357552C4" w14:textId="465DCE99" w:rsidR="00582474" w:rsidRDefault="00582474" w:rsidP="0058247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82474">
        <w:rPr>
          <w:rFonts w:ascii="Arial Narrow" w:hAnsi="Arial Narrow"/>
          <w:i/>
          <w:sz w:val="18"/>
          <w:szCs w:val="18"/>
        </w:rPr>
        <w:t>$</w:t>
      </w:r>
      <w:r>
        <w:rPr>
          <w:rFonts w:ascii="Arial Narrow" w:hAnsi="Arial Narrow"/>
          <w:i/>
          <w:sz w:val="18"/>
          <w:szCs w:val="18"/>
        </w:rPr>
        <w:t>1</w:t>
      </w:r>
      <w:r w:rsidRPr="00582474">
        <w:rPr>
          <w:rFonts w:ascii="Arial Narrow" w:hAnsi="Arial Narrow"/>
          <w:i/>
          <w:sz w:val="18"/>
          <w:szCs w:val="18"/>
        </w:rPr>
        <w:t>00 million to &lt; $</w:t>
      </w:r>
      <w:r>
        <w:rPr>
          <w:rFonts w:ascii="Arial Narrow" w:hAnsi="Arial Narrow"/>
          <w:i/>
          <w:sz w:val="18"/>
          <w:szCs w:val="18"/>
        </w:rPr>
        <w:t>2</w:t>
      </w:r>
      <w:r w:rsidRPr="00582474">
        <w:rPr>
          <w:rFonts w:ascii="Arial Narrow" w:hAnsi="Arial Narrow"/>
          <w:i/>
          <w:sz w:val="18"/>
          <w:szCs w:val="18"/>
        </w:rPr>
        <w:t>00 million</w:t>
      </w:r>
    </w:p>
    <w:p w14:paraId="70F50836" w14:textId="0ED4711D" w:rsidR="00582474" w:rsidRDefault="00582474" w:rsidP="0058247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82474">
        <w:rPr>
          <w:rFonts w:ascii="Arial Narrow" w:hAnsi="Arial Narrow"/>
          <w:i/>
          <w:sz w:val="18"/>
          <w:szCs w:val="18"/>
        </w:rPr>
        <w:t>$</w:t>
      </w:r>
      <w:r>
        <w:rPr>
          <w:rFonts w:ascii="Arial Narrow" w:hAnsi="Arial Narrow"/>
          <w:i/>
          <w:sz w:val="18"/>
          <w:szCs w:val="18"/>
        </w:rPr>
        <w:t>4</w:t>
      </w:r>
      <w:r w:rsidRPr="00582474">
        <w:rPr>
          <w:rFonts w:ascii="Arial Narrow" w:hAnsi="Arial Narrow"/>
          <w:i/>
          <w:sz w:val="18"/>
          <w:szCs w:val="18"/>
        </w:rPr>
        <w:t>00 million to &lt; $</w:t>
      </w:r>
      <w:r>
        <w:rPr>
          <w:rFonts w:ascii="Arial Narrow" w:hAnsi="Arial Narrow"/>
          <w:i/>
          <w:sz w:val="18"/>
          <w:szCs w:val="18"/>
        </w:rPr>
        <w:t>5</w:t>
      </w:r>
      <w:r w:rsidRPr="00582474">
        <w:rPr>
          <w:rFonts w:ascii="Arial Narrow" w:hAnsi="Arial Narrow"/>
          <w:i/>
          <w:sz w:val="18"/>
          <w:szCs w:val="18"/>
        </w:rPr>
        <w:t>00 million</w:t>
      </w:r>
    </w:p>
    <w:p w14:paraId="0348E5C0" w14:textId="79F5099D" w:rsidR="00582474" w:rsidRPr="009A6D58" w:rsidRDefault="00582474" w:rsidP="0058247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582474">
        <w:rPr>
          <w:rFonts w:ascii="Arial Narrow" w:hAnsi="Arial Narrow"/>
          <w:i/>
          <w:sz w:val="18"/>
          <w:szCs w:val="18"/>
        </w:rPr>
        <w:t>$</w:t>
      </w:r>
      <w:r>
        <w:rPr>
          <w:rFonts w:ascii="Arial Narrow" w:hAnsi="Arial Narrow"/>
          <w:i/>
          <w:sz w:val="18"/>
          <w:szCs w:val="18"/>
        </w:rPr>
        <w:t>5</w:t>
      </w:r>
      <w:r w:rsidRPr="00582474">
        <w:rPr>
          <w:rFonts w:ascii="Arial Narrow" w:hAnsi="Arial Narrow"/>
          <w:i/>
          <w:sz w:val="18"/>
          <w:szCs w:val="18"/>
        </w:rPr>
        <w:t>00 million to &lt; $</w:t>
      </w:r>
      <w:r>
        <w:rPr>
          <w:rFonts w:ascii="Arial Narrow" w:hAnsi="Arial Narrow"/>
          <w:i/>
          <w:sz w:val="18"/>
          <w:szCs w:val="18"/>
        </w:rPr>
        <w:t>6</w:t>
      </w:r>
      <w:r w:rsidRPr="00582474">
        <w:rPr>
          <w:rFonts w:ascii="Arial Narrow" w:hAnsi="Arial Narrow"/>
          <w:i/>
          <w:sz w:val="18"/>
          <w:szCs w:val="18"/>
        </w:rPr>
        <w:t>00 million</w:t>
      </w:r>
    </w:p>
    <w:p w14:paraId="46F1B8E4" w14:textId="77777777" w:rsidR="00582474" w:rsidRDefault="00582474" w:rsidP="001E546F">
      <w:pPr>
        <w:rPr>
          <w:rFonts w:ascii="Arial Narrow" w:hAnsi="Arial Narrow"/>
          <w:snapToGrid w:val="0"/>
          <w:sz w:val="18"/>
          <w:szCs w:val="22"/>
        </w:rPr>
      </w:pPr>
    </w:p>
    <w:p w14:paraId="2CCE150C" w14:textId="715F59C1" w:rsidR="001E546F" w:rsidRPr="00FB175F" w:rsidRDefault="00FB175F" w:rsidP="00FB175F">
      <w:pPr>
        <w:pStyle w:val="3-BodyText"/>
        <w:spacing w:before="120"/>
        <w:rPr>
          <w:bCs/>
        </w:rPr>
      </w:pPr>
      <w:r>
        <w:rPr>
          <w:bCs/>
        </w:rPr>
        <w:t xml:space="preserve">The DUSC consideration of mavacamten found </w:t>
      </w:r>
      <w:r w:rsidR="001E546F" w:rsidRPr="00FB175F">
        <w:rPr>
          <w:bCs/>
        </w:rPr>
        <w:t xml:space="preserve">the estimates presented in the submission to be underestimated. The main issues </w:t>
      </w:r>
      <w:r w:rsidR="000D077A">
        <w:rPr>
          <w:bCs/>
        </w:rPr>
        <w:t>were considered to be the following</w:t>
      </w:r>
      <w:r w:rsidR="001E546F" w:rsidRPr="00FB175F">
        <w:rPr>
          <w:bCs/>
        </w:rPr>
        <w:t>:</w:t>
      </w:r>
    </w:p>
    <w:p w14:paraId="790A3CB5" w14:textId="736C363D" w:rsidR="001E546F" w:rsidRPr="00365449" w:rsidRDefault="00730FC6" w:rsidP="00D161E3">
      <w:pPr>
        <w:pStyle w:val="ListParagraph"/>
        <w:numPr>
          <w:ilvl w:val="0"/>
          <w:numId w:val="13"/>
        </w:numPr>
        <w:spacing w:after="0"/>
        <w:ind w:left="1134"/>
        <w:contextualSpacing/>
      </w:pPr>
      <w:r>
        <w:t>C</w:t>
      </w:r>
      <w:r w:rsidR="001E546F" w:rsidRPr="00365449">
        <w:t xml:space="preserve">linician input suggested the LVOT measure is very dynamic and may vary between readings. </w:t>
      </w:r>
      <w:r>
        <w:t xml:space="preserve">The </w:t>
      </w:r>
      <w:r w:rsidR="001E546F" w:rsidRPr="00365449">
        <w:t xml:space="preserve">DUSC considered that due to this there is a very high probability of </w:t>
      </w:r>
      <w:r w:rsidR="008D5CD2">
        <w:t>use outside the restriction in</w:t>
      </w:r>
      <w:r w:rsidR="001E546F" w:rsidRPr="00365449">
        <w:t xml:space="preserve"> patients with less severe disease especially in patients who have difficulty tolerating prior therapies such as </w:t>
      </w:r>
      <w:r>
        <w:t>BBs</w:t>
      </w:r>
      <w:r w:rsidR="001E546F" w:rsidRPr="00365449">
        <w:t xml:space="preserve"> or </w:t>
      </w:r>
      <w:r>
        <w:lastRenderedPageBreak/>
        <w:t>CCBs</w:t>
      </w:r>
      <w:r w:rsidR="001E546F" w:rsidRPr="00365449">
        <w:t xml:space="preserve"> and may result in a cost to the PBS which is up to 62% greater than estimated.</w:t>
      </w:r>
    </w:p>
    <w:p w14:paraId="18C7D34F" w14:textId="0977DFE2" w:rsidR="001E546F" w:rsidRPr="00365449" w:rsidRDefault="00E72BAC" w:rsidP="00D161E3">
      <w:pPr>
        <w:pStyle w:val="ListParagraph"/>
        <w:numPr>
          <w:ilvl w:val="0"/>
          <w:numId w:val="13"/>
        </w:numPr>
        <w:spacing w:after="0"/>
        <w:ind w:left="1134"/>
        <w:contextualSpacing/>
      </w:pPr>
      <w:r>
        <w:t>I</w:t>
      </w:r>
      <w:r w:rsidR="001E546F" w:rsidRPr="00365449">
        <w:t xml:space="preserve">t was not clear why a diagnosis rate was applied on top of the proportion of symptomatic patients. </w:t>
      </w:r>
      <w:r>
        <w:t xml:space="preserve">The </w:t>
      </w:r>
      <w:r w:rsidR="001E546F" w:rsidRPr="00365449">
        <w:t>DUSC considered that most, if not all, patients who fulfilled the symptomatic criteria would be diagnosed.</w:t>
      </w:r>
    </w:p>
    <w:p w14:paraId="45023260" w14:textId="34D33DC0" w:rsidR="001E546F" w:rsidRPr="00365449" w:rsidRDefault="00E72BAC" w:rsidP="00D161E3">
      <w:pPr>
        <w:pStyle w:val="ListParagraph"/>
        <w:numPr>
          <w:ilvl w:val="0"/>
          <w:numId w:val="13"/>
        </w:numPr>
        <w:spacing w:after="0"/>
        <w:ind w:left="1134"/>
        <w:contextualSpacing/>
      </w:pPr>
      <w:r>
        <w:t>A</w:t>
      </w:r>
      <w:r w:rsidR="001E546F" w:rsidRPr="00365449">
        <w:t xml:space="preserve"> persistence rate </w:t>
      </w:r>
      <w:r>
        <w:t xml:space="preserve">was applied </w:t>
      </w:r>
      <w:r w:rsidR="001E546F" w:rsidRPr="00365449">
        <w:t xml:space="preserve">to a prevalent population. </w:t>
      </w:r>
      <w:r>
        <w:t xml:space="preserve">The </w:t>
      </w:r>
      <w:r w:rsidR="001E546F" w:rsidRPr="00365449">
        <w:t xml:space="preserve">DUSC considered that this approach </w:t>
      </w:r>
      <w:r>
        <w:t>wa</w:t>
      </w:r>
      <w:r w:rsidR="001E546F" w:rsidRPr="00365449">
        <w:t>s incorrect as the prevalent population already includes patients who continue treatment.</w:t>
      </w:r>
    </w:p>
    <w:p w14:paraId="00535AF4" w14:textId="13818B6A" w:rsidR="001E546F" w:rsidRPr="00365449" w:rsidRDefault="00E72BAC" w:rsidP="00D161E3">
      <w:pPr>
        <w:pStyle w:val="ListParagraph"/>
        <w:numPr>
          <w:ilvl w:val="0"/>
          <w:numId w:val="13"/>
        </w:numPr>
        <w:spacing w:after="0"/>
        <w:ind w:left="1134"/>
        <w:contextualSpacing/>
      </w:pPr>
      <w:r>
        <w:t>The</w:t>
      </w:r>
      <w:r w:rsidR="001E546F" w:rsidRPr="00365449">
        <w:t xml:space="preserve"> method to forecast the number of treated patients assumes that people who did not opt for treatment in the first year of eligibility would be equally likely to take up treatment in subsequent years</w:t>
      </w:r>
      <w:r w:rsidR="00134F4F">
        <w:t>. The DUSC considered this assumption</w:t>
      </w:r>
      <w:r w:rsidR="001E546F" w:rsidRPr="00365449">
        <w:t xml:space="preserve"> </w:t>
      </w:r>
      <w:r w:rsidR="00134F4F">
        <w:t>was</w:t>
      </w:r>
      <w:r w:rsidR="001E546F" w:rsidRPr="00365449">
        <w:t xml:space="preserve"> incorrect.</w:t>
      </w:r>
    </w:p>
    <w:p w14:paraId="15C41FC8" w14:textId="5AC90C20" w:rsidR="009419D6" w:rsidRDefault="002F2819" w:rsidP="00414250">
      <w:pPr>
        <w:pStyle w:val="3-BodyText"/>
        <w:spacing w:before="120"/>
        <w:rPr>
          <w:bCs/>
        </w:rPr>
      </w:pPr>
      <w:r w:rsidRPr="00497E65">
        <w:rPr>
          <w:bCs/>
        </w:rPr>
        <w:t>Overall, the DUSC considered that the</w:t>
      </w:r>
      <w:r w:rsidR="001E546F" w:rsidRPr="00497E65">
        <w:rPr>
          <w:bCs/>
        </w:rPr>
        <w:t xml:space="preserve"> method used to develop the financial model could be simplified to use a prevalent pool with uptake assumptions which would reduce double counting and incorrect assumptions.</w:t>
      </w:r>
      <w:r w:rsidR="009419D6" w:rsidRPr="00497E65">
        <w:rPr>
          <w:bCs/>
        </w:rPr>
        <w:t xml:space="preserve"> The pre-PBAC response</w:t>
      </w:r>
      <w:r w:rsidR="00E30130" w:rsidRPr="00497E65">
        <w:rPr>
          <w:bCs/>
        </w:rPr>
        <w:t xml:space="preserve"> </w:t>
      </w:r>
      <w:r w:rsidR="009419D6" w:rsidRPr="00497E65">
        <w:rPr>
          <w:bCs/>
        </w:rPr>
        <w:t xml:space="preserve">provided updated financial estimates </w:t>
      </w:r>
      <w:r w:rsidR="00E30130" w:rsidRPr="00497E65">
        <w:rPr>
          <w:bCs/>
        </w:rPr>
        <w:t xml:space="preserve">in response to </w:t>
      </w:r>
      <w:r w:rsidR="000D077A" w:rsidRPr="00497E65">
        <w:rPr>
          <w:bCs/>
        </w:rPr>
        <w:t xml:space="preserve">the </w:t>
      </w:r>
      <w:r w:rsidR="00E30130" w:rsidRPr="00497E65">
        <w:rPr>
          <w:bCs/>
        </w:rPr>
        <w:t>DUSC advice</w:t>
      </w:r>
      <w:r w:rsidR="000D077A" w:rsidRPr="00497E65">
        <w:rPr>
          <w:bCs/>
        </w:rPr>
        <w:t xml:space="preserve"> above</w:t>
      </w:r>
      <w:r w:rsidR="00E30130" w:rsidRPr="00497E65">
        <w:rPr>
          <w:bCs/>
        </w:rPr>
        <w:t xml:space="preserve">. </w:t>
      </w:r>
      <w:r w:rsidR="00104B41" w:rsidRPr="00497E65">
        <w:rPr>
          <w:bCs/>
        </w:rPr>
        <w:t>The pre-PBAC response stated that the</w:t>
      </w:r>
      <w:r w:rsidR="00E30130" w:rsidRPr="00497E65">
        <w:rPr>
          <w:bCs/>
        </w:rPr>
        <w:t xml:space="preserve"> updated financial estimates include</w:t>
      </w:r>
      <w:r w:rsidR="000D077A" w:rsidRPr="00497E65">
        <w:rPr>
          <w:bCs/>
        </w:rPr>
        <w:t>d</w:t>
      </w:r>
      <w:r w:rsidR="00E30130" w:rsidRPr="00497E65">
        <w:rPr>
          <w:bCs/>
        </w:rPr>
        <w:t xml:space="preserve"> the following changes</w:t>
      </w:r>
      <w:r w:rsidR="00E30130">
        <w:rPr>
          <w:bCs/>
        </w:rPr>
        <w:t>:</w:t>
      </w:r>
    </w:p>
    <w:p w14:paraId="68DC0A4A" w14:textId="7598EDE0" w:rsidR="00104B41" w:rsidRPr="000D077A" w:rsidRDefault="000D077A" w:rsidP="00D40F04">
      <w:pPr>
        <w:pStyle w:val="ListParagraph"/>
        <w:numPr>
          <w:ilvl w:val="0"/>
          <w:numId w:val="13"/>
        </w:numPr>
        <w:spacing w:before="120"/>
        <w:ind w:left="1134" w:hanging="357"/>
        <w:contextualSpacing/>
      </w:pPr>
      <w:r>
        <w:t>R</w:t>
      </w:r>
      <w:r w:rsidR="00104B41" w:rsidRPr="000D077A">
        <w:t>emov</w:t>
      </w:r>
      <w:r>
        <w:t>al of a</w:t>
      </w:r>
      <w:r w:rsidR="00104B41" w:rsidRPr="000D077A">
        <w:t xml:space="preserve"> persistent population</w:t>
      </w:r>
      <w:r>
        <w:t xml:space="preserve">. The updated financial estimates apply </w:t>
      </w:r>
      <w:r w:rsidR="00104B41" w:rsidRPr="000D077A">
        <w:t>a prevalent population approach only</w:t>
      </w:r>
      <w:r>
        <w:t>. P</w:t>
      </w:r>
      <w:r w:rsidR="00104B41" w:rsidRPr="000D077A">
        <w:t xml:space="preserve">atients who </w:t>
      </w:r>
      <w:r w:rsidR="00193C37" w:rsidRPr="000D077A">
        <w:t>choose</w:t>
      </w:r>
      <w:r w:rsidR="00104B41" w:rsidRPr="000D077A">
        <w:t xml:space="preserve"> </w:t>
      </w:r>
      <w:r w:rsidR="00193C37">
        <w:t>to not receive mavacamten</w:t>
      </w:r>
      <w:r w:rsidR="00104B41" w:rsidRPr="000D077A">
        <w:t xml:space="preserve"> in the first year of eligibility </w:t>
      </w:r>
      <w:r>
        <w:t>are</w:t>
      </w:r>
      <w:r w:rsidR="00104B41" w:rsidRPr="000D077A">
        <w:t xml:space="preserve"> not equally likely to </w:t>
      </w:r>
      <w:r w:rsidR="00193C37">
        <w:t>receive</w:t>
      </w:r>
      <w:r w:rsidR="00104B41" w:rsidRPr="000D077A">
        <w:t xml:space="preserve"> treatment in subsequent years.</w:t>
      </w:r>
    </w:p>
    <w:p w14:paraId="5C83A78D" w14:textId="5110DF76" w:rsidR="00104B41" w:rsidRPr="000D077A" w:rsidRDefault="00104B41" w:rsidP="00D40F04">
      <w:pPr>
        <w:pStyle w:val="ListParagraph"/>
        <w:numPr>
          <w:ilvl w:val="0"/>
          <w:numId w:val="13"/>
        </w:numPr>
        <w:spacing w:before="120"/>
        <w:ind w:left="1134" w:hanging="357"/>
        <w:contextualSpacing/>
      </w:pPr>
      <w:r w:rsidRPr="000D077A">
        <w:t>Remov</w:t>
      </w:r>
      <w:r w:rsidR="000D077A">
        <w:t>al of a</w:t>
      </w:r>
      <w:r w:rsidRPr="000D077A">
        <w:t xml:space="preserve"> diagnosis rate to determine eligible patients.</w:t>
      </w:r>
    </w:p>
    <w:p w14:paraId="41BFB0ED" w14:textId="53FBF23E" w:rsidR="00104B41" w:rsidRPr="000D077A" w:rsidRDefault="00193C37" w:rsidP="00D40F04">
      <w:pPr>
        <w:pStyle w:val="ListParagraph"/>
        <w:numPr>
          <w:ilvl w:val="0"/>
          <w:numId w:val="13"/>
        </w:numPr>
        <w:spacing w:before="120"/>
        <w:ind w:left="1134" w:hanging="357"/>
        <w:contextualSpacing/>
      </w:pPr>
      <w:r>
        <w:t>The inclusion of a</w:t>
      </w:r>
      <w:r w:rsidR="00104B41" w:rsidRPr="000D077A">
        <w:t xml:space="preserve"> proportion of patients whose HCM is well controlled by BB/CCB and would </w:t>
      </w:r>
      <w:r>
        <w:t xml:space="preserve">therefore </w:t>
      </w:r>
      <w:r w:rsidR="00104B41" w:rsidRPr="000D077A">
        <w:t>be ineligible for mavacamten</w:t>
      </w:r>
      <w:r w:rsidR="00AC2943">
        <w:t xml:space="preserve"> (assumed to be </w:t>
      </w:r>
      <w:r w:rsidR="00AC2943" w:rsidRPr="000D077A">
        <w:t>55.71%</w:t>
      </w:r>
      <w:r w:rsidR="00AC2943">
        <w:t>)</w:t>
      </w:r>
      <w:r w:rsidR="00104B41" w:rsidRPr="000D077A">
        <w:t>.</w:t>
      </w:r>
    </w:p>
    <w:p w14:paraId="71F352BB" w14:textId="1F3550F1" w:rsidR="00104B41" w:rsidRPr="000D077A" w:rsidRDefault="00193C37" w:rsidP="00D40F04">
      <w:pPr>
        <w:pStyle w:val="ListParagraph"/>
        <w:numPr>
          <w:ilvl w:val="0"/>
          <w:numId w:val="13"/>
        </w:numPr>
        <w:spacing w:before="120"/>
        <w:ind w:left="1134" w:hanging="357"/>
        <w:contextualSpacing/>
      </w:pPr>
      <w:r>
        <w:t>An increase to</w:t>
      </w:r>
      <w:r w:rsidR="00104B41" w:rsidRPr="000D077A">
        <w:t xml:space="preserve"> the proportion of patients who </w:t>
      </w:r>
      <w:r>
        <w:t>have</w:t>
      </w:r>
      <w:r w:rsidR="00104B41" w:rsidRPr="000D077A">
        <w:t xml:space="preserve"> obstructive</w:t>
      </w:r>
      <w:r>
        <w:t xml:space="preserve"> HCM</w:t>
      </w:r>
      <w:r w:rsidR="00104B41" w:rsidRPr="000D077A">
        <w:t xml:space="preserve"> from 37.70% (</w:t>
      </w:r>
      <w:r w:rsidR="00681169">
        <w:t xml:space="preserve">Canepa </w:t>
      </w:r>
      <w:r w:rsidR="00681169" w:rsidRPr="00681169">
        <w:rPr>
          <w:iCs/>
          <w:u w:val="single"/>
        </w:rPr>
        <w:t xml:space="preserve">et.al. </w:t>
      </w:r>
      <w:r w:rsidR="00681169">
        <w:t>2020</w:t>
      </w:r>
      <w:r w:rsidR="00104B41" w:rsidRPr="000D077A">
        <w:t>)</w:t>
      </w:r>
      <w:r w:rsidR="00681169">
        <w:rPr>
          <w:rStyle w:val="FootnoteReference"/>
        </w:rPr>
        <w:footnoteReference w:id="11"/>
      </w:r>
      <w:r w:rsidR="00104B41" w:rsidRPr="000D077A">
        <w:t xml:space="preserve"> to 60.94% (Maron</w:t>
      </w:r>
      <w:r w:rsidR="00681169">
        <w:t xml:space="preserve"> et al.</w:t>
      </w:r>
      <w:r w:rsidR="00104B41" w:rsidRPr="000D077A">
        <w:t xml:space="preserve"> 2006)</w:t>
      </w:r>
      <w:r w:rsidR="00681169">
        <w:rPr>
          <w:rStyle w:val="FootnoteReference"/>
        </w:rPr>
        <w:footnoteReference w:id="12"/>
      </w:r>
      <w:r w:rsidR="00104B41" w:rsidRPr="000D077A">
        <w:t xml:space="preserve">. </w:t>
      </w:r>
    </w:p>
    <w:p w14:paraId="56116776" w14:textId="1BA8AA63" w:rsidR="00104B41" w:rsidRPr="00844FBD" w:rsidRDefault="00263961" w:rsidP="00414250">
      <w:pPr>
        <w:pStyle w:val="3-BodyText"/>
        <w:spacing w:before="120"/>
        <w:rPr>
          <w:bCs/>
        </w:rPr>
      </w:pPr>
      <w:r w:rsidRPr="00844FBD">
        <w:rPr>
          <w:bCs/>
        </w:rPr>
        <w:t>The pre-PBAC response considered the updated financial estimates</w:t>
      </w:r>
      <w:r w:rsidR="00104B41" w:rsidRPr="00844FBD">
        <w:rPr>
          <w:bCs/>
        </w:rPr>
        <w:t xml:space="preserve"> </w:t>
      </w:r>
      <w:r w:rsidRPr="00844FBD">
        <w:rPr>
          <w:bCs/>
        </w:rPr>
        <w:t xml:space="preserve">an upper bound </w:t>
      </w:r>
      <w:r w:rsidR="00104B41" w:rsidRPr="00844FBD">
        <w:rPr>
          <w:bCs/>
        </w:rPr>
        <w:t xml:space="preserve">estimate of the potential cost </w:t>
      </w:r>
      <w:r w:rsidRPr="00844FBD">
        <w:rPr>
          <w:bCs/>
        </w:rPr>
        <w:t xml:space="preserve">of mavacamten </w:t>
      </w:r>
      <w:r w:rsidR="00104B41" w:rsidRPr="00844FBD">
        <w:rPr>
          <w:bCs/>
        </w:rPr>
        <w:t xml:space="preserve">to </w:t>
      </w:r>
      <w:r w:rsidRPr="00844FBD">
        <w:rPr>
          <w:bCs/>
        </w:rPr>
        <w:t xml:space="preserve">the Australian </w:t>
      </w:r>
      <w:r w:rsidR="00104B41" w:rsidRPr="00844FBD">
        <w:rPr>
          <w:bCs/>
        </w:rPr>
        <w:t>government</w:t>
      </w:r>
      <w:r w:rsidRPr="00844FBD">
        <w:rPr>
          <w:bCs/>
        </w:rPr>
        <w:t>.</w:t>
      </w:r>
    </w:p>
    <w:p w14:paraId="21A3F74F" w14:textId="5348C6EE" w:rsidR="002F2819" w:rsidRDefault="009419D6" w:rsidP="00193C37">
      <w:pPr>
        <w:pStyle w:val="Caption"/>
        <w:spacing w:before="120"/>
        <w:rPr>
          <w:rStyle w:val="CommentReference"/>
          <w:b/>
          <w:szCs w:val="24"/>
        </w:rPr>
      </w:pPr>
      <w:r w:rsidRPr="00E30130">
        <w:rPr>
          <w:rStyle w:val="CommentReference"/>
          <w:b/>
          <w:szCs w:val="24"/>
        </w:rPr>
        <w:lastRenderedPageBreak/>
        <w:t xml:space="preserve">Table </w:t>
      </w:r>
      <w:r w:rsidRPr="00E30130">
        <w:rPr>
          <w:rStyle w:val="CommentReference"/>
          <w:b/>
          <w:szCs w:val="24"/>
        </w:rPr>
        <w:fldChar w:fldCharType="begin"/>
      </w:r>
      <w:r w:rsidRPr="00E30130">
        <w:rPr>
          <w:rStyle w:val="CommentReference"/>
          <w:b/>
          <w:szCs w:val="24"/>
        </w:rPr>
        <w:instrText xml:space="preserve"> SEQ Table \* ARABIC </w:instrText>
      </w:r>
      <w:r w:rsidRPr="00E30130">
        <w:rPr>
          <w:rStyle w:val="CommentReference"/>
          <w:b/>
          <w:szCs w:val="24"/>
        </w:rPr>
        <w:fldChar w:fldCharType="separate"/>
      </w:r>
      <w:r w:rsidR="00645E50">
        <w:rPr>
          <w:rStyle w:val="CommentReference"/>
          <w:b/>
          <w:noProof/>
          <w:szCs w:val="24"/>
        </w:rPr>
        <w:t>26</w:t>
      </w:r>
      <w:r w:rsidRPr="00E30130">
        <w:rPr>
          <w:rStyle w:val="CommentReference"/>
          <w:b/>
          <w:szCs w:val="24"/>
        </w:rPr>
        <w:fldChar w:fldCharType="end"/>
      </w:r>
      <w:r w:rsidRPr="00E30130">
        <w:rPr>
          <w:rStyle w:val="CommentReference"/>
          <w:b/>
          <w:szCs w:val="24"/>
        </w:rPr>
        <w:t xml:space="preserve">: </w:t>
      </w:r>
      <w:r>
        <w:rPr>
          <w:rStyle w:val="CommentReference"/>
          <w:b/>
          <w:szCs w:val="24"/>
        </w:rPr>
        <w:t>Updated e</w:t>
      </w:r>
      <w:r w:rsidRPr="00606FBA">
        <w:rPr>
          <w:rStyle w:val="CommentReference"/>
          <w:b/>
          <w:szCs w:val="24"/>
        </w:rPr>
        <w:t>stimated use and financial implications</w:t>
      </w:r>
      <w:r>
        <w:rPr>
          <w:rStyle w:val="CommentReference"/>
          <w:b/>
          <w:szCs w:val="24"/>
        </w:rPr>
        <w:t xml:space="preserve"> using the proposed effective price of mavacamten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44"/>
        <w:gridCol w:w="1060"/>
        <w:gridCol w:w="1107"/>
        <w:gridCol w:w="1127"/>
        <w:gridCol w:w="1127"/>
        <w:gridCol w:w="1127"/>
        <w:gridCol w:w="1125"/>
      </w:tblGrid>
      <w:tr w:rsidR="00C92363" w:rsidRPr="00104B41" w14:paraId="46B9117A" w14:textId="77777777" w:rsidTr="00414250">
        <w:trPr>
          <w:trHeight w:val="155"/>
          <w:tblHeader/>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71F1462B" w14:textId="77777777" w:rsidR="009419D6" w:rsidRPr="00E30130" w:rsidRDefault="009419D6" w:rsidP="000D077A">
            <w:pPr>
              <w:pStyle w:val="TableText0"/>
            </w:pP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DDBDA" w14:textId="77777777" w:rsidR="009419D6" w:rsidRPr="000D077A" w:rsidRDefault="009419D6" w:rsidP="000D077A">
            <w:pPr>
              <w:pStyle w:val="TableText0"/>
              <w:jc w:val="center"/>
              <w:rPr>
                <w:b/>
                <w:bCs w:val="0"/>
              </w:rPr>
            </w:pPr>
            <w:r w:rsidRPr="000D077A">
              <w:rPr>
                <w:b/>
                <w:bCs w:val="0"/>
              </w:rPr>
              <w:t>Year 1</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81A55" w14:textId="77777777" w:rsidR="009419D6" w:rsidRPr="000D077A" w:rsidRDefault="009419D6" w:rsidP="000D077A">
            <w:pPr>
              <w:pStyle w:val="TableText0"/>
              <w:jc w:val="center"/>
              <w:rPr>
                <w:b/>
                <w:bCs w:val="0"/>
              </w:rPr>
            </w:pPr>
            <w:r w:rsidRPr="000D077A">
              <w:rPr>
                <w:b/>
                <w:bCs w:val="0"/>
              </w:rPr>
              <w:t>Year 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6E415" w14:textId="77777777" w:rsidR="009419D6" w:rsidRPr="000D077A" w:rsidRDefault="009419D6" w:rsidP="000D077A">
            <w:pPr>
              <w:pStyle w:val="TableText0"/>
              <w:jc w:val="center"/>
              <w:rPr>
                <w:b/>
                <w:bCs w:val="0"/>
              </w:rPr>
            </w:pPr>
            <w:r w:rsidRPr="000D077A">
              <w:rPr>
                <w:b/>
                <w:bCs w:val="0"/>
              </w:rPr>
              <w:t>Year 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8ABC1" w14:textId="77777777" w:rsidR="009419D6" w:rsidRPr="000D077A" w:rsidRDefault="009419D6" w:rsidP="000D077A">
            <w:pPr>
              <w:pStyle w:val="TableText0"/>
              <w:jc w:val="center"/>
              <w:rPr>
                <w:b/>
                <w:bCs w:val="0"/>
              </w:rPr>
            </w:pPr>
            <w:r w:rsidRPr="000D077A">
              <w:rPr>
                <w:b/>
                <w:bCs w:val="0"/>
              </w:rPr>
              <w:t>Year 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1F8CE" w14:textId="77777777" w:rsidR="009419D6" w:rsidRPr="000D077A" w:rsidRDefault="009419D6" w:rsidP="000D077A">
            <w:pPr>
              <w:pStyle w:val="TableText0"/>
              <w:jc w:val="center"/>
              <w:rPr>
                <w:b/>
                <w:bCs w:val="0"/>
              </w:rPr>
            </w:pPr>
            <w:r w:rsidRPr="000D077A">
              <w:rPr>
                <w:b/>
                <w:bCs w:val="0"/>
              </w:rPr>
              <w:t>Year 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2F40B" w14:textId="77777777" w:rsidR="009419D6" w:rsidRPr="000D077A" w:rsidRDefault="009419D6" w:rsidP="000D077A">
            <w:pPr>
              <w:pStyle w:val="TableText0"/>
              <w:jc w:val="center"/>
              <w:rPr>
                <w:b/>
                <w:bCs w:val="0"/>
              </w:rPr>
            </w:pPr>
            <w:r w:rsidRPr="000D077A">
              <w:rPr>
                <w:b/>
                <w:bCs w:val="0"/>
              </w:rPr>
              <w:t>Year 6</w:t>
            </w:r>
          </w:p>
        </w:tc>
      </w:tr>
      <w:tr w:rsidR="00E30130" w:rsidRPr="00104B41" w14:paraId="135DC697" w14:textId="77777777" w:rsidTr="00414250">
        <w:trPr>
          <w:trHeight w:val="17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5395424" w14:textId="16AA1B04" w:rsidR="00E30130" w:rsidRPr="00E30130" w:rsidRDefault="00E30130" w:rsidP="000D077A">
            <w:pPr>
              <w:pStyle w:val="TableText0"/>
            </w:pPr>
            <w:r w:rsidRPr="000D077A">
              <w:rPr>
                <w:b/>
                <w:bCs w:val="0"/>
              </w:rPr>
              <w:t>Submission</w:t>
            </w:r>
          </w:p>
        </w:tc>
      </w:tr>
      <w:tr w:rsidR="00E30130" w:rsidRPr="00104B41" w14:paraId="5E04BF05"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tcPr>
          <w:p w14:paraId="64FA3B51" w14:textId="7DE8B025" w:rsidR="00E30130" w:rsidRPr="00E30130" w:rsidRDefault="00E30130" w:rsidP="00E30130">
            <w:pPr>
              <w:pStyle w:val="TableText0"/>
            </w:pPr>
            <w:r w:rsidRPr="00E547B7">
              <w:t xml:space="preserve">Total treated patients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EC29180" w14:textId="5C39AC2B" w:rsidR="00E30130" w:rsidRPr="00414250" w:rsidRDefault="00414250" w:rsidP="00E30130">
            <w:pPr>
              <w:pStyle w:val="TableText0"/>
              <w:jc w:val="center"/>
              <w:rPr>
                <w:vertAlign w:val="superscript"/>
              </w:rPr>
            </w:pPr>
            <w:r w:rsidRPr="00414250">
              <w:rPr>
                <w:rFonts w:hint="eastAsia"/>
                <w:color w:val="000000"/>
                <w:w w:val="25"/>
                <w:shd w:val="solid" w:color="000000" w:fill="000000"/>
                <w:fitText w:val="113" w:id="-1305208314"/>
                <w14:textFill>
                  <w14:solidFill>
                    <w14:srgbClr w14:val="000000">
                      <w14:alpha w14:val="100000"/>
                    </w14:srgbClr>
                  </w14:solidFill>
                </w14:textFill>
              </w:rPr>
              <w:t xml:space="preserve">　</w:t>
            </w:r>
            <w:r w:rsidRPr="00414250">
              <w:rPr>
                <w:color w:val="000000"/>
                <w:w w:val="25"/>
                <w:shd w:val="solid" w:color="000000" w:fill="000000"/>
                <w:fitText w:val="113" w:id="-1305208314"/>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4"/>
                <w14:textFill>
                  <w14:solidFill>
                    <w14:srgbClr w14:val="000000">
                      <w14:alpha w14:val="100000"/>
                    </w14:srgbClr>
                  </w14:solidFill>
                </w14:textFill>
              </w:rPr>
              <w:t xml:space="preserve">　</w:t>
            </w:r>
            <w:r w:rsidR="00582474">
              <w:rPr>
                <w:vertAlign w:val="superscript"/>
              </w:rPr>
              <w:t>1</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954DE1A" w14:textId="731FDFC9" w:rsidR="00E30130" w:rsidRPr="00E30130" w:rsidRDefault="00414250" w:rsidP="00E30130">
            <w:pPr>
              <w:pStyle w:val="TableText0"/>
              <w:jc w:val="center"/>
            </w:pPr>
            <w:r w:rsidRPr="00414250">
              <w:rPr>
                <w:rFonts w:hint="eastAsia"/>
                <w:color w:val="000000"/>
                <w:w w:val="22"/>
                <w:shd w:val="solid" w:color="000000" w:fill="000000"/>
                <w:fitText w:val="100" w:id="-1305208313"/>
                <w14:textFill>
                  <w14:solidFill>
                    <w14:srgbClr w14:val="000000">
                      <w14:alpha w14:val="100000"/>
                    </w14:srgbClr>
                  </w14:solidFill>
                </w14:textFill>
              </w:rPr>
              <w:t xml:space="preserve">　</w:t>
            </w:r>
            <w:r w:rsidRPr="00414250">
              <w:rPr>
                <w:color w:val="000000"/>
                <w:w w:val="22"/>
                <w:shd w:val="solid" w:color="000000" w:fill="000000"/>
                <w:fitText w:val="100" w:id="-1305208313"/>
                <w14:textFill>
                  <w14:solidFill>
                    <w14:srgbClr w14:val="000000">
                      <w14:alpha w14:val="100000"/>
                    </w14:srgbClr>
                  </w14:solidFill>
                </w14:textFill>
              </w:rPr>
              <w:t>|</w:t>
            </w:r>
            <w:r w:rsidRPr="00414250">
              <w:rPr>
                <w:rFonts w:hint="eastAsia"/>
                <w:color w:val="000000"/>
                <w:spacing w:val="3"/>
                <w:w w:val="22"/>
                <w:shd w:val="solid" w:color="000000" w:fill="000000"/>
                <w:fitText w:val="100" w:id="-1305208313"/>
                <w14:textFill>
                  <w14:solidFill>
                    <w14:srgbClr w14:val="000000">
                      <w14:alpha w14:val="100000"/>
                    </w14:srgbClr>
                  </w14:solidFill>
                </w14:textFill>
              </w:rPr>
              <w:t xml:space="preserve">　</w:t>
            </w:r>
            <w:r w:rsidR="00582474">
              <w:rPr>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7D95601" w14:textId="59FE2B63" w:rsidR="00E30130" w:rsidRPr="00E30130" w:rsidRDefault="00414250" w:rsidP="00E30130">
            <w:pPr>
              <w:pStyle w:val="TableText0"/>
              <w:jc w:val="center"/>
            </w:pPr>
            <w:r w:rsidRPr="00414250">
              <w:rPr>
                <w:rFonts w:hint="eastAsia"/>
                <w:color w:val="000000"/>
                <w:w w:val="22"/>
                <w:shd w:val="solid" w:color="000000" w:fill="000000"/>
                <w:fitText w:val="100" w:id="-1305208312"/>
                <w14:textFill>
                  <w14:solidFill>
                    <w14:srgbClr w14:val="000000">
                      <w14:alpha w14:val="100000"/>
                    </w14:srgbClr>
                  </w14:solidFill>
                </w14:textFill>
              </w:rPr>
              <w:t xml:space="preserve">　</w:t>
            </w:r>
            <w:r w:rsidRPr="00414250">
              <w:rPr>
                <w:color w:val="000000"/>
                <w:w w:val="22"/>
                <w:shd w:val="solid" w:color="000000" w:fill="000000"/>
                <w:fitText w:val="100" w:id="-1305208312"/>
                <w14:textFill>
                  <w14:solidFill>
                    <w14:srgbClr w14:val="000000">
                      <w14:alpha w14:val="100000"/>
                    </w14:srgbClr>
                  </w14:solidFill>
                </w14:textFill>
              </w:rPr>
              <w:t>|</w:t>
            </w:r>
            <w:r w:rsidRPr="00414250">
              <w:rPr>
                <w:rFonts w:hint="eastAsia"/>
                <w:color w:val="000000"/>
                <w:spacing w:val="3"/>
                <w:w w:val="22"/>
                <w:shd w:val="solid" w:color="000000" w:fill="000000"/>
                <w:fitText w:val="100" w:id="-1305208312"/>
                <w14:textFill>
                  <w14:solidFill>
                    <w14:srgbClr w14:val="000000">
                      <w14:alpha w14:val="100000"/>
                    </w14:srgbClr>
                  </w14:solidFill>
                </w14:textFill>
              </w:rPr>
              <w:t xml:space="preserve">　</w:t>
            </w:r>
            <w:r w:rsidR="00582474">
              <w:rPr>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7C50D93" w14:textId="1C904D0D" w:rsidR="00E30130" w:rsidRPr="00E30130" w:rsidRDefault="00414250" w:rsidP="00E30130">
            <w:pPr>
              <w:pStyle w:val="TableText0"/>
              <w:jc w:val="center"/>
            </w:pPr>
            <w:r w:rsidRPr="00414250">
              <w:rPr>
                <w:rFonts w:hint="eastAsia"/>
                <w:color w:val="000000"/>
                <w:w w:val="22"/>
                <w:shd w:val="solid" w:color="000000" w:fill="000000"/>
                <w:fitText w:val="101" w:id="-1305208311"/>
                <w14:textFill>
                  <w14:solidFill>
                    <w14:srgbClr w14:val="000000">
                      <w14:alpha w14:val="100000"/>
                    </w14:srgbClr>
                  </w14:solidFill>
                </w14:textFill>
              </w:rPr>
              <w:t xml:space="preserve">　</w:t>
            </w:r>
            <w:r w:rsidRPr="00414250">
              <w:rPr>
                <w:color w:val="000000"/>
                <w:w w:val="22"/>
                <w:shd w:val="solid" w:color="000000" w:fill="000000"/>
                <w:fitText w:val="101" w:id="-1305208311"/>
                <w14:textFill>
                  <w14:solidFill>
                    <w14:srgbClr w14:val="000000">
                      <w14:alpha w14:val="100000"/>
                    </w14:srgbClr>
                  </w14:solidFill>
                </w14:textFill>
              </w:rPr>
              <w:t>|</w:t>
            </w:r>
            <w:r w:rsidRPr="00414250">
              <w:rPr>
                <w:rFonts w:hint="eastAsia"/>
                <w:color w:val="000000"/>
                <w:spacing w:val="4"/>
                <w:w w:val="22"/>
                <w:shd w:val="solid" w:color="000000" w:fill="000000"/>
                <w:fitText w:val="101" w:id="-1305208311"/>
                <w14:textFill>
                  <w14:solidFill>
                    <w14:srgbClr w14:val="000000">
                      <w14:alpha w14:val="100000"/>
                    </w14:srgbClr>
                  </w14:solidFill>
                </w14:textFill>
              </w:rPr>
              <w:t xml:space="preserve">　</w:t>
            </w:r>
            <w:r w:rsidR="00582474">
              <w:rPr>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DA6967F" w14:textId="3E67F686" w:rsidR="00E30130" w:rsidRPr="00E30130" w:rsidRDefault="00414250" w:rsidP="00E30130">
            <w:pPr>
              <w:pStyle w:val="TableText0"/>
              <w:jc w:val="center"/>
            </w:pPr>
            <w:r w:rsidRPr="00414250">
              <w:rPr>
                <w:rFonts w:hint="eastAsia"/>
                <w:color w:val="000000"/>
                <w:w w:val="22"/>
                <w:shd w:val="solid" w:color="000000" w:fill="000000"/>
                <w:fitText w:val="101" w:id="-1305208310"/>
                <w14:textFill>
                  <w14:solidFill>
                    <w14:srgbClr w14:val="000000">
                      <w14:alpha w14:val="100000"/>
                    </w14:srgbClr>
                  </w14:solidFill>
                </w14:textFill>
              </w:rPr>
              <w:t xml:space="preserve">　</w:t>
            </w:r>
            <w:r w:rsidRPr="00414250">
              <w:rPr>
                <w:color w:val="000000"/>
                <w:w w:val="22"/>
                <w:shd w:val="solid" w:color="000000" w:fill="000000"/>
                <w:fitText w:val="101" w:id="-1305208310"/>
                <w14:textFill>
                  <w14:solidFill>
                    <w14:srgbClr w14:val="000000">
                      <w14:alpha w14:val="100000"/>
                    </w14:srgbClr>
                  </w14:solidFill>
                </w14:textFill>
              </w:rPr>
              <w:t>|</w:t>
            </w:r>
            <w:r w:rsidRPr="00414250">
              <w:rPr>
                <w:rFonts w:hint="eastAsia"/>
                <w:color w:val="000000"/>
                <w:spacing w:val="4"/>
                <w:w w:val="22"/>
                <w:shd w:val="solid" w:color="000000" w:fill="000000"/>
                <w:fitText w:val="101" w:id="-1305208310"/>
                <w14:textFill>
                  <w14:solidFill>
                    <w14:srgbClr w14:val="000000">
                      <w14:alpha w14:val="100000"/>
                    </w14:srgbClr>
                  </w14:solidFill>
                </w14:textFill>
              </w:rPr>
              <w:t xml:space="preserve">　</w:t>
            </w:r>
            <w:r w:rsidR="00582474">
              <w:rPr>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AE854AA" w14:textId="42B53263" w:rsidR="00E30130" w:rsidRPr="00E30130" w:rsidRDefault="00414250" w:rsidP="00E30130">
            <w:pPr>
              <w:pStyle w:val="TableText0"/>
              <w:jc w:val="center"/>
            </w:pPr>
            <w:r w:rsidRPr="00414250">
              <w:rPr>
                <w:rFonts w:hint="eastAsia"/>
                <w:color w:val="000000"/>
                <w:w w:val="22"/>
                <w:shd w:val="solid" w:color="000000" w:fill="000000"/>
                <w:fitText w:val="101" w:id="-1305208309"/>
                <w14:textFill>
                  <w14:solidFill>
                    <w14:srgbClr w14:val="000000">
                      <w14:alpha w14:val="100000"/>
                    </w14:srgbClr>
                  </w14:solidFill>
                </w14:textFill>
              </w:rPr>
              <w:t xml:space="preserve">　</w:t>
            </w:r>
            <w:r w:rsidRPr="00414250">
              <w:rPr>
                <w:color w:val="000000"/>
                <w:w w:val="22"/>
                <w:shd w:val="solid" w:color="000000" w:fill="000000"/>
                <w:fitText w:val="101" w:id="-1305208309"/>
                <w14:textFill>
                  <w14:solidFill>
                    <w14:srgbClr w14:val="000000">
                      <w14:alpha w14:val="100000"/>
                    </w14:srgbClr>
                  </w14:solidFill>
                </w14:textFill>
              </w:rPr>
              <w:t>|</w:t>
            </w:r>
            <w:r w:rsidRPr="00414250">
              <w:rPr>
                <w:rFonts w:hint="eastAsia"/>
                <w:color w:val="000000"/>
                <w:spacing w:val="4"/>
                <w:w w:val="22"/>
                <w:shd w:val="solid" w:color="000000" w:fill="000000"/>
                <w:fitText w:val="101" w:id="-1305208309"/>
                <w14:textFill>
                  <w14:solidFill>
                    <w14:srgbClr w14:val="000000">
                      <w14:alpha w14:val="100000"/>
                    </w14:srgbClr>
                  </w14:solidFill>
                </w14:textFill>
              </w:rPr>
              <w:t xml:space="preserve">　</w:t>
            </w:r>
            <w:r w:rsidR="00582474">
              <w:rPr>
                <w:vertAlign w:val="superscript"/>
              </w:rPr>
              <w:t>2</w:t>
            </w:r>
          </w:p>
        </w:tc>
      </w:tr>
      <w:tr w:rsidR="00E30130" w:rsidRPr="00104B41" w14:paraId="57B386E3"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5DCAABA1" w14:textId="2845ADC2" w:rsidR="00E30130" w:rsidRPr="00E30130" w:rsidRDefault="00E30130" w:rsidP="00E30130">
            <w:pPr>
              <w:pStyle w:val="TableText0"/>
            </w:pPr>
            <w:r w:rsidRPr="00E547B7">
              <w:t>Total packs per year</w:t>
            </w:r>
            <w:r w:rsidRPr="00E547B7">
              <w:rPr>
                <w:vertAlign w:val="superscript"/>
              </w:rPr>
              <w:t xml:space="preserve">a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3271668" w14:textId="53787F1C" w:rsidR="00E30130" w:rsidRPr="00414250" w:rsidRDefault="00414250" w:rsidP="00E30130">
            <w:pPr>
              <w:pStyle w:val="TableText0"/>
              <w:jc w:val="center"/>
              <w:rPr>
                <w:highlight w:val="darkGray"/>
              </w:rPr>
            </w:pPr>
            <w:r w:rsidRPr="00414250">
              <w:rPr>
                <w:rFonts w:hint="eastAsia"/>
                <w:color w:val="000000"/>
                <w:w w:val="25"/>
                <w:shd w:val="solid" w:color="000000" w:fill="000000"/>
                <w:fitText w:val="113" w:id="-1305208308"/>
                <w14:textFill>
                  <w14:solidFill>
                    <w14:srgbClr w14:val="000000">
                      <w14:alpha w14:val="100000"/>
                    </w14:srgbClr>
                  </w14:solidFill>
                </w14:textFill>
              </w:rPr>
              <w:t xml:space="preserve">　</w:t>
            </w:r>
            <w:r w:rsidRPr="00414250">
              <w:rPr>
                <w:color w:val="000000"/>
                <w:w w:val="25"/>
                <w:shd w:val="solid" w:color="000000" w:fill="000000"/>
                <w:fitText w:val="113" w:id="-1305208308"/>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8"/>
                <w14:textFill>
                  <w14:solidFill>
                    <w14:srgbClr w14:val="000000">
                      <w14:alpha w14:val="100000"/>
                    </w14:srgbClr>
                  </w14:solidFill>
                </w14:textFill>
              </w:rPr>
              <w:t xml:space="preserve">　</w:t>
            </w:r>
            <w:r w:rsidR="00582474" w:rsidRPr="00497E65">
              <w:rPr>
                <w:vertAlign w:val="superscript"/>
              </w:rPr>
              <w:t>2</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D93623B" w14:textId="30FE9EAC" w:rsidR="00E30130" w:rsidRPr="00E30130" w:rsidRDefault="00414250" w:rsidP="00E30130">
            <w:pPr>
              <w:pStyle w:val="TableText0"/>
              <w:jc w:val="center"/>
            </w:pPr>
            <w:r w:rsidRPr="00414250">
              <w:rPr>
                <w:rFonts w:hint="eastAsia"/>
                <w:color w:val="000000"/>
                <w:w w:val="22"/>
                <w:shd w:val="solid" w:color="000000" w:fill="000000"/>
                <w:fitText w:val="100" w:id="-1305208307"/>
                <w14:textFill>
                  <w14:solidFill>
                    <w14:srgbClr w14:val="000000">
                      <w14:alpha w14:val="100000"/>
                    </w14:srgbClr>
                  </w14:solidFill>
                </w14:textFill>
              </w:rPr>
              <w:t xml:space="preserve">　</w:t>
            </w:r>
            <w:r w:rsidRPr="00414250">
              <w:rPr>
                <w:color w:val="000000"/>
                <w:w w:val="22"/>
                <w:shd w:val="solid" w:color="000000" w:fill="000000"/>
                <w:fitText w:val="100" w:id="-1305208307"/>
                <w14:textFill>
                  <w14:solidFill>
                    <w14:srgbClr w14:val="000000">
                      <w14:alpha w14:val="100000"/>
                    </w14:srgbClr>
                  </w14:solidFill>
                </w14:textFill>
              </w:rPr>
              <w:t>|</w:t>
            </w:r>
            <w:r w:rsidRPr="00414250">
              <w:rPr>
                <w:rFonts w:hint="eastAsia"/>
                <w:color w:val="000000"/>
                <w:spacing w:val="3"/>
                <w:w w:val="22"/>
                <w:shd w:val="solid" w:color="000000" w:fill="000000"/>
                <w:fitText w:val="100" w:id="-1305208307"/>
                <w14:textFill>
                  <w14:solidFill>
                    <w14:srgbClr w14:val="000000">
                      <w14:alpha w14:val="100000"/>
                    </w14:srgbClr>
                  </w14:solidFill>
                </w14:textFill>
              </w:rPr>
              <w:t xml:space="preserve">　</w:t>
            </w:r>
            <w:r w:rsidR="00582474">
              <w:rPr>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A2C5218" w14:textId="6003B6AC" w:rsidR="00E30130" w:rsidRPr="00E30130" w:rsidRDefault="00414250" w:rsidP="00E30130">
            <w:pPr>
              <w:pStyle w:val="TableText0"/>
              <w:jc w:val="center"/>
            </w:pPr>
            <w:r w:rsidRPr="00414250">
              <w:rPr>
                <w:rFonts w:hint="eastAsia"/>
                <w:color w:val="000000"/>
                <w:w w:val="22"/>
                <w:shd w:val="solid" w:color="000000" w:fill="000000"/>
                <w:fitText w:val="100" w:id="-1305208306"/>
                <w14:textFill>
                  <w14:solidFill>
                    <w14:srgbClr w14:val="000000">
                      <w14:alpha w14:val="100000"/>
                    </w14:srgbClr>
                  </w14:solidFill>
                </w14:textFill>
              </w:rPr>
              <w:t xml:space="preserve">　</w:t>
            </w:r>
            <w:r w:rsidRPr="00414250">
              <w:rPr>
                <w:color w:val="000000"/>
                <w:w w:val="22"/>
                <w:shd w:val="solid" w:color="000000" w:fill="000000"/>
                <w:fitText w:val="100" w:id="-1305208306"/>
                <w14:textFill>
                  <w14:solidFill>
                    <w14:srgbClr w14:val="000000">
                      <w14:alpha w14:val="100000"/>
                    </w14:srgbClr>
                  </w14:solidFill>
                </w14:textFill>
              </w:rPr>
              <w:t>|</w:t>
            </w:r>
            <w:r w:rsidRPr="00414250">
              <w:rPr>
                <w:rFonts w:hint="eastAsia"/>
                <w:color w:val="000000"/>
                <w:spacing w:val="3"/>
                <w:w w:val="22"/>
                <w:shd w:val="solid" w:color="000000" w:fill="000000"/>
                <w:fitText w:val="100" w:id="-1305208306"/>
                <w14:textFill>
                  <w14:solidFill>
                    <w14:srgbClr w14:val="000000">
                      <w14:alpha w14:val="100000"/>
                    </w14:srgbClr>
                  </w14:solidFill>
                </w14:textFill>
              </w:rPr>
              <w:t xml:space="preserve">　</w:t>
            </w:r>
            <w:r w:rsidR="00582474">
              <w:rPr>
                <w:vertAlign w:val="superscript"/>
              </w:rPr>
              <w:t>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1562256" w14:textId="7F6B9903" w:rsidR="00E30130" w:rsidRPr="00E30130" w:rsidRDefault="00414250" w:rsidP="00E30130">
            <w:pPr>
              <w:pStyle w:val="TableText0"/>
              <w:jc w:val="center"/>
            </w:pPr>
            <w:r w:rsidRPr="00414250">
              <w:rPr>
                <w:rFonts w:hint="eastAsia"/>
                <w:color w:val="000000"/>
                <w:w w:val="22"/>
                <w:shd w:val="solid" w:color="000000" w:fill="000000"/>
                <w:fitText w:val="101" w:id="-1305208305"/>
                <w14:textFill>
                  <w14:solidFill>
                    <w14:srgbClr w14:val="000000">
                      <w14:alpha w14:val="100000"/>
                    </w14:srgbClr>
                  </w14:solidFill>
                </w14:textFill>
              </w:rPr>
              <w:t xml:space="preserve">　</w:t>
            </w:r>
            <w:r w:rsidRPr="00414250">
              <w:rPr>
                <w:color w:val="000000"/>
                <w:w w:val="22"/>
                <w:shd w:val="solid" w:color="000000" w:fill="000000"/>
                <w:fitText w:val="101" w:id="-1305208305"/>
                <w14:textFill>
                  <w14:solidFill>
                    <w14:srgbClr w14:val="000000">
                      <w14:alpha w14:val="100000"/>
                    </w14:srgbClr>
                  </w14:solidFill>
                </w14:textFill>
              </w:rPr>
              <w:t>|</w:t>
            </w:r>
            <w:r w:rsidRPr="00414250">
              <w:rPr>
                <w:rFonts w:hint="eastAsia"/>
                <w:color w:val="000000"/>
                <w:spacing w:val="4"/>
                <w:w w:val="22"/>
                <w:shd w:val="solid" w:color="000000" w:fill="000000"/>
                <w:fitText w:val="101" w:id="-1305208305"/>
                <w14:textFill>
                  <w14:solidFill>
                    <w14:srgbClr w14:val="000000">
                      <w14:alpha w14:val="100000"/>
                    </w14:srgbClr>
                  </w14:solidFill>
                </w14:textFill>
              </w:rPr>
              <w:t xml:space="preserve">　</w:t>
            </w:r>
            <w:r w:rsidR="00582474">
              <w:rPr>
                <w:vertAlign w:val="superscript"/>
              </w:rPr>
              <w:t>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06FF8E2" w14:textId="30FB6F04" w:rsidR="00E30130" w:rsidRPr="00E30130" w:rsidRDefault="00414250" w:rsidP="00E30130">
            <w:pPr>
              <w:pStyle w:val="TableText0"/>
              <w:jc w:val="center"/>
            </w:pPr>
            <w:r w:rsidRPr="00414250">
              <w:rPr>
                <w:rFonts w:hint="eastAsia"/>
                <w:color w:val="000000"/>
                <w:w w:val="22"/>
                <w:shd w:val="solid" w:color="000000" w:fill="000000"/>
                <w:fitText w:val="101" w:id="-1305208304"/>
                <w14:textFill>
                  <w14:solidFill>
                    <w14:srgbClr w14:val="000000">
                      <w14:alpha w14:val="100000"/>
                    </w14:srgbClr>
                  </w14:solidFill>
                </w14:textFill>
              </w:rPr>
              <w:t xml:space="preserve">　</w:t>
            </w:r>
            <w:r w:rsidRPr="00414250">
              <w:rPr>
                <w:color w:val="000000"/>
                <w:w w:val="22"/>
                <w:shd w:val="solid" w:color="000000" w:fill="000000"/>
                <w:fitText w:val="101" w:id="-1305208304"/>
                <w14:textFill>
                  <w14:solidFill>
                    <w14:srgbClr w14:val="000000">
                      <w14:alpha w14:val="100000"/>
                    </w14:srgbClr>
                  </w14:solidFill>
                </w14:textFill>
              </w:rPr>
              <w:t>|</w:t>
            </w:r>
            <w:r w:rsidRPr="00414250">
              <w:rPr>
                <w:rFonts w:hint="eastAsia"/>
                <w:color w:val="000000"/>
                <w:spacing w:val="4"/>
                <w:w w:val="22"/>
                <w:shd w:val="solid" w:color="000000" w:fill="000000"/>
                <w:fitText w:val="101" w:id="-1305208304"/>
                <w14:textFill>
                  <w14:solidFill>
                    <w14:srgbClr w14:val="000000">
                      <w14:alpha w14:val="100000"/>
                    </w14:srgbClr>
                  </w14:solidFill>
                </w14:textFill>
              </w:rPr>
              <w:t xml:space="preserve">　</w:t>
            </w:r>
            <w:r w:rsidR="00582474">
              <w:rPr>
                <w:vertAlign w:val="superscript"/>
              </w:rPr>
              <w:t>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2ABE66C" w14:textId="3EFFAEC3" w:rsidR="00E30130" w:rsidRPr="00E30130" w:rsidRDefault="00414250" w:rsidP="00E30130">
            <w:pPr>
              <w:pStyle w:val="TableText0"/>
              <w:jc w:val="center"/>
            </w:pPr>
            <w:r w:rsidRPr="00414250">
              <w:rPr>
                <w:rFonts w:hint="eastAsia"/>
                <w:color w:val="000000"/>
                <w:w w:val="22"/>
                <w:shd w:val="solid" w:color="000000" w:fill="000000"/>
                <w:fitText w:val="101" w:id="-1305208320"/>
                <w14:textFill>
                  <w14:solidFill>
                    <w14:srgbClr w14:val="000000">
                      <w14:alpha w14:val="100000"/>
                    </w14:srgbClr>
                  </w14:solidFill>
                </w14:textFill>
              </w:rPr>
              <w:t xml:space="preserve">　</w:t>
            </w:r>
            <w:r w:rsidRPr="00414250">
              <w:rPr>
                <w:color w:val="000000"/>
                <w:w w:val="22"/>
                <w:shd w:val="solid" w:color="000000" w:fill="000000"/>
                <w:fitText w:val="101" w:id="-1305208320"/>
                <w14:textFill>
                  <w14:solidFill>
                    <w14:srgbClr w14:val="000000">
                      <w14:alpha w14:val="100000"/>
                    </w14:srgbClr>
                  </w14:solidFill>
                </w14:textFill>
              </w:rPr>
              <w:t>|</w:t>
            </w:r>
            <w:r w:rsidRPr="00414250">
              <w:rPr>
                <w:rFonts w:hint="eastAsia"/>
                <w:color w:val="000000"/>
                <w:spacing w:val="4"/>
                <w:w w:val="22"/>
                <w:shd w:val="solid" w:color="000000" w:fill="000000"/>
                <w:fitText w:val="101" w:id="-1305208320"/>
                <w14:textFill>
                  <w14:solidFill>
                    <w14:srgbClr w14:val="000000">
                      <w14:alpha w14:val="100000"/>
                    </w14:srgbClr>
                  </w14:solidFill>
                </w14:textFill>
              </w:rPr>
              <w:t xml:space="preserve">　</w:t>
            </w:r>
            <w:r w:rsidR="00582474">
              <w:rPr>
                <w:vertAlign w:val="superscript"/>
              </w:rPr>
              <w:t>7</w:t>
            </w:r>
          </w:p>
        </w:tc>
      </w:tr>
      <w:tr w:rsidR="00E30130" w:rsidRPr="00104B41" w14:paraId="15F51C41"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35AE5AF7" w14:textId="7268B960" w:rsidR="00E30130" w:rsidRPr="00E30130" w:rsidRDefault="00E30130" w:rsidP="00E30130">
            <w:pPr>
              <w:pStyle w:val="TableText0"/>
            </w:pPr>
            <w:r w:rsidRPr="00E547B7">
              <w:t>PBS/RPBS cost</w:t>
            </w:r>
            <w:r w:rsidR="001101D1">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CE47BDC" w14:textId="21CF488C" w:rsidR="00E30130" w:rsidRPr="00E30130" w:rsidRDefault="00414250" w:rsidP="00E30130">
            <w:pPr>
              <w:pStyle w:val="TableText0"/>
              <w:jc w:val="center"/>
            </w:pPr>
            <w:r w:rsidRPr="00414250">
              <w:rPr>
                <w:rFonts w:hint="eastAsia"/>
                <w:color w:val="000000"/>
                <w:w w:val="25"/>
                <w:shd w:val="solid" w:color="000000" w:fill="000000"/>
                <w:fitText w:val="113" w:id="-1305208319"/>
                <w14:textFill>
                  <w14:solidFill>
                    <w14:srgbClr w14:val="000000">
                      <w14:alpha w14:val="100000"/>
                    </w14:srgbClr>
                  </w14:solidFill>
                </w14:textFill>
              </w:rPr>
              <w:t xml:space="preserve">　</w:t>
            </w:r>
            <w:r w:rsidRPr="00414250">
              <w:rPr>
                <w:color w:val="000000"/>
                <w:w w:val="25"/>
                <w:shd w:val="solid" w:color="000000" w:fill="000000"/>
                <w:fitText w:val="113" w:id="-1305208319"/>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9"/>
                <w14:textFill>
                  <w14:solidFill>
                    <w14:srgbClr w14:val="000000">
                      <w14:alpha w14:val="100000"/>
                    </w14:srgbClr>
                  </w14:solidFill>
                </w14:textFill>
              </w:rPr>
              <w:t xml:space="preserve">　</w:t>
            </w:r>
            <w:r w:rsidR="00582474">
              <w:rPr>
                <w:vertAlign w:val="superscript"/>
              </w:rPr>
              <w:t>8</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6470A7B9" w14:textId="6694D3E5" w:rsidR="00E30130" w:rsidRPr="00414250" w:rsidRDefault="00414250" w:rsidP="00E30130">
            <w:pPr>
              <w:pStyle w:val="TableText0"/>
              <w:jc w:val="center"/>
              <w:rPr>
                <w:highlight w:val="darkGray"/>
              </w:rPr>
            </w:pPr>
            <w:r w:rsidRPr="00414250">
              <w:rPr>
                <w:rFonts w:hint="eastAsia"/>
                <w:color w:val="000000"/>
                <w:w w:val="22"/>
                <w:shd w:val="solid" w:color="000000" w:fill="000000"/>
                <w:fitText w:val="100" w:id="-1305208318"/>
                <w14:textFill>
                  <w14:solidFill>
                    <w14:srgbClr w14:val="000000">
                      <w14:alpha w14:val="100000"/>
                    </w14:srgbClr>
                  </w14:solidFill>
                </w14:textFill>
              </w:rPr>
              <w:t xml:space="preserve">　</w:t>
            </w:r>
            <w:r w:rsidRPr="00414250">
              <w:rPr>
                <w:color w:val="000000"/>
                <w:w w:val="22"/>
                <w:shd w:val="solid" w:color="000000" w:fill="000000"/>
                <w:fitText w:val="100" w:id="-1305208318"/>
                <w14:textFill>
                  <w14:solidFill>
                    <w14:srgbClr w14:val="000000">
                      <w14:alpha w14:val="100000"/>
                    </w14:srgbClr>
                  </w14:solidFill>
                </w14:textFill>
              </w:rPr>
              <w:t>|</w:t>
            </w:r>
            <w:r w:rsidRPr="00414250">
              <w:rPr>
                <w:rFonts w:hint="eastAsia"/>
                <w:color w:val="000000"/>
                <w:spacing w:val="3"/>
                <w:w w:val="22"/>
                <w:shd w:val="solid" w:color="000000" w:fill="000000"/>
                <w:fitText w:val="100" w:id="-1305208318"/>
                <w14:textFill>
                  <w14:solidFill>
                    <w14:srgbClr w14:val="000000">
                      <w14:alpha w14:val="100000"/>
                    </w14:srgbClr>
                  </w14:solidFill>
                </w14:textFill>
              </w:rPr>
              <w:t xml:space="preserve">　</w:t>
            </w:r>
            <w:r w:rsidR="00582474" w:rsidRPr="00497E65">
              <w:rPr>
                <w:vertAlign w:val="superscript"/>
              </w:rPr>
              <w:t>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0DF4756" w14:textId="18CB53BD" w:rsidR="00E30130" w:rsidRPr="00E30130" w:rsidRDefault="00414250" w:rsidP="00E30130">
            <w:pPr>
              <w:pStyle w:val="TableText0"/>
              <w:jc w:val="center"/>
            </w:pPr>
            <w:r w:rsidRPr="00414250">
              <w:rPr>
                <w:rFonts w:hint="eastAsia"/>
                <w:color w:val="000000"/>
                <w:w w:val="25"/>
                <w:shd w:val="solid" w:color="000000" w:fill="000000"/>
                <w:fitText w:val="113" w:id="-1305208317"/>
                <w14:textFill>
                  <w14:solidFill>
                    <w14:srgbClr w14:val="000000">
                      <w14:alpha w14:val="100000"/>
                    </w14:srgbClr>
                  </w14:solidFill>
                </w14:textFill>
              </w:rPr>
              <w:t xml:space="preserve">　</w:t>
            </w:r>
            <w:r w:rsidRPr="00414250">
              <w:rPr>
                <w:color w:val="000000"/>
                <w:w w:val="25"/>
                <w:shd w:val="solid" w:color="000000" w:fill="000000"/>
                <w:fitText w:val="113" w:id="-1305208317"/>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7"/>
                <w14:textFill>
                  <w14:solidFill>
                    <w14:srgbClr w14:val="000000">
                      <w14:alpha w14:val="100000"/>
                    </w14:srgbClr>
                  </w14:solidFill>
                </w14:textFill>
              </w:rPr>
              <w:t xml:space="preserve">　</w:t>
            </w:r>
            <w:r w:rsidR="00582474">
              <w:rPr>
                <w:vertAlign w:val="superscript"/>
              </w:rPr>
              <w:t>10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0C093FF" w14:textId="04856785" w:rsidR="00E30130" w:rsidRPr="00E30130" w:rsidRDefault="00414250" w:rsidP="00E30130">
            <w:pPr>
              <w:pStyle w:val="TableText0"/>
              <w:jc w:val="center"/>
            </w:pPr>
            <w:r w:rsidRPr="00414250">
              <w:rPr>
                <w:rFonts w:hint="eastAsia"/>
                <w:color w:val="000000"/>
                <w:w w:val="25"/>
                <w:shd w:val="solid" w:color="000000" w:fill="000000"/>
                <w:fitText w:val="113" w:id="-1305208316"/>
                <w14:textFill>
                  <w14:solidFill>
                    <w14:srgbClr w14:val="000000">
                      <w14:alpha w14:val="100000"/>
                    </w14:srgbClr>
                  </w14:solidFill>
                </w14:textFill>
              </w:rPr>
              <w:t xml:space="preserve">　</w:t>
            </w:r>
            <w:r w:rsidRPr="00414250">
              <w:rPr>
                <w:color w:val="000000"/>
                <w:w w:val="25"/>
                <w:shd w:val="solid" w:color="000000" w:fill="000000"/>
                <w:fitText w:val="113" w:id="-1305208316"/>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6"/>
                <w14:textFill>
                  <w14:solidFill>
                    <w14:srgbClr w14:val="000000">
                      <w14:alpha w14:val="100000"/>
                    </w14:srgbClr>
                  </w14:solidFill>
                </w14:textFill>
              </w:rPr>
              <w:t xml:space="preserve">　</w:t>
            </w:r>
            <w:r w:rsidR="00582474">
              <w:rPr>
                <w:vertAlign w:val="superscript"/>
              </w:rPr>
              <w:t>11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6FA6ABE" w14:textId="44A255C6" w:rsidR="00E30130" w:rsidRPr="00E30130" w:rsidRDefault="00414250" w:rsidP="00E30130">
            <w:pPr>
              <w:pStyle w:val="TableText0"/>
              <w:jc w:val="center"/>
            </w:pPr>
            <w:r w:rsidRPr="00414250">
              <w:rPr>
                <w:rFonts w:hint="eastAsia"/>
                <w:color w:val="000000"/>
                <w:w w:val="25"/>
                <w:shd w:val="solid" w:color="000000" w:fill="000000"/>
                <w:fitText w:val="113" w:id="-1305208315"/>
                <w14:textFill>
                  <w14:solidFill>
                    <w14:srgbClr w14:val="000000">
                      <w14:alpha w14:val="100000"/>
                    </w14:srgbClr>
                  </w14:solidFill>
                </w14:textFill>
              </w:rPr>
              <w:t xml:space="preserve">　</w:t>
            </w:r>
            <w:r w:rsidRPr="00414250">
              <w:rPr>
                <w:color w:val="000000"/>
                <w:w w:val="25"/>
                <w:shd w:val="solid" w:color="000000" w:fill="000000"/>
                <w:fitText w:val="113" w:id="-1305208315"/>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5"/>
                <w14:textFill>
                  <w14:solidFill>
                    <w14:srgbClr w14:val="000000">
                      <w14:alpha w14:val="100000"/>
                    </w14:srgbClr>
                  </w14:solidFill>
                </w14:textFill>
              </w:rPr>
              <w:t xml:space="preserve">　</w:t>
            </w:r>
            <w:r w:rsidR="00582474">
              <w:rPr>
                <w:vertAlign w:val="superscript"/>
              </w:rPr>
              <w:t>12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FDDAAFB" w14:textId="70F2C276" w:rsidR="00E30130" w:rsidRPr="00E30130" w:rsidRDefault="00414250" w:rsidP="00E30130">
            <w:pPr>
              <w:pStyle w:val="TableText0"/>
              <w:jc w:val="center"/>
            </w:pPr>
            <w:r w:rsidRPr="00414250">
              <w:rPr>
                <w:rFonts w:hint="eastAsia"/>
                <w:color w:val="000000"/>
                <w:w w:val="25"/>
                <w:shd w:val="solid" w:color="000000" w:fill="000000"/>
                <w:fitText w:val="113" w:id="-1305208314"/>
                <w14:textFill>
                  <w14:solidFill>
                    <w14:srgbClr w14:val="000000">
                      <w14:alpha w14:val="100000"/>
                    </w14:srgbClr>
                  </w14:solidFill>
                </w14:textFill>
              </w:rPr>
              <w:t xml:space="preserve">　</w:t>
            </w:r>
            <w:r w:rsidRPr="00414250">
              <w:rPr>
                <w:color w:val="000000"/>
                <w:w w:val="25"/>
                <w:shd w:val="solid" w:color="000000" w:fill="000000"/>
                <w:fitText w:val="113" w:id="-1305208314"/>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4"/>
                <w14:textFill>
                  <w14:solidFill>
                    <w14:srgbClr w14:val="000000">
                      <w14:alpha w14:val="100000"/>
                    </w14:srgbClr>
                  </w14:solidFill>
                </w14:textFill>
              </w:rPr>
              <w:t xml:space="preserve">　</w:t>
            </w:r>
            <w:r w:rsidR="00582474">
              <w:rPr>
                <w:vertAlign w:val="superscript"/>
              </w:rPr>
              <w:t>13</w:t>
            </w:r>
          </w:p>
        </w:tc>
      </w:tr>
      <w:tr w:rsidR="00E30130" w:rsidRPr="00104B41" w14:paraId="10629CB2"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44E05A19" w14:textId="66F54308" w:rsidR="00E30130" w:rsidRPr="000D077A" w:rsidRDefault="00E30130" w:rsidP="000D077A">
            <w:pPr>
              <w:pStyle w:val="TableText0"/>
            </w:pPr>
            <w:r w:rsidRPr="00E547B7">
              <w:t xml:space="preserve">Patient copayment </w:t>
            </w:r>
            <w:r w:rsidR="001101D1">
              <w:t>($)</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DED56AF" w14:textId="3C841699" w:rsidR="00E30130" w:rsidRPr="00414250" w:rsidRDefault="00414250" w:rsidP="000D077A">
            <w:pPr>
              <w:pStyle w:val="TableText0"/>
              <w:jc w:val="center"/>
              <w:rPr>
                <w:highlight w:val="darkGray"/>
              </w:rPr>
            </w:pPr>
            <w:r w:rsidRPr="00414250">
              <w:t>-</w:t>
            </w:r>
            <w:r w:rsidRPr="00414250">
              <w:rPr>
                <w:color w:val="000000"/>
                <w:spacing w:val="100"/>
                <w:shd w:val="solid" w:color="000000" w:fill="000000"/>
                <w:fitText w:val="176" w:id="-1305208313"/>
                <w14:textFill>
                  <w14:solidFill>
                    <w14:srgbClr w14:val="000000">
                      <w14:alpha w14:val="100000"/>
                    </w14:srgbClr>
                  </w14:solidFill>
                </w14:textFill>
              </w:rPr>
              <w:t>|</w:t>
            </w:r>
            <w:r w:rsidRPr="00414250">
              <w:rPr>
                <w:color w:val="000000"/>
                <w:shd w:val="solid" w:color="000000" w:fill="000000"/>
                <w:fitText w:val="176" w:id="-1305208313"/>
                <w14:textFill>
                  <w14:solidFill>
                    <w14:srgbClr w14:val="000000">
                      <w14:alpha w14:val="100000"/>
                    </w14:srgbClr>
                  </w14:solidFill>
                </w14:textFill>
              </w:rPr>
              <w:t>|</w:t>
            </w:r>
            <w:r w:rsidR="00582474" w:rsidRPr="00497E65">
              <w:rPr>
                <w:vertAlign w:val="superscript"/>
              </w:rPr>
              <w:t>14</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5235D1A" w14:textId="1DCF0A75" w:rsidR="00E30130" w:rsidRPr="000D077A" w:rsidRDefault="00414250" w:rsidP="000D077A">
            <w:pPr>
              <w:pStyle w:val="TableText0"/>
              <w:jc w:val="center"/>
            </w:pPr>
            <w:r w:rsidRPr="00414250">
              <w:t>-</w:t>
            </w:r>
            <w:r w:rsidRPr="00414250">
              <w:rPr>
                <w:color w:val="000000"/>
                <w:spacing w:val="76"/>
                <w:shd w:val="solid" w:color="000000" w:fill="000000"/>
                <w:fitText w:val="162" w:id="-1305208312"/>
                <w14:textFill>
                  <w14:solidFill>
                    <w14:srgbClr w14:val="000000">
                      <w14:alpha w14:val="100000"/>
                    </w14:srgbClr>
                  </w14:solidFill>
                </w14:textFill>
              </w:rPr>
              <w:t>|</w:t>
            </w:r>
            <w:r w:rsidRPr="00414250">
              <w:rPr>
                <w:color w:val="000000"/>
                <w:spacing w:val="1"/>
                <w:shd w:val="solid" w:color="000000" w:fill="000000"/>
                <w:fitText w:val="162" w:id="-1305208312"/>
                <w14:textFill>
                  <w14:solidFill>
                    <w14:srgbClr w14:val="000000">
                      <w14:alpha w14:val="100000"/>
                    </w14:srgbClr>
                  </w14:solidFill>
                </w14:textFill>
              </w:rPr>
              <w:t>|</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8B78D14" w14:textId="7CD740A9" w:rsidR="00E30130" w:rsidRPr="000D077A" w:rsidRDefault="00414250" w:rsidP="000D077A">
            <w:pPr>
              <w:pStyle w:val="TableText0"/>
              <w:jc w:val="center"/>
            </w:pPr>
            <w:r w:rsidRPr="00414250">
              <w:t>-</w:t>
            </w:r>
            <w:r w:rsidRPr="00414250">
              <w:rPr>
                <w:rFonts w:hint="eastAsia"/>
                <w:color w:val="000000"/>
                <w:w w:val="30"/>
                <w:shd w:val="solid" w:color="000000" w:fill="000000"/>
                <w:fitText w:val="137" w:id="-1305208311"/>
                <w14:textFill>
                  <w14:solidFill>
                    <w14:srgbClr w14:val="000000">
                      <w14:alpha w14:val="100000"/>
                    </w14:srgbClr>
                  </w14:solidFill>
                </w14:textFill>
              </w:rPr>
              <w:t xml:space="preserve">　</w:t>
            </w:r>
            <w:r w:rsidRPr="00414250">
              <w:rPr>
                <w:color w:val="000000"/>
                <w:w w:val="30"/>
                <w:shd w:val="solid" w:color="000000" w:fill="000000"/>
                <w:fitText w:val="137" w:id="-1305208311"/>
                <w14:textFill>
                  <w14:solidFill>
                    <w14:srgbClr w14:val="000000">
                      <w14:alpha w14:val="100000"/>
                    </w14:srgbClr>
                  </w14:solidFill>
                </w14:textFill>
              </w:rPr>
              <w:t>|</w:t>
            </w:r>
            <w:r w:rsidRPr="00414250">
              <w:rPr>
                <w:rFonts w:hint="eastAsia"/>
                <w:color w:val="000000"/>
                <w:spacing w:val="12"/>
                <w:w w:val="30"/>
                <w:shd w:val="solid" w:color="000000" w:fill="000000"/>
                <w:fitText w:val="137" w:id="-1305208311"/>
                <w14:textFill>
                  <w14:solidFill>
                    <w14:srgbClr w14:val="000000">
                      <w14:alpha w14:val="100000"/>
                    </w14:srgbClr>
                  </w14:solidFill>
                </w14:textFill>
              </w:rPr>
              <w:t xml:space="preserve">　</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4AC21EA" w14:textId="54FCB4C6" w:rsidR="00E30130" w:rsidRPr="000D077A" w:rsidRDefault="00414250" w:rsidP="000D077A">
            <w:pPr>
              <w:pStyle w:val="TableText0"/>
              <w:jc w:val="center"/>
            </w:pPr>
            <w:r w:rsidRPr="00414250">
              <w:t>-</w:t>
            </w:r>
            <w:r w:rsidRPr="00414250">
              <w:rPr>
                <w:rFonts w:hint="eastAsia"/>
                <w:color w:val="000000"/>
                <w:w w:val="31"/>
                <w:shd w:val="solid" w:color="000000" w:fill="000000"/>
                <w:fitText w:val="138" w:id="-1305208310"/>
                <w14:textFill>
                  <w14:solidFill>
                    <w14:srgbClr w14:val="000000">
                      <w14:alpha w14:val="100000"/>
                    </w14:srgbClr>
                  </w14:solidFill>
                </w14:textFill>
              </w:rPr>
              <w:t xml:space="preserve">　</w:t>
            </w:r>
            <w:r w:rsidRPr="00414250">
              <w:rPr>
                <w:color w:val="000000"/>
                <w:w w:val="31"/>
                <w:shd w:val="solid" w:color="000000" w:fill="000000"/>
                <w:fitText w:val="138" w:id="-1305208310"/>
                <w14:textFill>
                  <w14:solidFill>
                    <w14:srgbClr w14:val="000000">
                      <w14:alpha w14:val="100000"/>
                    </w14:srgbClr>
                  </w14:solidFill>
                </w14:textFill>
              </w:rPr>
              <w:t>|</w:t>
            </w:r>
            <w:r w:rsidRPr="00414250">
              <w:rPr>
                <w:rFonts w:hint="eastAsia"/>
                <w:color w:val="000000"/>
                <w:spacing w:val="1"/>
                <w:w w:val="31"/>
                <w:shd w:val="solid" w:color="000000" w:fill="000000"/>
                <w:fitText w:val="138" w:id="-1305208310"/>
                <w14:textFill>
                  <w14:solidFill>
                    <w14:srgbClr w14:val="000000">
                      <w14:alpha w14:val="100000"/>
                    </w14:srgbClr>
                  </w14:solidFill>
                </w14:textFill>
              </w:rPr>
              <w:t xml:space="preserve">　</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A9DEC58" w14:textId="71C3A456" w:rsidR="00E30130" w:rsidRPr="000D077A" w:rsidRDefault="00414250" w:rsidP="000D077A">
            <w:pPr>
              <w:pStyle w:val="TableText0"/>
              <w:jc w:val="center"/>
            </w:pPr>
            <w:r w:rsidRPr="00414250">
              <w:t>-</w:t>
            </w:r>
            <w:r w:rsidRPr="00414250">
              <w:rPr>
                <w:rFonts w:hint="eastAsia"/>
                <w:color w:val="000000"/>
                <w:w w:val="31"/>
                <w:shd w:val="solid" w:color="000000" w:fill="000000"/>
                <w:fitText w:val="138" w:id="-1305208309"/>
                <w14:textFill>
                  <w14:solidFill>
                    <w14:srgbClr w14:val="000000">
                      <w14:alpha w14:val="100000"/>
                    </w14:srgbClr>
                  </w14:solidFill>
                </w14:textFill>
              </w:rPr>
              <w:t xml:space="preserve">　</w:t>
            </w:r>
            <w:r w:rsidRPr="00414250">
              <w:rPr>
                <w:color w:val="000000"/>
                <w:w w:val="31"/>
                <w:shd w:val="solid" w:color="000000" w:fill="000000"/>
                <w:fitText w:val="138" w:id="-1305208309"/>
                <w14:textFill>
                  <w14:solidFill>
                    <w14:srgbClr w14:val="000000">
                      <w14:alpha w14:val="100000"/>
                    </w14:srgbClr>
                  </w14:solidFill>
                </w14:textFill>
              </w:rPr>
              <w:t>|</w:t>
            </w:r>
            <w:r w:rsidRPr="00414250">
              <w:rPr>
                <w:rFonts w:hint="eastAsia"/>
                <w:color w:val="000000"/>
                <w:spacing w:val="1"/>
                <w:w w:val="31"/>
                <w:shd w:val="solid" w:color="000000" w:fill="000000"/>
                <w:fitText w:val="138" w:id="-1305208309"/>
                <w14:textFill>
                  <w14:solidFill>
                    <w14:srgbClr w14:val="000000">
                      <w14:alpha w14:val="100000"/>
                    </w14:srgbClr>
                  </w14:solidFill>
                </w14:textFill>
              </w:rPr>
              <w:t xml:space="preserve">　</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780B9BF" w14:textId="52F4E6B2" w:rsidR="00E30130" w:rsidRPr="000D077A" w:rsidRDefault="00414250" w:rsidP="000D077A">
            <w:pPr>
              <w:pStyle w:val="TableText0"/>
              <w:jc w:val="center"/>
            </w:pPr>
            <w:r w:rsidRPr="00414250">
              <w:t>-</w:t>
            </w:r>
            <w:r w:rsidRPr="00414250">
              <w:rPr>
                <w:rFonts w:hint="eastAsia"/>
                <w:color w:val="000000"/>
                <w:w w:val="31"/>
                <w:shd w:val="solid" w:color="000000" w:fill="000000"/>
                <w:fitText w:val="138" w:id="-1305208308"/>
                <w14:textFill>
                  <w14:solidFill>
                    <w14:srgbClr w14:val="000000">
                      <w14:alpha w14:val="100000"/>
                    </w14:srgbClr>
                  </w14:solidFill>
                </w14:textFill>
              </w:rPr>
              <w:t xml:space="preserve">　</w:t>
            </w:r>
            <w:r w:rsidRPr="00414250">
              <w:rPr>
                <w:color w:val="000000"/>
                <w:w w:val="31"/>
                <w:shd w:val="solid" w:color="000000" w:fill="000000"/>
                <w:fitText w:val="138" w:id="-1305208308"/>
                <w14:textFill>
                  <w14:solidFill>
                    <w14:srgbClr w14:val="000000">
                      <w14:alpha w14:val="100000"/>
                    </w14:srgbClr>
                  </w14:solidFill>
                </w14:textFill>
              </w:rPr>
              <w:t>|</w:t>
            </w:r>
            <w:r w:rsidRPr="00414250">
              <w:rPr>
                <w:rFonts w:hint="eastAsia"/>
                <w:color w:val="000000"/>
                <w:spacing w:val="1"/>
                <w:w w:val="31"/>
                <w:shd w:val="solid" w:color="000000" w:fill="000000"/>
                <w:fitText w:val="138" w:id="-1305208308"/>
                <w14:textFill>
                  <w14:solidFill>
                    <w14:srgbClr w14:val="000000">
                      <w14:alpha w14:val="100000"/>
                    </w14:srgbClr>
                  </w14:solidFill>
                </w14:textFill>
              </w:rPr>
              <w:t xml:space="preserve">　</w:t>
            </w:r>
            <w:r w:rsidR="00582474">
              <w:rPr>
                <w:vertAlign w:val="superscript"/>
              </w:rPr>
              <w:t>14</w:t>
            </w:r>
          </w:p>
        </w:tc>
      </w:tr>
      <w:tr w:rsidR="00E30130" w:rsidRPr="00104B41" w14:paraId="525E1A14"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32221701" w14:textId="6D368F7C" w:rsidR="00E30130" w:rsidRPr="000D077A" w:rsidRDefault="00E30130" w:rsidP="000D077A">
            <w:pPr>
              <w:pStyle w:val="TableText0"/>
              <w:rPr>
                <w:b/>
                <w:bCs w:val="0"/>
              </w:rPr>
            </w:pPr>
            <w:r w:rsidRPr="00E547B7">
              <w:t>Net PBS/RPBS cost</w:t>
            </w:r>
            <w:r w:rsidR="001101D1">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0D95FFF" w14:textId="124F18EA" w:rsidR="00E30130" w:rsidRPr="000D077A" w:rsidRDefault="00414250" w:rsidP="000D077A">
            <w:pPr>
              <w:pStyle w:val="TableText0"/>
              <w:jc w:val="center"/>
              <w:rPr>
                <w:b/>
                <w:bCs w:val="0"/>
              </w:rPr>
            </w:pPr>
            <w:r w:rsidRPr="00414250">
              <w:rPr>
                <w:rFonts w:hint="eastAsia"/>
                <w:color w:val="000000"/>
                <w:w w:val="25"/>
                <w:shd w:val="solid" w:color="000000" w:fill="000000"/>
                <w:fitText w:val="113" w:id="-1305208307"/>
                <w14:textFill>
                  <w14:solidFill>
                    <w14:srgbClr w14:val="000000">
                      <w14:alpha w14:val="100000"/>
                    </w14:srgbClr>
                  </w14:solidFill>
                </w14:textFill>
              </w:rPr>
              <w:t xml:space="preserve">　</w:t>
            </w:r>
            <w:r w:rsidRPr="00414250">
              <w:rPr>
                <w:color w:val="000000"/>
                <w:w w:val="25"/>
                <w:shd w:val="solid" w:color="000000" w:fill="000000"/>
                <w:fitText w:val="113" w:id="-1305208307"/>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7"/>
                <w14:textFill>
                  <w14:solidFill>
                    <w14:srgbClr w14:val="000000">
                      <w14:alpha w14:val="100000"/>
                    </w14:srgbClr>
                  </w14:solidFill>
                </w14:textFill>
              </w:rPr>
              <w:t xml:space="preserve">　</w:t>
            </w:r>
            <w:r w:rsidR="00582474">
              <w:rPr>
                <w:vertAlign w:val="superscript"/>
              </w:rPr>
              <w:t>8</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E44A34A" w14:textId="45E96B41" w:rsidR="00E30130" w:rsidRPr="000D077A" w:rsidRDefault="00414250" w:rsidP="000D077A">
            <w:pPr>
              <w:pStyle w:val="TableText0"/>
              <w:jc w:val="center"/>
              <w:rPr>
                <w:b/>
                <w:bCs w:val="0"/>
              </w:rPr>
            </w:pPr>
            <w:r w:rsidRPr="00414250">
              <w:rPr>
                <w:rFonts w:hint="eastAsia"/>
                <w:color w:val="000000"/>
                <w:w w:val="22"/>
                <w:shd w:val="solid" w:color="000000" w:fill="000000"/>
                <w:fitText w:val="100" w:id="-1305208306"/>
                <w14:textFill>
                  <w14:solidFill>
                    <w14:srgbClr w14:val="000000">
                      <w14:alpha w14:val="100000"/>
                    </w14:srgbClr>
                  </w14:solidFill>
                </w14:textFill>
              </w:rPr>
              <w:t xml:space="preserve">　</w:t>
            </w:r>
            <w:r w:rsidRPr="00414250">
              <w:rPr>
                <w:color w:val="000000"/>
                <w:w w:val="22"/>
                <w:shd w:val="solid" w:color="000000" w:fill="000000"/>
                <w:fitText w:val="100" w:id="-1305208306"/>
                <w14:textFill>
                  <w14:solidFill>
                    <w14:srgbClr w14:val="000000">
                      <w14:alpha w14:val="100000"/>
                    </w14:srgbClr>
                  </w14:solidFill>
                </w14:textFill>
              </w:rPr>
              <w:t>|</w:t>
            </w:r>
            <w:r w:rsidRPr="00414250">
              <w:rPr>
                <w:rFonts w:hint="eastAsia"/>
                <w:color w:val="000000"/>
                <w:spacing w:val="3"/>
                <w:w w:val="22"/>
                <w:shd w:val="solid" w:color="000000" w:fill="000000"/>
                <w:fitText w:val="100" w:id="-1305208306"/>
                <w14:textFill>
                  <w14:solidFill>
                    <w14:srgbClr w14:val="000000">
                      <w14:alpha w14:val="100000"/>
                    </w14:srgbClr>
                  </w14:solidFill>
                </w14:textFill>
              </w:rPr>
              <w:t xml:space="preserve">　</w:t>
            </w:r>
            <w:r w:rsidR="001101D1">
              <w:rPr>
                <w:vertAlign w:val="superscript"/>
              </w:rPr>
              <w:t>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A3905B3" w14:textId="6396B227" w:rsidR="00E30130" w:rsidRPr="000D077A" w:rsidRDefault="00414250" w:rsidP="000D077A">
            <w:pPr>
              <w:pStyle w:val="TableText0"/>
              <w:jc w:val="center"/>
              <w:rPr>
                <w:b/>
                <w:bCs w:val="0"/>
              </w:rPr>
            </w:pPr>
            <w:r w:rsidRPr="00414250">
              <w:rPr>
                <w:rFonts w:hint="eastAsia"/>
                <w:color w:val="000000"/>
                <w:w w:val="25"/>
                <w:shd w:val="solid" w:color="000000" w:fill="000000"/>
                <w:fitText w:val="113" w:id="-1305208305"/>
                <w14:textFill>
                  <w14:solidFill>
                    <w14:srgbClr w14:val="000000">
                      <w14:alpha w14:val="100000"/>
                    </w14:srgbClr>
                  </w14:solidFill>
                </w14:textFill>
              </w:rPr>
              <w:t xml:space="preserve">　</w:t>
            </w:r>
            <w:r w:rsidRPr="00414250">
              <w:rPr>
                <w:color w:val="000000"/>
                <w:w w:val="25"/>
                <w:shd w:val="solid" w:color="000000" w:fill="000000"/>
                <w:fitText w:val="113" w:id="-1305208305"/>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5"/>
                <w14:textFill>
                  <w14:solidFill>
                    <w14:srgbClr w14:val="000000">
                      <w14:alpha w14:val="100000"/>
                    </w14:srgbClr>
                  </w14:solidFill>
                </w14:textFill>
              </w:rPr>
              <w:t xml:space="preserve">　</w:t>
            </w:r>
            <w:r w:rsidR="001101D1">
              <w:rPr>
                <w:vertAlign w:val="superscript"/>
              </w:rPr>
              <w:t>10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89CB097" w14:textId="336FD413" w:rsidR="00E30130" w:rsidRPr="000D077A" w:rsidRDefault="00414250" w:rsidP="000D077A">
            <w:pPr>
              <w:pStyle w:val="TableText0"/>
              <w:jc w:val="center"/>
              <w:rPr>
                <w:b/>
                <w:bCs w:val="0"/>
              </w:rPr>
            </w:pPr>
            <w:r w:rsidRPr="00414250">
              <w:rPr>
                <w:rFonts w:hint="eastAsia"/>
                <w:color w:val="000000"/>
                <w:w w:val="25"/>
                <w:shd w:val="solid" w:color="000000" w:fill="000000"/>
                <w:fitText w:val="113" w:id="-1305208304"/>
                <w14:textFill>
                  <w14:solidFill>
                    <w14:srgbClr w14:val="000000">
                      <w14:alpha w14:val="100000"/>
                    </w14:srgbClr>
                  </w14:solidFill>
                </w14:textFill>
              </w:rPr>
              <w:t xml:space="preserve">　</w:t>
            </w:r>
            <w:r w:rsidRPr="00414250">
              <w:rPr>
                <w:color w:val="000000"/>
                <w:w w:val="25"/>
                <w:shd w:val="solid" w:color="000000" w:fill="000000"/>
                <w:fitText w:val="113" w:id="-1305208304"/>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4"/>
                <w14:textFill>
                  <w14:solidFill>
                    <w14:srgbClr w14:val="000000">
                      <w14:alpha w14:val="100000"/>
                    </w14:srgbClr>
                  </w14:solidFill>
                </w14:textFill>
              </w:rPr>
              <w:t xml:space="preserve">　</w:t>
            </w:r>
            <w:r w:rsidR="001101D1">
              <w:rPr>
                <w:vertAlign w:val="superscript"/>
              </w:rPr>
              <w:t>11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E2F87C5" w14:textId="63820812" w:rsidR="00E30130" w:rsidRPr="000D077A" w:rsidRDefault="00414250" w:rsidP="000D077A">
            <w:pPr>
              <w:pStyle w:val="TableText0"/>
              <w:jc w:val="center"/>
              <w:rPr>
                <w:b/>
                <w:bCs w:val="0"/>
              </w:rPr>
            </w:pPr>
            <w:r w:rsidRPr="00414250">
              <w:rPr>
                <w:rFonts w:hint="eastAsia"/>
                <w:color w:val="000000"/>
                <w:w w:val="25"/>
                <w:shd w:val="solid" w:color="000000" w:fill="000000"/>
                <w:fitText w:val="113" w:id="-1305208320"/>
                <w14:textFill>
                  <w14:solidFill>
                    <w14:srgbClr w14:val="000000">
                      <w14:alpha w14:val="100000"/>
                    </w14:srgbClr>
                  </w14:solidFill>
                </w14:textFill>
              </w:rPr>
              <w:t xml:space="preserve">　</w:t>
            </w:r>
            <w:r w:rsidRPr="00414250">
              <w:rPr>
                <w:color w:val="000000"/>
                <w:w w:val="25"/>
                <w:shd w:val="solid" w:color="000000" w:fill="000000"/>
                <w:fitText w:val="113" w:id="-1305208320"/>
                <w14:textFill>
                  <w14:solidFill>
                    <w14:srgbClr w14:val="000000">
                      <w14:alpha w14:val="100000"/>
                    </w14:srgbClr>
                  </w14:solidFill>
                </w14:textFill>
              </w:rPr>
              <w:t>|</w:t>
            </w:r>
            <w:r w:rsidRPr="00414250">
              <w:rPr>
                <w:rFonts w:hint="eastAsia"/>
                <w:color w:val="000000"/>
                <w:spacing w:val="2"/>
                <w:w w:val="25"/>
                <w:shd w:val="solid" w:color="000000" w:fill="000000"/>
                <w:fitText w:val="113" w:id="-1305208320"/>
                <w14:textFill>
                  <w14:solidFill>
                    <w14:srgbClr w14:val="000000">
                      <w14:alpha w14:val="100000"/>
                    </w14:srgbClr>
                  </w14:solidFill>
                </w14:textFill>
              </w:rPr>
              <w:t xml:space="preserve">　</w:t>
            </w:r>
            <w:r w:rsidR="001101D1">
              <w:rPr>
                <w:vertAlign w:val="superscript"/>
              </w:rPr>
              <w:t>12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0784E3B" w14:textId="725379A3" w:rsidR="00E30130" w:rsidRPr="000D077A" w:rsidRDefault="00414250" w:rsidP="000D077A">
            <w:pPr>
              <w:pStyle w:val="TableText0"/>
              <w:jc w:val="center"/>
              <w:rPr>
                <w:b/>
                <w:bCs w:val="0"/>
              </w:rPr>
            </w:pPr>
            <w:r w:rsidRPr="00414250">
              <w:rPr>
                <w:rFonts w:hint="eastAsia"/>
                <w:color w:val="000000"/>
                <w:w w:val="25"/>
                <w:shd w:val="solid" w:color="000000" w:fill="000000"/>
                <w:fitText w:val="113" w:id="-1305208319"/>
                <w14:textFill>
                  <w14:solidFill>
                    <w14:srgbClr w14:val="000000">
                      <w14:alpha w14:val="100000"/>
                    </w14:srgbClr>
                  </w14:solidFill>
                </w14:textFill>
              </w:rPr>
              <w:t xml:space="preserve">　</w:t>
            </w:r>
            <w:r w:rsidRPr="00414250">
              <w:rPr>
                <w:color w:val="000000"/>
                <w:w w:val="25"/>
                <w:shd w:val="solid" w:color="000000" w:fill="000000"/>
                <w:fitText w:val="113" w:id="-1305208319"/>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9"/>
                <w14:textFill>
                  <w14:solidFill>
                    <w14:srgbClr w14:val="000000">
                      <w14:alpha w14:val="100000"/>
                    </w14:srgbClr>
                  </w14:solidFill>
                </w14:textFill>
              </w:rPr>
              <w:t xml:space="preserve">　</w:t>
            </w:r>
            <w:r w:rsidR="001101D1">
              <w:rPr>
                <w:vertAlign w:val="superscript"/>
              </w:rPr>
              <w:t>13</w:t>
            </w:r>
          </w:p>
        </w:tc>
      </w:tr>
      <w:tr w:rsidR="00E30130" w:rsidRPr="00104B41" w14:paraId="0FCC4840" w14:textId="77777777" w:rsidTr="00414250">
        <w:trPr>
          <w:trHeight w:val="17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C215D4" w14:textId="4C4F1CDC" w:rsidR="00E30130" w:rsidRPr="000D077A" w:rsidRDefault="00E30130" w:rsidP="000D077A">
            <w:pPr>
              <w:pStyle w:val="TableText0"/>
            </w:pPr>
            <w:r w:rsidRPr="000D077A">
              <w:rPr>
                <w:b/>
                <w:bCs w:val="0"/>
              </w:rPr>
              <w:t>Pre-PBAC response</w:t>
            </w:r>
          </w:p>
        </w:tc>
      </w:tr>
      <w:tr w:rsidR="00E30130" w:rsidRPr="00104B41" w14:paraId="5F36EB82"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tcPr>
          <w:p w14:paraId="2AFC77D3" w14:textId="7F2E9360" w:rsidR="00E30130" w:rsidRPr="000D077A" w:rsidRDefault="00E30130" w:rsidP="000D077A">
            <w:pPr>
              <w:pStyle w:val="TableText0"/>
            </w:pPr>
            <w:r w:rsidRPr="000D077A">
              <w:t xml:space="preserve">Total treated patients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28D9273" w14:textId="35B63458" w:rsidR="00E30130" w:rsidRPr="00414250" w:rsidRDefault="00414250" w:rsidP="000D077A">
            <w:pPr>
              <w:pStyle w:val="TableText0"/>
              <w:jc w:val="center"/>
              <w:rPr>
                <w:highlight w:val="darkGray"/>
              </w:rPr>
            </w:pPr>
            <w:r w:rsidRPr="00414250">
              <w:rPr>
                <w:rFonts w:hint="eastAsia"/>
                <w:color w:val="000000"/>
                <w:w w:val="25"/>
                <w:shd w:val="solid" w:color="000000" w:fill="000000"/>
                <w:fitText w:val="113" w:id="-1305208318"/>
                <w14:textFill>
                  <w14:solidFill>
                    <w14:srgbClr w14:val="000000">
                      <w14:alpha w14:val="100000"/>
                    </w14:srgbClr>
                  </w14:solidFill>
                </w14:textFill>
              </w:rPr>
              <w:t xml:space="preserve">　</w:t>
            </w:r>
            <w:r w:rsidRPr="00414250">
              <w:rPr>
                <w:color w:val="000000"/>
                <w:w w:val="25"/>
                <w:shd w:val="solid" w:color="000000" w:fill="000000"/>
                <w:fitText w:val="113" w:id="-1305208318"/>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8"/>
                <w14:textFill>
                  <w14:solidFill>
                    <w14:srgbClr w14:val="000000">
                      <w14:alpha w14:val="100000"/>
                    </w14:srgbClr>
                  </w14:solidFill>
                </w14:textFill>
              </w:rPr>
              <w:t xml:space="preserve">　</w:t>
            </w:r>
            <w:r w:rsidR="00582474" w:rsidRPr="00497E65">
              <w:rPr>
                <w:vertAlign w:val="superscript"/>
              </w:rPr>
              <w:t>1</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C38137A" w14:textId="68B7FFEC" w:rsidR="00E30130" w:rsidRPr="000D077A" w:rsidRDefault="00414250" w:rsidP="000D077A">
            <w:pPr>
              <w:pStyle w:val="TableText0"/>
              <w:jc w:val="center"/>
            </w:pPr>
            <w:r w:rsidRPr="00414250">
              <w:rPr>
                <w:rFonts w:hint="eastAsia"/>
                <w:color w:val="000000"/>
                <w:w w:val="22"/>
                <w:shd w:val="solid" w:color="000000" w:fill="000000"/>
                <w:fitText w:val="100" w:id="-1305208317"/>
                <w14:textFill>
                  <w14:solidFill>
                    <w14:srgbClr w14:val="000000">
                      <w14:alpha w14:val="100000"/>
                    </w14:srgbClr>
                  </w14:solidFill>
                </w14:textFill>
              </w:rPr>
              <w:t xml:space="preserve">　</w:t>
            </w:r>
            <w:r w:rsidRPr="00414250">
              <w:rPr>
                <w:color w:val="000000"/>
                <w:w w:val="22"/>
                <w:shd w:val="solid" w:color="000000" w:fill="000000"/>
                <w:fitText w:val="100" w:id="-1305208317"/>
                <w14:textFill>
                  <w14:solidFill>
                    <w14:srgbClr w14:val="000000">
                      <w14:alpha w14:val="100000"/>
                    </w14:srgbClr>
                  </w14:solidFill>
                </w14:textFill>
              </w:rPr>
              <w:t>|</w:t>
            </w:r>
            <w:r w:rsidRPr="00414250">
              <w:rPr>
                <w:rFonts w:hint="eastAsia"/>
                <w:color w:val="000000"/>
                <w:spacing w:val="3"/>
                <w:w w:val="22"/>
                <w:shd w:val="solid" w:color="000000" w:fill="000000"/>
                <w:fitText w:val="100" w:id="-1305208317"/>
                <w14:textFill>
                  <w14:solidFill>
                    <w14:srgbClr w14:val="000000">
                      <w14:alpha w14:val="100000"/>
                    </w14:srgbClr>
                  </w14:solidFill>
                </w14:textFill>
              </w:rPr>
              <w:t xml:space="preserve">　</w:t>
            </w:r>
            <w:r w:rsidR="00582474">
              <w:rPr>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E501706" w14:textId="02074F8C" w:rsidR="00E30130" w:rsidRPr="000D077A" w:rsidRDefault="00414250" w:rsidP="000D077A">
            <w:pPr>
              <w:pStyle w:val="TableText0"/>
              <w:jc w:val="center"/>
            </w:pPr>
            <w:r w:rsidRPr="00414250">
              <w:rPr>
                <w:rFonts w:hint="eastAsia"/>
                <w:color w:val="000000"/>
                <w:w w:val="22"/>
                <w:shd w:val="solid" w:color="000000" w:fill="000000"/>
                <w:fitText w:val="100" w:id="-1305208316"/>
                <w14:textFill>
                  <w14:solidFill>
                    <w14:srgbClr w14:val="000000">
                      <w14:alpha w14:val="100000"/>
                    </w14:srgbClr>
                  </w14:solidFill>
                </w14:textFill>
              </w:rPr>
              <w:t xml:space="preserve">　</w:t>
            </w:r>
            <w:r w:rsidRPr="00414250">
              <w:rPr>
                <w:color w:val="000000"/>
                <w:w w:val="22"/>
                <w:shd w:val="solid" w:color="000000" w:fill="000000"/>
                <w:fitText w:val="100" w:id="-1305208316"/>
                <w14:textFill>
                  <w14:solidFill>
                    <w14:srgbClr w14:val="000000">
                      <w14:alpha w14:val="100000"/>
                    </w14:srgbClr>
                  </w14:solidFill>
                </w14:textFill>
              </w:rPr>
              <w:t>|</w:t>
            </w:r>
            <w:r w:rsidRPr="00414250">
              <w:rPr>
                <w:rFonts w:hint="eastAsia"/>
                <w:color w:val="000000"/>
                <w:spacing w:val="3"/>
                <w:w w:val="22"/>
                <w:shd w:val="solid" w:color="000000" w:fill="000000"/>
                <w:fitText w:val="100" w:id="-1305208316"/>
                <w14:textFill>
                  <w14:solidFill>
                    <w14:srgbClr w14:val="000000">
                      <w14:alpha w14:val="100000"/>
                    </w14:srgbClr>
                  </w14:solidFill>
                </w14:textFill>
              </w:rPr>
              <w:t xml:space="preserve">　</w:t>
            </w:r>
            <w:r w:rsidR="00582474">
              <w:rPr>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19003A4" w14:textId="507522A3" w:rsidR="00E30130" w:rsidRPr="000D077A" w:rsidRDefault="00414250" w:rsidP="000D077A">
            <w:pPr>
              <w:pStyle w:val="TableText0"/>
              <w:jc w:val="center"/>
            </w:pPr>
            <w:r w:rsidRPr="00414250">
              <w:rPr>
                <w:rFonts w:hint="eastAsia"/>
                <w:color w:val="000000"/>
                <w:w w:val="22"/>
                <w:shd w:val="solid" w:color="000000" w:fill="000000"/>
                <w:fitText w:val="101" w:id="-1305208315"/>
                <w14:textFill>
                  <w14:solidFill>
                    <w14:srgbClr w14:val="000000">
                      <w14:alpha w14:val="100000"/>
                    </w14:srgbClr>
                  </w14:solidFill>
                </w14:textFill>
              </w:rPr>
              <w:t xml:space="preserve">　</w:t>
            </w:r>
            <w:r w:rsidRPr="00414250">
              <w:rPr>
                <w:color w:val="000000"/>
                <w:w w:val="22"/>
                <w:shd w:val="solid" w:color="000000" w:fill="000000"/>
                <w:fitText w:val="101" w:id="-1305208315"/>
                <w14:textFill>
                  <w14:solidFill>
                    <w14:srgbClr w14:val="000000">
                      <w14:alpha w14:val="100000"/>
                    </w14:srgbClr>
                  </w14:solidFill>
                </w14:textFill>
              </w:rPr>
              <w:t>|</w:t>
            </w:r>
            <w:r w:rsidRPr="00414250">
              <w:rPr>
                <w:rFonts w:hint="eastAsia"/>
                <w:color w:val="000000"/>
                <w:spacing w:val="4"/>
                <w:w w:val="22"/>
                <w:shd w:val="solid" w:color="000000" w:fill="000000"/>
                <w:fitText w:val="101" w:id="-1305208315"/>
                <w14:textFill>
                  <w14:solidFill>
                    <w14:srgbClr w14:val="000000">
                      <w14:alpha w14:val="100000"/>
                    </w14:srgbClr>
                  </w14:solidFill>
                </w14:textFill>
              </w:rPr>
              <w:t xml:space="preserve">　</w:t>
            </w:r>
            <w:r w:rsidR="00582474">
              <w:rPr>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CE888D6" w14:textId="4B2CF1DE" w:rsidR="00E30130" w:rsidRPr="000D077A" w:rsidRDefault="00414250" w:rsidP="000D077A">
            <w:pPr>
              <w:pStyle w:val="TableText0"/>
              <w:jc w:val="center"/>
            </w:pPr>
            <w:r w:rsidRPr="00414250">
              <w:rPr>
                <w:rFonts w:hint="eastAsia"/>
                <w:color w:val="000000"/>
                <w:w w:val="22"/>
                <w:shd w:val="solid" w:color="000000" w:fill="000000"/>
                <w:fitText w:val="101" w:id="-1305208314"/>
                <w14:textFill>
                  <w14:solidFill>
                    <w14:srgbClr w14:val="000000">
                      <w14:alpha w14:val="100000"/>
                    </w14:srgbClr>
                  </w14:solidFill>
                </w14:textFill>
              </w:rPr>
              <w:t xml:space="preserve">　</w:t>
            </w:r>
            <w:r w:rsidRPr="00414250">
              <w:rPr>
                <w:color w:val="000000"/>
                <w:w w:val="22"/>
                <w:shd w:val="solid" w:color="000000" w:fill="000000"/>
                <w:fitText w:val="101" w:id="-1305208314"/>
                <w14:textFill>
                  <w14:solidFill>
                    <w14:srgbClr w14:val="000000">
                      <w14:alpha w14:val="100000"/>
                    </w14:srgbClr>
                  </w14:solidFill>
                </w14:textFill>
              </w:rPr>
              <w:t>|</w:t>
            </w:r>
            <w:r w:rsidRPr="00414250">
              <w:rPr>
                <w:rFonts w:hint="eastAsia"/>
                <w:color w:val="000000"/>
                <w:spacing w:val="4"/>
                <w:w w:val="22"/>
                <w:shd w:val="solid" w:color="000000" w:fill="000000"/>
                <w:fitText w:val="101" w:id="-1305208314"/>
                <w14:textFill>
                  <w14:solidFill>
                    <w14:srgbClr w14:val="000000">
                      <w14:alpha w14:val="100000"/>
                    </w14:srgbClr>
                  </w14:solidFill>
                </w14:textFill>
              </w:rPr>
              <w:t xml:space="preserve">　</w:t>
            </w:r>
            <w:r w:rsidR="00582474">
              <w:rPr>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FD666E9" w14:textId="262248AA" w:rsidR="00E30130" w:rsidRPr="000D077A" w:rsidRDefault="00414250" w:rsidP="000D077A">
            <w:pPr>
              <w:pStyle w:val="TableText0"/>
              <w:jc w:val="center"/>
            </w:pPr>
            <w:r w:rsidRPr="00414250">
              <w:rPr>
                <w:rFonts w:hint="eastAsia"/>
                <w:color w:val="000000"/>
                <w:w w:val="22"/>
                <w:shd w:val="solid" w:color="000000" w:fill="000000"/>
                <w:fitText w:val="101" w:id="-1305208313"/>
                <w14:textFill>
                  <w14:solidFill>
                    <w14:srgbClr w14:val="000000">
                      <w14:alpha w14:val="100000"/>
                    </w14:srgbClr>
                  </w14:solidFill>
                </w14:textFill>
              </w:rPr>
              <w:t xml:space="preserve">　</w:t>
            </w:r>
            <w:r w:rsidRPr="00414250">
              <w:rPr>
                <w:color w:val="000000"/>
                <w:w w:val="22"/>
                <w:shd w:val="solid" w:color="000000" w:fill="000000"/>
                <w:fitText w:val="101" w:id="-1305208313"/>
                <w14:textFill>
                  <w14:solidFill>
                    <w14:srgbClr w14:val="000000">
                      <w14:alpha w14:val="100000"/>
                    </w14:srgbClr>
                  </w14:solidFill>
                </w14:textFill>
              </w:rPr>
              <w:t>|</w:t>
            </w:r>
            <w:r w:rsidRPr="00414250">
              <w:rPr>
                <w:rFonts w:hint="eastAsia"/>
                <w:color w:val="000000"/>
                <w:spacing w:val="4"/>
                <w:w w:val="22"/>
                <w:shd w:val="solid" w:color="000000" w:fill="000000"/>
                <w:fitText w:val="101" w:id="-1305208313"/>
                <w14:textFill>
                  <w14:solidFill>
                    <w14:srgbClr w14:val="000000">
                      <w14:alpha w14:val="100000"/>
                    </w14:srgbClr>
                  </w14:solidFill>
                </w14:textFill>
              </w:rPr>
              <w:t xml:space="preserve">　</w:t>
            </w:r>
            <w:r w:rsidR="00582474">
              <w:rPr>
                <w:vertAlign w:val="superscript"/>
              </w:rPr>
              <w:t>2</w:t>
            </w:r>
          </w:p>
        </w:tc>
      </w:tr>
      <w:tr w:rsidR="00E30130" w:rsidRPr="00104B41" w14:paraId="567D41CE" w14:textId="77777777" w:rsidTr="00414250">
        <w:trPr>
          <w:trHeight w:val="153"/>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58F5C599" w14:textId="5F6AB78A" w:rsidR="00E30130" w:rsidRPr="000D077A" w:rsidRDefault="00E30130" w:rsidP="000D077A">
            <w:pPr>
              <w:pStyle w:val="TableText0"/>
            </w:pPr>
            <w:r w:rsidRPr="000D077A">
              <w:t>Total packs per year</w:t>
            </w:r>
            <w:r w:rsidRPr="000D077A">
              <w:rPr>
                <w:vertAlign w:val="superscript"/>
              </w:rPr>
              <w:t xml:space="preserve">a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7AA6395" w14:textId="43544932" w:rsidR="00E30130" w:rsidRPr="000D077A" w:rsidRDefault="00414250" w:rsidP="000D077A">
            <w:pPr>
              <w:pStyle w:val="TableText0"/>
              <w:jc w:val="center"/>
            </w:pPr>
            <w:r w:rsidRPr="00414250">
              <w:rPr>
                <w:color w:val="000000"/>
                <w:spacing w:val="76"/>
                <w:shd w:val="solid" w:color="000000" w:fill="000000"/>
                <w:fitText w:val="162" w:id="-1305208312"/>
                <w14:textFill>
                  <w14:solidFill>
                    <w14:srgbClr w14:val="000000">
                      <w14:alpha w14:val="100000"/>
                    </w14:srgbClr>
                  </w14:solidFill>
                </w14:textFill>
              </w:rPr>
              <w:t>|</w:t>
            </w:r>
            <w:r w:rsidRPr="00414250">
              <w:rPr>
                <w:color w:val="000000"/>
                <w:spacing w:val="1"/>
                <w:shd w:val="solid" w:color="000000" w:fill="000000"/>
                <w:fitText w:val="162" w:id="-1305208312"/>
                <w14:textFill>
                  <w14:solidFill>
                    <w14:srgbClr w14:val="000000">
                      <w14:alpha w14:val="100000"/>
                    </w14:srgbClr>
                  </w14:solidFill>
                </w14:textFill>
              </w:rPr>
              <w:t>|</w:t>
            </w:r>
            <w:r w:rsidR="001101D1">
              <w:rPr>
                <w:vertAlign w:val="superscript"/>
              </w:rPr>
              <w:t>15</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EBB45A4" w14:textId="66FE0EE1" w:rsidR="00E30130" w:rsidRPr="000D077A" w:rsidRDefault="00414250" w:rsidP="000D077A">
            <w:pPr>
              <w:pStyle w:val="TableText0"/>
              <w:jc w:val="center"/>
            </w:pPr>
            <w:r w:rsidRPr="00414250">
              <w:rPr>
                <w:rFonts w:hint="eastAsia"/>
                <w:color w:val="000000"/>
                <w:w w:val="28"/>
                <w:shd w:val="solid" w:color="000000" w:fill="000000"/>
                <w:fitText w:val="125" w:id="-1305208311"/>
                <w14:textFill>
                  <w14:solidFill>
                    <w14:srgbClr w14:val="000000">
                      <w14:alpha w14:val="100000"/>
                    </w14:srgbClr>
                  </w14:solidFill>
                </w14:textFill>
              </w:rPr>
              <w:t xml:space="preserve">　</w:t>
            </w:r>
            <w:r w:rsidRPr="00414250">
              <w:rPr>
                <w:color w:val="000000"/>
                <w:w w:val="28"/>
                <w:shd w:val="solid" w:color="000000" w:fill="000000"/>
                <w:fitText w:val="125" w:id="-1305208311"/>
                <w14:textFill>
                  <w14:solidFill>
                    <w14:srgbClr w14:val="000000">
                      <w14:alpha w14:val="100000"/>
                    </w14:srgbClr>
                  </w14:solidFill>
                </w14:textFill>
              </w:rPr>
              <w:t>|</w:t>
            </w:r>
            <w:r w:rsidRPr="00414250">
              <w:rPr>
                <w:rFonts w:hint="eastAsia"/>
                <w:color w:val="000000"/>
                <w:spacing w:val="3"/>
                <w:w w:val="28"/>
                <w:shd w:val="solid" w:color="000000" w:fill="000000"/>
                <w:fitText w:val="125" w:id="-1305208311"/>
                <w14:textFill>
                  <w14:solidFill>
                    <w14:srgbClr w14:val="000000">
                      <w14:alpha w14:val="100000"/>
                    </w14:srgbClr>
                  </w14:solidFill>
                </w14:textFill>
              </w:rPr>
              <w:t xml:space="preserve">　</w:t>
            </w:r>
            <w:r w:rsidR="001101D1">
              <w:rPr>
                <w:vertAlign w:val="superscript"/>
              </w:rPr>
              <w:t>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16B5761" w14:textId="2F706A8F" w:rsidR="00E30130" w:rsidRPr="000D077A" w:rsidRDefault="00414250" w:rsidP="000D077A">
            <w:pPr>
              <w:pStyle w:val="TableText0"/>
              <w:jc w:val="center"/>
            </w:pPr>
            <w:r w:rsidRPr="00414250">
              <w:rPr>
                <w:rFonts w:hint="eastAsia"/>
                <w:color w:val="000000"/>
                <w:w w:val="22"/>
                <w:shd w:val="solid" w:color="000000" w:fill="000000"/>
                <w:fitText w:val="100" w:id="-1305208310"/>
                <w14:textFill>
                  <w14:solidFill>
                    <w14:srgbClr w14:val="000000">
                      <w14:alpha w14:val="100000"/>
                    </w14:srgbClr>
                  </w14:solidFill>
                </w14:textFill>
              </w:rPr>
              <w:t xml:space="preserve">　</w:t>
            </w:r>
            <w:r w:rsidRPr="00414250">
              <w:rPr>
                <w:color w:val="000000"/>
                <w:w w:val="22"/>
                <w:shd w:val="solid" w:color="000000" w:fill="000000"/>
                <w:fitText w:val="100" w:id="-1305208310"/>
                <w14:textFill>
                  <w14:solidFill>
                    <w14:srgbClr w14:val="000000">
                      <w14:alpha w14:val="100000"/>
                    </w14:srgbClr>
                  </w14:solidFill>
                </w14:textFill>
              </w:rPr>
              <w:t>|</w:t>
            </w:r>
            <w:r w:rsidRPr="00414250">
              <w:rPr>
                <w:rFonts w:hint="eastAsia"/>
                <w:color w:val="000000"/>
                <w:spacing w:val="3"/>
                <w:w w:val="22"/>
                <w:shd w:val="solid" w:color="000000" w:fill="000000"/>
                <w:fitText w:val="100" w:id="-1305208310"/>
                <w14:textFill>
                  <w14:solidFill>
                    <w14:srgbClr w14:val="000000">
                      <w14:alpha w14:val="100000"/>
                    </w14:srgbClr>
                  </w14:solidFill>
                </w14:textFill>
              </w:rPr>
              <w:t xml:space="preserve">　</w:t>
            </w:r>
            <w:r w:rsidR="00582474">
              <w:rPr>
                <w:vertAlign w:val="superscript"/>
              </w:rPr>
              <w:t>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E0403EC" w14:textId="4BF9730D" w:rsidR="00E30130" w:rsidRPr="000D077A" w:rsidRDefault="00414250" w:rsidP="000D077A">
            <w:pPr>
              <w:pStyle w:val="TableText0"/>
              <w:jc w:val="center"/>
            </w:pPr>
            <w:r w:rsidRPr="00414250">
              <w:rPr>
                <w:rFonts w:hint="eastAsia"/>
                <w:color w:val="000000"/>
                <w:w w:val="22"/>
                <w:shd w:val="solid" w:color="000000" w:fill="000000"/>
                <w:fitText w:val="101" w:id="-1305208309"/>
                <w14:textFill>
                  <w14:solidFill>
                    <w14:srgbClr w14:val="000000">
                      <w14:alpha w14:val="100000"/>
                    </w14:srgbClr>
                  </w14:solidFill>
                </w14:textFill>
              </w:rPr>
              <w:t xml:space="preserve">　</w:t>
            </w:r>
            <w:r w:rsidRPr="00414250">
              <w:rPr>
                <w:color w:val="000000"/>
                <w:w w:val="22"/>
                <w:shd w:val="solid" w:color="000000" w:fill="000000"/>
                <w:fitText w:val="101" w:id="-1305208309"/>
                <w14:textFill>
                  <w14:solidFill>
                    <w14:srgbClr w14:val="000000">
                      <w14:alpha w14:val="100000"/>
                    </w14:srgbClr>
                  </w14:solidFill>
                </w14:textFill>
              </w:rPr>
              <w:t>|</w:t>
            </w:r>
            <w:r w:rsidRPr="00414250">
              <w:rPr>
                <w:rFonts w:hint="eastAsia"/>
                <w:color w:val="000000"/>
                <w:spacing w:val="4"/>
                <w:w w:val="22"/>
                <w:shd w:val="solid" w:color="000000" w:fill="000000"/>
                <w:fitText w:val="101" w:id="-1305208309"/>
                <w14:textFill>
                  <w14:solidFill>
                    <w14:srgbClr w14:val="000000">
                      <w14:alpha w14:val="100000"/>
                    </w14:srgbClr>
                  </w14:solidFill>
                </w14:textFill>
              </w:rPr>
              <w:t xml:space="preserve">　</w:t>
            </w:r>
            <w:r w:rsidR="00582474">
              <w:rPr>
                <w:vertAlign w:val="superscript"/>
              </w:rPr>
              <w:t>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B174CDB" w14:textId="7BFFECBB" w:rsidR="00E30130" w:rsidRPr="000D077A" w:rsidRDefault="00414250" w:rsidP="000D077A">
            <w:pPr>
              <w:pStyle w:val="TableText0"/>
              <w:jc w:val="center"/>
            </w:pPr>
            <w:r w:rsidRPr="00414250">
              <w:rPr>
                <w:rFonts w:hint="eastAsia"/>
                <w:color w:val="000000"/>
                <w:w w:val="22"/>
                <w:shd w:val="solid" w:color="000000" w:fill="000000"/>
                <w:fitText w:val="101" w:id="-1305208308"/>
                <w14:textFill>
                  <w14:solidFill>
                    <w14:srgbClr w14:val="000000">
                      <w14:alpha w14:val="100000"/>
                    </w14:srgbClr>
                  </w14:solidFill>
                </w14:textFill>
              </w:rPr>
              <w:t xml:space="preserve">　</w:t>
            </w:r>
            <w:r w:rsidRPr="00414250">
              <w:rPr>
                <w:color w:val="000000"/>
                <w:w w:val="22"/>
                <w:shd w:val="solid" w:color="000000" w:fill="000000"/>
                <w:fitText w:val="101" w:id="-1305208308"/>
                <w14:textFill>
                  <w14:solidFill>
                    <w14:srgbClr w14:val="000000">
                      <w14:alpha w14:val="100000"/>
                    </w14:srgbClr>
                  </w14:solidFill>
                </w14:textFill>
              </w:rPr>
              <w:t>|</w:t>
            </w:r>
            <w:r w:rsidRPr="00414250">
              <w:rPr>
                <w:rFonts w:hint="eastAsia"/>
                <w:color w:val="000000"/>
                <w:spacing w:val="4"/>
                <w:w w:val="22"/>
                <w:shd w:val="solid" w:color="000000" w:fill="000000"/>
                <w:fitText w:val="101" w:id="-1305208308"/>
                <w14:textFill>
                  <w14:solidFill>
                    <w14:srgbClr w14:val="000000">
                      <w14:alpha w14:val="100000"/>
                    </w14:srgbClr>
                  </w14:solidFill>
                </w14:textFill>
              </w:rPr>
              <w:t xml:space="preserve">　</w:t>
            </w:r>
            <w:r w:rsidR="00582474">
              <w:rPr>
                <w:vertAlign w:val="superscript"/>
              </w:rPr>
              <w:t>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7EC120D" w14:textId="076759BD" w:rsidR="00E30130" w:rsidRPr="000D077A" w:rsidRDefault="00414250" w:rsidP="000D077A">
            <w:pPr>
              <w:pStyle w:val="TableText0"/>
              <w:jc w:val="center"/>
            </w:pPr>
            <w:r w:rsidRPr="00414250">
              <w:rPr>
                <w:rFonts w:hint="eastAsia"/>
                <w:color w:val="000000"/>
                <w:w w:val="22"/>
                <w:shd w:val="solid" w:color="000000" w:fill="000000"/>
                <w:fitText w:val="101" w:id="-1305208307"/>
                <w14:textFill>
                  <w14:solidFill>
                    <w14:srgbClr w14:val="000000">
                      <w14:alpha w14:val="100000"/>
                    </w14:srgbClr>
                  </w14:solidFill>
                </w14:textFill>
              </w:rPr>
              <w:t xml:space="preserve">　</w:t>
            </w:r>
            <w:r w:rsidRPr="00414250">
              <w:rPr>
                <w:color w:val="000000"/>
                <w:w w:val="22"/>
                <w:shd w:val="solid" w:color="000000" w:fill="000000"/>
                <w:fitText w:val="101" w:id="-1305208307"/>
                <w14:textFill>
                  <w14:solidFill>
                    <w14:srgbClr w14:val="000000">
                      <w14:alpha w14:val="100000"/>
                    </w14:srgbClr>
                  </w14:solidFill>
                </w14:textFill>
              </w:rPr>
              <w:t>|</w:t>
            </w:r>
            <w:r w:rsidRPr="00414250">
              <w:rPr>
                <w:rFonts w:hint="eastAsia"/>
                <w:color w:val="000000"/>
                <w:spacing w:val="4"/>
                <w:w w:val="22"/>
                <w:shd w:val="solid" w:color="000000" w:fill="000000"/>
                <w:fitText w:val="101" w:id="-1305208307"/>
                <w14:textFill>
                  <w14:solidFill>
                    <w14:srgbClr w14:val="000000">
                      <w14:alpha w14:val="100000"/>
                    </w14:srgbClr>
                  </w14:solidFill>
                </w14:textFill>
              </w:rPr>
              <w:t xml:space="preserve">　</w:t>
            </w:r>
            <w:r w:rsidR="00582474">
              <w:rPr>
                <w:vertAlign w:val="superscript"/>
              </w:rPr>
              <w:t>7</w:t>
            </w:r>
          </w:p>
        </w:tc>
      </w:tr>
      <w:tr w:rsidR="009419D6" w:rsidRPr="00104B41" w14:paraId="460BAF78" w14:textId="77777777" w:rsidTr="00414250">
        <w:trPr>
          <w:trHeight w:val="199"/>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267CF" w14:textId="6B9EF5F8" w:rsidR="009419D6" w:rsidRPr="000D077A" w:rsidRDefault="009419D6" w:rsidP="000D077A">
            <w:pPr>
              <w:pStyle w:val="TableText0"/>
            </w:pPr>
            <w:r w:rsidRPr="000D077A">
              <w:t>PBS/RPBS cost</w:t>
            </w:r>
            <w:r w:rsidR="001101D1">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54039" w14:textId="1E2102EC" w:rsidR="009419D6" w:rsidRPr="00414250" w:rsidRDefault="00414250" w:rsidP="000D077A">
            <w:pPr>
              <w:pStyle w:val="TableText0"/>
              <w:jc w:val="center"/>
              <w:rPr>
                <w:highlight w:val="darkGray"/>
              </w:rPr>
            </w:pPr>
            <w:r w:rsidRPr="00414250">
              <w:rPr>
                <w:color w:val="000000"/>
                <w:spacing w:val="76"/>
                <w:shd w:val="solid" w:color="000000" w:fill="000000"/>
                <w:fitText w:val="162" w:id="-1305208306"/>
                <w14:textFill>
                  <w14:solidFill>
                    <w14:srgbClr w14:val="000000">
                      <w14:alpha w14:val="100000"/>
                    </w14:srgbClr>
                  </w14:solidFill>
                </w14:textFill>
              </w:rPr>
              <w:t>|</w:t>
            </w:r>
            <w:r w:rsidRPr="00414250">
              <w:rPr>
                <w:color w:val="000000"/>
                <w:spacing w:val="1"/>
                <w:shd w:val="solid" w:color="000000" w:fill="000000"/>
                <w:fitText w:val="162" w:id="-1305208306"/>
                <w14:textFill>
                  <w14:solidFill>
                    <w14:srgbClr w14:val="000000">
                      <w14:alpha w14:val="100000"/>
                    </w14:srgbClr>
                  </w14:solidFill>
                </w14:textFill>
              </w:rPr>
              <w:t>|</w:t>
            </w:r>
            <w:r w:rsidR="001101D1" w:rsidRPr="00497E65">
              <w:rPr>
                <w:vertAlign w:val="superscript"/>
              </w:rPr>
              <w:t>13</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DA43E" w14:textId="0EE2A7A3" w:rsidR="009419D6" w:rsidRPr="00414250" w:rsidRDefault="00414250" w:rsidP="000D077A">
            <w:pPr>
              <w:pStyle w:val="TableText0"/>
              <w:jc w:val="center"/>
              <w:rPr>
                <w:highlight w:val="darkGray"/>
              </w:rPr>
            </w:pPr>
            <w:r w:rsidRPr="00414250">
              <w:rPr>
                <w:rFonts w:hint="eastAsia"/>
                <w:color w:val="000000"/>
                <w:w w:val="28"/>
                <w:shd w:val="solid" w:color="000000" w:fill="000000"/>
                <w:fitText w:val="125" w:id="-1305208305"/>
                <w14:textFill>
                  <w14:solidFill>
                    <w14:srgbClr w14:val="000000">
                      <w14:alpha w14:val="100000"/>
                    </w14:srgbClr>
                  </w14:solidFill>
                </w14:textFill>
              </w:rPr>
              <w:t xml:space="preserve">　</w:t>
            </w:r>
            <w:r w:rsidRPr="00414250">
              <w:rPr>
                <w:color w:val="000000"/>
                <w:w w:val="28"/>
                <w:shd w:val="solid" w:color="000000" w:fill="000000"/>
                <w:fitText w:val="125" w:id="-1305208305"/>
                <w14:textFill>
                  <w14:solidFill>
                    <w14:srgbClr w14:val="000000">
                      <w14:alpha w14:val="100000"/>
                    </w14:srgbClr>
                  </w14:solidFill>
                </w14:textFill>
              </w:rPr>
              <w:t>|</w:t>
            </w:r>
            <w:r w:rsidRPr="00414250">
              <w:rPr>
                <w:rFonts w:hint="eastAsia"/>
                <w:color w:val="000000"/>
                <w:spacing w:val="3"/>
                <w:w w:val="28"/>
                <w:shd w:val="solid" w:color="000000" w:fill="000000"/>
                <w:fitText w:val="125" w:id="-1305208305"/>
                <w14:textFill>
                  <w14:solidFill>
                    <w14:srgbClr w14:val="000000">
                      <w14:alpha w14:val="100000"/>
                    </w14:srgbClr>
                  </w14:solidFill>
                </w14:textFill>
              </w:rPr>
              <w:t xml:space="preserve">　</w:t>
            </w:r>
            <w:r w:rsidR="001101D1" w:rsidRPr="00497E65">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2E10D" w14:textId="1FBA9893" w:rsidR="009419D6" w:rsidRPr="00414250" w:rsidRDefault="00414250" w:rsidP="000D077A">
            <w:pPr>
              <w:pStyle w:val="TableText0"/>
              <w:jc w:val="center"/>
              <w:rPr>
                <w:highlight w:val="darkGray"/>
              </w:rPr>
            </w:pPr>
            <w:r w:rsidRPr="00414250">
              <w:rPr>
                <w:rFonts w:hint="eastAsia"/>
                <w:color w:val="000000"/>
                <w:w w:val="25"/>
                <w:shd w:val="solid" w:color="000000" w:fill="000000"/>
                <w:fitText w:val="113" w:id="-1305208304"/>
                <w14:textFill>
                  <w14:solidFill>
                    <w14:srgbClr w14:val="000000">
                      <w14:alpha w14:val="100000"/>
                    </w14:srgbClr>
                  </w14:solidFill>
                </w14:textFill>
              </w:rPr>
              <w:t xml:space="preserve">　</w:t>
            </w:r>
            <w:r w:rsidRPr="00414250">
              <w:rPr>
                <w:color w:val="000000"/>
                <w:w w:val="25"/>
                <w:shd w:val="solid" w:color="000000" w:fill="000000"/>
                <w:fitText w:val="113" w:id="-1305208304"/>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4"/>
                <w14:textFill>
                  <w14:solidFill>
                    <w14:srgbClr w14:val="000000">
                      <w14:alpha w14:val="100000"/>
                    </w14:srgbClr>
                  </w14:solidFill>
                </w14:textFill>
              </w:rPr>
              <w:t xml:space="preserve">　</w:t>
            </w:r>
            <w:r w:rsidR="001101D1" w:rsidRPr="00497E65">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07363" w14:textId="1C40D8E0" w:rsidR="009419D6" w:rsidRPr="000D077A" w:rsidRDefault="00414250" w:rsidP="000D077A">
            <w:pPr>
              <w:pStyle w:val="TableText0"/>
              <w:jc w:val="center"/>
            </w:pPr>
            <w:r w:rsidRPr="00414250">
              <w:rPr>
                <w:rFonts w:hint="eastAsia"/>
                <w:color w:val="000000"/>
                <w:w w:val="25"/>
                <w:shd w:val="solid" w:color="000000" w:fill="000000"/>
                <w:fitText w:val="113" w:id="-1305208320"/>
                <w14:textFill>
                  <w14:solidFill>
                    <w14:srgbClr w14:val="000000">
                      <w14:alpha w14:val="100000"/>
                    </w14:srgbClr>
                  </w14:solidFill>
                </w14:textFill>
              </w:rPr>
              <w:t xml:space="preserve">　</w:t>
            </w:r>
            <w:r w:rsidRPr="00414250">
              <w:rPr>
                <w:color w:val="000000"/>
                <w:w w:val="25"/>
                <w:shd w:val="solid" w:color="000000" w:fill="000000"/>
                <w:fitText w:val="113" w:id="-1305208320"/>
                <w14:textFill>
                  <w14:solidFill>
                    <w14:srgbClr w14:val="000000">
                      <w14:alpha w14:val="100000"/>
                    </w14:srgbClr>
                  </w14:solidFill>
                </w14:textFill>
              </w:rPr>
              <w:t>|</w:t>
            </w:r>
            <w:r w:rsidRPr="00414250">
              <w:rPr>
                <w:rFonts w:hint="eastAsia"/>
                <w:color w:val="000000"/>
                <w:spacing w:val="2"/>
                <w:w w:val="25"/>
                <w:shd w:val="solid" w:color="000000" w:fill="000000"/>
                <w:fitText w:val="113" w:id="-1305208320"/>
                <w14:textFill>
                  <w14:solidFill>
                    <w14:srgbClr w14:val="000000">
                      <w14:alpha w14:val="100000"/>
                    </w14:srgbClr>
                  </w14:solidFill>
                </w14:textFill>
              </w:rPr>
              <w:t xml:space="preserve">　</w:t>
            </w:r>
            <w:r w:rsidR="001101D1">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75143" w14:textId="301E5CC6" w:rsidR="009419D6" w:rsidRPr="000D077A" w:rsidRDefault="00414250" w:rsidP="000D077A">
            <w:pPr>
              <w:pStyle w:val="TableText0"/>
              <w:jc w:val="center"/>
            </w:pPr>
            <w:r w:rsidRPr="00414250">
              <w:rPr>
                <w:rFonts w:hint="eastAsia"/>
                <w:color w:val="000000"/>
                <w:w w:val="25"/>
                <w:shd w:val="solid" w:color="000000" w:fill="000000"/>
                <w:fitText w:val="113" w:id="-1305208319"/>
                <w14:textFill>
                  <w14:solidFill>
                    <w14:srgbClr w14:val="000000">
                      <w14:alpha w14:val="100000"/>
                    </w14:srgbClr>
                  </w14:solidFill>
                </w14:textFill>
              </w:rPr>
              <w:t xml:space="preserve">　</w:t>
            </w:r>
            <w:r w:rsidRPr="00414250">
              <w:rPr>
                <w:color w:val="000000"/>
                <w:w w:val="25"/>
                <w:shd w:val="solid" w:color="000000" w:fill="000000"/>
                <w:fitText w:val="113" w:id="-1305208319"/>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9"/>
                <w14:textFill>
                  <w14:solidFill>
                    <w14:srgbClr w14:val="000000">
                      <w14:alpha w14:val="100000"/>
                    </w14:srgbClr>
                  </w14:solidFill>
                </w14:textFill>
              </w:rPr>
              <w:t xml:space="preserve">　</w:t>
            </w:r>
            <w:r w:rsidR="001101D1">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56F4D" w14:textId="2C314114" w:rsidR="009419D6" w:rsidRPr="000D077A" w:rsidRDefault="00414250" w:rsidP="000D077A">
            <w:pPr>
              <w:pStyle w:val="TableText0"/>
              <w:jc w:val="center"/>
            </w:pPr>
            <w:r w:rsidRPr="00414250">
              <w:rPr>
                <w:rFonts w:hint="eastAsia"/>
                <w:color w:val="000000"/>
                <w:w w:val="25"/>
                <w:shd w:val="solid" w:color="000000" w:fill="000000"/>
                <w:fitText w:val="113" w:id="-1305208318"/>
                <w14:textFill>
                  <w14:solidFill>
                    <w14:srgbClr w14:val="000000">
                      <w14:alpha w14:val="100000"/>
                    </w14:srgbClr>
                  </w14:solidFill>
                </w14:textFill>
              </w:rPr>
              <w:t xml:space="preserve">　</w:t>
            </w:r>
            <w:r w:rsidRPr="00414250">
              <w:rPr>
                <w:color w:val="000000"/>
                <w:w w:val="25"/>
                <w:shd w:val="solid" w:color="000000" w:fill="000000"/>
                <w:fitText w:val="113" w:id="-1305208318"/>
                <w14:textFill>
                  <w14:solidFill>
                    <w14:srgbClr w14:val="000000">
                      <w14:alpha w14:val="100000"/>
                    </w14:srgbClr>
                  </w14:solidFill>
                </w14:textFill>
              </w:rPr>
              <w:t>|</w:t>
            </w:r>
            <w:r w:rsidRPr="00414250">
              <w:rPr>
                <w:rFonts w:hint="eastAsia"/>
                <w:color w:val="000000"/>
                <w:spacing w:val="2"/>
                <w:w w:val="25"/>
                <w:shd w:val="solid" w:color="000000" w:fill="000000"/>
                <w:fitText w:val="113" w:id="-1305208318"/>
                <w14:textFill>
                  <w14:solidFill>
                    <w14:srgbClr w14:val="000000">
                      <w14:alpha w14:val="100000"/>
                    </w14:srgbClr>
                  </w14:solidFill>
                </w14:textFill>
              </w:rPr>
              <w:t xml:space="preserve">　</w:t>
            </w:r>
            <w:r w:rsidR="001101D1" w:rsidRPr="00497E65">
              <w:rPr>
                <w:vertAlign w:val="superscript"/>
              </w:rPr>
              <w:t>13</w:t>
            </w:r>
          </w:p>
        </w:tc>
      </w:tr>
      <w:tr w:rsidR="00E30130" w:rsidRPr="00104B41" w14:paraId="4868450D" w14:textId="77777777" w:rsidTr="00414250">
        <w:trPr>
          <w:trHeight w:val="171"/>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495767E8" w14:textId="2BE84336" w:rsidR="00E30130" w:rsidRPr="000D077A" w:rsidRDefault="00E30130" w:rsidP="000D077A">
            <w:pPr>
              <w:pStyle w:val="TableText0"/>
            </w:pPr>
            <w:r w:rsidRPr="00104B41">
              <w:t xml:space="preserve">Patient copayment </w:t>
            </w:r>
            <w:r w:rsidR="001101D1">
              <w:t>($)</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93A1CE7" w14:textId="7AC90B95" w:rsidR="00E30130" w:rsidRPr="00414250" w:rsidRDefault="00E30130" w:rsidP="000D077A">
            <w:pPr>
              <w:pStyle w:val="TableText0"/>
              <w:jc w:val="center"/>
              <w:rPr>
                <w:highlight w:val="darkGray"/>
              </w:rPr>
            </w:pPr>
            <w:r w:rsidRPr="00414250">
              <w:t>-</w:t>
            </w:r>
            <w:r w:rsidR="00414250" w:rsidRPr="00414250">
              <w:rPr>
                <w:color w:val="000000"/>
                <w:spacing w:val="100"/>
                <w:shd w:val="solid" w:color="000000" w:fill="000000"/>
                <w:fitText w:val="176" w:id="-1305208317"/>
                <w14:textFill>
                  <w14:solidFill>
                    <w14:srgbClr w14:val="000000">
                      <w14:alpha w14:val="100000"/>
                    </w14:srgbClr>
                  </w14:solidFill>
                </w14:textFill>
              </w:rPr>
              <w:t>|</w:t>
            </w:r>
            <w:r w:rsidR="00414250" w:rsidRPr="00414250">
              <w:rPr>
                <w:color w:val="000000"/>
                <w:shd w:val="solid" w:color="000000" w:fill="000000"/>
                <w:fitText w:val="176" w:id="-1305208317"/>
                <w14:textFill>
                  <w14:solidFill>
                    <w14:srgbClr w14:val="000000">
                      <w14:alpha w14:val="100000"/>
                    </w14:srgbClr>
                  </w14:solidFill>
                </w14:textFill>
              </w:rPr>
              <w:t>|</w:t>
            </w:r>
            <w:r w:rsidR="00582474" w:rsidRPr="00497E65">
              <w:rPr>
                <w:vertAlign w:val="superscript"/>
              </w:rPr>
              <w:t>14</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57399CC" w14:textId="7460B55F" w:rsidR="00E30130" w:rsidRPr="000D077A" w:rsidRDefault="00E30130" w:rsidP="000D077A">
            <w:pPr>
              <w:pStyle w:val="TableText0"/>
              <w:jc w:val="center"/>
            </w:pPr>
            <w:r w:rsidRPr="00414250">
              <w:t>-</w:t>
            </w:r>
            <w:r w:rsidR="00414250" w:rsidRPr="00414250">
              <w:rPr>
                <w:color w:val="000000"/>
                <w:spacing w:val="76"/>
                <w:shd w:val="solid" w:color="000000" w:fill="000000"/>
                <w:fitText w:val="162" w:id="-1305208316"/>
                <w14:textFill>
                  <w14:solidFill>
                    <w14:srgbClr w14:val="000000">
                      <w14:alpha w14:val="100000"/>
                    </w14:srgbClr>
                  </w14:solidFill>
                </w14:textFill>
              </w:rPr>
              <w:t>|</w:t>
            </w:r>
            <w:r w:rsidR="00414250" w:rsidRPr="00414250">
              <w:rPr>
                <w:color w:val="000000"/>
                <w:spacing w:val="1"/>
                <w:shd w:val="solid" w:color="000000" w:fill="000000"/>
                <w:fitText w:val="162" w:id="-1305208316"/>
                <w14:textFill>
                  <w14:solidFill>
                    <w14:srgbClr w14:val="000000">
                      <w14:alpha w14:val="100000"/>
                    </w14:srgbClr>
                  </w14:solidFill>
                </w14:textFill>
              </w:rPr>
              <w:t>|</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EDFCC59" w14:textId="4D14F115" w:rsidR="00E30130" w:rsidRPr="000D077A" w:rsidRDefault="00E30130" w:rsidP="000D077A">
            <w:pPr>
              <w:pStyle w:val="TableText0"/>
              <w:jc w:val="center"/>
            </w:pPr>
            <w:r w:rsidRPr="00414250">
              <w:t>-</w:t>
            </w:r>
            <w:r w:rsidR="00414250" w:rsidRPr="00414250">
              <w:rPr>
                <w:rFonts w:hint="eastAsia"/>
                <w:color w:val="000000"/>
                <w:w w:val="30"/>
                <w:shd w:val="solid" w:color="000000" w:fill="000000"/>
                <w:fitText w:val="137" w:id="-1305208315"/>
                <w14:textFill>
                  <w14:solidFill>
                    <w14:srgbClr w14:val="000000">
                      <w14:alpha w14:val="100000"/>
                    </w14:srgbClr>
                  </w14:solidFill>
                </w14:textFill>
              </w:rPr>
              <w:t xml:space="preserve">　</w:t>
            </w:r>
            <w:r w:rsidR="00414250" w:rsidRPr="00414250">
              <w:rPr>
                <w:color w:val="000000"/>
                <w:w w:val="30"/>
                <w:shd w:val="solid" w:color="000000" w:fill="000000"/>
                <w:fitText w:val="137" w:id="-1305208315"/>
                <w14:textFill>
                  <w14:solidFill>
                    <w14:srgbClr w14:val="000000">
                      <w14:alpha w14:val="100000"/>
                    </w14:srgbClr>
                  </w14:solidFill>
                </w14:textFill>
              </w:rPr>
              <w:t>|</w:t>
            </w:r>
            <w:r w:rsidR="00414250" w:rsidRPr="00414250">
              <w:rPr>
                <w:rFonts w:hint="eastAsia"/>
                <w:color w:val="000000"/>
                <w:spacing w:val="12"/>
                <w:w w:val="30"/>
                <w:shd w:val="solid" w:color="000000" w:fill="000000"/>
                <w:fitText w:val="137" w:id="-1305208315"/>
                <w14:textFill>
                  <w14:solidFill>
                    <w14:srgbClr w14:val="000000">
                      <w14:alpha w14:val="100000"/>
                    </w14:srgbClr>
                  </w14:solidFill>
                </w14:textFill>
              </w:rPr>
              <w:t xml:space="preserve">　</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AAF56BD" w14:textId="107DC7CE" w:rsidR="00E30130" w:rsidRPr="000D077A" w:rsidRDefault="00E30130" w:rsidP="000D077A">
            <w:pPr>
              <w:pStyle w:val="TableText0"/>
              <w:jc w:val="center"/>
            </w:pPr>
            <w:r w:rsidRPr="00414250">
              <w:t>-</w:t>
            </w:r>
            <w:r w:rsidR="00414250" w:rsidRPr="00414250">
              <w:rPr>
                <w:rFonts w:hint="eastAsia"/>
                <w:color w:val="000000"/>
                <w:w w:val="31"/>
                <w:shd w:val="solid" w:color="000000" w:fill="000000"/>
                <w:fitText w:val="138" w:id="-1305208314"/>
                <w14:textFill>
                  <w14:solidFill>
                    <w14:srgbClr w14:val="000000">
                      <w14:alpha w14:val="100000"/>
                    </w14:srgbClr>
                  </w14:solidFill>
                </w14:textFill>
              </w:rPr>
              <w:t xml:space="preserve">　</w:t>
            </w:r>
            <w:r w:rsidR="00414250" w:rsidRPr="00414250">
              <w:rPr>
                <w:color w:val="000000"/>
                <w:w w:val="31"/>
                <w:shd w:val="solid" w:color="000000" w:fill="000000"/>
                <w:fitText w:val="138" w:id="-1305208314"/>
                <w14:textFill>
                  <w14:solidFill>
                    <w14:srgbClr w14:val="000000">
                      <w14:alpha w14:val="100000"/>
                    </w14:srgbClr>
                  </w14:solidFill>
                </w14:textFill>
              </w:rPr>
              <w:t>|</w:t>
            </w:r>
            <w:r w:rsidR="00414250" w:rsidRPr="00414250">
              <w:rPr>
                <w:rFonts w:hint="eastAsia"/>
                <w:color w:val="000000"/>
                <w:spacing w:val="1"/>
                <w:w w:val="31"/>
                <w:shd w:val="solid" w:color="000000" w:fill="000000"/>
                <w:fitText w:val="138" w:id="-1305208314"/>
                <w14:textFill>
                  <w14:solidFill>
                    <w14:srgbClr w14:val="000000">
                      <w14:alpha w14:val="100000"/>
                    </w14:srgbClr>
                  </w14:solidFill>
                </w14:textFill>
              </w:rPr>
              <w:t xml:space="preserve">　</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39F536C" w14:textId="4C2F0283" w:rsidR="00E30130" w:rsidRPr="000D077A" w:rsidRDefault="00E30130" w:rsidP="000D077A">
            <w:pPr>
              <w:pStyle w:val="TableText0"/>
              <w:jc w:val="center"/>
            </w:pPr>
            <w:r w:rsidRPr="00414250">
              <w:t>-</w:t>
            </w:r>
            <w:r w:rsidR="00414250" w:rsidRPr="00414250">
              <w:rPr>
                <w:rFonts w:hint="eastAsia"/>
                <w:color w:val="000000"/>
                <w:w w:val="31"/>
                <w:shd w:val="solid" w:color="000000" w:fill="000000"/>
                <w:fitText w:val="138" w:id="-1305208313"/>
                <w14:textFill>
                  <w14:solidFill>
                    <w14:srgbClr w14:val="000000">
                      <w14:alpha w14:val="100000"/>
                    </w14:srgbClr>
                  </w14:solidFill>
                </w14:textFill>
              </w:rPr>
              <w:t xml:space="preserve">　</w:t>
            </w:r>
            <w:r w:rsidR="00414250" w:rsidRPr="00414250">
              <w:rPr>
                <w:color w:val="000000"/>
                <w:w w:val="31"/>
                <w:shd w:val="solid" w:color="000000" w:fill="000000"/>
                <w:fitText w:val="138" w:id="-1305208313"/>
                <w14:textFill>
                  <w14:solidFill>
                    <w14:srgbClr w14:val="000000">
                      <w14:alpha w14:val="100000"/>
                    </w14:srgbClr>
                  </w14:solidFill>
                </w14:textFill>
              </w:rPr>
              <w:t>|</w:t>
            </w:r>
            <w:r w:rsidR="00414250" w:rsidRPr="00414250">
              <w:rPr>
                <w:rFonts w:hint="eastAsia"/>
                <w:color w:val="000000"/>
                <w:spacing w:val="1"/>
                <w:w w:val="31"/>
                <w:shd w:val="solid" w:color="000000" w:fill="000000"/>
                <w:fitText w:val="138" w:id="-1305208313"/>
                <w14:textFill>
                  <w14:solidFill>
                    <w14:srgbClr w14:val="000000">
                      <w14:alpha w14:val="100000"/>
                    </w14:srgbClr>
                  </w14:solidFill>
                </w14:textFill>
              </w:rPr>
              <w:t xml:space="preserve">　</w:t>
            </w:r>
            <w:r w:rsidR="00582474">
              <w:rPr>
                <w:vertAlign w:val="superscript"/>
              </w:rPr>
              <w:t>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2502A01" w14:textId="60303532" w:rsidR="00E30130" w:rsidRPr="000D077A" w:rsidRDefault="00E30130" w:rsidP="000D077A">
            <w:pPr>
              <w:pStyle w:val="TableText0"/>
              <w:jc w:val="center"/>
            </w:pPr>
            <w:r w:rsidRPr="00414250">
              <w:t>-</w:t>
            </w:r>
            <w:r w:rsidR="00414250" w:rsidRPr="00414250">
              <w:rPr>
                <w:rFonts w:hint="eastAsia"/>
                <w:color w:val="000000"/>
                <w:w w:val="31"/>
                <w:shd w:val="solid" w:color="000000" w:fill="000000"/>
                <w:fitText w:val="138" w:id="-1305208312"/>
                <w14:textFill>
                  <w14:solidFill>
                    <w14:srgbClr w14:val="000000">
                      <w14:alpha w14:val="100000"/>
                    </w14:srgbClr>
                  </w14:solidFill>
                </w14:textFill>
              </w:rPr>
              <w:t xml:space="preserve">　</w:t>
            </w:r>
            <w:r w:rsidR="00414250" w:rsidRPr="00414250">
              <w:rPr>
                <w:color w:val="000000"/>
                <w:w w:val="31"/>
                <w:shd w:val="solid" w:color="000000" w:fill="000000"/>
                <w:fitText w:val="138" w:id="-1305208312"/>
                <w14:textFill>
                  <w14:solidFill>
                    <w14:srgbClr w14:val="000000">
                      <w14:alpha w14:val="100000"/>
                    </w14:srgbClr>
                  </w14:solidFill>
                </w14:textFill>
              </w:rPr>
              <w:t>|</w:t>
            </w:r>
            <w:r w:rsidR="00414250" w:rsidRPr="00414250">
              <w:rPr>
                <w:rFonts w:hint="eastAsia"/>
                <w:color w:val="000000"/>
                <w:spacing w:val="1"/>
                <w:w w:val="31"/>
                <w:shd w:val="solid" w:color="000000" w:fill="000000"/>
                <w:fitText w:val="138" w:id="-1305208312"/>
                <w14:textFill>
                  <w14:solidFill>
                    <w14:srgbClr w14:val="000000">
                      <w14:alpha w14:val="100000"/>
                    </w14:srgbClr>
                  </w14:solidFill>
                </w14:textFill>
              </w:rPr>
              <w:t xml:space="preserve">　</w:t>
            </w:r>
            <w:r w:rsidR="00582474">
              <w:rPr>
                <w:vertAlign w:val="superscript"/>
              </w:rPr>
              <w:t>14</w:t>
            </w:r>
          </w:p>
        </w:tc>
      </w:tr>
      <w:tr w:rsidR="009419D6" w:rsidRPr="00585684" w14:paraId="6D88D647" w14:textId="77777777" w:rsidTr="00414250">
        <w:trPr>
          <w:trHeight w:val="149"/>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E5D2E" w14:textId="348ECB7E" w:rsidR="009419D6" w:rsidRPr="000D077A" w:rsidRDefault="009419D6" w:rsidP="000D077A">
            <w:pPr>
              <w:pStyle w:val="TableText0"/>
            </w:pPr>
            <w:r w:rsidRPr="000D077A">
              <w:t>Net PBS/RPBS cost</w:t>
            </w:r>
            <w:r w:rsidR="001101D1">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9836E" w14:textId="55C7821E" w:rsidR="009419D6" w:rsidRPr="000D077A" w:rsidRDefault="00414250" w:rsidP="000D077A">
            <w:pPr>
              <w:pStyle w:val="TableText0"/>
              <w:jc w:val="center"/>
            </w:pPr>
            <w:r w:rsidRPr="00414250">
              <w:rPr>
                <w:color w:val="000000"/>
                <w:spacing w:val="76"/>
                <w:shd w:val="solid" w:color="000000" w:fill="000000"/>
                <w:fitText w:val="162" w:id="-1305208311"/>
                <w14:textFill>
                  <w14:solidFill>
                    <w14:srgbClr w14:val="000000">
                      <w14:alpha w14:val="100000"/>
                    </w14:srgbClr>
                  </w14:solidFill>
                </w14:textFill>
              </w:rPr>
              <w:t>|</w:t>
            </w:r>
            <w:r w:rsidRPr="00414250">
              <w:rPr>
                <w:color w:val="000000"/>
                <w:spacing w:val="1"/>
                <w:shd w:val="solid" w:color="000000" w:fill="000000"/>
                <w:fitText w:val="162" w:id="-1305208311"/>
                <w14:textFill>
                  <w14:solidFill>
                    <w14:srgbClr w14:val="000000">
                      <w14:alpha w14:val="100000"/>
                    </w14:srgbClr>
                  </w14:solidFill>
                </w14:textFill>
              </w:rPr>
              <w:t>|</w:t>
            </w:r>
            <w:r w:rsidR="001101D1" w:rsidRPr="00497E65">
              <w:rPr>
                <w:vertAlign w:val="superscript"/>
              </w:rPr>
              <w:t>16</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3E503" w14:textId="6D120BA1" w:rsidR="009419D6" w:rsidRPr="000D077A" w:rsidRDefault="00414250" w:rsidP="000D077A">
            <w:pPr>
              <w:pStyle w:val="TableText0"/>
              <w:jc w:val="center"/>
            </w:pPr>
            <w:r w:rsidRPr="00414250">
              <w:rPr>
                <w:rFonts w:hint="eastAsia"/>
                <w:color w:val="000000"/>
                <w:w w:val="28"/>
                <w:shd w:val="solid" w:color="000000" w:fill="000000"/>
                <w:fitText w:val="125" w:id="-1305208310"/>
                <w14:textFill>
                  <w14:solidFill>
                    <w14:srgbClr w14:val="000000">
                      <w14:alpha w14:val="100000"/>
                    </w14:srgbClr>
                  </w14:solidFill>
                </w14:textFill>
              </w:rPr>
              <w:t xml:space="preserve">　</w:t>
            </w:r>
            <w:r w:rsidRPr="00414250">
              <w:rPr>
                <w:color w:val="000000"/>
                <w:w w:val="28"/>
                <w:shd w:val="solid" w:color="000000" w:fill="000000"/>
                <w:fitText w:val="125" w:id="-1305208310"/>
                <w14:textFill>
                  <w14:solidFill>
                    <w14:srgbClr w14:val="000000">
                      <w14:alpha w14:val="100000"/>
                    </w14:srgbClr>
                  </w14:solidFill>
                </w14:textFill>
              </w:rPr>
              <w:t>|</w:t>
            </w:r>
            <w:r w:rsidRPr="00414250">
              <w:rPr>
                <w:rFonts w:hint="eastAsia"/>
                <w:color w:val="000000"/>
                <w:spacing w:val="3"/>
                <w:w w:val="28"/>
                <w:shd w:val="solid" w:color="000000" w:fill="000000"/>
                <w:fitText w:val="125" w:id="-1305208310"/>
                <w14:textFill>
                  <w14:solidFill>
                    <w14:srgbClr w14:val="000000">
                      <w14:alpha w14:val="100000"/>
                    </w14:srgbClr>
                  </w14:solidFill>
                </w14:textFill>
              </w:rPr>
              <w:t xml:space="preserve">　</w:t>
            </w:r>
            <w:r w:rsidR="001101D1">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5397" w14:textId="4757B9C5" w:rsidR="009419D6" w:rsidRPr="00414250" w:rsidRDefault="00414250" w:rsidP="000D077A">
            <w:pPr>
              <w:pStyle w:val="TableText0"/>
              <w:jc w:val="center"/>
              <w:rPr>
                <w:highlight w:val="darkGray"/>
              </w:rPr>
            </w:pPr>
            <w:r w:rsidRPr="00414250">
              <w:rPr>
                <w:rFonts w:hint="eastAsia"/>
                <w:color w:val="000000"/>
                <w:w w:val="25"/>
                <w:shd w:val="solid" w:color="000000" w:fill="000000"/>
                <w:fitText w:val="113" w:id="-1305208309"/>
                <w14:textFill>
                  <w14:solidFill>
                    <w14:srgbClr w14:val="000000">
                      <w14:alpha w14:val="100000"/>
                    </w14:srgbClr>
                  </w14:solidFill>
                </w14:textFill>
              </w:rPr>
              <w:t xml:space="preserve">　</w:t>
            </w:r>
            <w:r w:rsidRPr="00414250">
              <w:rPr>
                <w:color w:val="000000"/>
                <w:w w:val="25"/>
                <w:shd w:val="solid" w:color="000000" w:fill="000000"/>
                <w:fitText w:val="113" w:id="-1305208309"/>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9"/>
                <w14:textFill>
                  <w14:solidFill>
                    <w14:srgbClr w14:val="000000">
                      <w14:alpha w14:val="100000"/>
                    </w14:srgbClr>
                  </w14:solidFill>
                </w14:textFill>
              </w:rPr>
              <w:t xml:space="preserve">　</w:t>
            </w:r>
            <w:r w:rsidR="001101D1" w:rsidRPr="00497E65">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4CE33" w14:textId="70B92D81" w:rsidR="009419D6" w:rsidRPr="000D077A" w:rsidRDefault="00414250" w:rsidP="000D077A">
            <w:pPr>
              <w:pStyle w:val="TableText0"/>
              <w:jc w:val="center"/>
            </w:pPr>
            <w:r w:rsidRPr="00414250">
              <w:rPr>
                <w:rFonts w:hint="eastAsia"/>
                <w:color w:val="000000"/>
                <w:w w:val="25"/>
                <w:shd w:val="solid" w:color="000000" w:fill="000000"/>
                <w:fitText w:val="113" w:id="-1305208308"/>
                <w14:textFill>
                  <w14:solidFill>
                    <w14:srgbClr w14:val="000000">
                      <w14:alpha w14:val="100000"/>
                    </w14:srgbClr>
                  </w14:solidFill>
                </w14:textFill>
              </w:rPr>
              <w:t xml:space="preserve">　</w:t>
            </w:r>
            <w:r w:rsidRPr="00414250">
              <w:rPr>
                <w:color w:val="000000"/>
                <w:w w:val="25"/>
                <w:shd w:val="solid" w:color="000000" w:fill="000000"/>
                <w:fitText w:val="113" w:id="-1305208308"/>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8"/>
                <w14:textFill>
                  <w14:solidFill>
                    <w14:srgbClr w14:val="000000">
                      <w14:alpha w14:val="100000"/>
                    </w14:srgbClr>
                  </w14:solidFill>
                </w14:textFill>
              </w:rPr>
              <w:t xml:space="preserve">　</w:t>
            </w:r>
            <w:r w:rsidR="001101D1">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76E97" w14:textId="02411A1B" w:rsidR="009419D6" w:rsidRPr="00414250" w:rsidRDefault="00414250" w:rsidP="000D077A">
            <w:pPr>
              <w:pStyle w:val="TableText0"/>
              <w:jc w:val="center"/>
              <w:rPr>
                <w:highlight w:val="darkGray"/>
              </w:rPr>
            </w:pPr>
            <w:r w:rsidRPr="00414250">
              <w:rPr>
                <w:rFonts w:hint="eastAsia"/>
                <w:color w:val="000000"/>
                <w:w w:val="25"/>
                <w:shd w:val="solid" w:color="000000" w:fill="000000"/>
                <w:fitText w:val="113" w:id="-1305208307"/>
                <w14:textFill>
                  <w14:solidFill>
                    <w14:srgbClr w14:val="000000">
                      <w14:alpha w14:val="100000"/>
                    </w14:srgbClr>
                  </w14:solidFill>
                </w14:textFill>
              </w:rPr>
              <w:t xml:space="preserve">　</w:t>
            </w:r>
            <w:r w:rsidRPr="00414250">
              <w:rPr>
                <w:color w:val="000000"/>
                <w:w w:val="25"/>
                <w:shd w:val="solid" w:color="000000" w:fill="000000"/>
                <w:fitText w:val="113" w:id="-1305208307"/>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7"/>
                <w14:textFill>
                  <w14:solidFill>
                    <w14:srgbClr w14:val="000000">
                      <w14:alpha w14:val="100000"/>
                    </w14:srgbClr>
                  </w14:solidFill>
                </w14:textFill>
              </w:rPr>
              <w:t xml:space="preserve">　</w:t>
            </w:r>
            <w:r w:rsidR="001101D1" w:rsidRPr="00497E65">
              <w:rPr>
                <w:vertAlign w:val="superscript"/>
              </w:rPr>
              <w:t>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A7EA3" w14:textId="54B899AF" w:rsidR="009419D6" w:rsidRPr="00414250" w:rsidRDefault="00414250" w:rsidP="000D077A">
            <w:pPr>
              <w:pStyle w:val="TableText0"/>
              <w:jc w:val="center"/>
              <w:rPr>
                <w:highlight w:val="darkGray"/>
              </w:rPr>
            </w:pPr>
            <w:r w:rsidRPr="00414250">
              <w:rPr>
                <w:rFonts w:hint="eastAsia"/>
                <w:color w:val="000000"/>
                <w:w w:val="25"/>
                <w:shd w:val="solid" w:color="000000" w:fill="000000"/>
                <w:fitText w:val="113" w:id="-1305208306"/>
                <w14:textFill>
                  <w14:solidFill>
                    <w14:srgbClr w14:val="000000">
                      <w14:alpha w14:val="100000"/>
                    </w14:srgbClr>
                  </w14:solidFill>
                </w14:textFill>
              </w:rPr>
              <w:t xml:space="preserve">　</w:t>
            </w:r>
            <w:r w:rsidRPr="00414250">
              <w:rPr>
                <w:color w:val="000000"/>
                <w:w w:val="25"/>
                <w:shd w:val="solid" w:color="000000" w:fill="000000"/>
                <w:fitText w:val="113" w:id="-1305208306"/>
                <w14:textFill>
                  <w14:solidFill>
                    <w14:srgbClr w14:val="000000">
                      <w14:alpha w14:val="100000"/>
                    </w14:srgbClr>
                  </w14:solidFill>
                </w14:textFill>
              </w:rPr>
              <w:t>|</w:t>
            </w:r>
            <w:r w:rsidRPr="00414250">
              <w:rPr>
                <w:rFonts w:hint="eastAsia"/>
                <w:color w:val="000000"/>
                <w:spacing w:val="2"/>
                <w:w w:val="25"/>
                <w:shd w:val="solid" w:color="000000" w:fill="000000"/>
                <w:fitText w:val="113" w:id="-1305208306"/>
                <w14:textFill>
                  <w14:solidFill>
                    <w14:srgbClr w14:val="000000">
                      <w14:alpha w14:val="100000"/>
                    </w14:srgbClr>
                  </w14:solidFill>
                </w14:textFill>
              </w:rPr>
              <w:t xml:space="preserve">　</w:t>
            </w:r>
            <w:r w:rsidR="001101D1" w:rsidRPr="00497E65">
              <w:rPr>
                <w:vertAlign w:val="superscript"/>
              </w:rPr>
              <w:t>13</w:t>
            </w:r>
          </w:p>
        </w:tc>
      </w:tr>
    </w:tbl>
    <w:p w14:paraId="727C565A" w14:textId="3A6183C6" w:rsidR="00C92363" w:rsidRPr="00681169" w:rsidRDefault="00C92363" w:rsidP="00681169">
      <w:pPr>
        <w:rPr>
          <w:rFonts w:ascii="Arial Narrow" w:hAnsi="Arial Narrow"/>
          <w:snapToGrid w:val="0"/>
          <w:sz w:val="18"/>
          <w:szCs w:val="22"/>
        </w:rPr>
      </w:pPr>
      <w:r>
        <w:rPr>
          <w:rFonts w:ascii="Arial Narrow" w:hAnsi="Arial Narrow"/>
          <w:snapToGrid w:val="0"/>
          <w:sz w:val="18"/>
          <w:szCs w:val="22"/>
        </w:rPr>
        <w:t xml:space="preserve">Source: </w:t>
      </w:r>
      <w:r w:rsidR="00E30130">
        <w:rPr>
          <w:rFonts w:ascii="Arial Narrow" w:hAnsi="Arial Narrow"/>
          <w:snapToGrid w:val="0"/>
          <w:sz w:val="18"/>
          <w:szCs w:val="22"/>
        </w:rPr>
        <w:t>Pre-PBAC response (p3)</w:t>
      </w:r>
    </w:p>
    <w:p w14:paraId="6837DD34" w14:textId="50E168BF" w:rsidR="00C92363" w:rsidRPr="00681169" w:rsidRDefault="00C92363" w:rsidP="00681169">
      <w:pPr>
        <w:rPr>
          <w:rFonts w:ascii="Arial Narrow" w:hAnsi="Arial Narrow"/>
          <w:snapToGrid w:val="0"/>
          <w:sz w:val="18"/>
          <w:szCs w:val="22"/>
        </w:rPr>
      </w:pPr>
      <w:r w:rsidRPr="00681169">
        <w:rPr>
          <w:rFonts w:ascii="Arial Narrow" w:hAnsi="Arial Narrow"/>
          <w:snapToGrid w:val="0"/>
          <w:sz w:val="18"/>
          <w:szCs w:val="22"/>
        </w:rPr>
        <w:t xml:space="preserve">a Assuming 12.73 packs per year as estimated by the submission, based on a compliance rate of 97.56%. </w:t>
      </w:r>
    </w:p>
    <w:p w14:paraId="0BA201D8" w14:textId="77777777" w:rsidR="00582474" w:rsidRPr="009A6D58" w:rsidRDefault="00582474" w:rsidP="00414250">
      <w:pPr>
        <w:spacing w:before="120"/>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12D68A6" w14:textId="77777777" w:rsidR="00582474" w:rsidRPr="009A6D58" w:rsidRDefault="00582474" w:rsidP="0058247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E6287">
        <w:rPr>
          <w:rFonts w:ascii="Arial Narrow" w:hAnsi="Arial Narrow"/>
          <w:i/>
          <w:sz w:val="18"/>
          <w:szCs w:val="18"/>
        </w:rPr>
        <w:t>500 to &lt; 5,000</w:t>
      </w:r>
    </w:p>
    <w:p w14:paraId="26149674" w14:textId="77777777" w:rsidR="00582474" w:rsidRPr="009A6D58" w:rsidRDefault="00582474" w:rsidP="0058247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E6287">
        <w:rPr>
          <w:rFonts w:ascii="Arial Narrow" w:hAnsi="Arial Narrow"/>
          <w:i/>
          <w:sz w:val="18"/>
          <w:szCs w:val="18"/>
        </w:rPr>
        <w:t>5,000 to &lt; 10,000</w:t>
      </w:r>
    </w:p>
    <w:p w14:paraId="7EDC9410" w14:textId="77777777" w:rsidR="00582474" w:rsidRDefault="00582474" w:rsidP="0058247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E6287">
        <w:rPr>
          <w:rFonts w:ascii="Arial Narrow" w:hAnsi="Arial Narrow"/>
          <w:i/>
          <w:sz w:val="18"/>
          <w:szCs w:val="18"/>
        </w:rPr>
        <w:t>10,000 to &lt; 20,000</w:t>
      </w:r>
    </w:p>
    <w:p w14:paraId="6F29254B" w14:textId="77777777" w:rsidR="00582474" w:rsidRDefault="00582474" w:rsidP="0058247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E6287">
        <w:rPr>
          <w:rFonts w:ascii="Arial Narrow" w:hAnsi="Arial Narrow"/>
          <w:i/>
          <w:sz w:val="18"/>
          <w:szCs w:val="18"/>
        </w:rPr>
        <w:t>20,000 to &lt; 30,000</w:t>
      </w:r>
    </w:p>
    <w:p w14:paraId="18889546" w14:textId="77777777" w:rsidR="00582474" w:rsidRDefault="00582474" w:rsidP="0058247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E6287">
        <w:rPr>
          <w:rFonts w:ascii="Arial Narrow" w:hAnsi="Arial Narrow"/>
          <w:i/>
          <w:sz w:val="18"/>
          <w:szCs w:val="18"/>
        </w:rPr>
        <w:t>30,000 to &lt; 40,000</w:t>
      </w:r>
    </w:p>
    <w:p w14:paraId="4AD36EFA" w14:textId="77777777" w:rsidR="00582474" w:rsidRPr="009A6D58" w:rsidRDefault="00582474" w:rsidP="0058247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286644">
        <w:rPr>
          <w:rFonts w:ascii="Arial Narrow" w:hAnsi="Arial Narrow"/>
          <w:i/>
          <w:sz w:val="18"/>
          <w:szCs w:val="18"/>
        </w:rPr>
        <w:t>50,000 to &lt; 60,000</w:t>
      </w:r>
    </w:p>
    <w:p w14:paraId="2C5550C7" w14:textId="77777777" w:rsidR="00582474" w:rsidRDefault="00582474" w:rsidP="00582474">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286644">
        <w:rPr>
          <w:rFonts w:ascii="Arial Narrow" w:hAnsi="Arial Narrow"/>
          <w:i/>
          <w:sz w:val="18"/>
          <w:szCs w:val="18"/>
        </w:rPr>
        <w:t>70,000 to &lt; 80,000</w:t>
      </w:r>
    </w:p>
    <w:p w14:paraId="6008A19B" w14:textId="77777777" w:rsidR="00582474" w:rsidRDefault="00582474" w:rsidP="00582474">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286644">
        <w:rPr>
          <w:rFonts w:ascii="Arial Narrow" w:hAnsi="Arial Narrow"/>
          <w:i/>
          <w:sz w:val="18"/>
          <w:szCs w:val="18"/>
        </w:rPr>
        <w:t>$10 million to &lt; $20 million</w:t>
      </w:r>
    </w:p>
    <w:p w14:paraId="462CA3CE" w14:textId="77777777" w:rsidR="00582474" w:rsidRPr="00723461" w:rsidRDefault="00582474" w:rsidP="00582474">
      <w:pPr>
        <w:pStyle w:val="FooterTableFigure"/>
        <w:spacing w:after="0"/>
        <w:contextualSpacing w:val="0"/>
      </w:pPr>
      <w:r>
        <w:rPr>
          <w:i/>
          <w:szCs w:val="18"/>
          <w:vertAlign w:val="superscript"/>
        </w:rPr>
        <w:t>9</w:t>
      </w:r>
      <w:r>
        <w:rPr>
          <w:i/>
          <w:szCs w:val="18"/>
        </w:rPr>
        <w:t xml:space="preserve"> $</w:t>
      </w:r>
      <w:r w:rsidRPr="00286644">
        <w:rPr>
          <w:i/>
          <w:szCs w:val="18"/>
        </w:rPr>
        <w:t>20 million to &lt; $30 million</w:t>
      </w:r>
    </w:p>
    <w:p w14:paraId="3994F046" w14:textId="77777777" w:rsidR="00582474" w:rsidRDefault="00582474" w:rsidP="00582474">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286644">
        <w:rPr>
          <w:rFonts w:ascii="Arial Narrow" w:hAnsi="Arial Narrow"/>
          <w:i/>
          <w:sz w:val="18"/>
          <w:szCs w:val="18"/>
        </w:rPr>
        <w:t>$</w:t>
      </w:r>
      <w:r>
        <w:rPr>
          <w:rFonts w:ascii="Arial Narrow" w:hAnsi="Arial Narrow"/>
          <w:i/>
          <w:sz w:val="18"/>
          <w:szCs w:val="18"/>
        </w:rPr>
        <w:t>4</w:t>
      </w:r>
      <w:r w:rsidRPr="00286644">
        <w:rPr>
          <w:rFonts w:ascii="Arial Narrow" w:hAnsi="Arial Narrow"/>
          <w:i/>
          <w:sz w:val="18"/>
          <w:szCs w:val="18"/>
        </w:rPr>
        <w:t>0 million to &lt; $</w:t>
      </w:r>
      <w:r>
        <w:rPr>
          <w:rFonts w:ascii="Arial Narrow" w:hAnsi="Arial Narrow"/>
          <w:i/>
          <w:sz w:val="18"/>
          <w:szCs w:val="18"/>
        </w:rPr>
        <w:t>5</w:t>
      </w:r>
      <w:r w:rsidRPr="00286644">
        <w:rPr>
          <w:rFonts w:ascii="Arial Narrow" w:hAnsi="Arial Narrow"/>
          <w:i/>
          <w:sz w:val="18"/>
          <w:szCs w:val="18"/>
        </w:rPr>
        <w:t>0 million</w:t>
      </w:r>
    </w:p>
    <w:p w14:paraId="21D2907D" w14:textId="77777777" w:rsidR="00582474" w:rsidRPr="00723461" w:rsidRDefault="00582474" w:rsidP="00582474">
      <w:pPr>
        <w:pStyle w:val="FooterTableFigure"/>
        <w:spacing w:after="0"/>
        <w:contextualSpacing w:val="0"/>
      </w:pPr>
      <w:r>
        <w:rPr>
          <w:i/>
          <w:szCs w:val="18"/>
          <w:vertAlign w:val="superscript"/>
        </w:rPr>
        <w:t>11</w:t>
      </w:r>
      <w:r>
        <w:rPr>
          <w:i/>
          <w:szCs w:val="18"/>
        </w:rPr>
        <w:t xml:space="preserve"> </w:t>
      </w:r>
      <w:r w:rsidRPr="00286644">
        <w:rPr>
          <w:i/>
          <w:szCs w:val="18"/>
        </w:rPr>
        <w:t>$</w:t>
      </w:r>
      <w:r>
        <w:rPr>
          <w:i/>
          <w:szCs w:val="18"/>
        </w:rPr>
        <w:t>6</w:t>
      </w:r>
      <w:r w:rsidRPr="00286644">
        <w:rPr>
          <w:i/>
          <w:szCs w:val="18"/>
        </w:rPr>
        <w:t>0 million to &lt; $</w:t>
      </w:r>
      <w:r>
        <w:rPr>
          <w:i/>
          <w:szCs w:val="18"/>
        </w:rPr>
        <w:t>7</w:t>
      </w:r>
      <w:r w:rsidRPr="00286644">
        <w:rPr>
          <w:i/>
          <w:szCs w:val="18"/>
        </w:rPr>
        <w:t>0 million</w:t>
      </w:r>
    </w:p>
    <w:p w14:paraId="25FDC3D5" w14:textId="77777777" w:rsidR="00582474" w:rsidRDefault="00582474" w:rsidP="00582474">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286644">
        <w:rPr>
          <w:rFonts w:ascii="Arial Narrow" w:hAnsi="Arial Narrow"/>
          <w:i/>
          <w:sz w:val="18"/>
          <w:szCs w:val="18"/>
        </w:rPr>
        <w:t>$</w:t>
      </w:r>
      <w:r>
        <w:rPr>
          <w:rFonts w:ascii="Arial Narrow" w:hAnsi="Arial Narrow"/>
          <w:i/>
          <w:sz w:val="18"/>
          <w:szCs w:val="18"/>
        </w:rPr>
        <w:t>8</w:t>
      </w:r>
      <w:r w:rsidRPr="00286644">
        <w:rPr>
          <w:rFonts w:ascii="Arial Narrow" w:hAnsi="Arial Narrow"/>
          <w:i/>
          <w:sz w:val="18"/>
          <w:szCs w:val="18"/>
        </w:rPr>
        <w:t>0 million to &lt; $</w:t>
      </w:r>
      <w:r>
        <w:rPr>
          <w:rFonts w:ascii="Arial Narrow" w:hAnsi="Arial Narrow"/>
          <w:i/>
          <w:sz w:val="18"/>
          <w:szCs w:val="18"/>
        </w:rPr>
        <w:t>9</w:t>
      </w:r>
      <w:r w:rsidRPr="00286644">
        <w:rPr>
          <w:rFonts w:ascii="Arial Narrow" w:hAnsi="Arial Narrow"/>
          <w:i/>
          <w:sz w:val="18"/>
          <w:szCs w:val="18"/>
        </w:rPr>
        <w:t>0 million</w:t>
      </w:r>
    </w:p>
    <w:p w14:paraId="134E939B" w14:textId="77777777" w:rsidR="00582474" w:rsidRPr="00723461" w:rsidRDefault="00582474" w:rsidP="00582474">
      <w:pPr>
        <w:pStyle w:val="FooterTableFigure"/>
        <w:spacing w:after="0"/>
        <w:contextualSpacing w:val="0"/>
      </w:pPr>
      <w:r>
        <w:rPr>
          <w:i/>
          <w:szCs w:val="18"/>
          <w:vertAlign w:val="superscript"/>
        </w:rPr>
        <w:t>13</w:t>
      </w:r>
      <w:r>
        <w:rPr>
          <w:i/>
          <w:szCs w:val="18"/>
        </w:rPr>
        <w:t xml:space="preserve"> </w:t>
      </w:r>
      <w:r w:rsidRPr="00286644">
        <w:rPr>
          <w:i/>
          <w:szCs w:val="18"/>
        </w:rPr>
        <w:t>$</w:t>
      </w:r>
      <w:r>
        <w:rPr>
          <w:i/>
          <w:szCs w:val="18"/>
        </w:rPr>
        <w:t>10</w:t>
      </w:r>
      <w:r w:rsidRPr="00286644">
        <w:rPr>
          <w:i/>
          <w:szCs w:val="18"/>
        </w:rPr>
        <w:t>0 million to &lt; $</w:t>
      </w:r>
      <w:r>
        <w:rPr>
          <w:i/>
          <w:szCs w:val="18"/>
        </w:rPr>
        <w:t>20</w:t>
      </w:r>
      <w:r w:rsidRPr="00286644">
        <w:rPr>
          <w:i/>
          <w:szCs w:val="18"/>
        </w:rPr>
        <w:t>0 million</w:t>
      </w:r>
    </w:p>
    <w:p w14:paraId="488150E3" w14:textId="77777777" w:rsidR="00582474" w:rsidRDefault="00582474" w:rsidP="00582474">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286644">
        <w:rPr>
          <w:rFonts w:ascii="Arial Narrow" w:hAnsi="Arial Narrow"/>
          <w:i/>
          <w:sz w:val="18"/>
          <w:szCs w:val="18"/>
        </w:rPr>
        <w:t>$0 to &lt; $10 million</w:t>
      </w:r>
    </w:p>
    <w:p w14:paraId="2408FB6B" w14:textId="4986C103" w:rsidR="00582474" w:rsidRDefault="00582474" w:rsidP="00582474">
      <w:pPr>
        <w:pStyle w:val="FooterTableFigure"/>
        <w:spacing w:after="0"/>
        <w:contextualSpacing w:val="0"/>
        <w:rPr>
          <w:i/>
          <w:szCs w:val="18"/>
        </w:rPr>
      </w:pPr>
      <w:r>
        <w:rPr>
          <w:i/>
          <w:szCs w:val="18"/>
          <w:vertAlign w:val="superscript"/>
        </w:rPr>
        <w:t>15</w:t>
      </w:r>
      <w:r>
        <w:rPr>
          <w:i/>
          <w:szCs w:val="18"/>
        </w:rPr>
        <w:t xml:space="preserve"> </w:t>
      </w:r>
      <w:r w:rsidR="001101D1">
        <w:rPr>
          <w:i/>
          <w:szCs w:val="18"/>
        </w:rPr>
        <w:t>6</w:t>
      </w:r>
      <w:r w:rsidR="001101D1" w:rsidRPr="00286644">
        <w:rPr>
          <w:i/>
          <w:szCs w:val="18"/>
        </w:rPr>
        <w:t>0,000 to &lt; </w:t>
      </w:r>
      <w:r w:rsidR="001101D1">
        <w:rPr>
          <w:i/>
          <w:szCs w:val="18"/>
        </w:rPr>
        <w:t>7</w:t>
      </w:r>
      <w:r w:rsidR="001101D1" w:rsidRPr="00286644">
        <w:rPr>
          <w:i/>
          <w:szCs w:val="18"/>
        </w:rPr>
        <w:t>0,000</w:t>
      </w:r>
    </w:p>
    <w:p w14:paraId="5284B748" w14:textId="275BBF36" w:rsidR="001101D1" w:rsidRPr="00723461" w:rsidRDefault="001101D1" w:rsidP="001101D1">
      <w:pPr>
        <w:pStyle w:val="FooterTableFigure"/>
        <w:spacing w:after="0"/>
        <w:contextualSpacing w:val="0"/>
      </w:pPr>
      <w:r>
        <w:rPr>
          <w:i/>
          <w:szCs w:val="18"/>
          <w:vertAlign w:val="superscript"/>
        </w:rPr>
        <w:t>16</w:t>
      </w:r>
      <w:r>
        <w:rPr>
          <w:i/>
          <w:szCs w:val="18"/>
        </w:rPr>
        <w:t xml:space="preserve"> </w:t>
      </w:r>
      <w:r w:rsidRPr="00286644">
        <w:rPr>
          <w:i/>
          <w:szCs w:val="18"/>
        </w:rPr>
        <w:t>$</w:t>
      </w:r>
      <w:r>
        <w:rPr>
          <w:i/>
          <w:szCs w:val="18"/>
        </w:rPr>
        <w:t>9</w:t>
      </w:r>
      <w:r w:rsidRPr="00286644">
        <w:rPr>
          <w:i/>
          <w:szCs w:val="18"/>
        </w:rPr>
        <w:t>0 million to &lt; $</w:t>
      </w:r>
      <w:r>
        <w:rPr>
          <w:i/>
          <w:szCs w:val="18"/>
        </w:rPr>
        <w:t>10</w:t>
      </w:r>
      <w:r w:rsidRPr="00286644">
        <w:rPr>
          <w:i/>
          <w:szCs w:val="18"/>
        </w:rPr>
        <w:t>0 million</w:t>
      </w:r>
    </w:p>
    <w:p w14:paraId="25EBD097" w14:textId="77777777" w:rsidR="00A9788D" w:rsidRPr="00681169" w:rsidRDefault="00A9788D" w:rsidP="00681169">
      <w:pPr>
        <w:rPr>
          <w:rFonts w:ascii="Arial Narrow" w:hAnsi="Arial Narrow"/>
          <w:snapToGrid w:val="0"/>
          <w:sz w:val="18"/>
          <w:szCs w:val="22"/>
        </w:rPr>
      </w:pPr>
    </w:p>
    <w:p w14:paraId="3BB7BA75" w14:textId="77777777" w:rsidR="00AC70FD" w:rsidRPr="00C9624D" w:rsidRDefault="00AC70FD" w:rsidP="00A9788D">
      <w:pPr>
        <w:pStyle w:val="4-SubsectionHeading"/>
      </w:pPr>
      <w:r w:rsidRPr="00C9624D">
        <w:t>Quality Use of Medicines</w:t>
      </w:r>
      <w:bookmarkEnd w:id="58"/>
      <w:r>
        <w:t xml:space="preserve"> (QUM)</w:t>
      </w:r>
      <w:bookmarkEnd w:id="59"/>
    </w:p>
    <w:p w14:paraId="1278F8D7" w14:textId="1C108EDC" w:rsidR="00AC70FD" w:rsidRPr="00FB175F" w:rsidRDefault="00AC70FD" w:rsidP="00AC70FD">
      <w:pPr>
        <w:pStyle w:val="3-BodyText"/>
        <w:rPr>
          <w:color w:val="0066FF"/>
        </w:rPr>
      </w:pPr>
      <w:r w:rsidRPr="00144DEA">
        <w:t xml:space="preserve">The submission outlined a number of educational activities </w:t>
      </w:r>
      <w:r>
        <w:t>for</w:t>
      </w:r>
      <w:r w:rsidRPr="00144DEA">
        <w:t xml:space="preserve"> both health care professionals (HCP) and patients to promote the safe and effective use of medicines in the treatment</w:t>
      </w:r>
      <w:r>
        <w:t xml:space="preserve"> of obstructive HCM patients with mavacamten.</w:t>
      </w:r>
      <w:r w:rsidRPr="00424AF9">
        <w:t xml:space="preserve"> As addressed in the TGA Delegate’s overview, in the United States mavacamten is available only through a restricted program under a Risk Evaluation and Mitigation Strategy (REMS) because of the risk of heart failure due to systolic dysfunction. However, no risk minimisation activities, similar to the REMS program in US, were proposed in Australia. The submission did not propose any post-market surveillance study as part of QUM activities.</w:t>
      </w:r>
    </w:p>
    <w:p w14:paraId="424547C4" w14:textId="6DE3153E" w:rsidR="00FB175F" w:rsidRPr="0039371F" w:rsidRDefault="00FB175F" w:rsidP="00FB175F">
      <w:pPr>
        <w:pStyle w:val="3-BodyText"/>
      </w:pPr>
      <w:r w:rsidRPr="0039371F">
        <w:t xml:space="preserve">The DUSC considered that there are several risk minimisation strategies that have been employed in the United Stated of America (USA) to inform health practitioners and consumers of the risks involved with mavacamten. The DUSC noted similar strategies or training programs should also be considered for Australia. </w:t>
      </w:r>
    </w:p>
    <w:bookmarkEnd w:id="60"/>
    <w:p w14:paraId="6060D612" w14:textId="1696FA55" w:rsidR="00365449" w:rsidRDefault="003F0675" w:rsidP="00F14FD5">
      <w:pPr>
        <w:contextualSpacing/>
        <w:rPr>
          <w:i/>
          <w:iCs/>
          <w:color w:val="000000" w:themeColor="text1"/>
        </w:rPr>
      </w:pPr>
      <w:r>
        <w:rPr>
          <w:i/>
          <w:iCs/>
          <w:color w:val="000000" w:themeColor="text1"/>
        </w:rPr>
        <w:tab/>
      </w:r>
      <w:r w:rsidRPr="00EF762F">
        <w:rPr>
          <w:i/>
          <w:iCs/>
          <w:color w:val="000000" w:themeColor="text1"/>
        </w:rPr>
        <w:t>For more detail on PBAC’s view, see section 7 PBAC outcome.</w:t>
      </w:r>
    </w:p>
    <w:p w14:paraId="5B423752" w14:textId="77777777" w:rsidR="007A77F6" w:rsidRPr="00A9788D" w:rsidRDefault="007A77F6" w:rsidP="007477EB">
      <w:pPr>
        <w:pStyle w:val="2-SectionHeading"/>
      </w:pPr>
      <w:bookmarkStart w:id="64" w:name="_Hlk76381249"/>
      <w:bookmarkStart w:id="65" w:name="_Hlk76377955"/>
      <w:bookmarkStart w:id="66" w:name="_Hlk117850588"/>
      <w:bookmarkStart w:id="67" w:name="_Hlk117851544"/>
      <w:r w:rsidRPr="00A9788D">
        <w:lastRenderedPageBreak/>
        <w:t>PBAC Outcome</w:t>
      </w:r>
    </w:p>
    <w:p w14:paraId="4404D626" w14:textId="64713EE0" w:rsidR="007A77F6" w:rsidRPr="00E5588D" w:rsidRDefault="007A77F6" w:rsidP="00E5588D">
      <w:pPr>
        <w:widowControl w:val="0"/>
        <w:numPr>
          <w:ilvl w:val="1"/>
          <w:numId w:val="1"/>
        </w:numPr>
        <w:spacing w:after="120"/>
        <w:rPr>
          <w:rFonts w:asciiTheme="minorHAnsi" w:hAnsiTheme="minorHAnsi"/>
          <w:snapToGrid w:val="0"/>
          <w:lang w:val="en-GB"/>
        </w:rPr>
      </w:pPr>
      <w:bookmarkStart w:id="68" w:name="_Hlk120528144"/>
      <w:r w:rsidRPr="00CE42B4">
        <w:rPr>
          <w:rFonts w:asciiTheme="minorHAnsi" w:hAnsiTheme="minorHAnsi"/>
          <w:snapToGrid w:val="0"/>
          <w:lang w:val="en-GB"/>
        </w:rPr>
        <w:t>The PBAC did not recommend</w:t>
      </w:r>
      <w:r w:rsidR="002C45D5">
        <w:rPr>
          <w:rFonts w:asciiTheme="minorHAnsi" w:hAnsiTheme="minorHAnsi"/>
          <w:snapToGrid w:val="0"/>
          <w:lang w:val="en-GB"/>
        </w:rPr>
        <w:t xml:space="preserve"> the listing of mavacamten for </w:t>
      </w:r>
      <w:r w:rsidR="002C45D5" w:rsidRPr="004E18E9">
        <w:t xml:space="preserve">the treatment of </w:t>
      </w:r>
      <w:r w:rsidR="002C45D5">
        <w:t xml:space="preserve">adults with symptomatic obstructive hypertrophic </w:t>
      </w:r>
      <w:r w:rsidR="002C45D5" w:rsidRPr="00E22867">
        <w:t>cardiomyopathy (HCM).</w:t>
      </w:r>
      <w:r w:rsidR="002C45D5" w:rsidRPr="00E22867">
        <w:rPr>
          <w:color w:val="0066FF"/>
        </w:rPr>
        <w:t xml:space="preserve"> </w:t>
      </w:r>
      <w:r w:rsidR="002C45D5">
        <w:rPr>
          <w:rFonts w:asciiTheme="minorHAnsi" w:hAnsiTheme="minorHAnsi"/>
          <w:snapToGrid w:val="0"/>
          <w:lang w:val="en-GB"/>
        </w:rPr>
        <w:t xml:space="preserve">The PBAC </w:t>
      </w:r>
      <w:r w:rsidR="00192398">
        <w:rPr>
          <w:rFonts w:asciiTheme="minorHAnsi" w:hAnsiTheme="minorHAnsi"/>
          <w:snapToGrid w:val="0"/>
          <w:lang w:val="en-GB"/>
        </w:rPr>
        <w:t>considered it</w:t>
      </w:r>
      <w:r w:rsidR="00A51F07">
        <w:rPr>
          <w:rFonts w:asciiTheme="minorHAnsi" w:hAnsiTheme="minorHAnsi"/>
          <w:snapToGrid w:val="0"/>
          <w:lang w:val="en-GB"/>
        </w:rPr>
        <w:t xml:space="preserve"> is</w:t>
      </w:r>
      <w:r w:rsidR="00192398">
        <w:rPr>
          <w:rFonts w:asciiTheme="minorHAnsi" w:hAnsiTheme="minorHAnsi"/>
          <w:snapToGrid w:val="0"/>
          <w:lang w:val="en-GB"/>
        </w:rPr>
        <w:t xml:space="preserve"> likely</w:t>
      </w:r>
      <w:r w:rsidR="006F3116">
        <w:rPr>
          <w:rFonts w:asciiTheme="minorHAnsi" w:hAnsiTheme="minorHAnsi"/>
          <w:snapToGrid w:val="0"/>
          <w:lang w:val="en-GB"/>
        </w:rPr>
        <w:t xml:space="preserve"> that </w:t>
      </w:r>
      <w:r w:rsidR="002F2314" w:rsidRPr="00DA75D5">
        <w:rPr>
          <w:rFonts w:asciiTheme="minorHAnsi" w:hAnsiTheme="minorHAnsi"/>
          <w:snapToGrid w:val="0"/>
          <w:lang w:val="en-GB"/>
        </w:rPr>
        <w:t>mavacamten</w:t>
      </w:r>
      <w:r w:rsidR="002F2314" w:rsidRPr="00DA75D5">
        <w:rPr>
          <w:rFonts w:eastAsia="Calibri"/>
        </w:rPr>
        <w:t xml:space="preserve"> ± BB/CCB </w:t>
      </w:r>
      <w:r w:rsidR="00192398">
        <w:rPr>
          <w:rFonts w:eastAsia="Calibri"/>
        </w:rPr>
        <w:t xml:space="preserve">provided </w:t>
      </w:r>
      <w:r w:rsidR="00BC2E2C">
        <w:rPr>
          <w:rFonts w:eastAsia="Calibri"/>
        </w:rPr>
        <w:t>a</w:t>
      </w:r>
      <w:r w:rsidR="009576B8">
        <w:rPr>
          <w:rFonts w:eastAsia="Calibri"/>
        </w:rPr>
        <w:t>t least a</w:t>
      </w:r>
      <w:r w:rsidR="00BC2E2C">
        <w:rPr>
          <w:rFonts w:eastAsia="Calibri"/>
        </w:rPr>
        <w:t xml:space="preserve"> short-term, </w:t>
      </w:r>
      <w:r w:rsidR="009576B8">
        <w:rPr>
          <w:rFonts w:eastAsia="Calibri"/>
        </w:rPr>
        <w:t xml:space="preserve">but </w:t>
      </w:r>
      <w:r w:rsidR="00BC2E2C">
        <w:rPr>
          <w:rFonts w:eastAsia="Calibri"/>
        </w:rPr>
        <w:t xml:space="preserve">moderate </w:t>
      </w:r>
      <w:r w:rsidR="00192398">
        <w:rPr>
          <w:rFonts w:eastAsia="Calibri"/>
        </w:rPr>
        <w:t>clinical benefit over</w:t>
      </w:r>
      <w:r w:rsidR="002F2314" w:rsidRPr="00DA75D5">
        <w:rPr>
          <w:rFonts w:eastAsia="Calibri"/>
        </w:rPr>
        <w:t xml:space="preserve"> standard of care (BB/CCB)</w:t>
      </w:r>
      <w:r w:rsidR="00A75524">
        <w:rPr>
          <w:rFonts w:eastAsia="Calibri"/>
        </w:rPr>
        <w:t>,</w:t>
      </w:r>
      <w:r w:rsidR="00A51F07">
        <w:rPr>
          <w:rFonts w:eastAsia="Calibri"/>
        </w:rPr>
        <w:t xml:space="preserve"> </w:t>
      </w:r>
      <w:r w:rsidR="00A75524">
        <w:rPr>
          <w:rFonts w:eastAsia="Calibri"/>
        </w:rPr>
        <w:t xml:space="preserve">in terms of symptomatic improvement, </w:t>
      </w:r>
      <w:r w:rsidR="00A51F07">
        <w:rPr>
          <w:rFonts w:eastAsia="Calibri"/>
        </w:rPr>
        <w:t xml:space="preserve">but </w:t>
      </w:r>
      <w:r w:rsidR="00E5588D">
        <w:rPr>
          <w:iCs/>
        </w:rPr>
        <w:t xml:space="preserve">the </w:t>
      </w:r>
      <w:r w:rsidR="00E374AF">
        <w:rPr>
          <w:iCs/>
        </w:rPr>
        <w:t>long</w:t>
      </w:r>
      <w:r w:rsidR="00965A84">
        <w:rPr>
          <w:iCs/>
        </w:rPr>
        <w:t>er</w:t>
      </w:r>
      <w:r w:rsidR="00A75524">
        <w:rPr>
          <w:iCs/>
        </w:rPr>
        <w:noBreakHyphen/>
      </w:r>
      <w:r w:rsidR="00E374AF">
        <w:rPr>
          <w:iCs/>
        </w:rPr>
        <w:t xml:space="preserve">term </w:t>
      </w:r>
      <w:r w:rsidR="00E5588D">
        <w:rPr>
          <w:iCs/>
        </w:rPr>
        <w:t xml:space="preserve">clinical benefit and safety and the impact on </w:t>
      </w:r>
      <w:r w:rsidR="009D3807">
        <w:rPr>
          <w:iCs/>
        </w:rPr>
        <w:t xml:space="preserve">other </w:t>
      </w:r>
      <w:r w:rsidR="00E5588D">
        <w:rPr>
          <w:iCs/>
        </w:rPr>
        <w:t xml:space="preserve">patient-relevant clinical endpoints </w:t>
      </w:r>
      <w:r w:rsidR="009D3807">
        <w:rPr>
          <w:iCs/>
        </w:rPr>
        <w:t>such as hospitalisation</w:t>
      </w:r>
      <w:r w:rsidR="00A75524">
        <w:rPr>
          <w:iCs/>
        </w:rPr>
        <w:t xml:space="preserve">s or </w:t>
      </w:r>
      <w:r w:rsidR="009D3807">
        <w:rPr>
          <w:iCs/>
        </w:rPr>
        <w:t xml:space="preserve">mortality </w:t>
      </w:r>
      <w:r w:rsidR="00E374AF">
        <w:rPr>
          <w:iCs/>
        </w:rPr>
        <w:t xml:space="preserve">is </w:t>
      </w:r>
      <w:r w:rsidR="00723DCD" w:rsidRPr="00E5588D">
        <w:rPr>
          <w:iCs/>
        </w:rPr>
        <w:t>unknown.</w:t>
      </w:r>
      <w:r w:rsidR="002D1CDC" w:rsidRPr="00E5588D">
        <w:rPr>
          <w:iCs/>
        </w:rPr>
        <w:t xml:space="preserve"> </w:t>
      </w:r>
      <w:r w:rsidR="002D1CDC">
        <w:t xml:space="preserve">The PBAC considered that the </w:t>
      </w:r>
      <w:r w:rsidR="00965A84">
        <w:t xml:space="preserve">model relied on </w:t>
      </w:r>
      <w:r w:rsidR="00A75524">
        <w:t xml:space="preserve">highly uncertain and </w:t>
      </w:r>
      <w:r w:rsidR="00965A84">
        <w:t>optimistic assumptions regarding the long-term clinical benefit and the ICER</w:t>
      </w:r>
      <w:r w:rsidR="00965A84" w:rsidRPr="00155A36">
        <w:t xml:space="preserve"> presented in the submission </w:t>
      </w:r>
      <w:r w:rsidR="002D1CDC" w:rsidRPr="00155A36">
        <w:t>was underestimated</w:t>
      </w:r>
      <w:r w:rsidR="00965A84">
        <w:t xml:space="preserve">. </w:t>
      </w:r>
    </w:p>
    <w:bookmarkEnd w:id="68"/>
    <w:p w14:paraId="064CE95D" w14:textId="580083CF" w:rsidR="009273FA" w:rsidRPr="009273FA" w:rsidRDefault="00EA17BE" w:rsidP="009273FA">
      <w:pPr>
        <w:widowControl w:val="0"/>
        <w:numPr>
          <w:ilvl w:val="1"/>
          <w:numId w:val="1"/>
        </w:numPr>
        <w:spacing w:after="120"/>
        <w:rPr>
          <w:rFonts w:asciiTheme="minorHAnsi" w:hAnsiTheme="minorHAnsi"/>
          <w:bCs/>
          <w:snapToGrid w:val="0"/>
        </w:rPr>
      </w:pPr>
      <w:r>
        <w:t xml:space="preserve">The PBAC noted the consumer comments highlighting an unmet clinical need for effective new therapy options for patients </w:t>
      </w:r>
      <w:r>
        <w:rPr>
          <w:rFonts w:asciiTheme="minorHAnsi" w:hAnsiTheme="minorHAnsi"/>
          <w:bCs/>
          <w:snapToGrid w:val="0"/>
        </w:rPr>
        <w:t xml:space="preserve">not suitable </w:t>
      </w:r>
      <w:r w:rsidRPr="00D24456">
        <w:rPr>
          <w:rFonts w:asciiTheme="minorHAnsi" w:hAnsiTheme="minorHAnsi"/>
          <w:bCs/>
          <w:snapToGrid w:val="0"/>
        </w:rPr>
        <w:t xml:space="preserve">for </w:t>
      </w:r>
      <w:r>
        <w:rPr>
          <w:rFonts w:asciiTheme="minorHAnsi" w:hAnsiTheme="minorHAnsi"/>
          <w:bCs/>
          <w:snapToGrid w:val="0"/>
        </w:rPr>
        <w:t xml:space="preserve">invasive medical </w:t>
      </w:r>
      <w:r w:rsidRPr="00D24456">
        <w:rPr>
          <w:rFonts w:asciiTheme="minorHAnsi" w:hAnsiTheme="minorHAnsi"/>
          <w:bCs/>
          <w:snapToGrid w:val="0"/>
        </w:rPr>
        <w:t xml:space="preserve">procedures and/or non-respondent to current </w:t>
      </w:r>
      <w:r>
        <w:rPr>
          <w:rFonts w:asciiTheme="minorHAnsi" w:hAnsiTheme="minorHAnsi"/>
          <w:bCs/>
          <w:snapToGrid w:val="0"/>
        </w:rPr>
        <w:t xml:space="preserve">medical </w:t>
      </w:r>
      <w:r w:rsidRPr="00D24456">
        <w:rPr>
          <w:rFonts w:asciiTheme="minorHAnsi" w:hAnsiTheme="minorHAnsi"/>
          <w:bCs/>
          <w:snapToGrid w:val="0"/>
        </w:rPr>
        <w:t>therapies.</w:t>
      </w:r>
      <w:r w:rsidR="003D23E8">
        <w:rPr>
          <w:rFonts w:asciiTheme="minorHAnsi" w:hAnsiTheme="minorHAnsi"/>
          <w:bCs/>
          <w:snapToGrid w:val="0"/>
        </w:rPr>
        <w:t xml:space="preserve"> The PBAC noted the comments highlighted the </w:t>
      </w:r>
      <w:r w:rsidR="00BC2E2C">
        <w:rPr>
          <w:rFonts w:asciiTheme="minorHAnsi" w:hAnsiTheme="minorHAnsi"/>
          <w:bCs/>
          <w:snapToGrid w:val="0"/>
        </w:rPr>
        <w:t xml:space="preserve">significant </w:t>
      </w:r>
      <w:r w:rsidR="003D23E8">
        <w:rPr>
          <w:rFonts w:asciiTheme="minorHAnsi" w:hAnsiTheme="minorHAnsi"/>
          <w:bCs/>
          <w:snapToGrid w:val="0"/>
        </w:rPr>
        <w:t xml:space="preserve">quality of life benefits </w:t>
      </w:r>
      <w:r w:rsidR="00965A84">
        <w:rPr>
          <w:rFonts w:asciiTheme="minorHAnsi" w:hAnsiTheme="minorHAnsi"/>
          <w:bCs/>
          <w:snapToGrid w:val="0"/>
        </w:rPr>
        <w:t xml:space="preserve">expected </w:t>
      </w:r>
      <w:r w:rsidR="003D23E8">
        <w:rPr>
          <w:bCs/>
        </w:rPr>
        <w:t xml:space="preserve">with mavacamten therapy compared with standard of care and </w:t>
      </w:r>
      <w:r w:rsidR="003D23E8">
        <w:rPr>
          <w:rFonts w:asciiTheme="minorHAnsi" w:hAnsiTheme="minorHAnsi"/>
          <w:bCs/>
          <w:snapToGrid w:val="0"/>
        </w:rPr>
        <w:t>noted patients describ</w:t>
      </w:r>
      <w:r w:rsidR="00575F59">
        <w:rPr>
          <w:rFonts w:asciiTheme="minorHAnsi" w:hAnsiTheme="minorHAnsi"/>
          <w:bCs/>
          <w:snapToGrid w:val="0"/>
        </w:rPr>
        <w:t>e</w:t>
      </w:r>
      <w:r w:rsidR="003D23E8">
        <w:rPr>
          <w:rFonts w:asciiTheme="minorHAnsi" w:hAnsiTheme="minorHAnsi"/>
          <w:bCs/>
          <w:snapToGrid w:val="0"/>
        </w:rPr>
        <w:t xml:space="preserve"> feeling less fatigued and more able to engage in physical exercise when taking mavacamten compared with standard of care.</w:t>
      </w:r>
      <w:r w:rsidR="00E60118">
        <w:rPr>
          <w:rFonts w:asciiTheme="minorHAnsi" w:hAnsiTheme="minorHAnsi"/>
          <w:bCs/>
          <w:snapToGrid w:val="0"/>
        </w:rPr>
        <w:t xml:space="preserve"> The PBAC noted this aligned with the symptomatic improvement in the key trial.</w:t>
      </w:r>
    </w:p>
    <w:p w14:paraId="4C48659F" w14:textId="2A9BCEFE" w:rsidR="009273FA" w:rsidRDefault="009273FA" w:rsidP="009273FA">
      <w:pPr>
        <w:pStyle w:val="3-BodyText"/>
        <w:spacing w:before="120"/>
        <w:rPr>
          <w:color w:val="000000" w:themeColor="text1"/>
        </w:rPr>
      </w:pPr>
      <w:bookmarkStart w:id="69" w:name="_Ref120189152"/>
      <w:r w:rsidRPr="008D7B88">
        <w:rPr>
          <w:color w:val="000000" w:themeColor="text1"/>
        </w:rPr>
        <w:t>The submission requested a General Schedule Authority Required (Streamlined) listing for the initial and continuing restrictions of mavacamten. Given that mavacamten has a new mechanism of action (myosin inhibitor) and the restriction includes relatively complex clinical criteria defining symptomatic obstructive hypertrophic cardiomyopathy, the PBAC consider</w:t>
      </w:r>
      <w:r>
        <w:rPr>
          <w:color w:val="000000" w:themeColor="text1"/>
        </w:rPr>
        <w:t>ed</w:t>
      </w:r>
      <w:r w:rsidRPr="008D7B88">
        <w:rPr>
          <w:color w:val="000000" w:themeColor="text1"/>
        </w:rPr>
        <w:t xml:space="preserve"> </w:t>
      </w:r>
      <w:r>
        <w:rPr>
          <w:color w:val="000000" w:themeColor="text1"/>
        </w:rPr>
        <w:t xml:space="preserve">that a </w:t>
      </w:r>
      <w:r w:rsidRPr="000B09B9">
        <w:rPr>
          <w:color w:val="000000" w:themeColor="text1"/>
        </w:rPr>
        <w:t>written authority listing for</w:t>
      </w:r>
      <w:r>
        <w:rPr>
          <w:color w:val="000000" w:themeColor="text1"/>
        </w:rPr>
        <w:t xml:space="preserve"> initial therapy was appropriate. For continuing therapy, the PBAC considered a </w:t>
      </w:r>
      <w:r w:rsidRPr="000B09B9">
        <w:rPr>
          <w:color w:val="000000" w:themeColor="text1"/>
        </w:rPr>
        <w:t>telephone/online PBS authority</w:t>
      </w:r>
      <w:r>
        <w:rPr>
          <w:color w:val="000000" w:themeColor="text1"/>
        </w:rPr>
        <w:t xml:space="preserve"> </w:t>
      </w:r>
      <w:r w:rsidRPr="008D7B88">
        <w:rPr>
          <w:color w:val="000000" w:themeColor="text1"/>
        </w:rPr>
        <w:t xml:space="preserve">was </w:t>
      </w:r>
      <w:r w:rsidR="0020613B">
        <w:rPr>
          <w:color w:val="000000" w:themeColor="text1"/>
        </w:rPr>
        <w:t>required</w:t>
      </w:r>
      <w:r>
        <w:rPr>
          <w:color w:val="000000" w:themeColor="text1"/>
        </w:rPr>
        <w:t xml:space="preserve"> </w:t>
      </w:r>
      <w:r w:rsidRPr="008D7B88">
        <w:rPr>
          <w:color w:val="000000" w:themeColor="text1"/>
        </w:rPr>
        <w:t xml:space="preserve">given </w:t>
      </w:r>
      <w:r w:rsidR="0020613B">
        <w:rPr>
          <w:color w:val="000000" w:themeColor="text1"/>
        </w:rPr>
        <w:t xml:space="preserve">the proposed </w:t>
      </w:r>
      <w:r w:rsidRPr="008D7B88">
        <w:rPr>
          <w:color w:val="000000" w:themeColor="text1"/>
        </w:rPr>
        <w:t>assessments for monitoring will require echocardiograms and treatment by cardiologists or consultant physicians with experience in the management of hypertrophic cardiomyopathy.</w:t>
      </w:r>
      <w:bookmarkEnd w:id="69"/>
      <w:r w:rsidRPr="008D7B88">
        <w:rPr>
          <w:color w:val="000000" w:themeColor="text1"/>
        </w:rPr>
        <w:t xml:space="preserve">  </w:t>
      </w:r>
    </w:p>
    <w:p w14:paraId="46D7A2B4" w14:textId="6DC93D95" w:rsidR="00BD3F97" w:rsidRPr="006A2EA6" w:rsidRDefault="00594820" w:rsidP="00744610">
      <w:pPr>
        <w:pStyle w:val="3-BodyText"/>
      </w:pPr>
      <w:r>
        <w:t xml:space="preserve">The PBAC noted that the </w:t>
      </w:r>
      <w:r w:rsidRPr="001E02EF">
        <w:rPr>
          <w:color w:val="000000" w:themeColor="text1"/>
        </w:rPr>
        <w:t>proposed PBS restriction for mavacamten is broader than the inclusion criteria in the key clinical trial (EXPLORER-HCM)</w:t>
      </w:r>
      <w:r w:rsidR="00907988" w:rsidRPr="001E02EF">
        <w:rPr>
          <w:color w:val="000000" w:themeColor="text1"/>
        </w:rPr>
        <w:t xml:space="preserve"> and agreed with the ESC </w:t>
      </w:r>
      <w:r w:rsidR="00907988" w:rsidRPr="001E02EF">
        <w:rPr>
          <w:iCs/>
        </w:rPr>
        <w:t>that the restriction should reflect the higher peak LVOT gradient from the EXPLORER-HCM trial (</w:t>
      </w:r>
      <w:r w:rsidR="00C517A7" w:rsidRPr="008337C9">
        <w:t>≥</w:t>
      </w:r>
      <w:r w:rsidR="00907988" w:rsidRPr="001E02EF">
        <w:rPr>
          <w:iCs/>
        </w:rPr>
        <w:t>50</w:t>
      </w:r>
      <w:r w:rsidR="00432C1F">
        <w:rPr>
          <w:iCs/>
        </w:rPr>
        <w:t> </w:t>
      </w:r>
      <w:r w:rsidR="00907988" w:rsidRPr="001E02EF">
        <w:rPr>
          <w:iCs/>
        </w:rPr>
        <w:t>mmHg</w:t>
      </w:r>
      <w:r w:rsidR="00C517A7" w:rsidRPr="00C517A7">
        <w:t xml:space="preserve"> </w:t>
      </w:r>
      <w:r w:rsidR="00C517A7" w:rsidRPr="008337C9">
        <w:t>at rest,</w:t>
      </w:r>
      <w:r w:rsidR="00C517A7" w:rsidRPr="001E02EF">
        <w:rPr>
          <w:iCs/>
        </w:rPr>
        <w:t xml:space="preserve"> after Valsalva manoeuvre</w:t>
      </w:r>
      <w:r w:rsidR="00C517A7" w:rsidRPr="008337C9">
        <w:t xml:space="preserve"> </w:t>
      </w:r>
      <w:r w:rsidR="00C517A7" w:rsidRPr="001E02EF">
        <w:rPr>
          <w:iCs/>
        </w:rPr>
        <w:t>or exercise</w:t>
      </w:r>
      <w:r w:rsidR="00907988" w:rsidRPr="001E02EF">
        <w:rPr>
          <w:iCs/>
        </w:rPr>
        <w:t>).</w:t>
      </w:r>
      <w:r w:rsidR="001E02EF">
        <w:rPr>
          <w:iCs/>
          <w:color w:val="000000" w:themeColor="text1"/>
        </w:rPr>
        <w:t xml:space="preserve"> </w:t>
      </w:r>
      <w:r w:rsidR="00745D07" w:rsidRPr="001E02EF">
        <w:rPr>
          <w:iCs/>
          <w:color w:val="000000" w:themeColor="text1"/>
        </w:rPr>
        <w:t xml:space="preserve">The PBAC </w:t>
      </w:r>
      <w:r w:rsidR="006A2EA6">
        <w:rPr>
          <w:iCs/>
          <w:color w:val="000000" w:themeColor="text1"/>
        </w:rPr>
        <w:t xml:space="preserve">also </w:t>
      </w:r>
      <w:r w:rsidR="00745D07" w:rsidRPr="001E02EF">
        <w:rPr>
          <w:color w:val="000000" w:themeColor="text1"/>
        </w:rPr>
        <w:t xml:space="preserve">considered </w:t>
      </w:r>
      <w:r w:rsidR="00575F59">
        <w:rPr>
          <w:color w:val="000000" w:themeColor="text1"/>
        </w:rPr>
        <w:t>removal of the proposed restriction allowing the use of mavacamten prior to BB treatment (where local guidelines allow it)</w:t>
      </w:r>
      <w:r w:rsidR="00575F59" w:rsidRPr="001E02EF">
        <w:rPr>
          <w:color w:val="000000" w:themeColor="text1"/>
        </w:rPr>
        <w:t xml:space="preserve"> </w:t>
      </w:r>
      <w:r w:rsidR="00745D07" w:rsidRPr="001E02EF">
        <w:rPr>
          <w:color w:val="000000" w:themeColor="text1"/>
        </w:rPr>
        <w:t>was appropriate.</w:t>
      </w:r>
    </w:p>
    <w:p w14:paraId="3225B454" w14:textId="58A8C175" w:rsidR="000E7F47" w:rsidRPr="00A116DA" w:rsidRDefault="00BF4091" w:rsidP="00BF4091">
      <w:pPr>
        <w:pStyle w:val="3-BodyText"/>
        <w:rPr>
          <w:snapToGrid/>
          <w:lang w:val="en-US"/>
        </w:rPr>
      </w:pPr>
      <w:r>
        <w:rPr>
          <w:snapToGrid/>
          <w:lang w:val="en-US"/>
        </w:rPr>
        <w:t xml:space="preserve">The submission nominated the comparator as current standard of care (SOC), which is </w:t>
      </w:r>
      <w:r w:rsidR="0020613B">
        <w:rPr>
          <w:snapToGrid/>
          <w:lang w:val="en-US"/>
        </w:rPr>
        <w:t xml:space="preserve">a </w:t>
      </w:r>
      <w:r>
        <w:rPr>
          <w:snapToGrid/>
          <w:lang w:val="en-US"/>
        </w:rPr>
        <w:t xml:space="preserve">BB or non-dihydropyridine CCB. </w:t>
      </w:r>
      <w:r w:rsidR="00CC03B5">
        <w:rPr>
          <w:snapToGrid/>
          <w:lang w:val="en-US"/>
        </w:rPr>
        <w:t xml:space="preserve">The PBAC noted that this comparator was consistent with the key EXPLORER-HCM trial and </w:t>
      </w:r>
      <w:r w:rsidR="00CC03B5">
        <w:t>agreed with the ESC</w:t>
      </w:r>
      <w:r w:rsidR="000E7F47">
        <w:t xml:space="preserve"> that</w:t>
      </w:r>
      <w:r w:rsidR="00CC03B5">
        <w:t xml:space="preserve"> disopyramide </w:t>
      </w:r>
      <w:r w:rsidR="001E02EF">
        <w:t xml:space="preserve">and SRT </w:t>
      </w:r>
      <w:r w:rsidR="00CC03B5">
        <w:t>w</w:t>
      </w:r>
      <w:r w:rsidR="001E02EF">
        <w:t>ere</w:t>
      </w:r>
      <w:r w:rsidR="00CC03B5">
        <w:t xml:space="preserve"> </w:t>
      </w:r>
      <w:r w:rsidR="001E02EF">
        <w:t>not</w:t>
      </w:r>
      <w:r w:rsidR="00CC03B5">
        <w:t xml:space="preserve"> </w:t>
      </w:r>
      <w:r w:rsidR="001E02EF">
        <w:t xml:space="preserve">relevant </w:t>
      </w:r>
      <w:r w:rsidR="00CC03B5">
        <w:t>comparator</w:t>
      </w:r>
      <w:r w:rsidR="001E02EF">
        <w:t>s</w:t>
      </w:r>
      <w:r w:rsidR="00CC03B5">
        <w:t>. The PBAC noted that</w:t>
      </w:r>
      <w:r w:rsidR="000E7F47">
        <w:t xml:space="preserve"> </w:t>
      </w:r>
      <w:r w:rsidR="000E7F47" w:rsidRPr="00BF4091">
        <w:rPr>
          <w:iCs/>
          <w:snapToGrid/>
          <w:lang w:val="en-US"/>
        </w:rPr>
        <w:t xml:space="preserve">there </w:t>
      </w:r>
      <w:r w:rsidR="009F6A1C">
        <w:rPr>
          <w:iCs/>
          <w:snapToGrid/>
          <w:lang w:val="en-US"/>
        </w:rPr>
        <w:t>wa</w:t>
      </w:r>
      <w:r w:rsidR="00CC03B5">
        <w:rPr>
          <w:iCs/>
          <w:snapToGrid/>
          <w:lang w:val="en-US"/>
        </w:rPr>
        <w:t>s</w:t>
      </w:r>
      <w:r w:rsidR="000E7F47" w:rsidRPr="00BF4091">
        <w:rPr>
          <w:iCs/>
          <w:snapToGrid/>
          <w:lang w:val="en-US"/>
        </w:rPr>
        <w:t xml:space="preserve"> limited clinical efficacy data available for </w:t>
      </w:r>
      <w:r w:rsidR="000E7F47">
        <w:t>disopyramide in obstructive HCM</w:t>
      </w:r>
      <w:r w:rsidR="000E7F47" w:rsidRPr="00BF4091">
        <w:rPr>
          <w:iCs/>
          <w:snapToGrid/>
          <w:lang w:val="en-US"/>
        </w:rPr>
        <w:t xml:space="preserve"> and </w:t>
      </w:r>
      <w:r w:rsidR="00CC03B5">
        <w:rPr>
          <w:iCs/>
          <w:snapToGrid/>
          <w:lang w:val="en-US"/>
        </w:rPr>
        <w:t>also noted that</w:t>
      </w:r>
      <w:r w:rsidR="000E7F47" w:rsidRPr="00BF4091">
        <w:rPr>
          <w:iCs/>
          <w:snapToGrid/>
          <w:lang w:val="en-US"/>
        </w:rPr>
        <w:t xml:space="preserve"> </w:t>
      </w:r>
      <w:r w:rsidR="0020613B">
        <w:rPr>
          <w:iCs/>
          <w:snapToGrid/>
          <w:lang w:val="en-US"/>
        </w:rPr>
        <w:t xml:space="preserve">it </w:t>
      </w:r>
      <w:r w:rsidR="00613F30">
        <w:rPr>
          <w:iCs/>
          <w:snapToGrid/>
          <w:lang w:val="en-US"/>
        </w:rPr>
        <w:t>was</w:t>
      </w:r>
      <w:r w:rsidR="00CC03B5">
        <w:rPr>
          <w:iCs/>
          <w:snapToGrid/>
          <w:lang w:val="en-US"/>
        </w:rPr>
        <w:t xml:space="preserve"> </w:t>
      </w:r>
      <w:r w:rsidR="000E7F47" w:rsidRPr="00BF4091">
        <w:rPr>
          <w:iCs/>
          <w:snapToGrid/>
          <w:lang w:val="en-US"/>
        </w:rPr>
        <w:t xml:space="preserve">not approved for this indication in Australia. The PBAC also considered that </w:t>
      </w:r>
      <w:r w:rsidR="000E7F47">
        <w:t xml:space="preserve">in clinical practice, disopyramide is rarely used for patients with obstructive HCM and is often poorly tolerated. </w:t>
      </w:r>
      <w:r w:rsidR="001E02EF">
        <w:t>Similarly, SRT is rarely used in practice</w:t>
      </w:r>
      <w:r w:rsidR="00A75524">
        <w:t xml:space="preserve">, </w:t>
      </w:r>
      <w:r w:rsidR="00A75524">
        <w:lastRenderedPageBreak/>
        <w:t xml:space="preserve">even where patients </w:t>
      </w:r>
      <w:r w:rsidR="007B2866">
        <w:t>are considered eligible,</w:t>
      </w:r>
      <w:r w:rsidR="001E02EF">
        <w:t xml:space="preserve"> and is available at specialised centres only. </w:t>
      </w:r>
      <w:r w:rsidR="000E7F47">
        <w:t xml:space="preserve">For </w:t>
      </w:r>
      <w:r w:rsidR="00B723B5">
        <w:t>these</w:t>
      </w:r>
      <w:r w:rsidR="000E7F47">
        <w:t xml:space="preserve"> reason</w:t>
      </w:r>
      <w:r w:rsidR="00B723B5">
        <w:t>s</w:t>
      </w:r>
      <w:r w:rsidR="000E7F47">
        <w:t xml:space="preserve">, the PBAC considered that current SOC was the appropriate comparator. </w:t>
      </w:r>
    </w:p>
    <w:p w14:paraId="3BB35C8E" w14:textId="7EC20D98" w:rsidR="001B44E0" w:rsidRDefault="00910C92" w:rsidP="005E0008">
      <w:pPr>
        <w:pStyle w:val="3-BodyText"/>
      </w:pPr>
      <w:r>
        <w:t xml:space="preserve">The primary clinical evidence supporting the clinical claim was the EXPLORER-HCM clinical trial (N=251) comparing </w:t>
      </w:r>
      <w:r w:rsidR="006F3116" w:rsidRPr="003D2A58">
        <w:rPr>
          <w:snapToGrid/>
          <w:lang w:val="en-US"/>
        </w:rPr>
        <w:t>mavacamten (</w:t>
      </w:r>
      <w:r w:rsidR="006F3116">
        <w:t>+/- BB/CCB)</w:t>
      </w:r>
      <w:r w:rsidR="006F3116" w:rsidRPr="003D2A58">
        <w:rPr>
          <w:rFonts w:cs="Tahoma"/>
        </w:rPr>
        <w:t xml:space="preserve"> </w:t>
      </w:r>
      <w:r w:rsidR="006F3116" w:rsidRPr="003D2A58">
        <w:rPr>
          <w:snapToGrid/>
          <w:lang w:val="en-US"/>
        </w:rPr>
        <w:t>with placebo (</w:t>
      </w:r>
      <w:r w:rsidR="006F3116">
        <w:t xml:space="preserve">+/- BB/CCB) in patients with </w:t>
      </w:r>
      <w:r w:rsidR="006F3116" w:rsidRPr="003D2A58">
        <w:rPr>
          <w:lang w:val="en-US"/>
        </w:rPr>
        <w:t>symptomatic obstructive HCM (NYHA II-III and LVOT ≥50mmHg).</w:t>
      </w:r>
      <w:r w:rsidR="00B723B5" w:rsidRPr="003D2A58">
        <w:rPr>
          <w:lang w:val="en-US"/>
        </w:rPr>
        <w:t xml:space="preserve"> The PBAC noted </w:t>
      </w:r>
      <w:r w:rsidR="00B723B5" w:rsidRPr="00CF0C33">
        <w:rPr>
          <w:szCs w:val="20"/>
        </w:rPr>
        <w:t>the pivotal trial was small (N=251) and had a short d</w:t>
      </w:r>
      <w:r w:rsidR="00B723B5" w:rsidRPr="003D2A58">
        <w:rPr>
          <w:szCs w:val="20"/>
        </w:rPr>
        <w:t>uration of comparative follow-up (30 weeks)</w:t>
      </w:r>
      <w:r w:rsidR="00A116DA" w:rsidRPr="00CF0C33">
        <w:rPr>
          <w:szCs w:val="20"/>
        </w:rPr>
        <w:t>. I</w:t>
      </w:r>
      <w:r w:rsidR="007067AA" w:rsidRPr="00CF0C33">
        <w:rPr>
          <w:szCs w:val="20"/>
        </w:rPr>
        <w:t xml:space="preserve">t therefore considered </w:t>
      </w:r>
      <w:r w:rsidR="00B723B5" w:rsidRPr="00CF0C33">
        <w:rPr>
          <w:szCs w:val="20"/>
        </w:rPr>
        <w:t>the long-term comparative effectiveness and sa</w:t>
      </w:r>
      <w:r w:rsidR="00B723B5" w:rsidRPr="003D2A58">
        <w:rPr>
          <w:szCs w:val="20"/>
        </w:rPr>
        <w:t xml:space="preserve">fety </w:t>
      </w:r>
      <w:r w:rsidR="00A116DA" w:rsidRPr="00CF0C33">
        <w:rPr>
          <w:szCs w:val="20"/>
        </w:rPr>
        <w:t>associated with</w:t>
      </w:r>
      <w:r w:rsidR="00B723B5" w:rsidRPr="00CF0C33">
        <w:rPr>
          <w:szCs w:val="20"/>
        </w:rPr>
        <w:t xml:space="preserve"> </w:t>
      </w:r>
      <w:r w:rsidR="00B723B5" w:rsidRPr="00CF0C33">
        <w:rPr>
          <w:lang w:val="en-GB"/>
        </w:rPr>
        <w:t>mavacamten</w:t>
      </w:r>
      <w:r w:rsidR="00B723B5" w:rsidRPr="00CF0C33">
        <w:rPr>
          <w:rFonts w:eastAsia="Calibri"/>
        </w:rPr>
        <w:t xml:space="preserve"> ± BB/CCB </w:t>
      </w:r>
      <w:r w:rsidR="00A116DA" w:rsidRPr="00CF0C33">
        <w:rPr>
          <w:rFonts w:eastAsia="Calibri"/>
        </w:rPr>
        <w:t xml:space="preserve">treatment </w:t>
      </w:r>
      <w:r w:rsidR="007067AA" w:rsidRPr="00CF0C33">
        <w:rPr>
          <w:rFonts w:eastAsia="Calibri"/>
        </w:rPr>
        <w:t>versus</w:t>
      </w:r>
      <w:r w:rsidR="00B723B5" w:rsidRPr="00CF0C33">
        <w:rPr>
          <w:rFonts w:eastAsia="Calibri"/>
        </w:rPr>
        <w:t xml:space="preserve"> standard of care </w:t>
      </w:r>
      <w:r w:rsidR="009576B8">
        <w:rPr>
          <w:rFonts w:eastAsia="Calibri"/>
        </w:rPr>
        <w:t xml:space="preserve">was </w:t>
      </w:r>
      <w:r w:rsidR="00B723B5" w:rsidRPr="003D2A58">
        <w:rPr>
          <w:rFonts w:eastAsia="Calibri"/>
        </w:rPr>
        <w:t xml:space="preserve">unknown. The PBAC also noted that </w:t>
      </w:r>
      <w:r w:rsidR="007067AA" w:rsidRPr="003D2A58">
        <w:rPr>
          <w:rFonts w:eastAsia="Calibri"/>
        </w:rPr>
        <w:t xml:space="preserve">the pivotal trial reported </w:t>
      </w:r>
      <w:r w:rsidR="00EF409C" w:rsidRPr="003D2A58">
        <w:rPr>
          <w:rFonts w:eastAsia="Calibri"/>
        </w:rPr>
        <w:t xml:space="preserve">on </w:t>
      </w:r>
      <w:r w:rsidR="007067AA" w:rsidRPr="000F0E79">
        <w:rPr>
          <w:rFonts w:eastAsia="Calibri"/>
        </w:rPr>
        <w:t>symptomatic/functional endpoints</w:t>
      </w:r>
      <w:r w:rsidR="006551E3" w:rsidRPr="003D2A58">
        <w:rPr>
          <w:rFonts w:eastAsia="Calibri"/>
        </w:rPr>
        <w:t xml:space="preserve"> only</w:t>
      </w:r>
      <w:r w:rsidR="003D2A58" w:rsidRPr="003D2A58">
        <w:rPr>
          <w:rFonts w:eastAsia="Calibri"/>
        </w:rPr>
        <w:t xml:space="preserve">. </w:t>
      </w:r>
      <w:r w:rsidR="000F0E79">
        <w:rPr>
          <w:rFonts w:eastAsia="Calibri"/>
        </w:rPr>
        <w:t>T</w:t>
      </w:r>
      <w:r w:rsidR="003D2A58" w:rsidRPr="003D2A58">
        <w:rPr>
          <w:rFonts w:eastAsia="Calibri"/>
        </w:rPr>
        <w:t xml:space="preserve">he PBAC </w:t>
      </w:r>
      <w:r w:rsidR="000F0E79">
        <w:rPr>
          <w:rFonts w:eastAsia="Calibri"/>
        </w:rPr>
        <w:t>consider</w:t>
      </w:r>
      <w:r w:rsidR="003D2A58" w:rsidRPr="003D2A58">
        <w:rPr>
          <w:rFonts w:eastAsia="Calibri"/>
        </w:rPr>
        <w:t xml:space="preserve">ed </w:t>
      </w:r>
      <w:r w:rsidR="003D2A58" w:rsidRPr="003D2A58">
        <w:rPr>
          <w:szCs w:val="20"/>
        </w:rPr>
        <w:t>mav</w:t>
      </w:r>
      <w:r w:rsidR="00844FBD">
        <w:rPr>
          <w:szCs w:val="20"/>
        </w:rPr>
        <w:t>a</w:t>
      </w:r>
      <w:r w:rsidR="003D2A58" w:rsidRPr="003D2A58">
        <w:rPr>
          <w:szCs w:val="20"/>
        </w:rPr>
        <w:t>camten provided only a moderate improvement in outcomes, with 63.4% of mavacamten patients failing to meet the primary endpoint (</w:t>
      </w:r>
      <w:r w:rsidR="006E28AB" w:rsidRPr="003D2A58">
        <w:rPr>
          <w:szCs w:val="20"/>
        </w:rPr>
        <w:t>i.e.</w:t>
      </w:r>
      <w:r w:rsidR="003D2A58" w:rsidRPr="003D2A58">
        <w:rPr>
          <w:szCs w:val="20"/>
        </w:rPr>
        <w:t xml:space="preserve"> a composite of functional endpoints); 35% did not improve NYHA class;</w:t>
      </w:r>
      <w:r w:rsidR="003D2A58">
        <w:rPr>
          <w:szCs w:val="20"/>
        </w:rPr>
        <w:t xml:space="preserve"> </w:t>
      </w:r>
      <w:r w:rsidR="003D2A58" w:rsidRPr="003D2A58">
        <w:rPr>
          <w:szCs w:val="20"/>
        </w:rPr>
        <w:t>and 4</w:t>
      </w:r>
      <w:r w:rsidR="00F75502">
        <w:rPr>
          <w:szCs w:val="20"/>
        </w:rPr>
        <w:t>9</w:t>
      </w:r>
      <w:r w:rsidR="003D2A58" w:rsidRPr="003D2A58">
        <w:rPr>
          <w:szCs w:val="20"/>
        </w:rPr>
        <w:t>% remained NYHA II/III (</w:t>
      </w:r>
      <w:r w:rsidR="006E28AB" w:rsidRPr="003D2A58">
        <w:rPr>
          <w:szCs w:val="20"/>
        </w:rPr>
        <w:t>i.e.</w:t>
      </w:r>
      <w:r w:rsidR="003D2A58" w:rsidRPr="003D2A58">
        <w:rPr>
          <w:szCs w:val="20"/>
        </w:rPr>
        <w:t xml:space="preserve"> symptomatic)</w:t>
      </w:r>
      <w:r w:rsidR="004A7E03" w:rsidRPr="003D2A58">
        <w:rPr>
          <w:szCs w:val="20"/>
        </w:rPr>
        <w:t>. It was noted the goal of therapy is symptomatic improvement, preferably through reduction in disease severity</w:t>
      </w:r>
      <w:r w:rsidR="000F0E79">
        <w:rPr>
          <w:szCs w:val="20"/>
        </w:rPr>
        <w:t>.</w:t>
      </w:r>
      <w:r w:rsidR="004A7E03" w:rsidRPr="003D2A58">
        <w:rPr>
          <w:szCs w:val="20"/>
        </w:rPr>
        <w:t xml:space="preserve"> </w:t>
      </w:r>
      <w:r w:rsidR="000F0E79">
        <w:rPr>
          <w:szCs w:val="20"/>
        </w:rPr>
        <w:t>T</w:t>
      </w:r>
      <w:r w:rsidR="00103419" w:rsidRPr="003D2A58">
        <w:rPr>
          <w:szCs w:val="20"/>
        </w:rPr>
        <w:t>he</w:t>
      </w:r>
      <w:r w:rsidR="00103419" w:rsidRPr="003D2A58">
        <w:rPr>
          <w:rFonts w:eastAsia="Calibri"/>
        </w:rPr>
        <w:t xml:space="preserve"> effect mavacamten has on </w:t>
      </w:r>
      <w:r w:rsidR="006551E3" w:rsidRPr="003D2A58">
        <w:rPr>
          <w:rFonts w:eastAsia="Calibri"/>
        </w:rPr>
        <w:t xml:space="preserve">other patient relevant outcomes </w:t>
      </w:r>
      <w:r w:rsidR="00103419" w:rsidRPr="003D2A58">
        <w:rPr>
          <w:rFonts w:eastAsia="Calibri"/>
        </w:rPr>
        <w:t xml:space="preserve">such as hospitalisation and </w:t>
      </w:r>
      <w:r w:rsidR="00D9416D" w:rsidRPr="003D2A58">
        <w:rPr>
          <w:rFonts w:eastAsia="Calibri"/>
        </w:rPr>
        <w:t>mortality</w:t>
      </w:r>
      <w:r w:rsidR="00103419" w:rsidRPr="003D2A58">
        <w:rPr>
          <w:rFonts w:eastAsia="Calibri"/>
        </w:rPr>
        <w:t xml:space="preserve"> </w:t>
      </w:r>
      <w:r w:rsidR="008F779F" w:rsidRPr="00CF0C33">
        <w:rPr>
          <w:rFonts w:eastAsia="Calibri"/>
        </w:rPr>
        <w:t xml:space="preserve">cannot be practically evaluated in </w:t>
      </w:r>
      <w:r w:rsidR="009D3807" w:rsidRPr="00CF0C33">
        <w:rPr>
          <w:rFonts w:eastAsia="Calibri"/>
        </w:rPr>
        <w:t xml:space="preserve">trials in </w:t>
      </w:r>
      <w:r w:rsidR="008F779F" w:rsidRPr="00CF0C33">
        <w:rPr>
          <w:rFonts w:eastAsia="Calibri"/>
        </w:rPr>
        <w:t>HCM patients because events are rare</w:t>
      </w:r>
      <w:r w:rsidR="00103419" w:rsidRPr="00CF0C33">
        <w:rPr>
          <w:rFonts w:eastAsia="Calibri"/>
        </w:rPr>
        <w:t>.</w:t>
      </w:r>
      <w:r w:rsidR="004A7E03" w:rsidRPr="00CF0C33">
        <w:rPr>
          <w:rFonts w:eastAsia="Calibri"/>
        </w:rPr>
        <w:t xml:space="preserve"> Furthermore, although obstruction is a risk predictor for sudden cardiac death in HCM, there is no</w:t>
      </w:r>
      <w:r w:rsidR="004A7E03" w:rsidRPr="003D2A58">
        <w:rPr>
          <w:rFonts w:eastAsia="Calibri"/>
        </w:rPr>
        <w:t xml:space="preserve"> evidence that these deaths would be reduced with mavacamten and</w:t>
      </w:r>
      <w:r w:rsidR="009576B8">
        <w:rPr>
          <w:rFonts w:eastAsia="Calibri"/>
        </w:rPr>
        <w:t>,</w:t>
      </w:r>
      <w:r w:rsidR="004A7E03" w:rsidRPr="003D2A58">
        <w:rPr>
          <w:rFonts w:eastAsia="Calibri"/>
        </w:rPr>
        <w:t xml:space="preserve"> as </w:t>
      </w:r>
      <w:r w:rsidR="000F0E79">
        <w:rPr>
          <w:rFonts w:eastAsia="Calibri"/>
        </w:rPr>
        <w:t xml:space="preserve">was </w:t>
      </w:r>
      <w:r w:rsidR="004A7E03" w:rsidRPr="000F0E79">
        <w:rPr>
          <w:rFonts w:eastAsia="Calibri"/>
        </w:rPr>
        <w:t>noted by the ESC</w:t>
      </w:r>
      <w:r w:rsidR="000F0E79">
        <w:rPr>
          <w:rFonts w:eastAsia="Calibri"/>
        </w:rPr>
        <w:t>,</w:t>
      </w:r>
      <w:r w:rsidR="004A7E03" w:rsidRPr="000F0E79">
        <w:rPr>
          <w:rFonts w:eastAsia="Calibri"/>
        </w:rPr>
        <w:t xml:space="preserve"> patients with HCM are expected to have normal life expectancy</w:t>
      </w:r>
      <w:r w:rsidR="004A7E03" w:rsidRPr="00CF0C33">
        <w:rPr>
          <w:rFonts w:eastAsia="Calibri"/>
        </w:rPr>
        <w:t>; mavacamten is therefore not expected to provide mortality benefits.</w:t>
      </w:r>
      <w:r w:rsidR="004A7E03" w:rsidRPr="003D2A58">
        <w:rPr>
          <w:rFonts w:eastAsia="Calibri"/>
        </w:rPr>
        <w:t xml:space="preserve"> </w:t>
      </w:r>
    </w:p>
    <w:p w14:paraId="60027692" w14:textId="358938F3" w:rsidR="001B44E0" w:rsidRPr="00DE6FDE" w:rsidRDefault="00AC0E47" w:rsidP="001B44E0">
      <w:pPr>
        <w:pStyle w:val="3-BodyText"/>
      </w:pPr>
      <w:r>
        <w:rPr>
          <w:szCs w:val="20"/>
        </w:rPr>
        <w:t>T</w:t>
      </w:r>
      <w:r w:rsidRPr="001B44E0">
        <w:rPr>
          <w:szCs w:val="20"/>
        </w:rPr>
        <w:t xml:space="preserve">he PBAC considered the claim of non-inferior safety </w:t>
      </w:r>
      <w:r w:rsidR="006551E3">
        <w:rPr>
          <w:szCs w:val="20"/>
        </w:rPr>
        <w:t xml:space="preserve">compared with SOC </w:t>
      </w:r>
      <w:r w:rsidRPr="001B44E0">
        <w:rPr>
          <w:szCs w:val="20"/>
        </w:rPr>
        <w:t>was not adequately supported by the data</w:t>
      </w:r>
      <w:r w:rsidR="009D3807">
        <w:rPr>
          <w:szCs w:val="20"/>
        </w:rPr>
        <w:t xml:space="preserve"> and was not reasonable for a</w:t>
      </w:r>
      <w:r w:rsidR="006551E3">
        <w:rPr>
          <w:szCs w:val="20"/>
        </w:rPr>
        <w:t xml:space="preserve"> treatment used primarily as an</w:t>
      </w:r>
      <w:r w:rsidR="009D3807">
        <w:rPr>
          <w:szCs w:val="20"/>
        </w:rPr>
        <w:t xml:space="preserve"> add-on t</w:t>
      </w:r>
      <w:r w:rsidR="006551E3">
        <w:rPr>
          <w:szCs w:val="20"/>
        </w:rPr>
        <w:t>o SOC</w:t>
      </w:r>
      <w:r w:rsidRPr="001B44E0">
        <w:rPr>
          <w:szCs w:val="20"/>
        </w:rPr>
        <w:t>.</w:t>
      </w:r>
      <w:r>
        <w:rPr>
          <w:szCs w:val="20"/>
        </w:rPr>
        <w:t xml:space="preserve"> </w:t>
      </w:r>
      <w:r w:rsidR="001B44E0" w:rsidRPr="001B44E0">
        <w:rPr>
          <w:szCs w:val="20"/>
        </w:rPr>
        <w:t xml:space="preserve">The PBAC noted that </w:t>
      </w:r>
      <w:r w:rsidR="001B44E0">
        <w:rPr>
          <w:iCs/>
        </w:rPr>
        <w:t>a</w:t>
      </w:r>
      <w:r w:rsidR="001B44E0" w:rsidRPr="001B44E0">
        <w:rPr>
          <w:iCs/>
        </w:rPr>
        <w:t xml:space="preserve"> greater proportion of patients in the mavacamten arm (87.8%) experienced at least one </w:t>
      </w:r>
      <w:r w:rsidR="007D2367">
        <w:rPr>
          <w:iCs/>
        </w:rPr>
        <w:t>treatment-emergent adverse event (</w:t>
      </w:r>
      <w:r w:rsidR="001B44E0" w:rsidRPr="001B44E0">
        <w:rPr>
          <w:iCs/>
        </w:rPr>
        <w:t>TEAE</w:t>
      </w:r>
      <w:r w:rsidR="007D2367">
        <w:rPr>
          <w:iCs/>
        </w:rPr>
        <w:t>)</w:t>
      </w:r>
      <w:r w:rsidR="001B44E0" w:rsidRPr="001B44E0">
        <w:rPr>
          <w:iCs/>
        </w:rPr>
        <w:t xml:space="preserve"> compared with the placebo arm (78.9%)</w:t>
      </w:r>
      <w:r w:rsidR="001B44E0">
        <w:rPr>
          <w:iCs/>
        </w:rPr>
        <w:t>.</w:t>
      </w:r>
      <w:r w:rsidR="001B44E0">
        <w:t xml:space="preserve"> </w:t>
      </w:r>
      <w:r w:rsidR="00822DED">
        <w:t>T</w:t>
      </w:r>
      <w:r w:rsidR="001B44E0">
        <w:t>he PBAC considered</w:t>
      </w:r>
      <w:r>
        <w:t xml:space="preserve"> </w:t>
      </w:r>
      <w:r w:rsidR="007D2367">
        <w:t xml:space="preserve">that the </w:t>
      </w:r>
      <w:r w:rsidR="007D2367" w:rsidRPr="00F72968">
        <w:rPr>
          <w:iCs/>
        </w:rPr>
        <w:t>primary adverse event of concern was reduced left ventricular ejection fraction (LVE</w:t>
      </w:r>
      <w:r w:rsidR="007D2367">
        <w:rPr>
          <w:iCs/>
        </w:rPr>
        <w:t>F</w:t>
      </w:r>
      <w:r w:rsidR="007D2367" w:rsidRPr="00F72968">
        <w:rPr>
          <w:iCs/>
        </w:rPr>
        <w:t>)</w:t>
      </w:r>
      <w:r w:rsidR="00822DED">
        <w:rPr>
          <w:iCs/>
        </w:rPr>
        <w:t xml:space="preserve"> and noted that the long</w:t>
      </w:r>
      <w:r w:rsidR="009D3807">
        <w:rPr>
          <w:iCs/>
        </w:rPr>
        <w:noBreakHyphen/>
      </w:r>
      <w:r w:rsidR="00822DED">
        <w:rPr>
          <w:iCs/>
        </w:rPr>
        <w:t xml:space="preserve">term consequences </w:t>
      </w:r>
      <w:r w:rsidR="003D4034">
        <w:rPr>
          <w:iCs/>
        </w:rPr>
        <w:t xml:space="preserve">of treatment compared with SOC </w:t>
      </w:r>
      <w:r w:rsidR="00822DED">
        <w:rPr>
          <w:iCs/>
        </w:rPr>
        <w:t>are unknown.</w:t>
      </w:r>
    </w:p>
    <w:p w14:paraId="35FD6D9C" w14:textId="00CD439C" w:rsidR="00DE6FDE" w:rsidRDefault="009D3807" w:rsidP="001B44E0">
      <w:pPr>
        <w:pStyle w:val="3-BodyText"/>
      </w:pPr>
      <w:bookmarkStart w:id="70" w:name="_Ref120189282"/>
      <w:r>
        <w:t xml:space="preserve">The PBAC noted that </w:t>
      </w:r>
      <w:r w:rsidR="00702BD0">
        <w:t xml:space="preserve">the economic model relied heavily on assumptions in order to extrapolate the short-term trial data (30 weeks) over the model horizon, which added a high level of uncertainty to the modelled costs and outcomes. </w:t>
      </w:r>
      <w:r w:rsidR="0001791F">
        <w:t>The PBAC noted a</w:t>
      </w:r>
      <w:r w:rsidR="006551E3">
        <w:t xml:space="preserve"> </w:t>
      </w:r>
      <w:r w:rsidR="0001791F">
        <w:t xml:space="preserve">number of </w:t>
      </w:r>
      <w:r w:rsidR="00D04AFB">
        <w:t xml:space="preserve">key </w:t>
      </w:r>
      <w:r w:rsidR="0001791F">
        <w:t>issues with the economic model that had been raised by the evaluation and the ESC:</w:t>
      </w:r>
      <w:bookmarkEnd w:id="70"/>
    </w:p>
    <w:p w14:paraId="514D5147" w14:textId="727A9F1F" w:rsidR="00C74DFA" w:rsidRDefault="00C74DFA" w:rsidP="002562E3">
      <w:pPr>
        <w:pStyle w:val="3-BodyText"/>
        <w:numPr>
          <w:ilvl w:val="0"/>
          <w:numId w:val="19"/>
        </w:numPr>
        <w:ind w:left="993" w:hanging="284"/>
      </w:pPr>
      <w:r>
        <w:t>The economic model assumed a time horizon</w:t>
      </w:r>
      <w:r w:rsidR="00B206FA">
        <w:t xml:space="preserve"> of 25 years</w:t>
      </w:r>
      <w:r>
        <w:t xml:space="preserve">. </w:t>
      </w:r>
      <w:r w:rsidR="00737046">
        <w:t>W</w:t>
      </w:r>
      <w:r w:rsidR="00B206FA">
        <w:t>hile the</w:t>
      </w:r>
      <w:r>
        <w:t xml:space="preserve"> </w:t>
      </w:r>
      <w:r w:rsidR="00B206FA">
        <w:t xml:space="preserve">length of </w:t>
      </w:r>
      <w:r>
        <w:t xml:space="preserve">time horizon </w:t>
      </w:r>
      <w:r w:rsidR="00B206FA">
        <w:t xml:space="preserve">chosen </w:t>
      </w:r>
      <w:r w:rsidR="00737046">
        <w:t>was considered</w:t>
      </w:r>
      <w:r>
        <w:t xml:space="preserve"> appropriate </w:t>
      </w:r>
      <w:r w:rsidR="00B206FA">
        <w:t xml:space="preserve">to capture the costs and benefits expected to occur throughout the disease course of obstructive HCM, the </w:t>
      </w:r>
      <w:r w:rsidR="00B206FA" w:rsidRPr="00885192">
        <w:t>clinical data from EXPLORER-HCM were inadequate to inform</w:t>
      </w:r>
      <w:r w:rsidR="00B206FA">
        <w:t xml:space="preserve"> the modelled</w:t>
      </w:r>
      <w:r w:rsidR="00B206FA" w:rsidRPr="00885192">
        <w:t xml:space="preserve"> long-term estimates</w:t>
      </w:r>
      <w:r w:rsidR="00B206FA">
        <w:t xml:space="preserve">. </w:t>
      </w:r>
    </w:p>
    <w:p w14:paraId="14C7DCD3" w14:textId="65375B20" w:rsidR="0001791F" w:rsidRDefault="00F14106" w:rsidP="002562E3">
      <w:pPr>
        <w:pStyle w:val="3-BodyText"/>
        <w:numPr>
          <w:ilvl w:val="0"/>
          <w:numId w:val="19"/>
        </w:numPr>
        <w:ind w:left="993" w:hanging="284"/>
      </w:pPr>
      <w:r>
        <w:lastRenderedPageBreak/>
        <w:t xml:space="preserve">Different data truncation points were applied to each arm of the model for data related to change in NYHA functional class. Data up to 30 weeks was applied to the mavacamten + BB/CCB arm and an additional </w:t>
      </w:r>
      <w:r w:rsidRPr="009D3807">
        <w:t>16 weeks of data, after the end of the double-blinded treatment period</w:t>
      </w:r>
      <w:r w:rsidR="003D4034" w:rsidRPr="009D3807">
        <w:t>,</w:t>
      </w:r>
      <w:r w:rsidRPr="009D3807">
        <w:t xml:space="preserve"> was applied to comparator arm (46 weeks).</w:t>
      </w:r>
    </w:p>
    <w:p w14:paraId="528B4827" w14:textId="79E62C90" w:rsidR="00B206FA" w:rsidRDefault="00B206FA" w:rsidP="002562E3">
      <w:pPr>
        <w:pStyle w:val="3-BodyText"/>
        <w:numPr>
          <w:ilvl w:val="0"/>
          <w:numId w:val="19"/>
        </w:numPr>
        <w:ind w:left="993" w:hanging="284"/>
      </w:pPr>
      <w:r>
        <w:t>T</w:t>
      </w:r>
      <w:r w:rsidRPr="00885192">
        <w:t xml:space="preserve">he economic model assumed an overall survival benefit associated with mavacamten </w:t>
      </w:r>
      <w:r>
        <w:t xml:space="preserve">treatment </w:t>
      </w:r>
      <w:r w:rsidRPr="00885192">
        <w:t xml:space="preserve">over SOC </w:t>
      </w:r>
      <w:r w:rsidR="005850A2">
        <w:t xml:space="preserve">based on </w:t>
      </w:r>
      <w:r w:rsidR="005850A2" w:rsidRPr="005850A2">
        <w:t xml:space="preserve">a constant relative difference over the entire duration of the model </w:t>
      </w:r>
      <w:r w:rsidR="005850A2">
        <w:t xml:space="preserve">in patient NYHA class </w:t>
      </w:r>
      <w:r w:rsidRPr="00885192">
        <w:t xml:space="preserve">that was not </w:t>
      </w:r>
      <w:r w:rsidR="005850A2">
        <w:t>justified by</w:t>
      </w:r>
      <w:r w:rsidRPr="00885192">
        <w:t xml:space="preserve"> the clinical data</w:t>
      </w:r>
      <w:r>
        <w:t>.</w:t>
      </w:r>
    </w:p>
    <w:p w14:paraId="3BD49E9D" w14:textId="0EF15FBE" w:rsidR="00716F5B" w:rsidRPr="00FB5C22" w:rsidRDefault="00716F5B" w:rsidP="002562E3">
      <w:pPr>
        <w:pStyle w:val="3-BodyText"/>
        <w:numPr>
          <w:ilvl w:val="0"/>
          <w:numId w:val="19"/>
        </w:numPr>
        <w:ind w:left="993" w:hanging="284"/>
      </w:pPr>
      <w:r>
        <w:t>P</w:t>
      </w:r>
      <w:r w:rsidRPr="00034A6A">
        <w:t xml:space="preserve">atients </w:t>
      </w:r>
      <w:r>
        <w:t xml:space="preserve">remained on mavacamten + BB/CCB or BB/CCB alone for 30 weeks. Thereafter, patients </w:t>
      </w:r>
      <w:r w:rsidRPr="00034A6A">
        <w:t xml:space="preserve">were allowed to discontinue treatment due to </w:t>
      </w:r>
      <w:r>
        <w:t>AEs or lack of efficacy</w:t>
      </w:r>
      <w:r w:rsidRPr="00034A6A">
        <w:t xml:space="preserve"> and receive other HCM treatments</w:t>
      </w:r>
      <w:r>
        <w:t xml:space="preserve">. </w:t>
      </w:r>
      <w:r w:rsidR="005649DE" w:rsidRPr="00797EC8">
        <w:rPr>
          <w:color w:val="000000" w:themeColor="text1"/>
        </w:rPr>
        <w:t xml:space="preserve">The proportion of patients who experienced no NYHA improvement </w:t>
      </w:r>
      <w:r w:rsidR="005649DE">
        <w:rPr>
          <w:color w:val="000000" w:themeColor="text1"/>
        </w:rPr>
        <w:t xml:space="preserve">at Week 30 </w:t>
      </w:r>
      <w:r w:rsidR="005649DE" w:rsidRPr="00797EC8">
        <w:rPr>
          <w:color w:val="000000" w:themeColor="text1"/>
        </w:rPr>
        <w:t xml:space="preserve">from baseline </w:t>
      </w:r>
      <w:r w:rsidR="005649DE">
        <w:rPr>
          <w:color w:val="000000" w:themeColor="text1"/>
        </w:rPr>
        <w:t>by NYHA class was applied as a one-off input to the model.</w:t>
      </w:r>
      <w:r w:rsidR="005850A2">
        <w:t xml:space="preserve"> However, given </w:t>
      </w:r>
      <w:r w:rsidR="005850A2" w:rsidRPr="00F72968">
        <w:rPr>
          <w:iCs/>
          <w:color w:val="000000" w:themeColor="text1"/>
        </w:rPr>
        <w:t>63.4% of mavacamten patients did not achieve the primary composite endpoint and that 48.8% of patients remained NYHA class II/III</w:t>
      </w:r>
      <w:r w:rsidR="005850A2">
        <w:rPr>
          <w:iCs/>
          <w:color w:val="000000" w:themeColor="text1"/>
        </w:rPr>
        <w:t>,</w:t>
      </w:r>
      <w:r w:rsidR="005850A2" w:rsidRPr="00F72968">
        <w:rPr>
          <w:iCs/>
          <w:color w:val="000000" w:themeColor="text1"/>
        </w:rPr>
        <w:t xml:space="preserve"> discontinuation (even without a stopping rule) may be higher than modelled.</w:t>
      </w:r>
      <w:r w:rsidR="005850A2">
        <w:rPr>
          <w:color w:val="000000" w:themeColor="text1"/>
        </w:rPr>
        <w:t xml:space="preserve">  </w:t>
      </w:r>
    </w:p>
    <w:p w14:paraId="33044FF9" w14:textId="4213FE35" w:rsidR="00753FAF" w:rsidRDefault="00C85050" w:rsidP="002562E3">
      <w:pPr>
        <w:pStyle w:val="3-BodyText"/>
        <w:numPr>
          <w:ilvl w:val="0"/>
          <w:numId w:val="19"/>
        </w:numPr>
        <w:ind w:left="993" w:hanging="284"/>
      </w:pPr>
      <w:r>
        <w:t>The c</w:t>
      </w:r>
      <w:r w:rsidR="00DD68F7">
        <w:t xml:space="preserve">linical </w:t>
      </w:r>
      <w:r w:rsidR="00DD68F7" w:rsidRPr="00885192">
        <w:t>benefit</w:t>
      </w:r>
      <w:r w:rsidR="00DD68F7">
        <w:t>s</w:t>
      </w:r>
      <w:r w:rsidR="00DD68F7" w:rsidRPr="00885192">
        <w:t xml:space="preserve"> </w:t>
      </w:r>
      <w:r w:rsidR="00DD68F7">
        <w:t>associated with subsequent therapies</w:t>
      </w:r>
      <w:r w:rsidR="00DD68F7" w:rsidRPr="00885192">
        <w:t xml:space="preserve"> </w:t>
      </w:r>
      <w:r w:rsidR="00DD68F7">
        <w:t>were not included in the economic</w:t>
      </w:r>
      <w:r w:rsidR="002D04DE">
        <w:t xml:space="preserve"> model</w:t>
      </w:r>
      <w:r w:rsidR="00DD68F7">
        <w:t xml:space="preserve">. </w:t>
      </w:r>
      <w:r w:rsidR="00871080">
        <w:t>I</w:t>
      </w:r>
      <w:r w:rsidR="00871080" w:rsidRPr="00871080">
        <w:t>ncluding costs of subsequent therapies but no benefit was not appropriate and a more conservative relative treatment benefit should be considered when patients go on to an active subsequent therapy</w:t>
      </w:r>
      <w:r w:rsidR="00DD68F7">
        <w:t>.</w:t>
      </w:r>
    </w:p>
    <w:p w14:paraId="4A0FF7E5" w14:textId="439F018B" w:rsidR="00C74DFA" w:rsidRPr="00610F9E" w:rsidRDefault="00BF2927" w:rsidP="002562E3">
      <w:pPr>
        <w:pStyle w:val="3-BodyText"/>
        <w:numPr>
          <w:ilvl w:val="0"/>
          <w:numId w:val="19"/>
        </w:numPr>
        <w:ind w:left="993" w:hanging="284"/>
      </w:pPr>
      <w:r>
        <w:rPr>
          <w:iCs/>
        </w:rPr>
        <w:t>T</w:t>
      </w:r>
      <w:r w:rsidRPr="00F72968">
        <w:rPr>
          <w:iCs/>
        </w:rPr>
        <w:t xml:space="preserve">he cost assumed for cardiovascular hospitalisation was overestimated. </w:t>
      </w:r>
      <w:r>
        <w:rPr>
          <w:iCs/>
        </w:rPr>
        <w:t>I</w:t>
      </w:r>
      <w:r w:rsidRPr="00F72968">
        <w:rPr>
          <w:iCs/>
        </w:rPr>
        <w:t>t was inappropriate to equate hospitalisation rates in HFrEF or HFpEF with those in HCM for the same degree of NYHA severity given the lack of clinical trial evidence or clinical experience of hospitalisation due to HCM</w:t>
      </w:r>
      <w:r w:rsidR="00C85050" w:rsidRPr="009D3807">
        <w:t>.</w:t>
      </w:r>
    </w:p>
    <w:p w14:paraId="63AA78F9" w14:textId="07A80EA6" w:rsidR="00610F9E" w:rsidRDefault="00610F9E" w:rsidP="002562E3">
      <w:pPr>
        <w:pStyle w:val="3-BodyText"/>
        <w:numPr>
          <w:ilvl w:val="0"/>
          <w:numId w:val="19"/>
        </w:numPr>
        <w:ind w:left="993" w:hanging="284"/>
      </w:pPr>
      <w:r>
        <w:t xml:space="preserve">The cost of subsequent </w:t>
      </w:r>
      <w:r w:rsidRPr="009D3807">
        <w:t>septal reduction therapy</w:t>
      </w:r>
      <w:r w:rsidRPr="00FE4013">
        <w:t xml:space="preserve"> </w:t>
      </w:r>
      <w:r>
        <w:t>(</w:t>
      </w:r>
      <w:r w:rsidRPr="00FE4013">
        <w:t>SRT</w:t>
      </w:r>
      <w:r>
        <w:t>)</w:t>
      </w:r>
      <w:r w:rsidRPr="00FE4013">
        <w:t xml:space="preserve"> </w:t>
      </w:r>
      <w:r>
        <w:t>was based on the cost of</w:t>
      </w:r>
      <w:r w:rsidRPr="00FE4013">
        <w:t xml:space="preserve"> </w:t>
      </w:r>
      <w:r>
        <w:t>c</w:t>
      </w:r>
      <w:r w:rsidRPr="00FE4013">
        <w:t xml:space="preserve">oronary bypass with invasive cardiac investigation and </w:t>
      </w:r>
      <w:r>
        <w:t>m</w:t>
      </w:r>
      <w:r w:rsidRPr="00FE4013">
        <w:t>ajor reconstructive vascular interventions without cardiopulmonary bypass</w:t>
      </w:r>
      <w:r>
        <w:t>. Therefore, it</w:t>
      </w:r>
      <w:r w:rsidRPr="00885192">
        <w:t xml:space="preserve"> is likely that the cost for SRT </w:t>
      </w:r>
      <w:r>
        <w:t>was</w:t>
      </w:r>
      <w:r w:rsidRPr="00885192">
        <w:t xml:space="preserve"> overestimated in the economic evaluation.</w:t>
      </w:r>
    </w:p>
    <w:p w14:paraId="130D53B0" w14:textId="33487BF2" w:rsidR="00347F50" w:rsidRDefault="00716F5B" w:rsidP="00E427A3">
      <w:pPr>
        <w:pStyle w:val="3-BodyText"/>
      </w:pPr>
      <w:bookmarkStart w:id="71" w:name="_Ref120611574"/>
      <w:r>
        <w:t xml:space="preserve">Overall, the PBAC considered the model was not a reliable basis for decision making. </w:t>
      </w:r>
      <w:r w:rsidR="00FB5C22">
        <w:t xml:space="preserve">The PBAC considered that the ICER of </w:t>
      </w:r>
      <w:r w:rsidR="00133603" w:rsidRPr="00133603">
        <w:t>$35,000 to &lt; $45,000</w:t>
      </w:r>
      <w:r w:rsidR="0070575C">
        <w:t>/</w:t>
      </w:r>
      <w:r w:rsidR="00FB5C22">
        <w:t>QA</w:t>
      </w:r>
      <w:r w:rsidR="0070575C">
        <w:t>L</w:t>
      </w:r>
      <w:r w:rsidR="00FB5C22">
        <w:t xml:space="preserve">Y gained for the submission’s base case was </w:t>
      </w:r>
      <w:r w:rsidR="0070575C">
        <w:t>underestimated</w:t>
      </w:r>
      <w:r w:rsidR="00C621C3">
        <w:t xml:space="preserve"> and</w:t>
      </w:r>
      <w:r w:rsidR="0070575C">
        <w:t xml:space="preserve"> highly sensitiv</w:t>
      </w:r>
      <w:r w:rsidR="007A162B">
        <w:t>e</w:t>
      </w:r>
      <w:r w:rsidR="0070575C">
        <w:t xml:space="preserve"> to a number of uncertainties in the model</w:t>
      </w:r>
      <w:r w:rsidR="007A162B">
        <w:t>.</w:t>
      </w:r>
      <w:r w:rsidR="00702BD0">
        <w:t xml:space="preserve"> </w:t>
      </w:r>
      <w:r w:rsidR="00347F50">
        <w:t>The PBAC considered a respecified base case should include the following:</w:t>
      </w:r>
      <w:bookmarkEnd w:id="71"/>
    </w:p>
    <w:p w14:paraId="1E060E79" w14:textId="210876C1" w:rsidR="00347F50" w:rsidRPr="00347F50" w:rsidRDefault="00FB671A" w:rsidP="00310F46">
      <w:pPr>
        <w:pStyle w:val="3-BodyText"/>
        <w:numPr>
          <w:ilvl w:val="1"/>
          <w:numId w:val="33"/>
        </w:numPr>
        <w:tabs>
          <w:tab w:val="left" w:pos="993"/>
        </w:tabs>
        <w:spacing w:after="0"/>
        <w:ind w:hanging="11"/>
      </w:pPr>
      <w:r>
        <w:t xml:space="preserve">a </w:t>
      </w:r>
      <w:r w:rsidR="00347F50" w:rsidRPr="00347F50">
        <w:t>10</w:t>
      </w:r>
      <w:r w:rsidR="00347F50">
        <w:t xml:space="preserve"> </w:t>
      </w:r>
      <w:r w:rsidR="00347F50" w:rsidRPr="00347F50">
        <w:t>y</w:t>
      </w:r>
      <w:r w:rsidR="00347F50">
        <w:t>ea</w:t>
      </w:r>
      <w:r w:rsidR="00347F50" w:rsidRPr="00347F50">
        <w:t>r time horizon</w:t>
      </w:r>
    </w:p>
    <w:p w14:paraId="696606A1" w14:textId="007A507D" w:rsidR="00347F50" w:rsidRPr="00347F50" w:rsidRDefault="00347F50" w:rsidP="00310F46">
      <w:pPr>
        <w:pStyle w:val="3-BodyText"/>
        <w:numPr>
          <w:ilvl w:val="1"/>
          <w:numId w:val="33"/>
        </w:numPr>
        <w:tabs>
          <w:tab w:val="left" w:pos="993"/>
        </w:tabs>
        <w:spacing w:after="0"/>
        <w:ind w:hanging="11"/>
      </w:pPr>
      <w:r>
        <w:t>t</w:t>
      </w:r>
      <w:r w:rsidRPr="00347F50">
        <w:t xml:space="preserve">runcation at </w:t>
      </w:r>
      <w:r>
        <w:t>30 weeks in both arms</w:t>
      </w:r>
    </w:p>
    <w:p w14:paraId="0A19440E" w14:textId="1B15131E" w:rsidR="00347F50" w:rsidRPr="00347F50" w:rsidRDefault="00347F50" w:rsidP="00310F46">
      <w:pPr>
        <w:pStyle w:val="3-BodyText"/>
        <w:numPr>
          <w:ilvl w:val="1"/>
          <w:numId w:val="33"/>
        </w:numPr>
        <w:tabs>
          <w:tab w:val="left" w:pos="993"/>
        </w:tabs>
        <w:spacing w:after="0"/>
        <w:ind w:hanging="11"/>
      </w:pPr>
      <w:r>
        <w:t>no</w:t>
      </w:r>
      <w:r w:rsidRPr="00347F50">
        <w:t xml:space="preserve"> mortality benefit</w:t>
      </w:r>
    </w:p>
    <w:p w14:paraId="06548057" w14:textId="7A66AE93" w:rsidR="00347F50" w:rsidRPr="00347F50" w:rsidRDefault="00347F50" w:rsidP="00310F46">
      <w:pPr>
        <w:pStyle w:val="3-BodyText"/>
        <w:numPr>
          <w:ilvl w:val="1"/>
          <w:numId w:val="33"/>
        </w:numPr>
        <w:tabs>
          <w:tab w:val="left" w:pos="993"/>
        </w:tabs>
        <w:spacing w:after="0"/>
        <w:ind w:hanging="11"/>
      </w:pPr>
      <w:r>
        <w:t>a</w:t>
      </w:r>
      <w:r w:rsidRPr="00347F50">
        <w:t>mend</w:t>
      </w:r>
      <w:r>
        <w:t>ed</w:t>
      </w:r>
      <w:r w:rsidRPr="00347F50">
        <w:t xml:space="preserve"> inputs</w:t>
      </w:r>
      <w:r>
        <w:t xml:space="preserve"> for</w:t>
      </w:r>
      <w:r w:rsidRPr="00347F50">
        <w:t>:</w:t>
      </w:r>
    </w:p>
    <w:p w14:paraId="72CC465F" w14:textId="28FA5DB9" w:rsidR="00347F50" w:rsidRPr="00347F50" w:rsidRDefault="00347F50" w:rsidP="006A2EA6">
      <w:pPr>
        <w:pStyle w:val="3-BodyText"/>
        <w:numPr>
          <w:ilvl w:val="3"/>
          <w:numId w:val="34"/>
        </w:numPr>
        <w:tabs>
          <w:tab w:val="left" w:pos="1276"/>
          <w:tab w:val="left" w:pos="1701"/>
        </w:tabs>
        <w:spacing w:after="0"/>
        <w:ind w:left="993" w:firstLine="0"/>
      </w:pPr>
      <w:r>
        <w:t>cardiovascular h</w:t>
      </w:r>
      <w:r w:rsidRPr="00347F50">
        <w:t>ospitalisation rates and costs</w:t>
      </w:r>
    </w:p>
    <w:p w14:paraId="21B49044" w14:textId="69A6F942" w:rsidR="00347F50" w:rsidRPr="00347F50" w:rsidRDefault="00347F50" w:rsidP="006A2EA6">
      <w:pPr>
        <w:pStyle w:val="3-BodyText"/>
        <w:numPr>
          <w:ilvl w:val="3"/>
          <w:numId w:val="34"/>
        </w:numPr>
        <w:tabs>
          <w:tab w:val="left" w:pos="1276"/>
          <w:tab w:val="left" w:pos="1701"/>
        </w:tabs>
        <w:spacing w:after="0"/>
        <w:ind w:left="993" w:firstLine="0"/>
      </w:pPr>
      <w:r w:rsidRPr="00347F50">
        <w:t>SRT costs</w:t>
      </w:r>
    </w:p>
    <w:p w14:paraId="270F4DF5" w14:textId="4C4F9D03" w:rsidR="00347F50" w:rsidRPr="00347F50" w:rsidRDefault="00347F50" w:rsidP="006A2EA6">
      <w:pPr>
        <w:pStyle w:val="3-BodyText"/>
        <w:numPr>
          <w:ilvl w:val="3"/>
          <w:numId w:val="34"/>
        </w:numPr>
        <w:tabs>
          <w:tab w:val="left" w:pos="1276"/>
          <w:tab w:val="left" w:pos="1701"/>
        </w:tabs>
        <w:spacing w:after="0"/>
        <w:ind w:left="993" w:firstLine="0"/>
      </w:pPr>
      <w:r>
        <w:t>d</w:t>
      </w:r>
      <w:r w:rsidRPr="00347F50">
        <w:t xml:space="preserve">isopyramide benefits </w:t>
      </w:r>
    </w:p>
    <w:p w14:paraId="30B20FCB" w14:textId="7EC7AF14" w:rsidR="00347F50" w:rsidRDefault="00347F50" w:rsidP="00414250">
      <w:pPr>
        <w:pStyle w:val="3-BodyText"/>
        <w:numPr>
          <w:ilvl w:val="3"/>
          <w:numId w:val="34"/>
        </w:numPr>
        <w:tabs>
          <w:tab w:val="left" w:pos="1276"/>
          <w:tab w:val="left" w:pos="1701"/>
        </w:tabs>
        <w:spacing w:after="240"/>
        <w:ind w:left="992" w:firstLine="0"/>
      </w:pPr>
      <w:r>
        <w:lastRenderedPageBreak/>
        <w:t>d</w:t>
      </w:r>
      <w:r w:rsidRPr="00347F50">
        <w:t>iscontinuation rates</w:t>
      </w:r>
      <w:r>
        <w:t>.</w:t>
      </w:r>
    </w:p>
    <w:p w14:paraId="3D733C62" w14:textId="3DF4B118" w:rsidR="008C5C2C" w:rsidRDefault="00D04AFB" w:rsidP="0005393C">
      <w:pPr>
        <w:pStyle w:val="3-BodyText"/>
      </w:pPr>
      <w:r>
        <w:t xml:space="preserve">The PBAC </w:t>
      </w:r>
      <w:r w:rsidR="00D40F04">
        <w:t xml:space="preserve">noted the pre-PBAC response provided revised financial estimates that addressed issues </w:t>
      </w:r>
      <w:r w:rsidR="0005393C">
        <w:t xml:space="preserve">raised </w:t>
      </w:r>
      <w:r w:rsidR="00875E71">
        <w:t>in the</w:t>
      </w:r>
      <w:r w:rsidR="0005393C">
        <w:t xml:space="preserve"> DUSC </w:t>
      </w:r>
      <w:r w:rsidR="00875E71">
        <w:t xml:space="preserve">advice </w:t>
      </w:r>
      <w:r w:rsidR="00702BD0">
        <w:t>, which the sponsor considered to be the absolute upper end estimate of the potential cost to government for mavacamten. The PBAC</w:t>
      </w:r>
      <w:r w:rsidR="0005393C">
        <w:t xml:space="preserve"> considered the</w:t>
      </w:r>
      <w:r w:rsidR="008C5C2C">
        <w:t xml:space="preserve"> revised estimates </w:t>
      </w:r>
      <w:r w:rsidR="002562E3">
        <w:t xml:space="preserve">were </w:t>
      </w:r>
      <w:r w:rsidR="008C5C2C">
        <w:t xml:space="preserve">a more realistic </w:t>
      </w:r>
      <w:r w:rsidR="002562E3">
        <w:t xml:space="preserve">estimate of the </w:t>
      </w:r>
      <w:r w:rsidR="006A2EA6">
        <w:t>likely utilisation of</w:t>
      </w:r>
      <w:r w:rsidR="00CC7137">
        <w:t xml:space="preserve"> </w:t>
      </w:r>
      <w:r w:rsidR="008C5C2C">
        <w:t>mavacamten</w:t>
      </w:r>
      <w:r w:rsidR="006A2EA6" w:rsidRPr="006A2EA6">
        <w:t xml:space="preserve"> </w:t>
      </w:r>
      <w:r w:rsidR="006A2EA6">
        <w:t>if PBS/RPBS listed</w:t>
      </w:r>
      <w:r w:rsidR="008C5C2C">
        <w:t>. However, the PBAC considered there remained a number of uncertainties including:</w:t>
      </w:r>
    </w:p>
    <w:p w14:paraId="7DC1B212" w14:textId="1146F1CD" w:rsidR="00CC7137" w:rsidRDefault="008C5C2C" w:rsidP="00310F46">
      <w:pPr>
        <w:pStyle w:val="3-BodyText"/>
        <w:numPr>
          <w:ilvl w:val="0"/>
          <w:numId w:val="19"/>
        </w:numPr>
        <w:ind w:left="993" w:hanging="284"/>
      </w:pPr>
      <w:r>
        <w:t xml:space="preserve">The possibility for </w:t>
      </w:r>
      <w:r w:rsidRPr="008C5C2C">
        <w:t xml:space="preserve">mavacamten monotherapy </w:t>
      </w:r>
      <w:r>
        <w:t>to</w:t>
      </w:r>
      <w:r w:rsidRPr="008C5C2C">
        <w:t xml:space="preserve"> replace SOC treatment for many patients, rather than being used as an add-on therapy in clinical practice, due to </w:t>
      </w:r>
      <w:r w:rsidR="009576B8">
        <w:t xml:space="preserve">poor </w:t>
      </w:r>
      <w:r w:rsidR="009576B8" w:rsidRPr="008C5C2C">
        <w:t xml:space="preserve">tolerability </w:t>
      </w:r>
      <w:r w:rsidRPr="008C5C2C">
        <w:t>of BB or CCB or patient preference</w:t>
      </w:r>
      <w:r w:rsidR="0003492E">
        <w:t>.</w:t>
      </w:r>
    </w:p>
    <w:p w14:paraId="70B3F80A" w14:textId="02EB2068" w:rsidR="008C5C2C" w:rsidRDefault="00610F9E" w:rsidP="00310F46">
      <w:pPr>
        <w:pStyle w:val="3-BodyText"/>
        <w:numPr>
          <w:ilvl w:val="0"/>
          <w:numId w:val="19"/>
        </w:numPr>
        <w:ind w:left="993" w:hanging="284"/>
      </w:pPr>
      <w:r>
        <w:t xml:space="preserve">A </w:t>
      </w:r>
      <w:r w:rsidR="00CC7137">
        <w:t xml:space="preserve">high risk of </w:t>
      </w:r>
      <w:r w:rsidR="008D5CD2">
        <w:t>use outside the restriction in</w:t>
      </w:r>
      <w:r w:rsidR="00CC7137">
        <w:t xml:space="preserve"> patients with less severe disease</w:t>
      </w:r>
      <w:r w:rsidR="002562E3">
        <w:t>,</w:t>
      </w:r>
      <w:r w:rsidR="00CC7137">
        <w:t xml:space="preserve"> not reflected in the key trial</w:t>
      </w:r>
      <w:r>
        <w:t xml:space="preserve">, due to peak </w:t>
      </w:r>
      <w:r w:rsidR="009576B8">
        <w:t xml:space="preserve">LVOT </w:t>
      </w:r>
      <w:r>
        <w:t>gradient being a highly variable measurement in clinical practice</w:t>
      </w:r>
      <w:r w:rsidR="00CC7137">
        <w:t>.</w:t>
      </w:r>
    </w:p>
    <w:p w14:paraId="2408C733" w14:textId="69B70BE8" w:rsidR="00E427A3" w:rsidRDefault="008C5C2C" w:rsidP="00310F46">
      <w:pPr>
        <w:pStyle w:val="3-BodyText"/>
        <w:numPr>
          <w:ilvl w:val="0"/>
          <w:numId w:val="0"/>
        </w:numPr>
        <w:ind w:left="993"/>
      </w:pPr>
      <w:r>
        <w:t>For these reasons, the</w:t>
      </w:r>
      <w:r w:rsidR="00D40F04">
        <w:t xml:space="preserve"> PBAC considered a risk sharing arrangement (RSA) would be required</w:t>
      </w:r>
      <w:r>
        <w:t xml:space="preserve"> </w:t>
      </w:r>
      <w:r w:rsidR="00CC7137">
        <w:t xml:space="preserve">to </w:t>
      </w:r>
      <w:r w:rsidR="00CC7137" w:rsidRPr="00CF7D68">
        <w:t>manag</w:t>
      </w:r>
      <w:r w:rsidR="00CC7137">
        <w:t>e the</w:t>
      </w:r>
      <w:r w:rsidR="00CC7137" w:rsidRPr="00CF7D68">
        <w:t xml:space="preserve"> </w:t>
      </w:r>
      <w:r w:rsidR="002F403C">
        <w:t xml:space="preserve">remaining </w:t>
      </w:r>
      <w:r w:rsidR="00CC7137" w:rsidRPr="00CF7D68">
        <w:t>uncertaint</w:t>
      </w:r>
      <w:r w:rsidR="002F403C">
        <w:t>ies</w:t>
      </w:r>
      <w:r w:rsidR="00CC7137" w:rsidRPr="00CF7D68">
        <w:t xml:space="preserve"> </w:t>
      </w:r>
      <w:r w:rsidR="0092414E">
        <w:t>related to</w:t>
      </w:r>
      <w:r w:rsidR="00CC7137" w:rsidRPr="00CF7D68">
        <w:t xml:space="preserve"> the financial impact of listing</w:t>
      </w:r>
      <w:r w:rsidR="00CC7137">
        <w:t xml:space="preserve"> mavacamten on the PBS</w:t>
      </w:r>
      <w:r w:rsidR="002F403C">
        <w:t>/RPBS</w:t>
      </w:r>
      <w:r w:rsidR="00CC7137">
        <w:t>.</w:t>
      </w:r>
    </w:p>
    <w:p w14:paraId="2164418D" w14:textId="4214C67D" w:rsidR="00D04AFB" w:rsidRDefault="00D04AFB" w:rsidP="00D04AFB">
      <w:pPr>
        <w:pStyle w:val="3-BodyText"/>
        <w:rPr>
          <w:lang w:val="en-GB"/>
        </w:rPr>
      </w:pPr>
      <w:r>
        <w:rPr>
          <w:lang w:val="en-GB"/>
        </w:rPr>
        <w:t xml:space="preserve">The PBAC considered a resubmission for mavacamten should </w:t>
      </w:r>
      <w:r w:rsidR="00DE1B51">
        <w:rPr>
          <w:lang w:val="en-GB"/>
        </w:rPr>
        <w:t>include the following</w:t>
      </w:r>
      <w:r>
        <w:rPr>
          <w:lang w:val="en-GB"/>
        </w:rPr>
        <w:t>:</w:t>
      </w:r>
    </w:p>
    <w:p w14:paraId="792F8745" w14:textId="6CFE7A00" w:rsidR="00DE1B51" w:rsidRDefault="00FB671A" w:rsidP="00310F46">
      <w:pPr>
        <w:pStyle w:val="3-BodyText"/>
        <w:numPr>
          <w:ilvl w:val="0"/>
          <w:numId w:val="19"/>
        </w:numPr>
        <w:spacing w:after="0"/>
        <w:ind w:left="993" w:hanging="284"/>
        <w:rPr>
          <w:lang w:val="en-GB"/>
        </w:rPr>
      </w:pPr>
      <w:r>
        <w:rPr>
          <w:lang w:val="en-GB"/>
        </w:rPr>
        <w:t>a</w:t>
      </w:r>
      <w:r w:rsidR="00DE1B51">
        <w:rPr>
          <w:lang w:val="en-GB"/>
        </w:rPr>
        <w:t xml:space="preserve">mendment to the proposed PBS restriction, as outlined in paragraph </w:t>
      </w:r>
      <w:r w:rsidR="00DE1B51">
        <w:rPr>
          <w:lang w:val="en-GB"/>
        </w:rPr>
        <w:fldChar w:fldCharType="begin"/>
      </w:r>
      <w:r w:rsidR="00DE1B51">
        <w:rPr>
          <w:lang w:val="en-GB"/>
        </w:rPr>
        <w:instrText xml:space="preserve"> REF _Ref120189152 \r \h </w:instrText>
      </w:r>
      <w:r w:rsidR="00DE1B51">
        <w:rPr>
          <w:lang w:val="en-GB"/>
        </w:rPr>
      </w:r>
      <w:r w:rsidR="00DE1B51">
        <w:rPr>
          <w:lang w:val="en-GB"/>
        </w:rPr>
        <w:fldChar w:fldCharType="separate"/>
      </w:r>
      <w:r w:rsidR="00645E50">
        <w:rPr>
          <w:lang w:val="en-GB"/>
        </w:rPr>
        <w:t>7.3</w:t>
      </w:r>
      <w:r w:rsidR="00DE1B51">
        <w:rPr>
          <w:lang w:val="en-GB"/>
        </w:rPr>
        <w:fldChar w:fldCharType="end"/>
      </w:r>
      <w:r w:rsidR="00DE1B51">
        <w:rPr>
          <w:lang w:val="en-GB"/>
        </w:rPr>
        <w:t>;</w:t>
      </w:r>
    </w:p>
    <w:p w14:paraId="67A57826" w14:textId="569F075C" w:rsidR="00D04AFB" w:rsidRPr="00DE1B51" w:rsidRDefault="00DE1B51" w:rsidP="00310F46">
      <w:pPr>
        <w:pStyle w:val="3-BodyText"/>
        <w:numPr>
          <w:ilvl w:val="0"/>
          <w:numId w:val="19"/>
        </w:numPr>
        <w:spacing w:after="0"/>
        <w:ind w:left="993" w:hanging="284"/>
        <w:rPr>
          <w:lang w:val="en-GB"/>
        </w:rPr>
      </w:pPr>
      <w:r>
        <w:rPr>
          <w:lang w:val="en-GB"/>
        </w:rPr>
        <w:t xml:space="preserve">revision </w:t>
      </w:r>
      <w:r w:rsidRPr="00DE1B51">
        <w:rPr>
          <w:lang w:val="en-GB"/>
        </w:rPr>
        <w:t>to</w:t>
      </w:r>
      <w:r w:rsidR="00D04AFB" w:rsidRPr="00DE1B51">
        <w:rPr>
          <w:lang w:val="en-GB"/>
        </w:rPr>
        <w:t xml:space="preserve"> </w:t>
      </w:r>
      <w:r w:rsidR="0092414E">
        <w:rPr>
          <w:lang w:val="en-GB"/>
        </w:rPr>
        <w:t xml:space="preserve">the </w:t>
      </w:r>
      <w:r w:rsidR="00D04AFB" w:rsidRPr="00DE1B51">
        <w:rPr>
          <w:lang w:val="en-GB"/>
        </w:rPr>
        <w:t xml:space="preserve">economic model </w:t>
      </w:r>
      <w:r w:rsidR="00FB671A">
        <w:rPr>
          <w:lang w:val="en-GB"/>
        </w:rPr>
        <w:t xml:space="preserve">as outlined in paragraph </w:t>
      </w:r>
      <w:r w:rsidR="00FB671A">
        <w:rPr>
          <w:lang w:val="en-GB"/>
        </w:rPr>
        <w:fldChar w:fldCharType="begin"/>
      </w:r>
      <w:r w:rsidR="00FB671A">
        <w:rPr>
          <w:lang w:val="en-GB"/>
        </w:rPr>
        <w:instrText xml:space="preserve"> REF _Ref120611574 \r \h </w:instrText>
      </w:r>
      <w:r w:rsidR="00FB671A">
        <w:rPr>
          <w:lang w:val="en-GB"/>
        </w:rPr>
      </w:r>
      <w:r w:rsidR="00FB671A">
        <w:rPr>
          <w:lang w:val="en-GB"/>
        </w:rPr>
        <w:fldChar w:fldCharType="separate"/>
      </w:r>
      <w:r w:rsidR="00645E50">
        <w:rPr>
          <w:lang w:val="en-GB"/>
        </w:rPr>
        <w:t>7.9</w:t>
      </w:r>
      <w:r w:rsidR="00FB671A">
        <w:rPr>
          <w:lang w:val="en-GB"/>
        </w:rPr>
        <w:fldChar w:fldCharType="end"/>
      </w:r>
      <w:r w:rsidRPr="00DE1B51">
        <w:rPr>
          <w:lang w:val="en-GB"/>
        </w:rPr>
        <w:t>; and</w:t>
      </w:r>
    </w:p>
    <w:p w14:paraId="2A6B4195" w14:textId="0638584A" w:rsidR="00D04AFB" w:rsidRPr="00DE1B51" w:rsidRDefault="00FB671A" w:rsidP="00310F46">
      <w:pPr>
        <w:pStyle w:val="3-BodyText"/>
        <w:numPr>
          <w:ilvl w:val="0"/>
          <w:numId w:val="19"/>
        </w:numPr>
        <w:ind w:left="993" w:hanging="284"/>
        <w:rPr>
          <w:lang w:val="en-GB"/>
        </w:rPr>
      </w:pPr>
      <w:r>
        <w:rPr>
          <w:lang w:val="en-GB"/>
        </w:rPr>
        <w:t>a</w:t>
      </w:r>
      <w:r w:rsidR="00DE1B51">
        <w:rPr>
          <w:lang w:val="en-GB"/>
        </w:rPr>
        <w:t>n RSA proposal to manage residual financial uncertainty.</w:t>
      </w:r>
    </w:p>
    <w:p w14:paraId="77D065F3" w14:textId="787623EA" w:rsidR="00C621C3" w:rsidRPr="00DE1B51" w:rsidRDefault="00D04AFB" w:rsidP="00DE1B51">
      <w:pPr>
        <w:pStyle w:val="3-BodyText"/>
        <w:rPr>
          <w:lang w:val="en-GB"/>
        </w:rPr>
      </w:pPr>
      <w:r w:rsidRPr="00C77AEB">
        <w:rPr>
          <w:lang w:val="en-GB"/>
        </w:rPr>
        <w:t>The resubmission may be lodged at any future standard due date for PBAC submissions using the standard re-entry pathway.</w:t>
      </w:r>
    </w:p>
    <w:p w14:paraId="0DE89ACC" w14:textId="0CA0110C" w:rsidR="00E16D67" w:rsidRPr="0049558B" w:rsidRDefault="00E16D67" w:rsidP="00E16D67">
      <w:pPr>
        <w:pStyle w:val="3-BodyText"/>
        <w:rPr>
          <w:lang w:val="en-GB"/>
        </w:rPr>
      </w:pPr>
      <w:r w:rsidRPr="00C77AEB">
        <w:rPr>
          <w:lang w:val="en-GB"/>
        </w:rPr>
        <w:t>The PBAC noted that this submission is eligible for an Independent Review.</w:t>
      </w:r>
    </w:p>
    <w:p w14:paraId="123874C5" w14:textId="77777777" w:rsidR="007A77F6" w:rsidRPr="00525B39" w:rsidRDefault="007A77F6" w:rsidP="007A77F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AE46882" w14:textId="2106A860" w:rsidR="007A77F6" w:rsidRPr="00525B39" w:rsidRDefault="007A77F6" w:rsidP="007A77F6">
      <w:pPr>
        <w:rPr>
          <w:rFonts w:asciiTheme="minorHAnsi" w:hAnsiTheme="minorHAnsi"/>
          <w:bCs/>
          <w:snapToGrid w:val="0"/>
          <w:lang w:val="en-GB"/>
        </w:rPr>
      </w:pPr>
      <w:r>
        <w:rPr>
          <w:rFonts w:asciiTheme="minorHAnsi" w:hAnsiTheme="minorHAnsi"/>
          <w:bCs/>
          <w:snapToGrid w:val="0"/>
          <w:lang w:val="en-GB"/>
        </w:rPr>
        <w:t>Not recommended</w:t>
      </w:r>
    </w:p>
    <w:p w14:paraId="61317765" w14:textId="3475CEC1" w:rsidR="00303F41" w:rsidRPr="00303F41" w:rsidRDefault="00303F41" w:rsidP="00303F41">
      <w:pPr>
        <w:pStyle w:val="2-SectionHeading"/>
      </w:pPr>
      <w:r w:rsidRPr="00C07617">
        <w:t>Context for Decision</w:t>
      </w:r>
    </w:p>
    <w:p w14:paraId="41BE56ED" w14:textId="77777777" w:rsidR="00303F41" w:rsidRPr="00303F41" w:rsidRDefault="00303F41" w:rsidP="00303F41">
      <w:pPr>
        <w:pStyle w:val="3-BodyText"/>
        <w:numPr>
          <w:ilvl w:val="0"/>
          <w:numId w:val="0"/>
        </w:numPr>
        <w:ind w:left="720"/>
        <w:rPr>
          <w:lang w:val="en-GB"/>
        </w:rPr>
      </w:pPr>
      <w:r w:rsidRPr="00303F41">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1997E4" w14:textId="4C1EBA45" w:rsidR="00303F41" w:rsidRPr="00303F41" w:rsidRDefault="00303F41" w:rsidP="00303F41">
      <w:pPr>
        <w:pStyle w:val="2-SectionHeading"/>
      </w:pPr>
      <w:r>
        <w:lastRenderedPageBreak/>
        <w:t>Sponsor’s Comment</w:t>
      </w:r>
    </w:p>
    <w:p w14:paraId="478A0CE2" w14:textId="392048AB" w:rsidR="007A77F6" w:rsidRPr="00525B39" w:rsidRDefault="00D17CFC" w:rsidP="00414250">
      <w:pPr>
        <w:widowControl w:val="0"/>
        <w:ind w:left="720"/>
        <w:rPr>
          <w:rFonts w:asciiTheme="minorHAnsi" w:hAnsiTheme="minorHAnsi"/>
          <w:b/>
          <w:bCs/>
          <w:snapToGrid w:val="0"/>
        </w:rPr>
      </w:pPr>
      <w:r w:rsidRPr="00924143">
        <w:rPr>
          <w:rFonts w:asciiTheme="minorHAnsi" w:hAnsiTheme="minorHAnsi"/>
          <w:snapToGrid w:val="0"/>
          <w:lang w:val="en-GB"/>
        </w:rPr>
        <w:t>Bristol-Myers Squibb Australia looks forward to continuing to work with the PBAC and the Department of Health to provide access to mavacamten for the treatment of adults with symptomatic obstructive hypertrophic cardiomyopathy (HCM).</w:t>
      </w:r>
    </w:p>
    <w:bookmarkEnd w:id="64"/>
    <w:bookmarkEnd w:id="65"/>
    <w:bookmarkEnd w:id="66"/>
    <w:bookmarkEnd w:id="67"/>
    <w:p w14:paraId="68066088" w14:textId="7BDD7B46" w:rsidR="008E1303" w:rsidRPr="00D72483" w:rsidRDefault="008E1303" w:rsidP="00D72483">
      <w:pPr>
        <w:spacing w:after="160" w:line="259" w:lineRule="auto"/>
        <w:contextualSpacing/>
        <w:jc w:val="left"/>
        <w:rPr>
          <w:rFonts w:cstheme="minorHAnsi"/>
          <w:highlight w:val="yellow"/>
        </w:rPr>
      </w:pPr>
    </w:p>
    <w:sectPr w:rsidR="008E1303" w:rsidRPr="00D72483"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E835" w14:textId="77777777" w:rsidR="00EA463F" w:rsidRDefault="00EA463F" w:rsidP="00124A51">
      <w:r>
        <w:separator/>
      </w:r>
    </w:p>
    <w:p w14:paraId="6ADCEA08" w14:textId="77777777" w:rsidR="00EA463F" w:rsidRDefault="00EA463F"/>
  </w:endnote>
  <w:endnote w:type="continuationSeparator" w:id="0">
    <w:p w14:paraId="1CAE96C9" w14:textId="77777777" w:rsidR="00EA463F" w:rsidRDefault="00EA463F" w:rsidP="00124A51">
      <w:r>
        <w:continuationSeparator/>
      </w:r>
    </w:p>
    <w:p w14:paraId="70DB6BB1" w14:textId="77777777" w:rsidR="00EA463F" w:rsidRDefault="00EA4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Pro Cond Light">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1076" w14:textId="77777777" w:rsidR="00414250" w:rsidRDefault="0041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329" w14:textId="50ACE979" w:rsidR="00680962" w:rsidRDefault="00680962" w:rsidP="00753B29">
    <w:pPr>
      <w:pStyle w:val="Footer"/>
      <w:jc w:val="center"/>
    </w:pPr>
  </w:p>
  <w:bookmarkStart w:id="73" w:name="_Hlk76375156"/>
  <w:p w14:paraId="0EB21C1F" w14:textId="13046A2D" w:rsidR="002758CB" w:rsidRDefault="002449D6" w:rsidP="00414250">
    <w:pPr>
      <w:pStyle w:val="Footer"/>
      <w:keepNext/>
      <w:ind w:left="360"/>
      <w:jc w:val="cente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7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C112" w14:textId="77777777" w:rsidR="00414250" w:rsidRDefault="0041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F765" w14:textId="77777777" w:rsidR="00EA463F" w:rsidRDefault="00EA463F" w:rsidP="00124A51">
      <w:r>
        <w:separator/>
      </w:r>
    </w:p>
  </w:footnote>
  <w:footnote w:type="continuationSeparator" w:id="0">
    <w:p w14:paraId="60E8A5BE" w14:textId="77777777" w:rsidR="00EA463F" w:rsidRDefault="00EA463F" w:rsidP="00124A51">
      <w:r>
        <w:continuationSeparator/>
      </w:r>
    </w:p>
    <w:p w14:paraId="582B5CAA" w14:textId="77777777" w:rsidR="00EA463F" w:rsidRDefault="00EA463F"/>
  </w:footnote>
  <w:footnote w:id="1">
    <w:p w14:paraId="45CDEECC" w14:textId="77777777" w:rsidR="009D6CCE" w:rsidRDefault="009D6CCE" w:rsidP="009D6CCE">
      <w:pPr>
        <w:pStyle w:val="FootnoteText"/>
      </w:pPr>
      <w:r>
        <w:rPr>
          <w:rStyle w:val="FootnoteReference"/>
        </w:rPr>
        <w:footnoteRef/>
      </w:r>
      <w:r w:rsidRPr="00217E53">
        <w:rPr>
          <w:lang w:val="nl-NL"/>
        </w:rPr>
        <w:t xml:space="preserve"> </w:t>
      </w:r>
      <w:r w:rsidRPr="00217E53">
        <w:rPr>
          <w:rStyle w:val="FootnoteReference"/>
          <w:vertAlign w:val="baseline"/>
          <w:lang w:val="nl-NL"/>
        </w:rPr>
        <w:t xml:space="preserve">Ommen, S. R., </w:t>
      </w:r>
      <w:r w:rsidRPr="00B6559F">
        <w:rPr>
          <w:rStyle w:val="FootnoteReference"/>
          <w:i/>
          <w:vertAlign w:val="baseline"/>
          <w:lang w:val="nl-NL"/>
        </w:rPr>
        <w:t>et al</w:t>
      </w:r>
      <w:r w:rsidRPr="00217E53">
        <w:rPr>
          <w:rStyle w:val="FootnoteReference"/>
          <w:vertAlign w:val="baseline"/>
          <w:lang w:val="nl-NL"/>
        </w:rPr>
        <w:t xml:space="preserve">. </w:t>
      </w:r>
      <w:r w:rsidRPr="00217E53">
        <w:rPr>
          <w:rStyle w:val="FootnoteReference"/>
          <w:vertAlign w:val="baseline"/>
        </w:rPr>
        <w:t xml:space="preserve">"2020 AHA/ACC Guideline for the Diagnosis and Treatment of Patients With Hypertrophic Cardiomyopathy: A Report of the American College of Cardiology/American Heart Association Joint Committee on Clinical Practice Guidelines." </w:t>
      </w:r>
      <w:r w:rsidRPr="00B6559F">
        <w:rPr>
          <w:rStyle w:val="FootnoteReference"/>
          <w:i/>
          <w:vertAlign w:val="baseline"/>
        </w:rPr>
        <w:t>Circulation</w:t>
      </w:r>
      <w:r w:rsidRPr="00217E53">
        <w:rPr>
          <w:rStyle w:val="FootnoteReference"/>
          <w:vertAlign w:val="baseline"/>
        </w:rPr>
        <w:t xml:space="preserve"> 2020. 142(25): e558-e631.</w:t>
      </w:r>
    </w:p>
  </w:footnote>
  <w:footnote w:id="2">
    <w:p w14:paraId="13A2C5BB" w14:textId="3CACB494" w:rsidR="00103925" w:rsidRDefault="00103925">
      <w:pPr>
        <w:pStyle w:val="FootnoteText"/>
      </w:pPr>
      <w:r>
        <w:rPr>
          <w:rStyle w:val="FootnoteReference"/>
        </w:rPr>
        <w:footnoteRef/>
      </w:r>
      <w:r w:rsidRPr="00217E53">
        <w:rPr>
          <w:lang w:val="nl-NL"/>
        </w:rPr>
        <w:t xml:space="preserve"> </w:t>
      </w:r>
      <w:r w:rsidRPr="00217E53">
        <w:rPr>
          <w:rStyle w:val="FootnoteReference"/>
          <w:vertAlign w:val="baseline"/>
          <w:lang w:val="nl-NL"/>
        </w:rPr>
        <w:t xml:space="preserve">Ommen, S. R., </w:t>
      </w:r>
      <w:r w:rsidRPr="00B6559F">
        <w:rPr>
          <w:rStyle w:val="FootnoteReference"/>
          <w:i/>
          <w:vertAlign w:val="baseline"/>
          <w:lang w:val="nl-NL"/>
        </w:rPr>
        <w:t>et al</w:t>
      </w:r>
      <w:r w:rsidRPr="00217E53">
        <w:rPr>
          <w:rStyle w:val="FootnoteReference"/>
          <w:vertAlign w:val="baseline"/>
          <w:lang w:val="nl-NL"/>
        </w:rPr>
        <w:t xml:space="preserve">. </w:t>
      </w:r>
      <w:r w:rsidRPr="00217E53">
        <w:rPr>
          <w:rStyle w:val="FootnoteReference"/>
          <w:vertAlign w:val="baseline"/>
        </w:rPr>
        <w:t xml:space="preserve">"2020 AHA/ACC Guideline for the Diagnosis and Treatment of Patients With Hypertrophic Cardiomyopathy: A Report of the American College of Cardiology/American Heart Association Joint Committee on Clinical Practice Guidelines." </w:t>
      </w:r>
      <w:r w:rsidRPr="00B6559F">
        <w:rPr>
          <w:rStyle w:val="FootnoteReference"/>
          <w:i/>
          <w:vertAlign w:val="baseline"/>
        </w:rPr>
        <w:t>Circulation</w:t>
      </w:r>
      <w:r w:rsidRPr="00217E53">
        <w:rPr>
          <w:rStyle w:val="FootnoteReference"/>
          <w:vertAlign w:val="baseline"/>
        </w:rPr>
        <w:t xml:space="preserve"> 2020. 142(25): e558-e631.</w:t>
      </w:r>
    </w:p>
  </w:footnote>
  <w:footnote w:id="3">
    <w:p w14:paraId="59576D03" w14:textId="19DAEE40" w:rsidR="00103925" w:rsidRPr="00D4265D" w:rsidRDefault="00103925">
      <w:pPr>
        <w:pStyle w:val="FootnoteText"/>
        <w:rPr>
          <w:rStyle w:val="FootnoteReference"/>
        </w:rPr>
      </w:pPr>
      <w:r w:rsidRPr="00D4265D">
        <w:rPr>
          <w:rStyle w:val="FootnoteReference"/>
        </w:rPr>
        <w:footnoteRef/>
      </w:r>
      <w:r w:rsidRPr="00D4265D">
        <w:rPr>
          <w:rStyle w:val="FootnoteReference"/>
          <w:lang w:val="nl-NL"/>
        </w:rPr>
        <w:t xml:space="preserve"> </w:t>
      </w:r>
      <w:r w:rsidRPr="005D0295">
        <w:rPr>
          <w:rStyle w:val="FootnoteReference"/>
          <w:vertAlign w:val="baseline"/>
          <w:lang w:val="nl-NL"/>
        </w:rPr>
        <w:t>Swank, A. M., et al. (2012). "Modest increase in peak VO2 is related to better clinical outcomes in chronic heart failure patients: results from heart failure and a controlled trial to investigate outcomes of exercise training." Circ Heart Fail 5(5): 579-585.</w:t>
      </w:r>
    </w:p>
  </w:footnote>
  <w:footnote w:id="4">
    <w:p w14:paraId="4734B0B5" w14:textId="77777777" w:rsidR="00103925" w:rsidRPr="004E3E0C" w:rsidRDefault="00103925" w:rsidP="00AB558E">
      <w:pPr>
        <w:autoSpaceDE w:val="0"/>
        <w:autoSpaceDN w:val="0"/>
        <w:adjustRightInd w:val="0"/>
        <w:jc w:val="left"/>
        <w:rPr>
          <w:rFonts w:ascii="Segoe UI" w:hAnsi="Segoe UI" w:cs="Segoe UI"/>
          <w:sz w:val="18"/>
          <w:szCs w:val="18"/>
        </w:rPr>
      </w:pPr>
      <w:r>
        <w:rPr>
          <w:rStyle w:val="FootnoteReference"/>
        </w:rPr>
        <w:footnoteRef/>
      </w:r>
      <w:r>
        <w:t xml:space="preserve"> </w:t>
      </w:r>
      <w:r>
        <w:rPr>
          <w:rFonts w:ascii="Segoe UI" w:hAnsi="Segoe UI" w:cs="Segoe UI"/>
          <w:sz w:val="18"/>
          <w:szCs w:val="18"/>
        </w:rPr>
        <w:t xml:space="preserve">Spertus, J, Peterson, E, Conard, MW, Heidenreich, PA, Krumholz, HM, Jones, P, McCullough, PA, Pina, I, Tooley, J, Weintraub, WS, Rumsfeld, JS &amp; Cardiovascular Outcomes Research, C 2005, 'Monitoring clinical changes in patients with heart failure: a comparison of methods', </w:t>
      </w:r>
      <w:r>
        <w:rPr>
          <w:rFonts w:ascii="Segoe UI" w:hAnsi="Segoe UI" w:cs="Segoe UI"/>
          <w:i/>
          <w:iCs/>
          <w:sz w:val="18"/>
          <w:szCs w:val="18"/>
        </w:rPr>
        <w:t>Am Heart J</w:t>
      </w:r>
      <w:r>
        <w:rPr>
          <w:rFonts w:ascii="Segoe UI" w:hAnsi="Segoe UI" w:cs="Segoe UI"/>
          <w:sz w:val="18"/>
          <w:szCs w:val="18"/>
        </w:rPr>
        <w:t>, vol. 150, no. 4, Oct, pp. 707-715.</w:t>
      </w:r>
    </w:p>
  </w:footnote>
  <w:footnote w:id="5">
    <w:p w14:paraId="7774F10D" w14:textId="77777777" w:rsidR="00FD51DC" w:rsidRPr="001E7039" w:rsidRDefault="00FD51DC" w:rsidP="00FD51DC">
      <w:pPr>
        <w:pStyle w:val="FootnoteText"/>
        <w:rPr>
          <w:rFonts w:eastAsia="Calibri"/>
          <w:iCs/>
        </w:rPr>
      </w:pPr>
      <w:r w:rsidRPr="001936EF">
        <w:rPr>
          <w:rStyle w:val="FootnoteReference"/>
          <w:vertAlign w:val="baseline"/>
          <w:lang w:val="nl-NL"/>
        </w:rPr>
        <w:footnoteRef/>
      </w:r>
      <w:r w:rsidRPr="001936EF">
        <w:rPr>
          <w:rStyle w:val="FootnoteReference"/>
          <w:vertAlign w:val="baseline"/>
          <w:lang w:val="nl-NL"/>
        </w:rPr>
        <w:t xml:space="preserve"> Maron, M. S., Hellawell, J. L., Lucove, J. C., Farzaneh-Far, R., &amp; Olivotto, I. (2016). Occurrence of clinically diagnosed hypertrophic cardiomyopathy in the United States. American Journal of Cardiology, 117(10), 1651–1654. https://doi.org/10.1016/j.amjcard.2016.02.044</w:t>
      </w:r>
    </w:p>
  </w:footnote>
  <w:footnote w:id="6">
    <w:p w14:paraId="52FCBD11" w14:textId="77777777" w:rsidR="00103925" w:rsidRDefault="00103925" w:rsidP="00D41BD9">
      <w:pPr>
        <w:pStyle w:val="FootnoteText"/>
      </w:pPr>
      <w:r>
        <w:rPr>
          <w:rStyle w:val="FootnoteReference"/>
        </w:rPr>
        <w:footnoteRef/>
      </w:r>
      <w:r>
        <w:t xml:space="preserve"> </w:t>
      </w:r>
      <w:r w:rsidRPr="00267FE2">
        <w:t xml:space="preserve">Sherrid MV, Shetty A, </w:t>
      </w:r>
      <w:r w:rsidRPr="00267FE2">
        <w:rPr>
          <w:i/>
        </w:rPr>
        <w:t>et al</w:t>
      </w:r>
      <w:r>
        <w:t>, (2013),</w:t>
      </w:r>
      <w:r w:rsidRPr="00267FE2">
        <w:t xml:space="preserve"> </w:t>
      </w:r>
      <w:r>
        <w:t>‘</w:t>
      </w:r>
      <w:r w:rsidRPr="00267FE2">
        <w:t>Treatment of obstructive hypertrophic cardiomyopathy symptoms and gradient resistant to first-line therapy with β-blockade or verapamil</w:t>
      </w:r>
      <w:r>
        <w:t>’,</w:t>
      </w:r>
      <w:r w:rsidRPr="00267FE2">
        <w:t xml:space="preserve"> </w:t>
      </w:r>
      <w:r w:rsidRPr="00267FE2">
        <w:rPr>
          <w:i/>
        </w:rPr>
        <w:t>Circulation Heart failure</w:t>
      </w:r>
      <w:r>
        <w:t xml:space="preserve">, </w:t>
      </w:r>
      <w:r w:rsidRPr="00267FE2">
        <w:t>6(4):694-702.</w:t>
      </w:r>
    </w:p>
    <w:p w14:paraId="44EE1562" w14:textId="77777777" w:rsidR="00103925" w:rsidRDefault="00103925" w:rsidP="00D41BD9">
      <w:pPr>
        <w:pStyle w:val="FootnoteText"/>
      </w:pPr>
      <w:r w:rsidRPr="00267FE2">
        <w:t xml:space="preserve">Sherrid MV, Barac I, </w:t>
      </w:r>
      <w:r w:rsidRPr="00267FE2">
        <w:rPr>
          <w:i/>
        </w:rPr>
        <w:t>et al</w:t>
      </w:r>
      <w:r>
        <w:t>, (1005),</w:t>
      </w:r>
      <w:r w:rsidRPr="00267FE2">
        <w:t xml:space="preserve"> </w:t>
      </w:r>
      <w:r>
        <w:t>‘</w:t>
      </w:r>
      <w:r w:rsidRPr="00267FE2">
        <w:t>Multicenter study of the efficacy and safety of disopyramide in obstructive hypertrophic cardiomyopathy</w:t>
      </w:r>
      <w:r>
        <w:t>’,</w:t>
      </w:r>
      <w:r w:rsidRPr="00267FE2">
        <w:t xml:space="preserve"> </w:t>
      </w:r>
      <w:r w:rsidRPr="00267FE2">
        <w:rPr>
          <w:i/>
        </w:rPr>
        <w:t>Journal of the American College of Cardiology</w:t>
      </w:r>
      <w:r>
        <w:t xml:space="preserve">, </w:t>
      </w:r>
      <w:r w:rsidRPr="00267FE2">
        <w:t>45(8):1251-8.</w:t>
      </w:r>
    </w:p>
    <w:p w14:paraId="7CB73321" w14:textId="77777777" w:rsidR="00103925" w:rsidRDefault="00103925" w:rsidP="00D41BD9">
      <w:pPr>
        <w:pStyle w:val="FootnoteText"/>
      </w:pPr>
      <w:r w:rsidRPr="00267FE2">
        <w:t xml:space="preserve">Haruki S, Minami Y, </w:t>
      </w:r>
      <w:r>
        <w:rPr>
          <w:i/>
        </w:rPr>
        <w:t xml:space="preserve">et al </w:t>
      </w:r>
      <w:r>
        <w:t>(2015),</w:t>
      </w:r>
      <w:r w:rsidRPr="00267FE2">
        <w:t xml:space="preserve"> </w:t>
      </w:r>
      <w:r>
        <w:t>‘</w:t>
      </w:r>
      <w:r w:rsidRPr="00267FE2">
        <w:t>Effects of flecainide on left ventricular pressure gradient and symptoms in obstructive hypertrophic cardiomyopathy: a comparison</w:t>
      </w:r>
      <w:r>
        <w:t xml:space="preserve"> of flecainide and disopyramide’, </w:t>
      </w:r>
      <w:r w:rsidRPr="00267FE2">
        <w:rPr>
          <w:i/>
        </w:rPr>
        <w:t>Heart and vessels</w:t>
      </w:r>
      <w:r>
        <w:t>,</w:t>
      </w:r>
      <w:r w:rsidRPr="00267FE2">
        <w:t xml:space="preserve"> 30(5):604-10.</w:t>
      </w:r>
    </w:p>
  </w:footnote>
  <w:footnote w:id="7">
    <w:p w14:paraId="1B3173B9" w14:textId="77777777" w:rsidR="00103925" w:rsidRDefault="00103925" w:rsidP="00D41BD9">
      <w:pPr>
        <w:pStyle w:val="FootnoteText"/>
      </w:pPr>
      <w:r>
        <w:rPr>
          <w:rStyle w:val="FootnoteReference"/>
        </w:rPr>
        <w:footnoteRef/>
      </w:r>
      <w:r>
        <w:t xml:space="preserve"> </w:t>
      </w:r>
      <w:r w:rsidRPr="00F55DA5">
        <w:t xml:space="preserve">Knyshov G, Lazoryshynets V, </w:t>
      </w:r>
      <w:r w:rsidRPr="00F55DA5">
        <w:rPr>
          <w:i/>
        </w:rPr>
        <w:t>et al</w:t>
      </w:r>
      <w:r>
        <w:t>, (2013),</w:t>
      </w:r>
      <w:r w:rsidRPr="00F55DA5">
        <w:t xml:space="preserve"> </w:t>
      </w:r>
      <w:r>
        <w:t>‘</w:t>
      </w:r>
      <w:r w:rsidRPr="00F55DA5">
        <w:t>Is surgery the gold standard in the treatment of obstructive hypertrophic cardiomyopathy?</w:t>
      </w:r>
      <w:r>
        <w:t>’,</w:t>
      </w:r>
      <w:r w:rsidRPr="00F55DA5">
        <w:t xml:space="preserve"> </w:t>
      </w:r>
      <w:r w:rsidRPr="00F55DA5">
        <w:rPr>
          <w:i/>
        </w:rPr>
        <w:t>Interactive cardiovascular and thoracic surgery</w:t>
      </w:r>
      <w:r>
        <w:t xml:space="preserve">, </w:t>
      </w:r>
      <w:r w:rsidRPr="00F55DA5">
        <w:t>16(1):5-9.</w:t>
      </w:r>
    </w:p>
  </w:footnote>
  <w:footnote w:id="8">
    <w:p w14:paraId="24A66F12" w14:textId="77777777" w:rsidR="00103925" w:rsidRDefault="00103925" w:rsidP="00D41BD9">
      <w:pPr>
        <w:pStyle w:val="FootnoteText"/>
      </w:pPr>
      <w:r>
        <w:rPr>
          <w:rStyle w:val="FootnoteReference"/>
        </w:rPr>
        <w:footnoteRef/>
      </w:r>
      <w:r>
        <w:t xml:space="preserve"> </w:t>
      </w:r>
      <w:r w:rsidRPr="00522CF8">
        <w:t xml:space="preserve">Viney R, Norman R, </w:t>
      </w:r>
      <w:r w:rsidRPr="00522CF8">
        <w:rPr>
          <w:i/>
        </w:rPr>
        <w:t>et al</w:t>
      </w:r>
      <w:r>
        <w:t>, (2011),</w:t>
      </w:r>
      <w:r w:rsidRPr="00522CF8">
        <w:t xml:space="preserve"> </w:t>
      </w:r>
      <w:r>
        <w:t>‘</w:t>
      </w:r>
      <w:r w:rsidRPr="00522CF8">
        <w:t>Time trade-off deri</w:t>
      </w:r>
      <w:r>
        <w:t>ved EQ-5D weights for Australia’,</w:t>
      </w:r>
      <w:r w:rsidRPr="00522CF8">
        <w:t xml:space="preserve"> </w:t>
      </w:r>
      <w:r w:rsidRPr="00522CF8">
        <w:rPr>
          <w:i/>
        </w:rPr>
        <w:t>Value in health</w:t>
      </w:r>
      <w:r>
        <w:t xml:space="preserve">, </w:t>
      </w:r>
      <w:r w:rsidRPr="00522CF8">
        <w:t>14(6):928-36.</w:t>
      </w:r>
    </w:p>
  </w:footnote>
  <w:footnote w:id="9">
    <w:p w14:paraId="1FFFD68A" w14:textId="77777777" w:rsidR="00103925" w:rsidRDefault="00103925" w:rsidP="00D41BD9">
      <w:pPr>
        <w:pStyle w:val="FootnoteText"/>
      </w:pPr>
      <w:r>
        <w:rPr>
          <w:rStyle w:val="FootnoteReference"/>
        </w:rPr>
        <w:footnoteRef/>
      </w:r>
      <w:r w:rsidRPr="00881741">
        <w:t>Australian Institute of Health and Welfare. Hospital Performance: Costs of acute admitted patients i</w:t>
      </w:r>
      <w:r>
        <w:t xml:space="preserve">n public hospitals in 2011–12. </w:t>
      </w:r>
      <w:r w:rsidRPr="00881741">
        <w:t xml:space="preserve">2015; Available from: </w:t>
      </w:r>
      <w:hyperlink r:id="rId1" w:history="1">
        <w:r w:rsidRPr="00183E95">
          <w:rPr>
            <w:rStyle w:val="Hyperlink"/>
          </w:rPr>
          <w:t>https://www.aihw.gov.au/reports/hospitals/hospital-performance-costs-acute-patients-2011-12/contents/key-findings</w:t>
        </w:r>
      </w:hyperlink>
      <w:r>
        <w:t xml:space="preserve"> </w:t>
      </w:r>
    </w:p>
  </w:footnote>
  <w:footnote w:id="10">
    <w:p w14:paraId="34D62D2C" w14:textId="77777777" w:rsidR="00103925" w:rsidRDefault="00103925" w:rsidP="00D41BD9">
      <w:pPr>
        <w:pStyle w:val="FootnoteText"/>
        <w:keepNext/>
      </w:pPr>
      <w:r>
        <w:rPr>
          <w:rStyle w:val="FootnoteReference"/>
        </w:rPr>
        <w:footnoteRef/>
      </w:r>
      <w:r w:rsidRPr="006D4DDF">
        <w:rPr>
          <w:lang w:val="nl-NL"/>
        </w:rPr>
        <w:t xml:space="preserve"> Yang Q, Zhu C, </w:t>
      </w:r>
      <w:r w:rsidRPr="006D4DDF">
        <w:rPr>
          <w:i/>
          <w:lang w:val="nl-NL"/>
        </w:rPr>
        <w:t>et al</w:t>
      </w:r>
      <w:r>
        <w:rPr>
          <w:lang w:val="nl-NL"/>
        </w:rPr>
        <w:t>, (2021),</w:t>
      </w:r>
      <w:r w:rsidRPr="006D4DDF">
        <w:rPr>
          <w:lang w:val="nl-NL"/>
        </w:rPr>
        <w:t xml:space="preserve"> </w:t>
      </w:r>
      <w:r>
        <w:rPr>
          <w:lang w:val="nl-NL"/>
        </w:rPr>
        <w:t>‘</w:t>
      </w:r>
      <w:r w:rsidRPr="00C16850">
        <w:t>Surgical septal myectomy outcome for obstructive hypertrophic cardiomyopathy after alcohol septal ablation</w:t>
      </w:r>
      <w:r>
        <w:t xml:space="preserve">’, </w:t>
      </w:r>
      <w:r>
        <w:rPr>
          <w:i/>
        </w:rPr>
        <w:t>Journal of Thoracic D</w:t>
      </w:r>
      <w:r w:rsidRPr="00C16850">
        <w:rPr>
          <w:i/>
        </w:rPr>
        <w:t>isease</w:t>
      </w:r>
      <w:r>
        <w:t xml:space="preserve">, </w:t>
      </w:r>
      <w:r w:rsidRPr="00C16850">
        <w:t>13(2):1055-65.</w:t>
      </w:r>
    </w:p>
    <w:p w14:paraId="178FBDF0" w14:textId="77777777" w:rsidR="00103925" w:rsidRDefault="00103925" w:rsidP="00D41BD9">
      <w:pPr>
        <w:pStyle w:val="FootnoteText"/>
        <w:keepNext/>
      </w:pPr>
      <w:r w:rsidRPr="00C16850">
        <w:t xml:space="preserve">Steggerda RC, Damman K, </w:t>
      </w:r>
      <w:r>
        <w:rPr>
          <w:i/>
        </w:rPr>
        <w:t>et al</w:t>
      </w:r>
      <w:r>
        <w:t>, (2014),</w:t>
      </w:r>
      <w:r w:rsidRPr="00C16850">
        <w:t xml:space="preserve"> </w:t>
      </w:r>
      <w:r>
        <w:t>‘</w:t>
      </w:r>
      <w:r w:rsidRPr="00C16850">
        <w:t>Periprocedural complications and long-term outcome after alcohol septal ablation versus surgical myectomy in hypertrophic obstructive cardiomyopathy: a single-center e</w:t>
      </w:r>
      <w:r>
        <w:t xml:space="preserve">xperience’, </w:t>
      </w:r>
      <w:r w:rsidRPr="00C16850">
        <w:rPr>
          <w:i/>
        </w:rPr>
        <w:t>JACC Cardiovascular Interventions</w:t>
      </w:r>
      <w:r>
        <w:t xml:space="preserve">, </w:t>
      </w:r>
      <w:r w:rsidRPr="00C16850">
        <w:t>7(11):1227-34.</w:t>
      </w:r>
    </w:p>
    <w:p w14:paraId="00766893" w14:textId="77777777" w:rsidR="00103925" w:rsidRDefault="00103925" w:rsidP="00D41BD9">
      <w:pPr>
        <w:pStyle w:val="FootnoteText"/>
      </w:pPr>
      <w:r w:rsidRPr="00C16850">
        <w:t xml:space="preserve">Lemor A, Villablanca PA, </w:t>
      </w:r>
      <w:r w:rsidRPr="00C16850">
        <w:rPr>
          <w:i/>
        </w:rPr>
        <w:t>et al</w:t>
      </w:r>
      <w:r>
        <w:t>, (2020),</w:t>
      </w:r>
      <w:r w:rsidRPr="00C16850">
        <w:t xml:space="preserve"> </w:t>
      </w:r>
      <w:r>
        <w:t>‘C</w:t>
      </w:r>
      <w:r w:rsidRPr="00C16850">
        <w:t>omparison of outcomes of alcohol septal ablation or septal myectomy for hypertrophic cardiomyopathy in patients ≤65 years versus &gt;65 years</w:t>
      </w:r>
      <w:r>
        <w:t xml:space="preserve">’, </w:t>
      </w:r>
      <w:r>
        <w:rPr>
          <w:i/>
        </w:rPr>
        <w:t>The American Journal of C</w:t>
      </w:r>
      <w:r w:rsidRPr="00C16850">
        <w:rPr>
          <w:i/>
        </w:rPr>
        <w:t>ardiology</w:t>
      </w:r>
      <w:r>
        <w:t xml:space="preserve">, </w:t>
      </w:r>
      <w:r w:rsidRPr="00C16850">
        <w:t>127:128-34.</w:t>
      </w:r>
    </w:p>
  </w:footnote>
  <w:footnote w:id="11">
    <w:p w14:paraId="5B6EF209" w14:textId="35FEC27C" w:rsidR="00681169" w:rsidRDefault="00681169" w:rsidP="00681169">
      <w:pPr>
        <w:pStyle w:val="EndNoteBibliography"/>
        <w:ind w:hanging="11"/>
      </w:pPr>
      <w:r>
        <w:rPr>
          <w:rStyle w:val="FootnoteReference"/>
        </w:rPr>
        <w:footnoteRef/>
      </w:r>
      <w:r>
        <w:t xml:space="preserve"> </w:t>
      </w:r>
      <w:r w:rsidRPr="00681169">
        <w:rPr>
          <w:rFonts w:cs="Arial"/>
          <w:noProof w:val="0"/>
          <w:sz w:val="20"/>
          <w:szCs w:val="20"/>
        </w:rPr>
        <w:t>Canepa M, Fumagalli C, Tini G, Vincent-Tompkins J, Day SM, Ashley EA, et al. Temporal Trend of Age at Diagnosis in Hypertrophic Cardiomyopathy: An Analysis of the International Sarcomeric Human Cardiomyopathy Registry. Circulation Heart failure. 2020;13(9):e007230.</w:t>
      </w:r>
    </w:p>
  </w:footnote>
  <w:footnote w:id="12">
    <w:p w14:paraId="6AF6B05A" w14:textId="1D323A03" w:rsidR="00681169" w:rsidRDefault="00681169">
      <w:pPr>
        <w:pStyle w:val="FootnoteText"/>
      </w:pPr>
      <w:r>
        <w:rPr>
          <w:rStyle w:val="FootnoteReference"/>
        </w:rPr>
        <w:footnoteRef/>
      </w:r>
      <w:r>
        <w:t xml:space="preserve"> </w:t>
      </w:r>
      <w:r w:rsidRPr="005C6D96">
        <w:t xml:space="preserve">Maron MS, Olivotto I, Zenovich AG, Link MS, Pandian NG, Kuvin JT, et al. Hypertrophic cardiomyopathy is predominantly a disease of left ventricular outflow tract obstruction. </w:t>
      </w:r>
      <w:r w:rsidRPr="005C6D96">
        <w:rPr>
          <w:i/>
        </w:rPr>
        <w:t>Circulation</w:t>
      </w:r>
      <w:r w:rsidRPr="005C6D96">
        <w:t>. 2006;114(21):2232-9.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7315" w14:textId="77777777" w:rsidR="00414250" w:rsidRDefault="0041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164F" w14:textId="79D35D7E" w:rsidR="002449D6" w:rsidRPr="00056684" w:rsidRDefault="00303F41" w:rsidP="002449D6">
    <w:pPr>
      <w:pStyle w:val="Header"/>
      <w:ind w:left="360"/>
      <w:rPr>
        <w:rFonts w:asciiTheme="minorHAnsi" w:hAnsiTheme="minorHAnsi"/>
        <w:i/>
        <w:color w:val="808080"/>
      </w:rPr>
    </w:pPr>
    <w:bookmarkStart w:id="72" w:name="_Hlk76375146"/>
    <w:r>
      <w:rPr>
        <w:rFonts w:asciiTheme="minorHAnsi" w:hAnsiTheme="minorHAnsi"/>
        <w:i/>
        <w:color w:val="808080"/>
      </w:rPr>
      <w:t>Public Summary Document</w:t>
    </w:r>
    <w:r w:rsidR="00DD0B48">
      <w:rPr>
        <w:rFonts w:asciiTheme="minorHAnsi" w:hAnsiTheme="minorHAnsi"/>
        <w:i/>
        <w:color w:val="808080"/>
      </w:rPr>
      <w:t xml:space="preserve"> </w:t>
    </w:r>
    <w:r w:rsidR="002449D6" w:rsidRPr="00056684">
      <w:rPr>
        <w:rFonts w:asciiTheme="minorHAnsi" w:hAnsiTheme="minorHAnsi"/>
        <w:i/>
        <w:color w:val="808080"/>
      </w:rPr>
      <w:t xml:space="preserve">– </w:t>
    </w:r>
    <w:r w:rsidR="002449D6">
      <w:rPr>
        <w:rFonts w:asciiTheme="minorHAnsi" w:hAnsiTheme="minorHAnsi"/>
        <w:i/>
        <w:color w:val="808080"/>
      </w:rPr>
      <w:t>November 2022</w:t>
    </w:r>
    <w:r w:rsidR="002449D6" w:rsidRPr="00056684">
      <w:rPr>
        <w:rFonts w:asciiTheme="minorHAnsi" w:hAnsiTheme="minorHAnsi"/>
        <w:i/>
        <w:color w:val="808080"/>
      </w:rPr>
      <w:t xml:space="preserve"> PBAC Meeting</w:t>
    </w:r>
  </w:p>
  <w:bookmarkEnd w:id="72"/>
  <w:p w14:paraId="39086800" w14:textId="77777777" w:rsidR="002758CB" w:rsidRDefault="002758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3B37" w14:textId="77777777" w:rsidR="00414250" w:rsidRDefault="0041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687A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1113A"/>
    <w:multiLevelType w:val="hybridMultilevel"/>
    <w:tmpl w:val="056679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B60AE8"/>
    <w:multiLevelType w:val="multilevel"/>
    <w:tmpl w:val="307A01D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891D5E"/>
    <w:multiLevelType w:val="hybridMultilevel"/>
    <w:tmpl w:val="4EFA47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B7B25B4"/>
    <w:multiLevelType w:val="hybridMultilevel"/>
    <w:tmpl w:val="C5DAB80A"/>
    <w:lvl w:ilvl="0" w:tplc="251AAEA2">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703B9B"/>
    <w:multiLevelType w:val="hybridMultilevel"/>
    <w:tmpl w:val="B20ADA9E"/>
    <w:lvl w:ilvl="0" w:tplc="18CEDA90">
      <w:start w:val="1"/>
      <w:numFmt w:val="upperLetter"/>
      <w:pStyle w:val="Bullet0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70107"/>
    <w:multiLevelType w:val="multilevel"/>
    <w:tmpl w:val="398632D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3C44CB"/>
    <w:multiLevelType w:val="hybridMultilevel"/>
    <w:tmpl w:val="B82E4E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057ED"/>
    <w:multiLevelType w:val="hybridMultilevel"/>
    <w:tmpl w:val="B506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9A3718"/>
    <w:multiLevelType w:val="hybridMultilevel"/>
    <w:tmpl w:val="7E1A415A"/>
    <w:lvl w:ilvl="0" w:tplc="1BF046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D9334F"/>
    <w:multiLevelType w:val="multilevel"/>
    <w:tmpl w:val="0444FA88"/>
    <w:lvl w:ilvl="0">
      <w:start w:val="1"/>
      <w:numFmt w:val="bullet"/>
      <w:lvlText w:val=""/>
      <w:lvlJc w:val="left"/>
      <w:pPr>
        <w:tabs>
          <w:tab w:val="num" w:pos="720"/>
        </w:tabs>
        <w:ind w:left="720" w:hanging="360"/>
      </w:pPr>
      <w:rPr>
        <w:rFonts w:ascii="Symbol" w:hAnsi="Symbol" w:hint="default"/>
        <w:b w:val="0"/>
        <w:i w:val="0"/>
        <w:caps w:val="0"/>
        <w:strike w:val="0"/>
        <w:dstrike w:val="0"/>
        <w:outline w:val="0"/>
        <w:shadow w:val="0"/>
        <w:emboss w:val="0"/>
        <w:imprint w:val="0"/>
        <w:vanish w:val="0"/>
        <w:color w:val="auto"/>
        <w:sz w:val="22"/>
        <w:szCs w:val="22"/>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9D3EC3"/>
    <w:multiLevelType w:val="multilevel"/>
    <w:tmpl w:val="0EE244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7"/>
  </w:num>
  <w:num w:numId="2">
    <w:abstractNumId w:val="6"/>
  </w:num>
  <w:num w:numId="3">
    <w:abstractNumId w:val="9"/>
  </w:num>
  <w:num w:numId="4">
    <w:abstractNumId w:val="0"/>
  </w:num>
  <w:num w:numId="5">
    <w:abstractNumId w:val="17"/>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9"/>
  </w:num>
  <w:num w:numId="11">
    <w:abstractNumId w:val="11"/>
  </w:num>
  <w:num w:numId="12">
    <w:abstractNumId w:val="4"/>
  </w:num>
  <w:num w:numId="13">
    <w:abstractNumId w:val="10"/>
  </w:num>
  <w:num w:numId="14">
    <w:abstractNumId w:val="12"/>
  </w:num>
  <w:num w:numId="15">
    <w:abstractNumId w:val="13"/>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1"/>
  </w:num>
  <w:num w:numId="20">
    <w:abstractNumId w:val="17"/>
  </w:num>
  <w:num w:numId="21">
    <w:abstractNumId w:val="17"/>
  </w:num>
  <w:num w:numId="22">
    <w:abstractNumId w:val="8"/>
  </w:num>
  <w:num w:numId="23">
    <w:abstractNumId w:val="17"/>
  </w:num>
  <w:num w:numId="24">
    <w:abstractNumId w:val="9"/>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7"/>
  </w:num>
  <w:num w:numId="34">
    <w:abstractNumId w:val="18"/>
  </w:num>
  <w:num w:numId="35">
    <w:abstractNumId w:val="17"/>
  </w:num>
  <w:num w:numId="36">
    <w:abstractNumId w:val="17"/>
  </w:num>
  <w:num w:numId="37">
    <w:abstractNumId w:val="17"/>
  </w:num>
  <w:num w:numId="38">
    <w:abstractNumId w:val="17"/>
  </w:num>
  <w:num w:numId="3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deaxe2pr2de5effz15xw9vvss0dwfa2txs&quot;&gt;mavacamtenlibrarySK&lt;record-ids&gt;&lt;item&gt;7&lt;/item&gt;&lt;item&gt;60&lt;/item&gt;&lt;item&gt;129&lt;/item&gt;&lt;item&gt;130&lt;/item&gt;&lt;item&gt;131&lt;/item&gt;&lt;item&gt;132&lt;/item&gt;&lt;item&gt;134&lt;/item&gt;&lt;item&gt;135&lt;/item&gt;&lt;item&gt;136&lt;/item&gt;&lt;item&gt;137&lt;/item&gt;&lt;item&gt;138&lt;/item&gt;&lt;item&gt;140&lt;/item&gt;&lt;item&gt;141&lt;/item&gt;&lt;item&gt;142&lt;/item&gt;&lt;item&gt;143&lt;/item&gt;&lt;item&gt;145&lt;/item&gt;&lt;item&gt;150&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70&lt;/item&gt;&lt;item&gt;171&lt;/item&gt;&lt;item&gt;172&lt;/item&gt;&lt;item&gt;174&lt;/item&gt;&lt;item&gt;175&lt;/item&gt;&lt;item&gt;176&lt;/item&gt;&lt;item&gt;177&lt;/item&gt;&lt;item&gt;178&lt;/item&gt;&lt;item&gt;179&lt;/item&gt;&lt;item&gt;180&lt;/item&gt;&lt;/record-ids&gt;&lt;/item&gt;&lt;/Libraries&gt;"/>
  </w:docVars>
  <w:rsids>
    <w:rsidRoot w:val="00E65E79"/>
    <w:rsid w:val="00000790"/>
    <w:rsid w:val="0000110B"/>
    <w:rsid w:val="000016E0"/>
    <w:rsid w:val="0000232D"/>
    <w:rsid w:val="000025F8"/>
    <w:rsid w:val="00003499"/>
    <w:rsid w:val="000039B7"/>
    <w:rsid w:val="00004468"/>
    <w:rsid w:val="000056B9"/>
    <w:rsid w:val="00005F11"/>
    <w:rsid w:val="0000639A"/>
    <w:rsid w:val="000067D0"/>
    <w:rsid w:val="0000697F"/>
    <w:rsid w:val="00006C9C"/>
    <w:rsid w:val="00010E12"/>
    <w:rsid w:val="00010FFF"/>
    <w:rsid w:val="000111BD"/>
    <w:rsid w:val="000122F7"/>
    <w:rsid w:val="000126F5"/>
    <w:rsid w:val="00013147"/>
    <w:rsid w:val="00013247"/>
    <w:rsid w:val="0001568C"/>
    <w:rsid w:val="00015886"/>
    <w:rsid w:val="00015F90"/>
    <w:rsid w:val="000162EF"/>
    <w:rsid w:val="000174B3"/>
    <w:rsid w:val="0001791F"/>
    <w:rsid w:val="000207C9"/>
    <w:rsid w:val="00021440"/>
    <w:rsid w:val="0002225F"/>
    <w:rsid w:val="00022C94"/>
    <w:rsid w:val="00022F31"/>
    <w:rsid w:val="0002369E"/>
    <w:rsid w:val="00023763"/>
    <w:rsid w:val="00024EB5"/>
    <w:rsid w:val="0002673B"/>
    <w:rsid w:val="0002727C"/>
    <w:rsid w:val="000274B8"/>
    <w:rsid w:val="00030E4B"/>
    <w:rsid w:val="0003233D"/>
    <w:rsid w:val="00033245"/>
    <w:rsid w:val="00033734"/>
    <w:rsid w:val="00033863"/>
    <w:rsid w:val="0003492E"/>
    <w:rsid w:val="00035DC0"/>
    <w:rsid w:val="000367A4"/>
    <w:rsid w:val="00036829"/>
    <w:rsid w:val="00037AD2"/>
    <w:rsid w:val="00037F50"/>
    <w:rsid w:val="000402F7"/>
    <w:rsid w:val="00040895"/>
    <w:rsid w:val="000410A0"/>
    <w:rsid w:val="00042BFC"/>
    <w:rsid w:val="00043254"/>
    <w:rsid w:val="000435EE"/>
    <w:rsid w:val="00043C37"/>
    <w:rsid w:val="00044A13"/>
    <w:rsid w:val="00045017"/>
    <w:rsid w:val="00045A2B"/>
    <w:rsid w:val="00045A58"/>
    <w:rsid w:val="0004698F"/>
    <w:rsid w:val="00046D64"/>
    <w:rsid w:val="00047970"/>
    <w:rsid w:val="000508C2"/>
    <w:rsid w:val="00051379"/>
    <w:rsid w:val="000521BC"/>
    <w:rsid w:val="0005393C"/>
    <w:rsid w:val="000539D0"/>
    <w:rsid w:val="00054621"/>
    <w:rsid w:val="000546D7"/>
    <w:rsid w:val="00054A8D"/>
    <w:rsid w:val="00056D24"/>
    <w:rsid w:val="00056ECF"/>
    <w:rsid w:val="00057C04"/>
    <w:rsid w:val="000604DF"/>
    <w:rsid w:val="00062324"/>
    <w:rsid w:val="0006309E"/>
    <w:rsid w:val="00063B0A"/>
    <w:rsid w:val="00063F7A"/>
    <w:rsid w:val="00064B60"/>
    <w:rsid w:val="000653B5"/>
    <w:rsid w:val="00065583"/>
    <w:rsid w:val="00066360"/>
    <w:rsid w:val="00066AF8"/>
    <w:rsid w:val="00066BDD"/>
    <w:rsid w:val="00066E7C"/>
    <w:rsid w:val="0007052C"/>
    <w:rsid w:val="00071248"/>
    <w:rsid w:val="00071AFA"/>
    <w:rsid w:val="000720B9"/>
    <w:rsid w:val="00073454"/>
    <w:rsid w:val="000737F7"/>
    <w:rsid w:val="0007440D"/>
    <w:rsid w:val="000751A1"/>
    <w:rsid w:val="00075BA9"/>
    <w:rsid w:val="0007672F"/>
    <w:rsid w:val="00076B54"/>
    <w:rsid w:val="00076CBB"/>
    <w:rsid w:val="000774E8"/>
    <w:rsid w:val="000774F0"/>
    <w:rsid w:val="000803C9"/>
    <w:rsid w:val="00080909"/>
    <w:rsid w:val="000812CA"/>
    <w:rsid w:val="00081889"/>
    <w:rsid w:val="00081E63"/>
    <w:rsid w:val="0008258D"/>
    <w:rsid w:val="000839E0"/>
    <w:rsid w:val="00083E99"/>
    <w:rsid w:val="00084FA8"/>
    <w:rsid w:val="000850FF"/>
    <w:rsid w:val="000856C5"/>
    <w:rsid w:val="00085C31"/>
    <w:rsid w:val="00086929"/>
    <w:rsid w:val="00087D37"/>
    <w:rsid w:val="00087E32"/>
    <w:rsid w:val="000902D9"/>
    <w:rsid w:val="00090C7E"/>
    <w:rsid w:val="000911AC"/>
    <w:rsid w:val="000915FB"/>
    <w:rsid w:val="00091D7D"/>
    <w:rsid w:val="00092600"/>
    <w:rsid w:val="0009262B"/>
    <w:rsid w:val="00093310"/>
    <w:rsid w:val="000940DC"/>
    <w:rsid w:val="0009445C"/>
    <w:rsid w:val="00094A64"/>
    <w:rsid w:val="00095200"/>
    <w:rsid w:val="00095FE5"/>
    <w:rsid w:val="00096284"/>
    <w:rsid w:val="0009649B"/>
    <w:rsid w:val="000A0E12"/>
    <w:rsid w:val="000A14AA"/>
    <w:rsid w:val="000A1BC0"/>
    <w:rsid w:val="000A2F9E"/>
    <w:rsid w:val="000A331F"/>
    <w:rsid w:val="000A3E47"/>
    <w:rsid w:val="000A522B"/>
    <w:rsid w:val="000A6039"/>
    <w:rsid w:val="000A6AE9"/>
    <w:rsid w:val="000A7453"/>
    <w:rsid w:val="000A7D08"/>
    <w:rsid w:val="000B0121"/>
    <w:rsid w:val="000B0670"/>
    <w:rsid w:val="000B0AD7"/>
    <w:rsid w:val="000B0E75"/>
    <w:rsid w:val="000B2DCB"/>
    <w:rsid w:val="000B458E"/>
    <w:rsid w:val="000B5015"/>
    <w:rsid w:val="000B5258"/>
    <w:rsid w:val="000B5CE0"/>
    <w:rsid w:val="000B6CAC"/>
    <w:rsid w:val="000B7612"/>
    <w:rsid w:val="000B78AE"/>
    <w:rsid w:val="000C12E5"/>
    <w:rsid w:val="000C1847"/>
    <w:rsid w:val="000C279C"/>
    <w:rsid w:val="000C33E2"/>
    <w:rsid w:val="000C3DF9"/>
    <w:rsid w:val="000C4CF2"/>
    <w:rsid w:val="000C6713"/>
    <w:rsid w:val="000D077A"/>
    <w:rsid w:val="000D0FEE"/>
    <w:rsid w:val="000D1BFC"/>
    <w:rsid w:val="000D1D5D"/>
    <w:rsid w:val="000D24E6"/>
    <w:rsid w:val="000D2654"/>
    <w:rsid w:val="000D281A"/>
    <w:rsid w:val="000D2848"/>
    <w:rsid w:val="000D326A"/>
    <w:rsid w:val="000D334B"/>
    <w:rsid w:val="000D3A2F"/>
    <w:rsid w:val="000D4031"/>
    <w:rsid w:val="000D42A4"/>
    <w:rsid w:val="000D455E"/>
    <w:rsid w:val="000D51FB"/>
    <w:rsid w:val="000D5E66"/>
    <w:rsid w:val="000D6081"/>
    <w:rsid w:val="000E0640"/>
    <w:rsid w:val="000E135D"/>
    <w:rsid w:val="000E5BA9"/>
    <w:rsid w:val="000E5C95"/>
    <w:rsid w:val="000E6753"/>
    <w:rsid w:val="000E6928"/>
    <w:rsid w:val="000E7F47"/>
    <w:rsid w:val="000F00BA"/>
    <w:rsid w:val="000F0DB6"/>
    <w:rsid w:val="000F0E79"/>
    <w:rsid w:val="000F102A"/>
    <w:rsid w:val="000F316A"/>
    <w:rsid w:val="000F33BF"/>
    <w:rsid w:val="000F358D"/>
    <w:rsid w:val="000F3C74"/>
    <w:rsid w:val="000F4BB8"/>
    <w:rsid w:val="000F4FA9"/>
    <w:rsid w:val="000F53FB"/>
    <w:rsid w:val="000F619B"/>
    <w:rsid w:val="000F7127"/>
    <w:rsid w:val="000F7B54"/>
    <w:rsid w:val="001000B3"/>
    <w:rsid w:val="00100168"/>
    <w:rsid w:val="00100F8A"/>
    <w:rsid w:val="00103419"/>
    <w:rsid w:val="00103925"/>
    <w:rsid w:val="0010452E"/>
    <w:rsid w:val="00104B41"/>
    <w:rsid w:val="00105AE2"/>
    <w:rsid w:val="001060C6"/>
    <w:rsid w:val="0010658F"/>
    <w:rsid w:val="00106B80"/>
    <w:rsid w:val="001101D1"/>
    <w:rsid w:val="0011032E"/>
    <w:rsid w:val="00110335"/>
    <w:rsid w:val="00110CE8"/>
    <w:rsid w:val="001113A6"/>
    <w:rsid w:val="00111F35"/>
    <w:rsid w:val="00111F67"/>
    <w:rsid w:val="00112C61"/>
    <w:rsid w:val="0011348B"/>
    <w:rsid w:val="00115982"/>
    <w:rsid w:val="00116C53"/>
    <w:rsid w:val="001213EA"/>
    <w:rsid w:val="00121487"/>
    <w:rsid w:val="00121799"/>
    <w:rsid w:val="001222FC"/>
    <w:rsid w:val="0012241B"/>
    <w:rsid w:val="00122464"/>
    <w:rsid w:val="0012374E"/>
    <w:rsid w:val="00123902"/>
    <w:rsid w:val="00124A51"/>
    <w:rsid w:val="001253BD"/>
    <w:rsid w:val="00126621"/>
    <w:rsid w:val="00126B1D"/>
    <w:rsid w:val="00126B6D"/>
    <w:rsid w:val="00127299"/>
    <w:rsid w:val="001276F7"/>
    <w:rsid w:val="00130063"/>
    <w:rsid w:val="001301E9"/>
    <w:rsid w:val="00131D82"/>
    <w:rsid w:val="0013203D"/>
    <w:rsid w:val="00132927"/>
    <w:rsid w:val="00132B22"/>
    <w:rsid w:val="00133603"/>
    <w:rsid w:val="00133D36"/>
    <w:rsid w:val="00134F4F"/>
    <w:rsid w:val="001364B6"/>
    <w:rsid w:val="00137645"/>
    <w:rsid w:val="0014015A"/>
    <w:rsid w:val="001406BC"/>
    <w:rsid w:val="00140E99"/>
    <w:rsid w:val="001428A7"/>
    <w:rsid w:val="00143F67"/>
    <w:rsid w:val="00144451"/>
    <w:rsid w:val="00145234"/>
    <w:rsid w:val="00145540"/>
    <w:rsid w:val="001456B0"/>
    <w:rsid w:val="00146569"/>
    <w:rsid w:val="00150BCB"/>
    <w:rsid w:val="00152869"/>
    <w:rsid w:val="00153430"/>
    <w:rsid w:val="00153724"/>
    <w:rsid w:val="00153ACD"/>
    <w:rsid w:val="001547AB"/>
    <w:rsid w:val="00156F8F"/>
    <w:rsid w:val="00157130"/>
    <w:rsid w:val="001576B1"/>
    <w:rsid w:val="0016047B"/>
    <w:rsid w:val="00160A4C"/>
    <w:rsid w:val="00160C84"/>
    <w:rsid w:val="00160F7D"/>
    <w:rsid w:val="00161536"/>
    <w:rsid w:val="001617F8"/>
    <w:rsid w:val="00161C16"/>
    <w:rsid w:val="00162723"/>
    <w:rsid w:val="00162913"/>
    <w:rsid w:val="0016392D"/>
    <w:rsid w:val="00163EFF"/>
    <w:rsid w:val="00163F66"/>
    <w:rsid w:val="00164624"/>
    <w:rsid w:val="001646FB"/>
    <w:rsid w:val="0016478E"/>
    <w:rsid w:val="00165EC4"/>
    <w:rsid w:val="001661FB"/>
    <w:rsid w:val="001671A0"/>
    <w:rsid w:val="0016767F"/>
    <w:rsid w:val="00167E46"/>
    <w:rsid w:val="0017067F"/>
    <w:rsid w:val="00172588"/>
    <w:rsid w:val="00172E43"/>
    <w:rsid w:val="00173565"/>
    <w:rsid w:val="00173B07"/>
    <w:rsid w:val="00173F81"/>
    <w:rsid w:val="001751FA"/>
    <w:rsid w:val="00175325"/>
    <w:rsid w:val="00177BAE"/>
    <w:rsid w:val="00177DFF"/>
    <w:rsid w:val="00177E83"/>
    <w:rsid w:val="001804DB"/>
    <w:rsid w:val="00181C10"/>
    <w:rsid w:val="00181D9C"/>
    <w:rsid w:val="00182578"/>
    <w:rsid w:val="001837FF"/>
    <w:rsid w:val="00184B0E"/>
    <w:rsid w:val="00186A4B"/>
    <w:rsid w:val="0018752F"/>
    <w:rsid w:val="0018777F"/>
    <w:rsid w:val="00190DEC"/>
    <w:rsid w:val="00191105"/>
    <w:rsid w:val="001918E0"/>
    <w:rsid w:val="00191B53"/>
    <w:rsid w:val="00191C46"/>
    <w:rsid w:val="00192398"/>
    <w:rsid w:val="001936EF"/>
    <w:rsid w:val="00193838"/>
    <w:rsid w:val="00193C37"/>
    <w:rsid w:val="00194AD8"/>
    <w:rsid w:val="00195222"/>
    <w:rsid w:val="00195452"/>
    <w:rsid w:val="00195C61"/>
    <w:rsid w:val="001969CE"/>
    <w:rsid w:val="00196CBB"/>
    <w:rsid w:val="00197348"/>
    <w:rsid w:val="001975D8"/>
    <w:rsid w:val="00197737"/>
    <w:rsid w:val="001A0AD2"/>
    <w:rsid w:val="001A178E"/>
    <w:rsid w:val="001A17B7"/>
    <w:rsid w:val="001A3D2F"/>
    <w:rsid w:val="001A43FA"/>
    <w:rsid w:val="001A44ED"/>
    <w:rsid w:val="001A47C5"/>
    <w:rsid w:val="001A54EF"/>
    <w:rsid w:val="001A59FB"/>
    <w:rsid w:val="001A5E9E"/>
    <w:rsid w:val="001A60C6"/>
    <w:rsid w:val="001A6354"/>
    <w:rsid w:val="001A6366"/>
    <w:rsid w:val="001A6C4B"/>
    <w:rsid w:val="001A7733"/>
    <w:rsid w:val="001A7AE8"/>
    <w:rsid w:val="001B204E"/>
    <w:rsid w:val="001B214B"/>
    <w:rsid w:val="001B2372"/>
    <w:rsid w:val="001B3443"/>
    <w:rsid w:val="001B3483"/>
    <w:rsid w:val="001B44E0"/>
    <w:rsid w:val="001B482D"/>
    <w:rsid w:val="001B4D20"/>
    <w:rsid w:val="001B573F"/>
    <w:rsid w:val="001B613A"/>
    <w:rsid w:val="001B6ABD"/>
    <w:rsid w:val="001B7481"/>
    <w:rsid w:val="001B7EF5"/>
    <w:rsid w:val="001B7F84"/>
    <w:rsid w:val="001C20F2"/>
    <w:rsid w:val="001C2A9B"/>
    <w:rsid w:val="001C3589"/>
    <w:rsid w:val="001C3DD6"/>
    <w:rsid w:val="001C4299"/>
    <w:rsid w:val="001C4640"/>
    <w:rsid w:val="001C4874"/>
    <w:rsid w:val="001C4CC8"/>
    <w:rsid w:val="001C4E5C"/>
    <w:rsid w:val="001C5F94"/>
    <w:rsid w:val="001C6E66"/>
    <w:rsid w:val="001C7DB8"/>
    <w:rsid w:val="001D10A8"/>
    <w:rsid w:val="001D1100"/>
    <w:rsid w:val="001D1391"/>
    <w:rsid w:val="001D258B"/>
    <w:rsid w:val="001D25D7"/>
    <w:rsid w:val="001D2AA2"/>
    <w:rsid w:val="001D50B2"/>
    <w:rsid w:val="001D5266"/>
    <w:rsid w:val="001D5C3D"/>
    <w:rsid w:val="001D71F4"/>
    <w:rsid w:val="001D7645"/>
    <w:rsid w:val="001E02EF"/>
    <w:rsid w:val="001E1E86"/>
    <w:rsid w:val="001E1FA7"/>
    <w:rsid w:val="001E238E"/>
    <w:rsid w:val="001E2483"/>
    <w:rsid w:val="001E2B1E"/>
    <w:rsid w:val="001E2BC0"/>
    <w:rsid w:val="001E2CFF"/>
    <w:rsid w:val="001E2F24"/>
    <w:rsid w:val="001E30D4"/>
    <w:rsid w:val="001E34DF"/>
    <w:rsid w:val="001E4105"/>
    <w:rsid w:val="001E4402"/>
    <w:rsid w:val="001E4560"/>
    <w:rsid w:val="001E52EB"/>
    <w:rsid w:val="001E546F"/>
    <w:rsid w:val="001E5587"/>
    <w:rsid w:val="001E5952"/>
    <w:rsid w:val="001E61D2"/>
    <w:rsid w:val="001E63B6"/>
    <w:rsid w:val="001E7039"/>
    <w:rsid w:val="001E740C"/>
    <w:rsid w:val="001F0CCC"/>
    <w:rsid w:val="001F1235"/>
    <w:rsid w:val="001F1CB3"/>
    <w:rsid w:val="001F1F37"/>
    <w:rsid w:val="001F3676"/>
    <w:rsid w:val="001F38B5"/>
    <w:rsid w:val="001F4081"/>
    <w:rsid w:val="001F43C0"/>
    <w:rsid w:val="001F5112"/>
    <w:rsid w:val="001F5DFB"/>
    <w:rsid w:val="001F6BFB"/>
    <w:rsid w:val="001F7361"/>
    <w:rsid w:val="00200300"/>
    <w:rsid w:val="002011B0"/>
    <w:rsid w:val="002013D8"/>
    <w:rsid w:val="00202D3C"/>
    <w:rsid w:val="00203181"/>
    <w:rsid w:val="00203768"/>
    <w:rsid w:val="00203783"/>
    <w:rsid w:val="0020385F"/>
    <w:rsid w:val="002047A4"/>
    <w:rsid w:val="002047D4"/>
    <w:rsid w:val="00204C00"/>
    <w:rsid w:val="0020613B"/>
    <w:rsid w:val="002068A0"/>
    <w:rsid w:val="00206943"/>
    <w:rsid w:val="00206DE1"/>
    <w:rsid w:val="00207021"/>
    <w:rsid w:val="0020732F"/>
    <w:rsid w:val="00207676"/>
    <w:rsid w:val="00207D00"/>
    <w:rsid w:val="002105C1"/>
    <w:rsid w:val="00210F24"/>
    <w:rsid w:val="002116FD"/>
    <w:rsid w:val="00211D89"/>
    <w:rsid w:val="00212606"/>
    <w:rsid w:val="00213EF5"/>
    <w:rsid w:val="00214F1D"/>
    <w:rsid w:val="00216BF5"/>
    <w:rsid w:val="00217E53"/>
    <w:rsid w:val="00222589"/>
    <w:rsid w:val="00223B49"/>
    <w:rsid w:val="00223D5A"/>
    <w:rsid w:val="0022460A"/>
    <w:rsid w:val="00224DD4"/>
    <w:rsid w:val="002278A0"/>
    <w:rsid w:val="00230110"/>
    <w:rsid w:val="0023034D"/>
    <w:rsid w:val="002309CC"/>
    <w:rsid w:val="00230C35"/>
    <w:rsid w:val="00231AD5"/>
    <w:rsid w:val="00231BA9"/>
    <w:rsid w:val="0023209F"/>
    <w:rsid w:val="00233C01"/>
    <w:rsid w:val="00233F82"/>
    <w:rsid w:val="0023413C"/>
    <w:rsid w:val="002343A6"/>
    <w:rsid w:val="002346F0"/>
    <w:rsid w:val="00234805"/>
    <w:rsid w:val="00236083"/>
    <w:rsid w:val="0023629D"/>
    <w:rsid w:val="0023650C"/>
    <w:rsid w:val="00236F69"/>
    <w:rsid w:val="00237255"/>
    <w:rsid w:val="00237693"/>
    <w:rsid w:val="00241C6D"/>
    <w:rsid w:val="002424AF"/>
    <w:rsid w:val="002439DC"/>
    <w:rsid w:val="00243B4A"/>
    <w:rsid w:val="00243E04"/>
    <w:rsid w:val="002441D2"/>
    <w:rsid w:val="002449D6"/>
    <w:rsid w:val="00244DC8"/>
    <w:rsid w:val="002458BA"/>
    <w:rsid w:val="00245CE9"/>
    <w:rsid w:val="0024636C"/>
    <w:rsid w:val="0024739B"/>
    <w:rsid w:val="00247925"/>
    <w:rsid w:val="00251006"/>
    <w:rsid w:val="00251756"/>
    <w:rsid w:val="002519BA"/>
    <w:rsid w:val="002524D5"/>
    <w:rsid w:val="00253B1D"/>
    <w:rsid w:val="00253BF4"/>
    <w:rsid w:val="00253E77"/>
    <w:rsid w:val="00254126"/>
    <w:rsid w:val="002542E1"/>
    <w:rsid w:val="00254DCF"/>
    <w:rsid w:val="0025534B"/>
    <w:rsid w:val="00255BB7"/>
    <w:rsid w:val="002562E3"/>
    <w:rsid w:val="00256A15"/>
    <w:rsid w:val="00257541"/>
    <w:rsid w:val="00257A39"/>
    <w:rsid w:val="00257AC4"/>
    <w:rsid w:val="00257BBE"/>
    <w:rsid w:val="00257BF3"/>
    <w:rsid w:val="00261EEF"/>
    <w:rsid w:val="002628EB"/>
    <w:rsid w:val="00262A1A"/>
    <w:rsid w:val="00262A87"/>
    <w:rsid w:val="00263961"/>
    <w:rsid w:val="00263B1E"/>
    <w:rsid w:val="002646C4"/>
    <w:rsid w:val="00264D26"/>
    <w:rsid w:val="00266AF2"/>
    <w:rsid w:val="00266D1A"/>
    <w:rsid w:val="002671B3"/>
    <w:rsid w:val="00267642"/>
    <w:rsid w:val="00267AEA"/>
    <w:rsid w:val="002700E6"/>
    <w:rsid w:val="00270CB6"/>
    <w:rsid w:val="002718FF"/>
    <w:rsid w:val="0027294B"/>
    <w:rsid w:val="00273892"/>
    <w:rsid w:val="00273A1B"/>
    <w:rsid w:val="00273EB4"/>
    <w:rsid w:val="00274682"/>
    <w:rsid w:val="00275158"/>
    <w:rsid w:val="002758CB"/>
    <w:rsid w:val="00275C5A"/>
    <w:rsid w:val="00275E15"/>
    <w:rsid w:val="0027680B"/>
    <w:rsid w:val="00276D54"/>
    <w:rsid w:val="002777BB"/>
    <w:rsid w:val="00280895"/>
    <w:rsid w:val="00281014"/>
    <w:rsid w:val="0028120B"/>
    <w:rsid w:val="00281835"/>
    <w:rsid w:val="00284405"/>
    <w:rsid w:val="00285BCE"/>
    <w:rsid w:val="00285D8A"/>
    <w:rsid w:val="00286160"/>
    <w:rsid w:val="00286644"/>
    <w:rsid w:val="0028665D"/>
    <w:rsid w:val="00290360"/>
    <w:rsid w:val="0029036B"/>
    <w:rsid w:val="00290E54"/>
    <w:rsid w:val="00292323"/>
    <w:rsid w:val="00292A5F"/>
    <w:rsid w:val="00292C6E"/>
    <w:rsid w:val="00292CE3"/>
    <w:rsid w:val="00293DE2"/>
    <w:rsid w:val="0029467B"/>
    <w:rsid w:val="002948DD"/>
    <w:rsid w:val="00297BCB"/>
    <w:rsid w:val="00297FF3"/>
    <w:rsid w:val="002A00FF"/>
    <w:rsid w:val="002A14AB"/>
    <w:rsid w:val="002A1D06"/>
    <w:rsid w:val="002A2045"/>
    <w:rsid w:val="002A2ADE"/>
    <w:rsid w:val="002A2F50"/>
    <w:rsid w:val="002A39B0"/>
    <w:rsid w:val="002A47EA"/>
    <w:rsid w:val="002A4B2B"/>
    <w:rsid w:val="002A5911"/>
    <w:rsid w:val="002A7943"/>
    <w:rsid w:val="002A7D27"/>
    <w:rsid w:val="002B05A1"/>
    <w:rsid w:val="002B09A4"/>
    <w:rsid w:val="002B1C1F"/>
    <w:rsid w:val="002B432F"/>
    <w:rsid w:val="002B62B3"/>
    <w:rsid w:val="002B6754"/>
    <w:rsid w:val="002B6AF7"/>
    <w:rsid w:val="002B6CCE"/>
    <w:rsid w:val="002C0EE0"/>
    <w:rsid w:val="002C2510"/>
    <w:rsid w:val="002C2775"/>
    <w:rsid w:val="002C27C1"/>
    <w:rsid w:val="002C2DB0"/>
    <w:rsid w:val="002C30D9"/>
    <w:rsid w:val="002C36E3"/>
    <w:rsid w:val="002C4128"/>
    <w:rsid w:val="002C45D5"/>
    <w:rsid w:val="002C5099"/>
    <w:rsid w:val="002C5504"/>
    <w:rsid w:val="002C5889"/>
    <w:rsid w:val="002C71CE"/>
    <w:rsid w:val="002D04DE"/>
    <w:rsid w:val="002D08F8"/>
    <w:rsid w:val="002D1CDC"/>
    <w:rsid w:val="002D2058"/>
    <w:rsid w:val="002D311E"/>
    <w:rsid w:val="002D312B"/>
    <w:rsid w:val="002D3554"/>
    <w:rsid w:val="002D3CFC"/>
    <w:rsid w:val="002D577C"/>
    <w:rsid w:val="002D7832"/>
    <w:rsid w:val="002E081A"/>
    <w:rsid w:val="002E1071"/>
    <w:rsid w:val="002E15B9"/>
    <w:rsid w:val="002E2158"/>
    <w:rsid w:val="002E396B"/>
    <w:rsid w:val="002E4F02"/>
    <w:rsid w:val="002E68E2"/>
    <w:rsid w:val="002E6B2C"/>
    <w:rsid w:val="002E6D2C"/>
    <w:rsid w:val="002E7722"/>
    <w:rsid w:val="002F02B9"/>
    <w:rsid w:val="002F07BA"/>
    <w:rsid w:val="002F084E"/>
    <w:rsid w:val="002F0C76"/>
    <w:rsid w:val="002F0DA9"/>
    <w:rsid w:val="002F1014"/>
    <w:rsid w:val="002F1E3B"/>
    <w:rsid w:val="002F2314"/>
    <w:rsid w:val="002F2819"/>
    <w:rsid w:val="002F403C"/>
    <w:rsid w:val="002F643C"/>
    <w:rsid w:val="002F6AE8"/>
    <w:rsid w:val="002F71C0"/>
    <w:rsid w:val="002F74F1"/>
    <w:rsid w:val="002F7ED8"/>
    <w:rsid w:val="00300B36"/>
    <w:rsid w:val="00301017"/>
    <w:rsid w:val="0030155E"/>
    <w:rsid w:val="0030155F"/>
    <w:rsid w:val="00302219"/>
    <w:rsid w:val="00302B43"/>
    <w:rsid w:val="00303D94"/>
    <w:rsid w:val="00303F41"/>
    <w:rsid w:val="00304C0F"/>
    <w:rsid w:val="0030587B"/>
    <w:rsid w:val="0030646E"/>
    <w:rsid w:val="00306CAE"/>
    <w:rsid w:val="00306D98"/>
    <w:rsid w:val="0030721E"/>
    <w:rsid w:val="0030786C"/>
    <w:rsid w:val="0031031A"/>
    <w:rsid w:val="00310981"/>
    <w:rsid w:val="00310F46"/>
    <w:rsid w:val="00311B92"/>
    <w:rsid w:val="00311D9B"/>
    <w:rsid w:val="003124D9"/>
    <w:rsid w:val="00312594"/>
    <w:rsid w:val="003151F3"/>
    <w:rsid w:val="00315498"/>
    <w:rsid w:val="00316474"/>
    <w:rsid w:val="003200A8"/>
    <w:rsid w:val="00322107"/>
    <w:rsid w:val="00322355"/>
    <w:rsid w:val="00322846"/>
    <w:rsid w:val="00323565"/>
    <w:rsid w:val="00326DA7"/>
    <w:rsid w:val="003270E4"/>
    <w:rsid w:val="0033050E"/>
    <w:rsid w:val="00330DAA"/>
    <w:rsid w:val="00330F5C"/>
    <w:rsid w:val="0033122D"/>
    <w:rsid w:val="00334C4E"/>
    <w:rsid w:val="003366C9"/>
    <w:rsid w:val="003371B0"/>
    <w:rsid w:val="00340DF1"/>
    <w:rsid w:val="003415D9"/>
    <w:rsid w:val="00344F77"/>
    <w:rsid w:val="003451FF"/>
    <w:rsid w:val="00346661"/>
    <w:rsid w:val="00346C83"/>
    <w:rsid w:val="00347D39"/>
    <w:rsid w:val="00347F50"/>
    <w:rsid w:val="00350CC5"/>
    <w:rsid w:val="00350D5B"/>
    <w:rsid w:val="003517F9"/>
    <w:rsid w:val="00351BA9"/>
    <w:rsid w:val="00352E9D"/>
    <w:rsid w:val="00353B6C"/>
    <w:rsid w:val="00354F64"/>
    <w:rsid w:val="00355C8E"/>
    <w:rsid w:val="0035620E"/>
    <w:rsid w:val="00356316"/>
    <w:rsid w:val="003575BE"/>
    <w:rsid w:val="00360345"/>
    <w:rsid w:val="003614D8"/>
    <w:rsid w:val="003615A5"/>
    <w:rsid w:val="00361A05"/>
    <w:rsid w:val="00361B7E"/>
    <w:rsid w:val="003624C4"/>
    <w:rsid w:val="00362B28"/>
    <w:rsid w:val="00363074"/>
    <w:rsid w:val="00363B00"/>
    <w:rsid w:val="003647EA"/>
    <w:rsid w:val="00365449"/>
    <w:rsid w:val="003654AC"/>
    <w:rsid w:val="00365D7D"/>
    <w:rsid w:val="00366053"/>
    <w:rsid w:val="003669D0"/>
    <w:rsid w:val="0036795D"/>
    <w:rsid w:val="00367B54"/>
    <w:rsid w:val="0037001E"/>
    <w:rsid w:val="00370AE9"/>
    <w:rsid w:val="003710CF"/>
    <w:rsid w:val="00372BC2"/>
    <w:rsid w:val="00372C0F"/>
    <w:rsid w:val="0037358A"/>
    <w:rsid w:val="00373637"/>
    <w:rsid w:val="00373BE9"/>
    <w:rsid w:val="00374504"/>
    <w:rsid w:val="00374C30"/>
    <w:rsid w:val="003750F6"/>
    <w:rsid w:val="00375409"/>
    <w:rsid w:val="003760FC"/>
    <w:rsid w:val="00377CA1"/>
    <w:rsid w:val="003807CC"/>
    <w:rsid w:val="00382C86"/>
    <w:rsid w:val="0038365C"/>
    <w:rsid w:val="0038369B"/>
    <w:rsid w:val="00383802"/>
    <w:rsid w:val="00383B78"/>
    <w:rsid w:val="00383D86"/>
    <w:rsid w:val="0038544E"/>
    <w:rsid w:val="00385A9D"/>
    <w:rsid w:val="003867C1"/>
    <w:rsid w:val="00386877"/>
    <w:rsid w:val="00387121"/>
    <w:rsid w:val="003900C4"/>
    <w:rsid w:val="003902B1"/>
    <w:rsid w:val="003916BE"/>
    <w:rsid w:val="0039179C"/>
    <w:rsid w:val="0039371F"/>
    <w:rsid w:val="00393886"/>
    <w:rsid w:val="00393A46"/>
    <w:rsid w:val="00393A55"/>
    <w:rsid w:val="0039481D"/>
    <w:rsid w:val="00395DAC"/>
    <w:rsid w:val="00396896"/>
    <w:rsid w:val="00396FD0"/>
    <w:rsid w:val="003A1533"/>
    <w:rsid w:val="003A1A7A"/>
    <w:rsid w:val="003A2392"/>
    <w:rsid w:val="003A2785"/>
    <w:rsid w:val="003A2831"/>
    <w:rsid w:val="003A2906"/>
    <w:rsid w:val="003A2CC7"/>
    <w:rsid w:val="003A2D60"/>
    <w:rsid w:val="003A3CB6"/>
    <w:rsid w:val="003A3E8F"/>
    <w:rsid w:val="003A3ED1"/>
    <w:rsid w:val="003A44DB"/>
    <w:rsid w:val="003A4ADA"/>
    <w:rsid w:val="003A4C14"/>
    <w:rsid w:val="003A6882"/>
    <w:rsid w:val="003B0BC7"/>
    <w:rsid w:val="003B165D"/>
    <w:rsid w:val="003B3971"/>
    <w:rsid w:val="003B50E6"/>
    <w:rsid w:val="003B55D1"/>
    <w:rsid w:val="003B5B61"/>
    <w:rsid w:val="003B787B"/>
    <w:rsid w:val="003C0D59"/>
    <w:rsid w:val="003C1654"/>
    <w:rsid w:val="003C2EE0"/>
    <w:rsid w:val="003C46ED"/>
    <w:rsid w:val="003C5542"/>
    <w:rsid w:val="003C7C15"/>
    <w:rsid w:val="003C7D19"/>
    <w:rsid w:val="003C7D2F"/>
    <w:rsid w:val="003D0C5A"/>
    <w:rsid w:val="003D1828"/>
    <w:rsid w:val="003D1DE4"/>
    <w:rsid w:val="003D1E9A"/>
    <w:rsid w:val="003D23E8"/>
    <w:rsid w:val="003D2422"/>
    <w:rsid w:val="003D2A58"/>
    <w:rsid w:val="003D39A1"/>
    <w:rsid w:val="003D3F0F"/>
    <w:rsid w:val="003D3FBF"/>
    <w:rsid w:val="003D4034"/>
    <w:rsid w:val="003D437F"/>
    <w:rsid w:val="003D4A30"/>
    <w:rsid w:val="003D56D7"/>
    <w:rsid w:val="003D71AF"/>
    <w:rsid w:val="003D7452"/>
    <w:rsid w:val="003D79BB"/>
    <w:rsid w:val="003D7C98"/>
    <w:rsid w:val="003D7D9D"/>
    <w:rsid w:val="003E0543"/>
    <w:rsid w:val="003E0A52"/>
    <w:rsid w:val="003E0AD4"/>
    <w:rsid w:val="003E2AD0"/>
    <w:rsid w:val="003E2E98"/>
    <w:rsid w:val="003E3460"/>
    <w:rsid w:val="003E51D5"/>
    <w:rsid w:val="003E5603"/>
    <w:rsid w:val="003E63AF"/>
    <w:rsid w:val="003E749E"/>
    <w:rsid w:val="003E7F86"/>
    <w:rsid w:val="003F0675"/>
    <w:rsid w:val="003F3EE0"/>
    <w:rsid w:val="003F4156"/>
    <w:rsid w:val="003F552F"/>
    <w:rsid w:val="003F5701"/>
    <w:rsid w:val="003F5ADF"/>
    <w:rsid w:val="003F705A"/>
    <w:rsid w:val="003F7761"/>
    <w:rsid w:val="003F7D92"/>
    <w:rsid w:val="00400B29"/>
    <w:rsid w:val="00401F79"/>
    <w:rsid w:val="004024B5"/>
    <w:rsid w:val="004024D1"/>
    <w:rsid w:val="00402812"/>
    <w:rsid w:val="00402C22"/>
    <w:rsid w:val="0040504B"/>
    <w:rsid w:val="004059F4"/>
    <w:rsid w:val="00406CBA"/>
    <w:rsid w:val="00407FE5"/>
    <w:rsid w:val="004101B0"/>
    <w:rsid w:val="00410326"/>
    <w:rsid w:val="004103C0"/>
    <w:rsid w:val="00410708"/>
    <w:rsid w:val="00410EC7"/>
    <w:rsid w:val="004115E0"/>
    <w:rsid w:val="00411B39"/>
    <w:rsid w:val="00411FB7"/>
    <w:rsid w:val="00412278"/>
    <w:rsid w:val="004127A7"/>
    <w:rsid w:val="00413A1E"/>
    <w:rsid w:val="00414250"/>
    <w:rsid w:val="00414476"/>
    <w:rsid w:val="00414C2E"/>
    <w:rsid w:val="004151CF"/>
    <w:rsid w:val="0041565E"/>
    <w:rsid w:val="00415877"/>
    <w:rsid w:val="00416120"/>
    <w:rsid w:val="00416364"/>
    <w:rsid w:val="004171CB"/>
    <w:rsid w:val="0042047F"/>
    <w:rsid w:val="00420AA6"/>
    <w:rsid w:val="00420B9F"/>
    <w:rsid w:val="0042192C"/>
    <w:rsid w:val="00422260"/>
    <w:rsid w:val="0042413F"/>
    <w:rsid w:val="00424AF9"/>
    <w:rsid w:val="004261B8"/>
    <w:rsid w:val="00430BA6"/>
    <w:rsid w:val="004319F8"/>
    <w:rsid w:val="00431E55"/>
    <w:rsid w:val="00431E75"/>
    <w:rsid w:val="004321F6"/>
    <w:rsid w:val="004322A1"/>
    <w:rsid w:val="00432C1F"/>
    <w:rsid w:val="00433044"/>
    <w:rsid w:val="00433B8E"/>
    <w:rsid w:val="00434088"/>
    <w:rsid w:val="004375B9"/>
    <w:rsid w:val="004400EE"/>
    <w:rsid w:val="004428D0"/>
    <w:rsid w:val="00444185"/>
    <w:rsid w:val="004443A7"/>
    <w:rsid w:val="0044442C"/>
    <w:rsid w:val="00445522"/>
    <w:rsid w:val="00445941"/>
    <w:rsid w:val="004464EB"/>
    <w:rsid w:val="00447217"/>
    <w:rsid w:val="0044741D"/>
    <w:rsid w:val="004478C3"/>
    <w:rsid w:val="004479E5"/>
    <w:rsid w:val="00447D26"/>
    <w:rsid w:val="00447DFC"/>
    <w:rsid w:val="00451F7F"/>
    <w:rsid w:val="00452D91"/>
    <w:rsid w:val="00455D45"/>
    <w:rsid w:val="00456796"/>
    <w:rsid w:val="0045766C"/>
    <w:rsid w:val="004577F2"/>
    <w:rsid w:val="00460CC8"/>
    <w:rsid w:val="00460CF0"/>
    <w:rsid w:val="004615EA"/>
    <w:rsid w:val="00462121"/>
    <w:rsid w:val="00462ABB"/>
    <w:rsid w:val="00463A1F"/>
    <w:rsid w:val="00464595"/>
    <w:rsid w:val="00465507"/>
    <w:rsid w:val="004658B5"/>
    <w:rsid w:val="00470FCB"/>
    <w:rsid w:val="00471EA5"/>
    <w:rsid w:val="00472A79"/>
    <w:rsid w:val="00473808"/>
    <w:rsid w:val="00473F19"/>
    <w:rsid w:val="00475E22"/>
    <w:rsid w:val="00476A06"/>
    <w:rsid w:val="00480192"/>
    <w:rsid w:val="0048088E"/>
    <w:rsid w:val="00480F2B"/>
    <w:rsid w:val="00481C60"/>
    <w:rsid w:val="00482720"/>
    <w:rsid w:val="004835E7"/>
    <w:rsid w:val="004842C6"/>
    <w:rsid w:val="00484736"/>
    <w:rsid w:val="004856FD"/>
    <w:rsid w:val="004859E1"/>
    <w:rsid w:val="00485DC2"/>
    <w:rsid w:val="004867E2"/>
    <w:rsid w:val="00490B17"/>
    <w:rsid w:val="00490B8B"/>
    <w:rsid w:val="00491B3A"/>
    <w:rsid w:val="00492CE2"/>
    <w:rsid w:val="00492CFD"/>
    <w:rsid w:val="00492FD7"/>
    <w:rsid w:val="004937B0"/>
    <w:rsid w:val="00493E21"/>
    <w:rsid w:val="00494207"/>
    <w:rsid w:val="00494DD5"/>
    <w:rsid w:val="004962D2"/>
    <w:rsid w:val="00496839"/>
    <w:rsid w:val="00497B9E"/>
    <w:rsid w:val="00497E65"/>
    <w:rsid w:val="004A0021"/>
    <w:rsid w:val="004A0DA1"/>
    <w:rsid w:val="004A13D6"/>
    <w:rsid w:val="004A24B4"/>
    <w:rsid w:val="004A52E9"/>
    <w:rsid w:val="004A6040"/>
    <w:rsid w:val="004A6597"/>
    <w:rsid w:val="004A7848"/>
    <w:rsid w:val="004A7875"/>
    <w:rsid w:val="004A793B"/>
    <w:rsid w:val="004A7E03"/>
    <w:rsid w:val="004A7E68"/>
    <w:rsid w:val="004B104E"/>
    <w:rsid w:val="004B18CA"/>
    <w:rsid w:val="004B1CB4"/>
    <w:rsid w:val="004B2F18"/>
    <w:rsid w:val="004B394F"/>
    <w:rsid w:val="004B3DDB"/>
    <w:rsid w:val="004B44FD"/>
    <w:rsid w:val="004B5130"/>
    <w:rsid w:val="004B5CFC"/>
    <w:rsid w:val="004B6E69"/>
    <w:rsid w:val="004B6F79"/>
    <w:rsid w:val="004B70D9"/>
    <w:rsid w:val="004B7362"/>
    <w:rsid w:val="004B774D"/>
    <w:rsid w:val="004B780D"/>
    <w:rsid w:val="004B78B4"/>
    <w:rsid w:val="004C241D"/>
    <w:rsid w:val="004C2AC2"/>
    <w:rsid w:val="004C32AB"/>
    <w:rsid w:val="004C3523"/>
    <w:rsid w:val="004C3EC9"/>
    <w:rsid w:val="004C4244"/>
    <w:rsid w:val="004C4AED"/>
    <w:rsid w:val="004C5F0E"/>
    <w:rsid w:val="004C6591"/>
    <w:rsid w:val="004D03F1"/>
    <w:rsid w:val="004D1A08"/>
    <w:rsid w:val="004D1A7C"/>
    <w:rsid w:val="004D2884"/>
    <w:rsid w:val="004D2C2D"/>
    <w:rsid w:val="004D3379"/>
    <w:rsid w:val="004D3571"/>
    <w:rsid w:val="004D41EB"/>
    <w:rsid w:val="004D4D2E"/>
    <w:rsid w:val="004D69B5"/>
    <w:rsid w:val="004D7227"/>
    <w:rsid w:val="004D77AD"/>
    <w:rsid w:val="004D7B5E"/>
    <w:rsid w:val="004E0261"/>
    <w:rsid w:val="004E0E7F"/>
    <w:rsid w:val="004E0EB8"/>
    <w:rsid w:val="004E0F50"/>
    <w:rsid w:val="004E1224"/>
    <w:rsid w:val="004E18E9"/>
    <w:rsid w:val="004E251D"/>
    <w:rsid w:val="004E2829"/>
    <w:rsid w:val="004E2ADC"/>
    <w:rsid w:val="004E34BE"/>
    <w:rsid w:val="004E43B2"/>
    <w:rsid w:val="004E4CB4"/>
    <w:rsid w:val="004E6511"/>
    <w:rsid w:val="004E7EF5"/>
    <w:rsid w:val="004F0033"/>
    <w:rsid w:val="004F1D02"/>
    <w:rsid w:val="004F2679"/>
    <w:rsid w:val="004F2ABE"/>
    <w:rsid w:val="004F2F21"/>
    <w:rsid w:val="004F3800"/>
    <w:rsid w:val="004F3A87"/>
    <w:rsid w:val="004F3DE5"/>
    <w:rsid w:val="004F42FC"/>
    <w:rsid w:val="004F5C37"/>
    <w:rsid w:val="004F68BD"/>
    <w:rsid w:val="004F6913"/>
    <w:rsid w:val="004F6A35"/>
    <w:rsid w:val="004F7824"/>
    <w:rsid w:val="004F7865"/>
    <w:rsid w:val="00500F89"/>
    <w:rsid w:val="0050174E"/>
    <w:rsid w:val="00501854"/>
    <w:rsid w:val="00501B7E"/>
    <w:rsid w:val="0050219B"/>
    <w:rsid w:val="00502314"/>
    <w:rsid w:val="00503F17"/>
    <w:rsid w:val="00503F3A"/>
    <w:rsid w:val="00505C62"/>
    <w:rsid w:val="0050659C"/>
    <w:rsid w:val="00506928"/>
    <w:rsid w:val="005077EF"/>
    <w:rsid w:val="005078E9"/>
    <w:rsid w:val="00510C40"/>
    <w:rsid w:val="00511433"/>
    <w:rsid w:val="005115FB"/>
    <w:rsid w:val="00511AD5"/>
    <w:rsid w:val="00511D48"/>
    <w:rsid w:val="00511DC7"/>
    <w:rsid w:val="005129DF"/>
    <w:rsid w:val="005142C5"/>
    <w:rsid w:val="00514B37"/>
    <w:rsid w:val="0051501B"/>
    <w:rsid w:val="005152B5"/>
    <w:rsid w:val="00515473"/>
    <w:rsid w:val="00515806"/>
    <w:rsid w:val="00515886"/>
    <w:rsid w:val="00517996"/>
    <w:rsid w:val="0052123C"/>
    <w:rsid w:val="00521319"/>
    <w:rsid w:val="0052168C"/>
    <w:rsid w:val="00522BC8"/>
    <w:rsid w:val="0052316D"/>
    <w:rsid w:val="00523C28"/>
    <w:rsid w:val="00524F13"/>
    <w:rsid w:val="00524F94"/>
    <w:rsid w:val="00526724"/>
    <w:rsid w:val="005279D9"/>
    <w:rsid w:val="00527B77"/>
    <w:rsid w:val="0053176B"/>
    <w:rsid w:val="00533994"/>
    <w:rsid w:val="005341B3"/>
    <w:rsid w:val="005345CF"/>
    <w:rsid w:val="00536F42"/>
    <w:rsid w:val="00537182"/>
    <w:rsid w:val="00541CA8"/>
    <w:rsid w:val="00541EDD"/>
    <w:rsid w:val="00542743"/>
    <w:rsid w:val="00542C2D"/>
    <w:rsid w:val="00543C83"/>
    <w:rsid w:val="005478BD"/>
    <w:rsid w:val="005479E3"/>
    <w:rsid w:val="005502FD"/>
    <w:rsid w:val="00551479"/>
    <w:rsid w:val="00551683"/>
    <w:rsid w:val="005518CE"/>
    <w:rsid w:val="00551985"/>
    <w:rsid w:val="00552510"/>
    <w:rsid w:val="00552BD3"/>
    <w:rsid w:val="005532A0"/>
    <w:rsid w:val="00553B45"/>
    <w:rsid w:val="00555109"/>
    <w:rsid w:val="005553D8"/>
    <w:rsid w:val="005565CF"/>
    <w:rsid w:val="00556B35"/>
    <w:rsid w:val="0055741A"/>
    <w:rsid w:val="005611B7"/>
    <w:rsid w:val="005617FE"/>
    <w:rsid w:val="005618D4"/>
    <w:rsid w:val="00562AA9"/>
    <w:rsid w:val="0056336B"/>
    <w:rsid w:val="00563D5B"/>
    <w:rsid w:val="00564867"/>
    <w:rsid w:val="005649DE"/>
    <w:rsid w:val="00565C79"/>
    <w:rsid w:val="00565DF0"/>
    <w:rsid w:val="00565EAD"/>
    <w:rsid w:val="0056696F"/>
    <w:rsid w:val="00572269"/>
    <w:rsid w:val="0057244A"/>
    <w:rsid w:val="00572F26"/>
    <w:rsid w:val="005750C5"/>
    <w:rsid w:val="005752DE"/>
    <w:rsid w:val="00575D60"/>
    <w:rsid w:val="00575D8D"/>
    <w:rsid w:val="00575F59"/>
    <w:rsid w:val="00576817"/>
    <w:rsid w:val="00576972"/>
    <w:rsid w:val="00577248"/>
    <w:rsid w:val="005778EC"/>
    <w:rsid w:val="00577ADC"/>
    <w:rsid w:val="00581945"/>
    <w:rsid w:val="00582474"/>
    <w:rsid w:val="00583699"/>
    <w:rsid w:val="00584543"/>
    <w:rsid w:val="00584B53"/>
    <w:rsid w:val="005850A2"/>
    <w:rsid w:val="00585CDD"/>
    <w:rsid w:val="00587058"/>
    <w:rsid w:val="005873F7"/>
    <w:rsid w:val="0058766A"/>
    <w:rsid w:val="005901E2"/>
    <w:rsid w:val="00591957"/>
    <w:rsid w:val="00593292"/>
    <w:rsid w:val="00594820"/>
    <w:rsid w:val="005961B8"/>
    <w:rsid w:val="005969A4"/>
    <w:rsid w:val="00596BE4"/>
    <w:rsid w:val="00597BF9"/>
    <w:rsid w:val="005A0556"/>
    <w:rsid w:val="005A0659"/>
    <w:rsid w:val="005A0C11"/>
    <w:rsid w:val="005A166F"/>
    <w:rsid w:val="005A2A97"/>
    <w:rsid w:val="005A309A"/>
    <w:rsid w:val="005A373D"/>
    <w:rsid w:val="005A426F"/>
    <w:rsid w:val="005A5103"/>
    <w:rsid w:val="005A795E"/>
    <w:rsid w:val="005B03F0"/>
    <w:rsid w:val="005B053B"/>
    <w:rsid w:val="005B0B58"/>
    <w:rsid w:val="005B1EB7"/>
    <w:rsid w:val="005B22B3"/>
    <w:rsid w:val="005B4E53"/>
    <w:rsid w:val="005B500A"/>
    <w:rsid w:val="005B5372"/>
    <w:rsid w:val="005B53DD"/>
    <w:rsid w:val="005B5857"/>
    <w:rsid w:val="005B5EC3"/>
    <w:rsid w:val="005B72FA"/>
    <w:rsid w:val="005C0D6F"/>
    <w:rsid w:val="005C19C4"/>
    <w:rsid w:val="005C1B83"/>
    <w:rsid w:val="005C1E46"/>
    <w:rsid w:val="005C25FF"/>
    <w:rsid w:val="005C2D55"/>
    <w:rsid w:val="005C346B"/>
    <w:rsid w:val="005C3876"/>
    <w:rsid w:val="005C4841"/>
    <w:rsid w:val="005C5ABC"/>
    <w:rsid w:val="005C5EE5"/>
    <w:rsid w:val="005C6D96"/>
    <w:rsid w:val="005C7C01"/>
    <w:rsid w:val="005D0295"/>
    <w:rsid w:val="005D044D"/>
    <w:rsid w:val="005D0562"/>
    <w:rsid w:val="005D0615"/>
    <w:rsid w:val="005D0ABD"/>
    <w:rsid w:val="005D1059"/>
    <w:rsid w:val="005D18AD"/>
    <w:rsid w:val="005D22DB"/>
    <w:rsid w:val="005D22EF"/>
    <w:rsid w:val="005D26B4"/>
    <w:rsid w:val="005D28EB"/>
    <w:rsid w:val="005D45F2"/>
    <w:rsid w:val="005D54C9"/>
    <w:rsid w:val="005E060F"/>
    <w:rsid w:val="005E1002"/>
    <w:rsid w:val="005E1643"/>
    <w:rsid w:val="005E1995"/>
    <w:rsid w:val="005E2A00"/>
    <w:rsid w:val="005E306E"/>
    <w:rsid w:val="005E4DA6"/>
    <w:rsid w:val="005E68F9"/>
    <w:rsid w:val="005E6CBC"/>
    <w:rsid w:val="005E72FF"/>
    <w:rsid w:val="005E73BE"/>
    <w:rsid w:val="005E73C0"/>
    <w:rsid w:val="005F07ED"/>
    <w:rsid w:val="005F1DB3"/>
    <w:rsid w:val="005F20C6"/>
    <w:rsid w:val="005F2388"/>
    <w:rsid w:val="005F2706"/>
    <w:rsid w:val="005F3446"/>
    <w:rsid w:val="005F3682"/>
    <w:rsid w:val="005F485C"/>
    <w:rsid w:val="005F6828"/>
    <w:rsid w:val="005F6A8F"/>
    <w:rsid w:val="005F6BB7"/>
    <w:rsid w:val="005F7588"/>
    <w:rsid w:val="00600720"/>
    <w:rsid w:val="006018AC"/>
    <w:rsid w:val="00602BF4"/>
    <w:rsid w:val="00603DB9"/>
    <w:rsid w:val="0060501B"/>
    <w:rsid w:val="00606305"/>
    <w:rsid w:val="0060679E"/>
    <w:rsid w:val="006068C3"/>
    <w:rsid w:val="00606EDA"/>
    <w:rsid w:val="00606FBA"/>
    <w:rsid w:val="0060715A"/>
    <w:rsid w:val="00607669"/>
    <w:rsid w:val="006076F4"/>
    <w:rsid w:val="00607AFD"/>
    <w:rsid w:val="00610F9E"/>
    <w:rsid w:val="00611B12"/>
    <w:rsid w:val="00611BD3"/>
    <w:rsid w:val="00612464"/>
    <w:rsid w:val="00612C1C"/>
    <w:rsid w:val="00612F97"/>
    <w:rsid w:val="0061345D"/>
    <w:rsid w:val="00613A90"/>
    <w:rsid w:val="00613F30"/>
    <w:rsid w:val="0061549B"/>
    <w:rsid w:val="00615BC4"/>
    <w:rsid w:val="00616802"/>
    <w:rsid w:val="006168DD"/>
    <w:rsid w:val="00616D58"/>
    <w:rsid w:val="0061779B"/>
    <w:rsid w:val="00617D16"/>
    <w:rsid w:val="00617E12"/>
    <w:rsid w:val="0062034F"/>
    <w:rsid w:val="00620C25"/>
    <w:rsid w:val="0062142E"/>
    <w:rsid w:val="00621477"/>
    <w:rsid w:val="00621ADA"/>
    <w:rsid w:val="006225E6"/>
    <w:rsid w:val="00623F7B"/>
    <w:rsid w:val="00624BD4"/>
    <w:rsid w:val="0062584C"/>
    <w:rsid w:val="0062655C"/>
    <w:rsid w:val="00626CC7"/>
    <w:rsid w:val="00626CCB"/>
    <w:rsid w:val="0063158F"/>
    <w:rsid w:val="00631D6B"/>
    <w:rsid w:val="00631E64"/>
    <w:rsid w:val="00632183"/>
    <w:rsid w:val="00632C35"/>
    <w:rsid w:val="006330A1"/>
    <w:rsid w:val="00633B89"/>
    <w:rsid w:val="00633D55"/>
    <w:rsid w:val="0063479F"/>
    <w:rsid w:val="006353F0"/>
    <w:rsid w:val="006357B5"/>
    <w:rsid w:val="006364A1"/>
    <w:rsid w:val="0063678E"/>
    <w:rsid w:val="00637BFD"/>
    <w:rsid w:val="00637C5C"/>
    <w:rsid w:val="006418B1"/>
    <w:rsid w:val="00641C4E"/>
    <w:rsid w:val="00641FB3"/>
    <w:rsid w:val="0064434C"/>
    <w:rsid w:val="006443FB"/>
    <w:rsid w:val="006446D4"/>
    <w:rsid w:val="00645E50"/>
    <w:rsid w:val="006471CC"/>
    <w:rsid w:val="006472FE"/>
    <w:rsid w:val="006478A6"/>
    <w:rsid w:val="00647A29"/>
    <w:rsid w:val="00650215"/>
    <w:rsid w:val="0065079F"/>
    <w:rsid w:val="00652A28"/>
    <w:rsid w:val="00652EE5"/>
    <w:rsid w:val="0065379F"/>
    <w:rsid w:val="00653BFD"/>
    <w:rsid w:val="006551E3"/>
    <w:rsid w:val="0065569D"/>
    <w:rsid w:val="00656188"/>
    <w:rsid w:val="0065715A"/>
    <w:rsid w:val="006577F5"/>
    <w:rsid w:val="006610F1"/>
    <w:rsid w:val="00661534"/>
    <w:rsid w:val="00661B4D"/>
    <w:rsid w:val="00661C6B"/>
    <w:rsid w:val="00662D3E"/>
    <w:rsid w:val="00662FB3"/>
    <w:rsid w:val="00663EF2"/>
    <w:rsid w:val="0066546D"/>
    <w:rsid w:val="006671CC"/>
    <w:rsid w:val="00667704"/>
    <w:rsid w:val="00667BE3"/>
    <w:rsid w:val="00670C9B"/>
    <w:rsid w:val="00671004"/>
    <w:rsid w:val="00671317"/>
    <w:rsid w:val="00672646"/>
    <w:rsid w:val="00673FC1"/>
    <w:rsid w:val="00673FD2"/>
    <w:rsid w:val="00674609"/>
    <w:rsid w:val="00674B73"/>
    <w:rsid w:val="00674E42"/>
    <w:rsid w:val="00675682"/>
    <w:rsid w:val="00675992"/>
    <w:rsid w:val="00676563"/>
    <w:rsid w:val="00676E4E"/>
    <w:rsid w:val="00680730"/>
    <w:rsid w:val="00680962"/>
    <w:rsid w:val="00680E72"/>
    <w:rsid w:val="00681125"/>
    <w:rsid w:val="00681169"/>
    <w:rsid w:val="006813F8"/>
    <w:rsid w:val="0068170F"/>
    <w:rsid w:val="00681A96"/>
    <w:rsid w:val="00682112"/>
    <w:rsid w:val="00682BA6"/>
    <w:rsid w:val="00683927"/>
    <w:rsid w:val="00683B16"/>
    <w:rsid w:val="00683E07"/>
    <w:rsid w:val="00686957"/>
    <w:rsid w:val="006872BA"/>
    <w:rsid w:val="00687F11"/>
    <w:rsid w:val="00690208"/>
    <w:rsid w:val="00690795"/>
    <w:rsid w:val="00691648"/>
    <w:rsid w:val="006917D7"/>
    <w:rsid w:val="0069434C"/>
    <w:rsid w:val="00694F44"/>
    <w:rsid w:val="00696EF9"/>
    <w:rsid w:val="00696F51"/>
    <w:rsid w:val="00697229"/>
    <w:rsid w:val="006979A5"/>
    <w:rsid w:val="006A016F"/>
    <w:rsid w:val="006A09EE"/>
    <w:rsid w:val="006A0DF7"/>
    <w:rsid w:val="006A1371"/>
    <w:rsid w:val="006A2E1A"/>
    <w:rsid w:val="006A2EA6"/>
    <w:rsid w:val="006A3FE4"/>
    <w:rsid w:val="006A4321"/>
    <w:rsid w:val="006A43D9"/>
    <w:rsid w:val="006A55DE"/>
    <w:rsid w:val="006A6B99"/>
    <w:rsid w:val="006A7E5F"/>
    <w:rsid w:val="006B1F21"/>
    <w:rsid w:val="006B261B"/>
    <w:rsid w:val="006B2AC6"/>
    <w:rsid w:val="006B2C90"/>
    <w:rsid w:val="006B35A3"/>
    <w:rsid w:val="006B35E6"/>
    <w:rsid w:val="006B3DB3"/>
    <w:rsid w:val="006B465A"/>
    <w:rsid w:val="006B4B2B"/>
    <w:rsid w:val="006B63A1"/>
    <w:rsid w:val="006B6DD0"/>
    <w:rsid w:val="006C0399"/>
    <w:rsid w:val="006C07F0"/>
    <w:rsid w:val="006C0BCC"/>
    <w:rsid w:val="006C25A5"/>
    <w:rsid w:val="006C2A8E"/>
    <w:rsid w:val="006C2DC1"/>
    <w:rsid w:val="006C3255"/>
    <w:rsid w:val="006C3DFB"/>
    <w:rsid w:val="006C3F26"/>
    <w:rsid w:val="006C477F"/>
    <w:rsid w:val="006C503D"/>
    <w:rsid w:val="006C66F0"/>
    <w:rsid w:val="006C713A"/>
    <w:rsid w:val="006C7ED6"/>
    <w:rsid w:val="006D003C"/>
    <w:rsid w:val="006D0813"/>
    <w:rsid w:val="006D0D17"/>
    <w:rsid w:val="006D18B7"/>
    <w:rsid w:val="006D3A3E"/>
    <w:rsid w:val="006D3C7D"/>
    <w:rsid w:val="006D4659"/>
    <w:rsid w:val="006D4DDF"/>
    <w:rsid w:val="006D5D5F"/>
    <w:rsid w:val="006D6022"/>
    <w:rsid w:val="006D68FB"/>
    <w:rsid w:val="006D6C9E"/>
    <w:rsid w:val="006E07F7"/>
    <w:rsid w:val="006E188F"/>
    <w:rsid w:val="006E2868"/>
    <w:rsid w:val="006E28AB"/>
    <w:rsid w:val="006E2B84"/>
    <w:rsid w:val="006E3126"/>
    <w:rsid w:val="006E3C45"/>
    <w:rsid w:val="006E51A1"/>
    <w:rsid w:val="006E55B1"/>
    <w:rsid w:val="006E5994"/>
    <w:rsid w:val="006E7C28"/>
    <w:rsid w:val="006F0453"/>
    <w:rsid w:val="006F0A84"/>
    <w:rsid w:val="006F12DD"/>
    <w:rsid w:val="006F306C"/>
    <w:rsid w:val="006F3116"/>
    <w:rsid w:val="006F63A5"/>
    <w:rsid w:val="006F67A2"/>
    <w:rsid w:val="006F736B"/>
    <w:rsid w:val="00700446"/>
    <w:rsid w:val="00700EBB"/>
    <w:rsid w:val="0070142B"/>
    <w:rsid w:val="0070276E"/>
    <w:rsid w:val="00702BD0"/>
    <w:rsid w:val="00702F8F"/>
    <w:rsid w:val="00704A90"/>
    <w:rsid w:val="0070575C"/>
    <w:rsid w:val="0070673C"/>
    <w:rsid w:val="007067AA"/>
    <w:rsid w:val="00706FD9"/>
    <w:rsid w:val="007078B4"/>
    <w:rsid w:val="007079FC"/>
    <w:rsid w:val="0071035C"/>
    <w:rsid w:val="00710764"/>
    <w:rsid w:val="00711A36"/>
    <w:rsid w:val="00711C47"/>
    <w:rsid w:val="007125D3"/>
    <w:rsid w:val="00713CEE"/>
    <w:rsid w:val="007148BF"/>
    <w:rsid w:val="00714C26"/>
    <w:rsid w:val="0071529C"/>
    <w:rsid w:val="00715A08"/>
    <w:rsid w:val="00716B7B"/>
    <w:rsid w:val="00716F5B"/>
    <w:rsid w:val="007170DA"/>
    <w:rsid w:val="007172AD"/>
    <w:rsid w:val="00717546"/>
    <w:rsid w:val="0071779D"/>
    <w:rsid w:val="00720801"/>
    <w:rsid w:val="00720AE8"/>
    <w:rsid w:val="007225E8"/>
    <w:rsid w:val="00722B1B"/>
    <w:rsid w:val="00722B89"/>
    <w:rsid w:val="00723461"/>
    <w:rsid w:val="00723DCD"/>
    <w:rsid w:val="0072416F"/>
    <w:rsid w:val="00724180"/>
    <w:rsid w:val="00724295"/>
    <w:rsid w:val="0072546D"/>
    <w:rsid w:val="007278BA"/>
    <w:rsid w:val="00727C94"/>
    <w:rsid w:val="00730FC6"/>
    <w:rsid w:val="00731B0A"/>
    <w:rsid w:val="00731EAE"/>
    <w:rsid w:val="00733073"/>
    <w:rsid w:val="00733DA4"/>
    <w:rsid w:val="007341BF"/>
    <w:rsid w:val="00734761"/>
    <w:rsid w:val="00735033"/>
    <w:rsid w:val="00735328"/>
    <w:rsid w:val="0073597B"/>
    <w:rsid w:val="0073685B"/>
    <w:rsid w:val="00736D44"/>
    <w:rsid w:val="00737046"/>
    <w:rsid w:val="007426FF"/>
    <w:rsid w:val="00742BF2"/>
    <w:rsid w:val="00743673"/>
    <w:rsid w:val="007449BF"/>
    <w:rsid w:val="007454E8"/>
    <w:rsid w:val="00745D07"/>
    <w:rsid w:val="007463FE"/>
    <w:rsid w:val="00746BC0"/>
    <w:rsid w:val="007477B2"/>
    <w:rsid w:val="007477EB"/>
    <w:rsid w:val="007501AD"/>
    <w:rsid w:val="00750E32"/>
    <w:rsid w:val="007510B4"/>
    <w:rsid w:val="00752142"/>
    <w:rsid w:val="007523F9"/>
    <w:rsid w:val="00752DAF"/>
    <w:rsid w:val="0075357E"/>
    <w:rsid w:val="00753B29"/>
    <w:rsid w:val="00753FAF"/>
    <w:rsid w:val="007573E8"/>
    <w:rsid w:val="0076058D"/>
    <w:rsid w:val="00760C4E"/>
    <w:rsid w:val="00760F9E"/>
    <w:rsid w:val="007616E6"/>
    <w:rsid w:val="00761EDA"/>
    <w:rsid w:val="007627BE"/>
    <w:rsid w:val="00764F03"/>
    <w:rsid w:val="007650E6"/>
    <w:rsid w:val="00765B1A"/>
    <w:rsid w:val="00765DC1"/>
    <w:rsid w:val="00766914"/>
    <w:rsid w:val="0076794A"/>
    <w:rsid w:val="007708FD"/>
    <w:rsid w:val="00773CAC"/>
    <w:rsid w:val="00775552"/>
    <w:rsid w:val="00777335"/>
    <w:rsid w:val="007801E9"/>
    <w:rsid w:val="0078090B"/>
    <w:rsid w:val="00782D5B"/>
    <w:rsid w:val="00782DC8"/>
    <w:rsid w:val="00783F19"/>
    <w:rsid w:val="00784281"/>
    <w:rsid w:val="007843F2"/>
    <w:rsid w:val="007846FA"/>
    <w:rsid w:val="00784DCD"/>
    <w:rsid w:val="00785A9F"/>
    <w:rsid w:val="00785FBE"/>
    <w:rsid w:val="00786BB6"/>
    <w:rsid w:val="007870B3"/>
    <w:rsid w:val="007913FF"/>
    <w:rsid w:val="007925DF"/>
    <w:rsid w:val="00793548"/>
    <w:rsid w:val="007959B6"/>
    <w:rsid w:val="007A08AA"/>
    <w:rsid w:val="007A0A12"/>
    <w:rsid w:val="007A0DE9"/>
    <w:rsid w:val="007A0F0D"/>
    <w:rsid w:val="007A132D"/>
    <w:rsid w:val="007A1345"/>
    <w:rsid w:val="007A162B"/>
    <w:rsid w:val="007A18C2"/>
    <w:rsid w:val="007A19D8"/>
    <w:rsid w:val="007A266F"/>
    <w:rsid w:val="007A2DDB"/>
    <w:rsid w:val="007A3F84"/>
    <w:rsid w:val="007A4CF0"/>
    <w:rsid w:val="007A5178"/>
    <w:rsid w:val="007A70BA"/>
    <w:rsid w:val="007A71C9"/>
    <w:rsid w:val="007A77F6"/>
    <w:rsid w:val="007B0D68"/>
    <w:rsid w:val="007B251D"/>
    <w:rsid w:val="007B2866"/>
    <w:rsid w:val="007B2872"/>
    <w:rsid w:val="007B2B46"/>
    <w:rsid w:val="007B31DD"/>
    <w:rsid w:val="007B3533"/>
    <w:rsid w:val="007B3F09"/>
    <w:rsid w:val="007B3FC5"/>
    <w:rsid w:val="007B4F58"/>
    <w:rsid w:val="007B528D"/>
    <w:rsid w:val="007B63CA"/>
    <w:rsid w:val="007B6A52"/>
    <w:rsid w:val="007B77D1"/>
    <w:rsid w:val="007C07C7"/>
    <w:rsid w:val="007C0B6F"/>
    <w:rsid w:val="007C1CD9"/>
    <w:rsid w:val="007C1CE2"/>
    <w:rsid w:val="007C260A"/>
    <w:rsid w:val="007C2A57"/>
    <w:rsid w:val="007C2E14"/>
    <w:rsid w:val="007C32EF"/>
    <w:rsid w:val="007C361D"/>
    <w:rsid w:val="007C4B84"/>
    <w:rsid w:val="007C4F98"/>
    <w:rsid w:val="007C6D77"/>
    <w:rsid w:val="007C70FF"/>
    <w:rsid w:val="007C7C25"/>
    <w:rsid w:val="007D004F"/>
    <w:rsid w:val="007D035F"/>
    <w:rsid w:val="007D06B2"/>
    <w:rsid w:val="007D0B38"/>
    <w:rsid w:val="007D1C47"/>
    <w:rsid w:val="007D2367"/>
    <w:rsid w:val="007D3B18"/>
    <w:rsid w:val="007D407C"/>
    <w:rsid w:val="007D4CB2"/>
    <w:rsid w:val="007D5290"/>
    <w:rsid w:val="007D5440"/>
    <w:rsid w:val="007D5B7D"/>
    <w:rsid w:val="007D64DB"/>
    <w:rsid w:val="007D69EB"/>
    <w:rsid w:val="007D7EBA"/>
    <w:rsid w:val="007E0A96"/>
    <w:rsid w:val="007E128F"/>
    <w:rsid w:val="007E1CE0"/>
    <w:rsid w:val="007E5232"/>
    <w:rsid w:val="007E7A9E"/>
    <w:rsid w:val="007E7BFB"/>
    <w:rsid w:val="007F1017"/>
    <w:rsid w:val="007F22BE"/>
    <w:rsid w:val="007F4A3F"/>
    <w:rsid w:val="007F4A61"/>
    <w:rsid w:val="007F50B1"/>
    <w:rsid w:val="007F5255"/>
    <w:rsid w:val="007F53E7"/>
    <w:rsid w:val="007F56CC"/>
    <w:rsid w:val="007F61C2"/>
    <w:rsid w:val="007F6F0F"/>
    <w:rsid w:val="007F74FC"/>
    <w:rsid w:val="00802577"/>
    <w:rsid w:val="00803F90"/>
    <w:rsid w:val="00805142"/>
    <w:rsid w:val="0080580A"/>
    <w:rsid w:val="00805910"/>
    <w:rsid w:val="00805FCE"/>
    <w:rsid w:val="0080685D"/>
    <w:rsid w:val="00806E0E"/>
    <w:rsid w:val="00807A8B"/>
    <w:rsid w:val="00807D04"/>
    <w:rsid w:val="00810E6E"/>
    <w:rsid w:val="00811383"/>
    <w:rsid w:val="00811C30"/>
    <w:rsid w:val="00812149"/>
    <w:rsid w:val="00812236"/>
    <w:rsid w:val="00812C7C"/>
    <w:rsid w:val="00812CAC"/>
    <w:rsid w:val="00812D4C"/>
    <w:rsid w:val="0081424C"/>
    <w:rsid w:val="0081431F"/>
    <w:rsid w:val="0081606E"/>
    <w:rsid w:val="00816361"/>
    <w:rsid w:val="008166EF"/>
    <w:rsid w:val="0081670B"/>
    <w:rsid w:val="00816FEF"/>
    <w:rsid w:val="00817E7F"/>
    <w:rsid w:val="00820A8C"/>
    <w:rsid w:val="008215FB"/>
    <w:rsid w:val="008217CD"/>
    <w:rsid w:val="008218A6"/>
    <w:rsid w:val="00821D69"/>
    <w:rsid w:val="00821E23"/>
    <w:rsid w:val="008220CC"/>
    <w:rsid w:val="00822DED"/>
    <w:rsid w:val="00823174"/>
    <w:rsid w:val="0082392F"/>
    <w:rsid w:val="00825751"/>
    <w:rsid w:val="008264EB"/>
    <w:rsid w:val="008268CE"/>
    <w:rsid w:val="0082716C"/>
    <w:rsid w:val="0082788C"/>
    <w:rsid w:val="008278AA"/>
    <w:rsid w:val="00827C23"/>
    <w:rsid w:val="00827D07"/>
    <w:rsid w:val="0083160A"/>
    <w:rsid w:val="008328C9"/>
    <w:rsid w:val="00833B05"/>
    <w:rsid w:val="008351E5"/>
    <w:rsid w:val="00835A24"/>
    <w:rsid w:val="008362B4"/>
    <w:rsid w:val="008407AE"/>
    <w:rsid w:val="00840CA2"/>
    <w:rsid w:val="008415A7"/>
    <w:rsid w:val="00842B5A"/>
    <w:rsid w:val="0084374F"/>
    <w:rsid w:val="00844A22"/>
    <w:rsid w:val="00844FBD"/>
    <w:rsid w:val="00845872"/>
    <w:rsid w:val="00847703"/>
    <w:rsid w:val="00847DF5"/>
    <w:rsid w:val="0085309D"/>
    <w:rsid w:val="008557F6"/>
    <w:rsid w:val="00856897"/>
    <w:rsid w:val="00856D32"/>
    <w:rsid w:val="00856E9A"/>
    <w:rsid w:val="0086075D"/>
    <w:rsid w:val="0086087F"/>
    <w:rsid w:val="0086136A"/>
    <w:rsid w:val="00862502"/>
    <w:rsid w:val="00862CC1"/>
    <w:rsid w:val="0086301B"/>
    <w:rsid w:val="00863496"/>
    <w:rsid w:val="008642A7"/>
    <w:rsid w:val="00864941"/>
    <w:rsid w:val="008660D4"/>
    <w:rsid w:val="008663A5"/>
    <w:rsid w:val="00866BC5"/>
    <w:rsid w:val="0086741C"/>
    <w:rsid w:val="00870DBF"/>
    <w:rsid w:val="00871080"/>
    <w:rsid w:val="00871FA9"/>
    <w:rsid w:val="0087219C"/>
    <w:rsid w:val="00872630"/>
    <w:rsid w:val="008728E9"/>
    <w:rsid w:val="00873691"/>
    <w:rsid w:val="00875726"/>
    <w:rsid w:val="00875A48"/>
    <w:rsid w:val="00875E71"/>
    <w:rsid w:val="008774E9"/>
    <w:rsid w:val="00881F8B"/>
    <w:rsid w:val="008827DC"/>
    <w:rsid w:val="00882874"/>
    <w:rsid w:val="00882E3C"/>
    <w:rsid w:val="0088308A"/>
    <w:rsid w:val="00883787"/>
    <w:rsid w:val="00884970"/>
    <w:rsid w:val="00885192"/>
    <w:rsid w:val="008855E4"/>
    <w:rsid w:val="008860B4"/>
    <w:rsid w:val="00886735"/>
    <w:rsid w:val="00886CD2"/>
    <w:rsid w:val="00891A5F"/>
    <w:rsid w:val="00891E6F"/>
    <w:rsid w:val="0089275D"/>
    <w:rsid w:val="00892A36"/>
    <w:rsid w:val="00892AA2"/>
    <w:rsid w:val="00893239"/>
    <w:rsid w:val="00894489"/>
    <w:rsid w:val="00894640"/>
    <w:rsid w:val="00894CD6"/>
    <w:rsid w:val="00895089"/>
    <w:rsid w:val="008961EA"/>
    <w:rsid w:val="008963A5"/>
    <w:rsid w:val="00896D5D"/>
    <w:rsid w:val="008A1F1E"/>
    <w:rsid w:val="008A2045"/>
    <w:rsid w:val="008A2592"/>
    <w:rsid w:val="008A3029"/>
    <w:rsid w:val="008A3158"/>
    <w:rsid w:val="008A3363"/>
    <w:rsid w:val="008A3371"/>
    <w:rsid w:val="008A3606"/>
    <w:rsid w:val="008A3B76"/>
    <w:rsid w:val="008A3C3E"/>
    <w:rsid w:val="008A685A"/>
    <w:rsid w:val="008A79DE"/>
    <w:rsid w:val="008B10B9"/>
    <w:rsid w:val="008B1757"/>
    <w:rsid w:val="008B1C33"/>
    <w:rsid w:val="008B230B"/>
    <w:rsid w:val="008B2867"/>
    <w:rsid w:val="008B2896"/>
    <w:rsid w:val="008B3961"/>
    <w:rsid w:val="008B43B9"/>
    <w:rsid w:val="008B45CB"/>
    <w:rsid w:val="008B4B6F"/>
    <w:rsid w:val="008B7992"/>
    <w:rsid w:val="008B7D7E"/>
    <w:rsid w:val="008C08B3"/>
    <w:rsid w:val="008C274E"/>
    <w:rsid w:val="008C2831"/>
    <w:rsid w:val="008C2E24"/>
    <w:rsid w:val="008C4267"/>
    <w:rsid w:val="008C4988"/>
    <w:rsid w:val="008C516A"/>
    <w:rsid w:val="008C53F1"/>
    <w:rsid w:val="008C5610"/>
    <w:rsid w:val="008C5739"/>
    <w:rsid w:val="008C5B6A"/>
    <w:rsid w:val="008C5C2C"/>
    <w:rsid w:val="008C726C"/>
    <w:rsid w:val="008C7282"/>
    <w:rsid w:val="008C7C1C"/>
    <w:rsid w:val="008C7ECB"/>
    <w:rsid w:val="008D1D82"/>
    <w:rsid w:val="008D274F"/>
    <w:rsid w:val="008D322F"/>
    <w:rsid w:val="008D3B86"/>
    <w:rsid w:val="008D43FD"/>
    <w:rsid w:val="008D45AD"/>
    <w:rsid w:val="008D4755"/>
    <w:rsid w:val="008D4934"/>
    <w:rsid w:val="008D4C3D"/>
    <w:rsid w:val="008D4F83"/>
    <w:rsid w:val="008D565B"/>
    <w:rsid w:val="008D5CD2"/>
    <w:rsid w:val="008D69B6"/>
    <w:rsid w:val="008D743C"/>
    <w:rsid w:val="008D7691"/>
    <w:rsid w:val="008D7B88"/>
    <w:rsid w:val="008E0D3C"/>
    <w:rsid w:val="008E1303"/>
    <w:rsid w:val="008E13CB"/>
    <w:rsid w:val="008E1B9E"/>
    <w:rsid w:val="008E2EFD"/>
    <w:rsid w:val="008E55AB"/>
    <w:rsid w:val="008F06C7"/>
    <w:rsid w:val="008F0BDA"/>
    <w:rsid w:val="008F120A"/>
    <w:rsid w:val="008F27E0"/>
    <w:rsid w:val="008F33EE"/>
    <w:rsid w:val="008F48EB"/>
    <w:rsid w:val="008F4CBD"/>
    <w:rsid w:val="008F4F0B"/>
    <w:rsid w:val="008F5017"/>
    <w:rsid w:val="008F5D5A"/>
    <w:rsid w:val="008F5E82"/>
    <w:rsid w:val="008F779F"/>
    <w:rsid w:val="00901DC3"/>
    <w:rsid w:val="00903A1D"/>
    <w:rsid w:val="00904450"/>
    <w:rsid w:val="00904579"/>
    <w:rsid w:val="009046C4"/>
    <w:rsid w:val="009062A5"/>
    <w:rsid w:val="00907699"/>
    <w:rsid w:val="00907988"/>
    <w:rsid w:val="0091020E"/>
    <w:rsid w:val="00910C92"/>
    <w:rsid w:val="00910FA7"/>
    <w:rsid w:val="00911272"/>
    <w:rsid w:val="00911339"/>
    <w:rsid w:val="00912D3A"/>
    <w:rsid w:val="009135D6"/>
    <w:rsid w:val="00914547"/>
    <w:rsid w:val="009149CB"/>
    <w:rsid w:val="00914C77"/>
    <w:rsid w:val="0091704B"/>
    <w:rsid w:val="00920187"/>
    <w:rsid w:val="00921ACB"/>
    <w:rsid w:val="009226E8"/>
    <w:rsid w:val="00922745"/>
    <w:rsid w:val="0092369B"/>
    <w:rsid w:val="0092414E"/>
    <w:rsid w:val="0092478E"/>
    <w:rsid w:val="009262FE"/>
    <w:rsid w:val="009273FA"/>
    <w:rsid w:val="009346B7"/>
    <w:rsid w:val="00934988"/>
    <w:rsid w:val="00935F2D"/>
    <w:rsid w:val="00937089"/>
    <w:rsid w:val="00937AFA"/>
    <w:rsid w:val="00937D28"/>
    <w:rsid w:val="00940B1F"/>
    <w:rsid w:val="009419D2"/>
    <w:rsid w:val="009419D6"/>
    <w:rsid w:val="0094259F"/>
    <w:rsid w:val="00944EF4"/>
    <w:rsid w:val="00944F8A"/>
    <w:rsid w:val="00950460"/>
    <w:rsid w:val="009510A2"/>
    <w:rsid w:val="0095232D"/>
    <w:rsid w:val="00953257"/>
    <w:rsid w:val="0095474C"/>
    <w:rsid w:val="009554BD"/>
    <w:rsid w:val="0095585B"/>
    <w:rsid w:val="00956DAD"/>
    <w:rsid w:val="009576B8"/>
    <w:rsid w:val="00957D92"/>
    <w:rsid w:val="00961CC1"/>
    <w:rsid w:val="00962CB9"/>
    <w:rsid w:val="00963FBC"/>
    <w:rsid w:val="00964312"/>
    <w:rsid w:val="009656F3"/>
    <w:rsid w:val="00965A84"/>
    <w:rsid w:val="00965B8A"/>
    <w:rsid w:val="00966B00"/>
    <w:rsid w:val="00966E4C"/>
    <w:rsid w:val="00967618"/>
    <w:rsid w:val="0097071F"/>
    <w:rsid w:val="00970987"/>
    <w:rsid w:val="00970AB5"/>
    <w:rsid w:val="00971108"/>
    <w:rsid w:val="009713BC"/>
    <w:rsid w:val="009717AC"/>
    <w:rsid w:val="009740E2"/>
    <w:rsid w:val="0097423A"/>
    <w:rsid w:val="00974252"/>
    <w:rsid w:val="009751C1"/>
    <w:rsid w:val="009757E1"/>
    <w:rsid w:val="0097679A"/>
    <w:rsid w:val="009767A5"/>
    <w:rsid w:val="00976A64"/>
    <w:rsid w:val="009777C6"/>
    <w:rsid w:val="00977C8B"/>
    <w:rsid w:val="009811F1"/>
    <w:rsid w:val="00983E57"/>
    <w:rsid w:val="00983FDA"/>
    <w:rsid w:val="009848C5"/>
    <w:rsid w:val="00985DE2"/>
    <w:rsid w:val="00985FEE"/>
    <w:rsid w:val="0098675D"/>
    <w:rsid w:val="00986926"/>
    <w:rsid w:val="00986ACF"/>
    <w:rsid w:val="0098797D"/>
    <w:rsid w:val="00987A14"/>
    <w:rsid w:val="00987BA4"/>
    <w:rsid w:val="009915C0"/>
    <w:rsid w:val="009926E0"/>
    <w:rsid w:val="00993F38"/>
    <w:rsid w:val="0099451E"/>
    <w:rsid w:val="00996B1A"/>
    <w:rsid w:val="00997DFC"/>
    <w:rsid w:val="009A18F6"/>
    <w:rsid w:val="009A1C78"/>
    <w:rsid w:val="009A1EC3"/>
    <w:rsid w:val="009A26CE"/>
    <w:rsid w:val="009A2BE9"/>
    <w:rsid w:val="009A2DCC"/>
    <w:rsid w:val="009A32C1"/>
    <w:rsid w:val="009A3BEE"/>
    <w:rsid w:val="009A561F"/>
    <w:rsid w:val="009A5ABC"/>
    <w:rsid w:val="009A6021"/>
    <w:rsid w:val="009A7F10"/>
    <w:rsid w:val="009B0501"/>
    <w:rsid w:val="009B16FD"/>
    <w:rsid w:val="009B191B"/>
    <w:rsid w:val="009B22A5"/>
    <w:rsid w:val="009B3AC2"/>
    <w:rsid w:val="009B3E26"/>
    <w:rsid w:val="009B4FE4"/>
    <w:rsid w:val="009B74E3"/>
    <w:rsid w:val="009B75B8"/>
    <w:rsid w:val="009B7FEB"/>
    <w:rsid w:val="009C0115"/>
    <w:rsid w:val="009C1271"/>
    <w:rsid w:val="009C1980"/>
    <w:rsid w:val="009C3706"/>
    <w:rsid w:val="009C3949"/>
    <w:rsid w:val="009C3A3A"/>
    <w:rsid w:val="009C45DB"/>
    <w:rsid w:val="009C4B2B"/>
    <w:rsid w:val="009C6CEA"/>
    <w:rsid w:val="009C7B85"/>
    <w:rsid w:val="009D0254"/>
    <w:rsid w:val="009D07D7"/>
    <w:rsid w:val="009D1A64"/>
    <w:rsid w:val="009D3807"/>
    <w:rsid w:val="009D5B91"/>
    <w:rsid w:val="009D5C15"/>
    <w:rsid w:val="009D6C65"/>
    <w:rsid w:val="009D6CCE"/>
    <w:rsid w:val="009D7875"/>
    <w:rsid w:val="009D792E"/>
    <w:rsid w:val="009E0DFE"/>
    <w:rsid w:val="009E2521"/>
    <w:rsid w:val="009E2CDD"/>
    <w:rsid w:val="009E31F6"/>
    <w:rsid w:val="009E4255"/>
    <w:rsid w:val="009E4C07"/>
    <w:rsid w:val="009E5CF2"/>
    <w:rsid w:val="009E6BE4"/>
    <w:rsid w:val="009E71FA"/>
    <w:rsid w:val="009E777F"/>
    <w:rsid w:val="009E7CBE"/>
    <w:rsid w:val="009F0EE5"/>
    <w:rsid w:val="009F117F"/>
    <w:rsid w:val="009F185E"/>
    <w:rsid w:val="009F234A"/>
    <w:rsid w:val="009F2BFF"/>
    <w:rsid w:val="009F3CA5"/>
    <w:rsid w:val="009F50E4"/>
    <w:rsid w:val="009F6120"/>
    <w:rsid w:val="009F6A1C"/>
    <w:rsid w:val="009F7A07"/>
    <w:rsid w:val="00A003AF"/>
    <w:rsid w:val="00A00BFB"/>
    <w:rsid w:val="00A00D76"/>
    <w:rsid w:val="00A01184"/>
    <w:rsid w:val="00A01449"/>
    <w:rsid w:val="00A026AD"/>
    <w:rsid w:val="00A037C2"/>
    <w:rsid w:val="00A03D43"/>
    <w:rsid w:val="00A04380"/>
    <w:rsid w:val="00A04786"/>
    <w:rsid w:val="00A04920"/>
    <w:rsid w:val="00A04F49"/>
    <w:rsid w:val="00A05472"/>
    <w:rsid w:val="00A05C32"/>
    <w:rsid w:val="00A0653F"/>
    <w:rsid w:val="00A072F6"/>
    <w:rsid w:val="00A0769E"/>
    <w:rsid w:val="00A116DA"/>
    <w:rsid w:val="00A11CD0"/>
    <w:rsid w:val="00A12A0C"/>
    <w:rsid w:val="00A12CAA"/>
    <w:rsid w:val="00A13948"/>
    <w:rsid w:val="00A14720"/>
    <w:rsid w:val="00A1555B"/>
    <w:rsid w:val="00A155C5"/>
    <w:rsid w:val="00A1674F"/>
    <w:rsid w:val="00A16AD8"/>
    <w:rsid w:val="00A16F1B"/>
    <w:rsid w:val="00A17927"/>
    <w:rsid w:val="00A2021E"/>
    <w:rsid w:val="00A2031F"/>
    <w:rsid w:val="00A21C95"/>
    <w:rsid w:val="00A21CF3"/>
    <w:rsid w:val="00A24813"/>
    <w:rsid w:val="00A26A11"/>
    <w:rsid w:val="00A27229"/>
    <w:rsid w:val="00A27AEC"/>
    <w:rsid w:val="00A3160B"/>
    <w:rsid w:val="00A320DB"/>
    <w:rsid w:val="00A3210F"/>
    <w:rsid w:val="00A32C6E"/>
    <w:rsid w:val="00A343E5"/>
    <w:rsid w:val="00A34CDA"/>
    <w:rsid w:val="00A35D16"/>
    <w:rsid w:val="00A36183"/>
    <w:rsid w:val="00A37BCD"/>
    <w:rsid w:val="00A41689"/>
    <w:rsid w:val="00A42490"/>
    <w:rsid w:val="00A42592"/>
    <w:rsid w:val="00A42ED1"/>
    <w:rsid w:val="00A435C6"/>
    <w:rsid w:val="00A436DE"/>
    <w:rsid w:val="00A43A29"/>
    <w:rsid w:val="00A43C59"/>
    <w:rsid w:val="00A43EF3"/>
    <w:rsid w:val="00A4668E"/>
    <w:rsid w:val="00A50ECD"/>
    <w:rsid w:val="00A518F3"/>
    <w:rsid w:val="00A51F07"/>
    <w:rsid w:val="00A52729"/>
    <w:rsid w:val="00A52E78"/>
    <w:rsid w:val="00A53675"/>
    <w:rsid w:val="00A553DF"/>
    <w:rsid w:val="00A564D7"/>
    <w:rsid w:val="00A56B6A"/>
    <w:rsid w:val="00A578DC"/>
    <w:rsid w:val="00A618AF"/>
    <w:rsid w:val="00A640E2"/>
    <w:rsid w:val="00A64D65"/>
    <w:rsid w:val="00A65452"/>
    <w:rsid w:val="00A66D3E"/>
    <w:rsid w:val="00A6725B"/>
    <w:rsid w:val="00A6790D"/>
    <w:rsid w:val="00A67C79"/>
    <w:rsid w:val="00A70605"/>
    <w:rsid w:val="00A73134"/>
    <w:rsid w:val="00A7365A"/>
    <w:rsid w:val="00A737AB"/>
    <w:rsid w:val="00A73AD4"/>
    <w:rsid w:val="00A74379"/>
    <w:rsid w:val="00A75524"/>
    <w:rsid w:val="00A75FD5"/>
    <w:rsid w:val="00A76001"/>
    <w:rsid w:val="00A76AAC"/>
    <w:rsid w:val="00A77131"/>
    <w:rsid w:val="00A77421"/>
    <w:rsid w:val="00A777B2"/>
    <w:rsid w:val="00A77902"/>
    <w:rsid w:val="00A801FF"/>
    <w:rsid w:val="00A81ED2"/>
    <w:rsid w:val="00A825D4"/>
    <w:rsid w:val="00A828F6"/>
    <w:rsid w:val="00A82B73"/>
    <w:rsid w:val="00A8305B"/>
    <w:rsid w:val="00A83328"/>
    <w:rsid w:val="00A84CA1"/>
    <w:rsid w:val="00A85EEE"/>
    <w:rsid w:val="00A85F53"/>
    <w:rsid w:val="00A86C81"/>
    <w:rsid w:val="00A86E8B"/>
    <w:rsid w:val="00A87087"/>
    <w:rsid w:val="00A87164"/>
    <w:rsid w:val="00A871A9"/>
    <w:rsid w:val="00A87325"/>
    <w:rsid w:val="00A92FC9"/>
    <w:rsid w:val="00A93072"/>
    <w:rsid w:val="00A938BD"/>
    <w:rsid w:val="00A93953"/>
    <w:rsid w:val="00A9477C"/>
    <w:rsid w:val="00A959D8"/>
    <w:rsid w:val="00A96A65"/>
    <w:rsid w:val="00A9788D"/>
    <w:rsid w:val="00AA113D"/>
    <w:rsid w:val="00AA2C18"/>
    <w:rsid w:val="00AA3855"/>
    <w:rsid w:val="00AA3A49"/>
    <w:rsid w:val="00AA4B2B"/>
    <w:rsid w:val="00AA6BD5"/>
    <w:rsid w:val="00AA6BD8"/>
    <w:rsid w:val="00AA6C7D"/>
    <w:rsid w:val="00AA76DA"/>
    <w:rsid w:val="00AA7FD6"/>
    <w:rsid w:val="00AB035B"/>
    <w:rsid w:val="00AB042A"/>
    <w:rsid w:val="00AB11AD"/>
    <w:rsid w:val="00AB19EF"/>
    <w:rsid w:val="00AB2495"/>
    <w:rsid w:val="00AB2D34"/>
    <w:rsid w:val="00AB2F57"/>
    <w:rsid w:val="00AB3430"/>
    <w:rsid w:val="00AB37B9"/>
    <w:rsid w:val="00AB38A1"/>
    <w:rsid w:val="00AB3FC5"/>
    <w:rsid w:val="00AB4AD1"/>
    <w:rsid w:val="00AB5076"/>
    <w:rsid w:val="00AB558E"/>
    <w:rsid w:val="00AB5E07"/>
    <w:rsid w:val="00AB6C02"/>
    <w:rsid w:val="00AB7CFA"/>
    <w:rsid w:val="00AC0E47"/>
    <w:rsid w:val="00AC17BA"/>
    <w:rsid w:val="00AC1949"/>
    <w:rsid w:val="00AC19A6"/>
    <w:rsid w:val="00AC2943"/>
    <w:rsid w:val="00AC2B4F"/>
    <w:rsid w:val="00AC2C7A"/>
    <w:rsid w:val="00AC4BF5"/>
    <w:rsid w:val="00AC5B42"/>
    <w:rsid w:val="00AC5B48"/>
    <w:rsid w:val="00AC6B7A"/>
    <w:rsid w:val="00AC70FD"/>
    <w:rsid w:val="00AC7D09"/>
    <w:rsid w:val="00AD10D0"/>
    <w:rsid w:val="00AD1450"/>
    <w:rsid w:val="00AD15E8"/>
    <w:rsid w:val="00AD1E5D"/>
    <w:rsid w:val="00AD1E79"/>
    <w:rsid w:val="00AD356D"/>
    <w:rsid w:val="00AD42FE"/>
    <w:rsid w:val="00AD6280"/>
    <w:rsid w:val="00AD6502"/>
    <w:rsid w:val="00AE0302"/>
    <w:rsid w:val="00AE0695"/>
    <w:rsid w:val="00AE0B8D"/>
    <w:rsid w:val="00AE1619"/>
    <w:rsid w:val="00AE1C09"/>
    <w:rsid w:val="00AE28DE"/>
    <w:rsid w:val="00AE2D25"/>
    <w:rsid w:val="00AE3B1A"/>
    <w:rsid w:val="00AE3E7E"/>
    <w:rsid w:val="00AE43E8"/>
    <w:rsid w:val="00AE6749"/>
    <w:rsid w:val="00AE7E53"/>
    <w:rsid w:val="00AF1315"/>
    <w:rsid w:val="00AF19BF"/>
    <w:rsid w:val="00AF207A"/>
    <w:rsid w:val="00AF216A"/>
    <w:rsid w:val="00AF2DC3"/>
    <w:rsid w:val="00AF6A17"/>
    <w:rsid w:val="00B00CDC"/>
    <w:rsid w:val="00B01DE0"/>
    <w:rsid w:val="00B033E5"/>
    <w:rsid w:val="00B03517"/>
    <w:rsid w:val="00B03A63"/>
    <w:rsid w:val="00B04013"/>
    <w:rsid w:val="00B04282"/>
    <w:rsid w:val="00B06CAB"/>
    <w:rsid w:val="00B11DC1"/>
    <w:rsid w:val="00B129A4"/>
    <w:rsid w:val="00B1303C"/>
    <w:rsid w:val="00B13091"/>
    <w:rsid w:val="00B13C78"/>
    <w:rsid w:val="00B14CEC"/>
    <w:rsid w:val="00B151D1"/>
    <w:rsid w:val="00B201A4"/>
    <w:rsid w:val="00B201D1"/>
    <w:rsid w:val="00B206FA"/>
    <w:rsid w:val="00B20BFF"/>
    <w:rsid w:val="00B213A6"/>
    <w:rsid w:val="00B2147A"/>
    <w:rsid w:val="00B22505"/>
    <w:rsid w:val="00B232DF"/>
    <w:rsid w:val="00B235B0"/>
    <w:rsid w:val="00B237E6"/>
    <w:rsid w:val="00B237EE"/>
    <w:rsid w:val="00B24DF6"/>
    <w:rsid w:val="00B251BF"/>
    <w:rsid w:val="00B255DA"/>
    <w:rsid w:val="00B275CD"/>
    <w:rsid w:val="00B27650"/>
    <w:rsid w:val="00B276A8"/>
    <w:rsid w:val="00B27A61"/>
    <w:rsid w:val="00B3065F"/>
    <w:rsid w:val="00B34FE2"/>
    <w:rsid w:val="00B35166"/>
    <w:rsid w:val="00B357D8"/>
    <w:rsid w:val="00B3580B"/>
    <w:rsid w:val="00B360F4"/>
    <w:rsid w:val="00B36A00"/>
    <w:rsid w:val="00B36DF3"/>
    <w:rsid w:val="00B3724D"/>
    <w:rsid w:val="00B3792B"/>
    <w:rsid w:val="00B37BFC"/>
    <w:rsid w:val="00B40358"/>
    <w:rsid w:val="00B41614"/>
    <w:rsid w:val="00B42851"/>
    <w:rsid w:val="00B42B89"/>
    <w:rsid w:val="00B42F80"/>
    <w:rsid w:val="00B435CB"/>
    <w:rsid w:val="00B43C55"/>
    <w:rsid w:val="00B44554"/>
    <w:rsid w:val="00B44F01"/>
    <w:rsid w:val="00B45564"/>
    <w:rsid w:val="00B4648D"/>
    <w:rsid w:val="00B465EC"/>
    <w:rsid w:val="00B47699"/>
    <w:rsid w:val="00B50350"/>
    <w:rsid w:val="00B505C8"/>
    <w:rsid w:val="00B50AE8"/>
    <w:rsid w:val="00B50DB8"/>
    <w:rsid w:val="00B5206E"/>
    <w:rsid w:val="00B52CF4"/>
    <w:rsid w:val="00B53654"/>
    <w:rsid w:val="00B53905"/>
    <w:rsid w:val="00B53933"/>
    <w:rsid w:val="00B546DB"/>
    <w:rsid w:val="00B54B5B"/>
    <w:rsid w:val="00B5562E"/>
    <w:rsid w:val="00B55862"/>
    <w:rsid w:val="00B55D65"/>
    <w:rsid w:val="00B56305"/>
    <w:rsid w:val="00B57000"/>
    <w:rsid w:val="00B57CA8"/>
    <w:rsid w:val="00B60939"/>
    <w:rsid w:val="00B60AFD"/>
    <w:rsid w:val="00B611DF"/>
    <w:rsid w:val="00B62715"/>
    <w:rsid w:val="00B62EAC"/>
    <w:rsid w:val="00B64B25"/>
    <w:rsid w:val="00B6559F"/>
    <w:rsid w:val="00B65611"/>
    <w:rsid w:val="00B66A0D"/>
    <w:rsid w:val="00B67016"/>
    <w:rsid w:val="00B70442"/>
    <w:rsid w:val="00B70E2C"/>
    <w:rsid w:val="00B70E8E"/>
    <w:rsid w:val="00B723B5"/>
    <w:rsid w:val="00B72A7F"/>
    <w:rsid w:val="00B737D0"/>
    <w:rsid w:val="00B74165"/>
    <w:rsid w:val="00B7456B"/>
    <w:rsid w:val="00B747D2"/>
    <w:rsid w:val="00B76112"/>
    <w:rsid w:val="00B76C92"/>
    <w:rsid w:val="00B774E4"/>
    <w:rsid w:val="00B775EE"/>
    <w:rsid w:val="00B77D38"/>
    <w:rsid w:val="00B80EFD"/>
    <w:rsid w:val="00B81333"/>
    <w:rsid w:val="00B818A4"/>
    <w:rsid w:val="00B82247"/>
    <w:rsid w:val="00B833BB"/>
    <w:rsid w:val="00B8353E"/>
    <w:rsid w:val="00B83739"/>
    <w:rsid w:val="00B83C46"/>
    <w:rsid w:val="00B84117"/>
    <w:rsid w:val="00B855DE"/>
    <w:rsid w:val="00B858F0"/>
    <w:rsid w:val="00B85AA2"/>
    <w:rsid w:val="00B8649C"/>
    <w:rsid w:val="00B8695D"/>
    <w:rsid w:val="00B87F0A"/>
    <w:rsid w:val="00B9002A"/>
    <w:rsid w:val="00B90381"/>
    <w:rsid w:val="00B92D0B"/>
    <w:rsid w:val="00B938B1"/>
    <w:rsid w:val="00B93D7D"/>
    <w:rsid w:val="00B944CC"/>
    <w:rsid w:val="00B94945"/>
    <w:rsid w:val="00B94DD6"/>
    <w:rsid w:val="00B9585D"/>
    <w:rsid w:val="00B978D5"/>
    <w:rsid w:val="00BA1269"/>
    <w:rsid w:val="00BA2C15"/>
    <w:rsid w:val="00BA322D"/>
    <w:rsid w:val="00BA45D9"/>
    <w:rsid w:val="00BA63FA"/>
    <w:rsid w:val="00BB00B3"/>
    <w:rsid w:val="00BB0BDD"/>
    <w:rsid w:val="00BB0DBE"/>
    <w:rsid w:val="00BB176C"/>
    <w:rsid w:val="00BB295C"/>
    <w:rsid w:val="00BB2A73"/>
    <w:rsid w:val="00BB35EA"/>
    <w:rsid w:val="00BB3727"/>
    <w:rsid w:val="00BB3A45"/>
    <w:rsid w:val="00BB4ACC"/>
    <w:rsid w:val="00BB4D91"/>
    <w:rsid w:val="00BB5E41"/>
    <w:rsid w:val="00BB6BF4"/>
    <w:rsid w:val="00BB703E"/>
    <w:rsid w:val="00BB732D"/>
    <w:rsid w:val="00BB7405"/>
    <w:rsid w:val="00BC0125"/>
    <w:rsid w:val="00BC1A7F"/>
    <w:rsid w:val="00BC2E2C"/>
    <w:rsid w:val="00BC327A"/>
    <w:rsid w:val="00BC3631"/>
    <w:rsid w:val="00BC3E26"/>
    <w:rsid w:val="00BC53EA"/>
    <w:rsid w:val="00BC591F"/>
    <w:rsid w:val="00BC61F5"/>
    <w:rsid w:val="00BC7D6D"/>
    <w:rsid w:val="00BD1E85"/>
    <w:rsid w:val="00BD2108"/>
    <w:rsid w:val="00BD3F97"/>
    <w:rsid w:val="00BD466D"/>
    <w:rsid w:val="00BD62C8"/>
    <w:rsid w:val="00BD6762"/>
    <w:rsid w:val="00BD68A3"/>
    <w:rsid w:val="00BD6938"/>
    <w:rsid w:val="00BD6CF3"/>
    <w:rsid w:val="00BD76A7"/>
    <w:rsid w:val="00BD7F72"/>
    <w:rsid w:val="00BE0ECA"/>
    <w:rsid w:val="00BE2180"/>
    <w:rsid w:val="00BE21F2"/>
    <w:rsid w:val="00BE220D"/>
    <w:rsid w:val="00BE33F0"/>
    <w:rsid w:val="00BE4275"/>
    <w:rsid w:val="00BE5183"/>
    <w:rsid w:val="00BE526A"/>
    <w:rsid w:val="00BF039E"/>
    <w:rsid w:val="00BF06AE"/>
    <w:rsid w:val="00BF0F95"/>
    <w:rsid w:val="00BF184F"/>
    <w:rsid w:val="00BF2433"/>
    <w:rsid w:val="00BF2787"/>
    <w:rsid w:val="00BF2927"/>
    <w:rsid w:val="00BF2E6E"/>
    <w:rsid w:val="00BF2F39"/>
    <w:rsid w:val="00BF4091"/>
    <w:rsid w:val="00BF489C"/>
    <w:rsid w:val="00BF61C9"/>
    <w:rsid w:val="00BF6C94"/>
    <w:rsid w:val="00C00424"/>
    <w:rsid w:val="00C00837"/>
    <w:rsid w:val="00C00BB0"/>
    <w:rsid w:val="00C01B20"/>
    <w:rsid w:val="00C02408"/>
    <w:rsid w:val="00C03186"/>
    <w:rsid w:val="00C035EB"/>
    <w:rsid w:val="00C04D9F"/>
    <w:rsid w:val="00C05502"/>
    <w:rsid w:val="00C05D5D"/>
    <w:rsid w:val="00C079A3"/>
    <w:rsid w:val="00C07D7A"/>
    <w:rsid w:val="00C1179F"/>
    <w:rsid w:val="00C127B9"/>
    <w:rsid w:val="00C128FA"/>
    <w:rsid w:val="00C12C14"/>
    <w:rsid w:val="00C15F04"/>
    <w:rsid w:val="00C1688D"/>
    <w:rsid w:val="00C172EC"/>
    <w:rsid w:val="00C1748F"/>
    <w:rsid w:val="00C179B3"/>
    <w:rsid w:val="00C17E3F"/>
    <w:rsid w:val="00C200AA"/>
    <w:rsid w:val="00C211B3"/>
    <w:rsid w:val="00C21538"/>
    <w:rsid w:val="00C22544"/>
    <w:rsid w:val="00C237ED"/>
    <w:rsid w:val="00C24632"/>
    <w:rsid w:val="00C24ADA"/>
    <w:rsid w:val="00C25093"/>
    <w:rsid w:val="00C25218"/>
    <w:rsid w:val="00C25418"/>
    <w:rsid w:val="00C255A4"/>
    <w:rsid w:val="00C25B55"/>
    <w:rsid w:val="00C25D9C"/>
    <w:rsid w:val="00C26B90"/>
    <w:rsid w:val="00C2778B"/>
    <w:rsid w:val="00C30C06"/>
    <w:rsid w:val="00C31649"/>
    <w:rsid w:val="00C3206B"/>
    <w:rsid w:val="00C3338D"/>
    <w:rsid w:val="00C3434C"/>
    <w:rsid w:val="00C34874"/>
    <w:rsid w:val="00C35EC3"/>
    <w:rsid w:val="00C3738A"/>
    <w:rsid w:val="00C373C7"/>
    <w:rsid w:val="00C379F4"/>
    <w:rsid w:val="00C40385"/>
    <w:rsid w:val="00C41768"/>
    <w:rsid w:val="00C41EC5"/>
    <w:rsid w:val="00C43B33"/>
    <w:rsid w:val="00C46BD1"/>
    <w:rsid w:val="00C475AA"/>
    <w:rsid w:val="00C503CE"/>
    <w:rsid w:val="00C5079E"/>
    <w:rsid w:val="00C50832"/>
    <w:rsid w:val="00C517A7"/>
    <w:rsid w:val="00C51A32"/>
    <w:rsid w:val="00C51C7C"/>
    <w:rsid w:val="00C52005"/>
    <w:rsid w:val="00C5270D"/>
    <w:rsid w:val="00C527C7"/>
    <w:rsid w:val="00C532F3"/>
    <w:rsid w:val="00C53C98"/>
    <w:rsid w:val="00C54D00"/>
    <w:rsid w:val="00C54DBA"/>
    <w:rsid w:val="00C55486"/>
    <w:rsid w:val="00C56FCF"/>
    <w:rsid w:val="00C57B6C"/>
    <w:rsid w:val="00C614C5"/>
    <w:rsid w:val="00C61A59"/>
    <w:rsid w:val="00C621C3"/>
    <w:rsid w:val="00C62308"/>
    <w:rsid w:val="00C625FF"/>
    <w:rsid w:val="00C628A6"/>
    <w:rsid w:val="00C64344"/>
    <w:rsid w:val="00C64905"/>
    <w:rsid w:val="00C65108"/>
    <w:rsid w:val="00C65576"/>
    <w:rsid w:val="00C66165"/>
    <w:rsid w:val="00C6690C"/>
    <w:rsid w:val="00C679D3"/>
    <w:rsid w:val="00C7060A"/>
    <w:rsid w:val="00C70FF9"/>
    <w:rsid w:val="00C714B1"/>
    <w:rsid w:val="00C7151A"/>
    <w:rsid w:val="00C717E3"/>
    <w:rsid w:val="00C71F60"/>
    <w:rsid w:val="00C72049"/>
    <w:rsid w:val="00C72241"/>
    <w:rsid w:val="00C72A7E"/>
    <w:rsid w:val="00C74DFA"/>
    <w:rsid w:val="00C750C8"/>
    <w:rsid w:val="00C7560F"/>
    <w:rsid w:val="00C77653"/>
    <w:rsid w:val="00C80A0E"/>
    <w:rsid w:val="00C81E81"/>
    <w:rsid w:val="00C8213F"/>
    <w:rsid w:val="00C828EC"/>
    <w:rsid w:val="00C8303F"/>
    <w:rsid w:val="00C845B8"/>
    <w:rsid w:val="00C85050"/>
    <w:rsid w:val="00C85154"/>
    <w:rsid w:val="00C85A70"/>
    <w:rsid w:val="00C8719C"/>
    <w:rsid w:val="00C8797A"/>
    <w:rsid w:val="00C900B8"/>
    <w:rsid w:val="00C90197"/>
    <w:rsid w:val="00C90C71"/>
    <w:rsid w:val="00C916C6"/>
    <w:rsid w:val="00C919B4"/>
    <w:rsid w:val="00C91FD1"/>
    <w:rsid w:val="00C92363"/>
    <w:rsid w:val="00C930C0"/>
    <w:rsid w:val="00C930E0"/>
    <w:rsid w:val="00C931CF"/>
    <w:rsid w:val="00C938CF"/>
    <w:rsid w:val="00C94053"/>
    <w:rsid w:val="00C9624D"/>
    <w:rsid w:val="00C969DA"/>
    <w:rsid w:val="00C97A78"/>
    <w:rsid w:val="00CA0AA5"/>
    <w:rsid w:val="00CA15BD"/>
    <w:rsid w:val="00CA2C77"/>
    <w:rsid w:val="00CA3811"/>
    <w:rsid w:val="00CA444F"/>
    <w:rsid w:val="00CA5245"/>
    <w:rsid w:val="00CA5F5A"/>
    <w:rsid w:val="00CA71F4"/>
    <w:rsid w:val="00CA7A2B"/>
    <w:rsid w:val="00CA7B09"/>
    <w:rsid w:val="00CB12A5"/>
    <w:rsid w:val="00CB1CAC"/>
    <w:rsid w:val="00CB2305"/>
    <w:rsid w:val="00CB2F2A"/>
    <w:rsid w:val="00CB3518"/>
    <w:rsid w:val="00CB3A78"/>
    <w:rsid w:val="00CB3B20"/>
    <w:rsid w:val="00CB42C1"/>
    <w:rsid w:val="00CB5B1A"/>
    <w:rsid w:val="00CB6B22"/>
    <w:rsid w:val="00CB7F5F"/>
    <w:rsid w:val="00CC03B5"/>
    <w:rsid w:val="00CC0D57"/>
    <w:rsid w:val="00CC1B39"/>
    <w:rsid w:val="00CC1BFA"/>
    <w:rsid w:val="00CC1F53"/>
    <w:rsid w:val="00CC24CD"/>
    <w:rsid w:val="00CC267D"/>
    <w:rsid w:val="00CC2E9F"/>
    <w:rsid w:val="00CC35EA"/>
    <w:rsid w:val="00CC3848"/>
    <w:rsid w:val="00CC43E3"/>
    <w:rsid w:val="00CC45AF"/>
    <w:rsid w:val="00CC4D13"/>
    <w:rsid w:val="00CC56BB"/>
    <w:rsid w:val="00CC602F"/>
    <w:rsid w:val="00CC63A7"/>
    <w:rsid w:val="00CC6D5E"/>
    <w:rsid w:val="00CC7137"/>
    <w:rsid w:val="00CD0200"/>
    <w:rsid w:val="00CD0616"/>
    <w:rsid w:val="00CD0811"/>
    <w:rsid w:val="00CD2673"/>
    <w:rsid w:val="00CD2F26"/>
    <w:rsid w:val="00CD3F77"/>
    <w:rsid w:val="00CD643E"/>
    <w:rsid w:val="00CD6ADC"/>
    <w:rsid w:val="00CD7193"/>
    <w:rsid w:val="00CE1256"/>
    <w:rsid w:val="00CE12E1"/>
    <w:rsid w:val="00CE1FF3"/>
    <w:rsid w:val="00CE28AA"/>
    <w:rsid w:val="00CE31DE"/>
    <w:rsid w:val="00CE38C8"/>
    <w:rsid w:val="00CE4585"/>
    <w:rsid w:val="00CE524F"/>
    <w:rsid w:val="00CE58CC"/>
    <w:rsid w:val="00CE5A4A"/>
    <w:rsid w:val="00CE5FDE"/>
    <w:rsid w:val="00CE6274"/>
    <w:rsid w:val="00CE6B8B"/>
    <w:rsid w:val="00CE6D4C"/>
    <w:rsid w:val="00CE77B6"/>
    <w:rsid w:val="00CF0983"/>
    <w:rsid w:val="00CF0C33"/>
    <w:rsid w:val="00CF2B8D"/>
    <w:rsid w:val="00CF366E"/>
    <w:rsid w:val="00CF3A1B"/>
    <w:rsid w:val="00CF456B"/>
    <w:rsid w:val="00CF5A22"/>
    <w:rsid w:val="00CF6808"/>
    <w:rsid w:val="00CF6B49"/>
    <w:rsid w:val="00CF708F"/>
    <w:rsid w:val="00CF7C44"/>
    <w:rsid w:val="00D00281"/>
    <w:rsid w:val="00D0262E"/>
    <w:rsid w:val="00D03029"/>
    <w:rsid w:val="00D03679"/>
    <w:rsid w:val="00D03A0A"/>
    <w:rsid w:val="00D04AFB"/>
    <w:rsid w:val="00D05E3D"/>
    <w:rsid w:val="00D06139"/>
    <w:rsid w:val="00D06355"/>
    <w:rsid w:val="00D110BD"/>
    <w:rsid w:val="00D1345F"/>
    <w:rsid w:val="00D1349A"/>
    <w:rsid w:val="00D13675"/>
    <w:rsid w:val="00D1409B"/>
    <w:rsid w:val="00D141E1"/>
    <w:rsid w:val="00D14844"/>
    <w:rsid w:val="00D15314"/>
    <w:rsid w:val="00D15A86"/>
    <w:rsid w:val="00D15B48"/>
    <w:rsid w:val="00D161E3"/>
    <w:rsid w:val="00D16FA4"/>
    <w:rsid w:val="00D17CFC"/>
    <w:rsid w:val="00D17D05"/>
    <w:rsid w:val="00D17D6C"/>
    <w:rsid w:val="00D17F70"/>
    <w:rsid w:val="00D20489"/>
    <w:rsid w:val="00D2155B"/>
    <w:rsid w:val="00D21569"/>
    <w:rsid w:val="00D216E5"/>
    <w:rsid w:val="00D2238E"/>
    <w:rsid w:val="00D23CE5"/>
    <w:rsid w:val="00D23D11"/>
    <w:rsid w:val="00D24456"/>
    <w:rsid w:val="00D244B6"/>
    <w:rsid w:val="00D2506A"/>
    <w:rsid w:val="00D253AE"/>
    <w:rsid w:val="00D25A14"/>
    <w:rsid w:val="00D26AAE"/>
    <w:rsid w:val="00D2754D"/>
    <w:rsid w:val="00D27B27"/>
    <w:rsid w:val="00D27F66"/>
    <w:rsid w:val="00D30D5B"/>
    <w:rsid w:val="00D31EA6"/>
    <w:rsid w:val="00D32AE4"/>
    <w:rsid w:val="00D33BE9"/>
    <w:rsid w:val="00D33F93"/>
    <w:rsid w:val="00D34C35"/>
    <w:rsid w:val="00D357FF"/>
    <w:rsid w:val="00D35C59"/>
    <w:rsid w:val="00D362DE"/>
    <w:rsid w:val="00D36BE7"/>
    <w:rsid w:val="00D37606"/>
    <w:rsid w:val="00D40F04"/>
    <w:rsid w:val="00D41BD9"/>
    <w:rsid w:val="00D424C7"/>
    <w:rsid w:val="00D4265D"/>
    <w:rsid w:val="00D42BDB"/>
    <w:rsid w:val="00D43B2A"/>
    <w:rsid w:val="00D43CF1"/>
    <w:rsid w:val="00D43D83"/>
    <w:rsid w:val="00D446E7"/>
    <w:rsid w:val="00D46285"/>
    <w:rsid w:val="00D47575"/>
    <w:rsid w:val="00D50757"/>
    <w:rsid w:val="00D5243B"/>
    <w:rsid w:val="00D533EC"/>
    <w:rsid w:val="00D545F8"/>
    <w:rsid w:val="00D54F62"/>
    <w:rsid w:val="00D56A95"/>
    <w:rsid w:val="00D6076E"/>
    <w:rsid w:val="00D61024"/>
    <w:rsid w:val="00D62A00"/>
    <w:rsid w:val="00D6608F"/>
    <w:rsid w:val="00D70812"/>
    <w:rsid w:val="00D70F16"/>
    <w:rsid w:val="00D72483"/>
    <w:rsid w:val="00D72532"/>
    <w:rsid w:val="00D72617"/>
    <w:rsid w:val="00D72F57"/>
    <w:rsid w:val="00D75557"/>
    <w:rsid w:val="00D760DB"/>
    <w:rsid w:val="00D76504"/>
    <w:rsid w:val="00D76A44"/>
    <w:rsid w:val="00D815EF"/>
    <w:rsid w:val="00D81686"/>
    <w:rsid w:val="00D81949"/>
    <w:rsid w:val="00D81F26"/>
    <w:rsid w:val="00D822E2"/>
    <w:rsid w:val="00D82DE9"/>
    <w:rsid w:val="00D82DF8"/>
    <w:rsid w:val="00D843F2"/>
    <w:rsid w:val="00D856CA"/>
    <w:rsid w:val="00D86231"/>
    <w:rsid w:val="00D863A8"/>
    <w:rsid w:val="00D86475"/>
    <w:rsid w:val="00D9041E"/>
    <w:rsid w:val="00D912AB"/>
    <w:rsid w:val="00D91377"/>
    <w:rsid w:val="00D91923"/>
    <w:rsid w:val="00D91975"/>
    <w:rsid w:val="00D91B21"/>
    <w:rsid w:val="00D91ED7"/>
    <w:rsid w:val="00D92143"/>
    <w:rsid w:val="00D93753"/>
    <w:rsid w:val="00D9416D"/>
    <w:rsid w:val="00D94C43"/>
    <w:rsid w:val="00D9510D"/>
    <w:rsid w:val="00D96332"/>
    <w:rsid w:val="00DA13CC"/>
    <w:rsid w:val="00DA18D9"/>
    <w:rsid w:val="00DA3167"/>
    <w:rsid w:val="00DA4DC3"/>
    <w:rsid w:val="00DA66F7"/>
    <w:rsid w:val="00DA69EE"/>
    <w:rsid w:val="00DA7571"/>
    <w:rsid w:val="00DA75D5"/>
    <w:rsid w:val="00DA77A5"/>
    <w:rsid w:val="00DB0C25"/>
    <w:rsid w:val="00DB0E36"/>
    <w:rsid w:val="00DB2CCD"/>
    <w:rsid w:val="00DB3935"/>
    <w:rsid w:val="00DB3DBF"/>
    <w:rsid w:val="00DB3F05"/>
    <w:rsid w:val="00DB484F"/>
    <w:rsid w:val="00DB5678"/>
    <w:rsid w:val="00DB569A"/>
    <w:rsid w:val="00DB56BF"/>
    <w:rsid w:val="00DB5F54"/>
    <w:rsid w:val="00DB68B1"/>
    <w:rsid w:val="00DB7BBB"/>
    <w:rsid w:val="00DC0275"/>
    <w:rsid w:val="00DC0423"/>
    <w:rsid w:val="00DC04F6"/>
    <w:rsid w:val="00DC0690"/>
    <w:rsid w:val="00DC18DE"/>
    <w:rsid w:val="00DC1D65"/>
    <w:rsid w:val="00DC2BDF"/>
    <w:rsid w:val="00DC390D"/>
    <w:rsid w:val="00DC3C57"/>
    <w:rsid w:val="00DC5501"/>
    <w:rsid w:val="00DC5CEB"/>
    <w:rsid w:val="00DC5DE4"/>
    <w:rsid w:val="00DC7154"/>
    <w:rsid w:val="00DC7E8A"/>
    <w:rsid w:val="00DD0B48"/>
    <w:rsid w:val="00DD0F78"/>
    <w:rsid w:val="00DD165E"/>
    <w:rsid w:val="00DD1F3F"/>
    <w:rsid w:val="00DD25FF"/>
    <w:rsid w:val="00DD273C"/>
    <w:rsid w:val="00DD2AE8"/>
    <w:rsid w:val="00DD3F28"/>
    <w:rsid w:val="00DD4446"/>
    <w:rsid w:val="00DD4537"/>
    <w:rsid w:val="00DD49DE"/>
    <w:rsid w:val="00DD4E15"/>
    <w:rsid w:val="00DD5090"/>
    <w:rsid w:val="00DD546E"/>
    <w:rsid w:val="00DD68F7"/>
    <w:rsid w:val="00DD73C2"/>
    <w:rsid w:val="00DE10C4"/>
    <w:rsid w:val="00DE153C"/>
    <w:rsid w:val="00DE153F"/>
    <w:rsid w:val="00DE1B51"/>
    <w:rsid w:val="00DE2304"/>
    <w:rsid w:val="00DE2F85"/>
    <w:rsid w:val="00DE3138"/>
    <w:rsid w:val="00DE35EE"/>
    <w:rsid w:val="00DE37F8"/>
    <w:rsid w:val="00DE4273"/>
    <w:rsid w:val="00DE4FCB"/>
    <w:rsid w:val="00DE5D07"/>
    <w:rsid w:val="00DE6FDE"/>
    <w:rsid w:val="00DE72A7"/>
    <w:rsid w:val="00DE7832"/>
    <w:rsid w:val="00DE7912"/>
    <w:rsid w:val="00DF0328"/>
    <w:rsid w:val="00DF11CD"/>
    <w:rsid w:val="00DF18FC"/>
    <w:rsid w:val="00DF2286"/>
    <w:rsid w:val="00DF241F"/>
    <w:rsid w:val="00DF32D0"/>
    <w:rsid w:val="00DF36E3"/>
    <w:rsid w:val="00DF47F0"/>
    <w:rsid w:val="00DF5D2B"/>
    <w:rsid w:val="00DF6341"/>
    <w:rsid w:val="00DF6538"/>
    <w:rsid w:val="00DF7848"/>
    <w:rsid w:val="00DF7D39"/>
    <w:rsid w:val="00E00AAA"/>
    <w:rsid w:val="00E00C28"/>
    <w:rsid w:val="00E00E8E"/>
    <w:rsid w:val="00E02636"/>
    <w:rsid w:val="00E04216"/>
    <w:rsid w:val="00E0515A"/>
    <w:rsid w:val="00E05630"/>
    <w:rsid w:val="00E065D6"/>
    <w:rsid w:val="00E06DBB"/>
    <w:rsid w:val="00E10149"/>
    <w:rsid w:val="00E11340"/>
    <w:rsid w:val="00E116B2"/>
    <w:rsid w:val="00E11E39"/>
    <w:rsid w:val="00E122A1"/>
    <w:rsid w:val="00E130EB"/>
    <w:rsid w:val="00E16372"/>
    <w:rsid w:val="00E166AC"/>
    <w:rsid w:val="00E16AD8"/>
    <w:rsid w:val="00E16D67"/>
    <w:rsid w:val="00E17FFA"/>
    <w:rsid w:val="00E20E4D"/>
    <w:rsid w:val="00E20ED6"/>
    <w:rsid w:val="00E2119E"/>
    <w:rsid w:val="00E21358"/>
    <w:rsid w:val="00E21DE2"/>
    <w:rsid w:val="00E2249B"/>
    <w:rsid w:val="00E22867"/>
    <w:rsid w:val="00E22A0D"/>
    <w:rsid w:val="00E238CC"/>
    <w:rsid w:val="00E244F6"/>
    <w:rsid w:val="00E24D0D"/>
    <w:rsid w:val="00E258DB"/>
    <w:rsid w:val="00E25913"/>
    <w:rsid w:val="00E2622B"/>
    <w:rsid w:val="00E2638A"/>
    <w:rsid w:val="00E275F1"/>
    <w:rsid w:val="00E2771E"/>
    <w:rsid w:val="00E27B07"/>
    <w:rsid w:val="00E30130"/>
    <w:rsid w:val="00E3030B"/>
    <w:rsid w:val="00E307EC"/>
    <w:rsid w:val="00E308F3"/>
    <w:rsid w:val="00E311EF"/>
    <w:rsid w:val="00E32180"/>
    <w:rsid w:val="00E34948"/>
    <w:rsid w:val="00E3568C"/>
    <w:rsid w:val="00E35A31"/>
    <w:rsid w:val="00E35BB3"/>
    <w:rsid w:val="00E367DD"/>
    <w:rsid w:val="00E374A8"/>
    <w:rsid w:val="00E374AF"/>
    <w:rsid w:val="00E37569"/>
    <w:rsid w:val="00E401B2"/>
    <w:rsid w:val="00E409F3"/>
    <w:rsid w:val="00E41E30"/>
    <w:rsid w:val="00E427A3"/>
    <w:rsid w:val="00E42D2A"/>
    <w:rsid w:val="00E42F73"/>
    <w:rsid w:val="00E43D70"/>
    <w:rsid w:val="00E443C0"/>
    <w:rsid w:val="00E4592F"/>
    <w:rsid w:val="00E45EB0"/>
    <w:rsid w:val="00E466F3"/>
    <w:rsid w:val="00E46C93"/>
    <w:rsid w:val="00E471D9"/>
    <w:rsid w:val="00E47B2C"/>
    <w:rsid w:val="00E51560"/>
    <w:rsid w:val="00E51821"/>
    <w:rsid w:val="00E52382"/>
    <w:rsid w:val="00E52A38"/>
    <w:rsid w:val="00E52B63"/>
    <w:rsid w:val="00E53609"/>
    <w:rsid w:val="00E53AC2"/>
    <w:rsid w:val="00E53FC8"/>
    <w:rsid w:val="00E54347"/>
    <w:rsid w:val="00E5495D"/>
    <w:rsid w:val="00E55424"/>
    <w:rsid w:val="00E5588D"/>
    <w:rsid w:val="00E55915"/>
    <w:rsid w:val="00E55BB5"/>
    <w:rsid w:val="00E57145"/>
    <w:rsid w:val="00E578B9"/>
    <w:rsid w:val="00E60118"/>
    <w:rsid w:val="00E60642"/>
    <w:rsid w:val="00E611DF"/>
    <w:rsid w:val="00E613C7"/>
    <w:rsid w:val="00E620B4"/>
    <w:rsid w:val="00E635F8"/>
    <w:rsid w:val="00E638B3"/>
    <w:rsid w:val="00E63B60"/>
    <w:rsid w:val="00E64F1E"/>
    <w:rsid w:val="00E6552C"/>
    <w:rsid w:val="00E65E79"/>
    <w:rsid w:val="00E66BA2"/>
    <w:rsid w:val="00E67416"/>
    <w:rsid w:val="00E7128B"/>
    <w:rsid w:val="00E718B6"/>
    <w:rsid w:val="00E71F64"/>
    <w:rsid w:val="00E723BA"/>
    <w:rsid w:val="00E72BAC"/>
    <w:rsid w:val="00E73581"/>
    <w:rsid w:val="00E7548B"/>
    <w:rsid w:val="00E762ED"/>
    <w:rsid w:val="00E812B4"/>
    <w:rsid w:val="00E833F7"/>
    <w:rsid w:val="00E835DE"/>
    <w:rsid w:val="00E83BDF"/>
    <w:rsid w:val="00E86732"/>
    <w:rsid w:val="00E86FCC"/>
    <w:rsid w:val="00E87A1D"/>
    <w:rsid w:val="00E9011A"/>
    <w:rsid w:val="00E9094A"/>
    <w:rsid w:val="00E90FC1"/>
    <w:rsid w:val="00E91D35"/>
    <w:rsid w:val="00E92064"/>
    <w:rsid w:val="00E926A5"/>
    <w:rsid w:val="00E95DF6"/>
    <w:rsid w:val="00E962CC"/>
    <w:rsid w:val="00E96774"/>
    <w:rsid w:val="00EA110C"/>
    <w:rsid w:val="00EA17BE"/>
    <w:rsid w:val="00EA17C3"/>
    <w:rsid w:val="00EA1F7D"/>
    <w:rsid w:val="00EA2590"/>
    <w:rsid w:val="00EA2AF3"/>
    <w:rsid w:val="00EA2CAA"/>
    <w:rsid w:val="00EA3864"/>
    <w:rsid w:val="00EA463F"/>
    <w:rsid w:val="00EA5019"/>
    <w:rsid w:val="00EA7F1C"/>
    <w:rsid w:val="00EB05A5"/>
    <w:rsid w:val="00EB15B6"/>
    <w:rsid w:val="00EB29ED"/>
    <w:rsid w:val="00EB3D06"/>
    <w:rsid w:val="00EB4447"/>
    <w:rsid w:val="00EB4916"/>
    <w:rsid w:val="00EB503B"/>
    <w:rsid w:val="00EB5D47"/>
    <w:rsid w:val="00EB7571"/>
    <w:rsid w:val="00EC00C9"/>
    <w:rsid w:val="00EC0951"/>
    <w:rsid w:val="00EC0DD9"/>
    <w:rsid w:val="00EC13ED"/>
    <w:rsid w:val="00EC21FC"/>
    <w:rsid w:val="00EC2649"/>
    <w:rsid w:val="00EC273A"/>
    <w:rsid w:val="00EC2CFD"/>
    <w:rsid w:val="00EC2E7B"/>
    <w:rsid w:val="00EC31ED"/>
    <w:rsid w:val="00EC5836"/>
    <w:rsid w:val="00EC63D4"/>
    <w:rsid w:val="00EC688C"/>
    <w:rsid w:val="00ED0301"/>
    <w:rsid w:val="00ED0DB4"/>
    <w:rsid w:val="00ED12E3"/>
    <w:rsid w:val="00ED224E"/>
    <w:rsid w:val="00ED28BB"/>
    <w:rsid w:val="00ED30A3"/>
    <w:rsid w:val="00ED408A"/>
    <w:rsid w:val="00ED4B04"/>
    <w:rsid w:val="00ED56C6"/>
    <w:rsid w:val="00ED57EA"/>
    <w:rsid w:val="00ED5BD4"/>
    <w:rsid w:val="00ED6C46"/>
    <w:rsid w:val="00ED6D77"/>
    <w:rsid w:val="00EE07D3"/>
    <w:rsid w:val="00EE0AFC"/>
    <w:rsid w:val="00EE0CC2"/>
    <w:rsid w:val="00EE1996"/>
    <w:rsid w:val="00EE1C01"/>
    <w:rsid w:val="00EE22AF"/>
    <w:rsid w:val="00EF00C8"/>
    <w:rsid w:val="00EF0171"/>
    <w:rsid w:val="00EF0179"/>
    <w:rsid w:val="00EF0D16"/>
    <w:rsid w:val="00EF1957"/>
    <w:rsid w:val="00EF1B25"/>
    <w:rsid w:val="00EF1DA0"/>
    <w:rsid w:val="00EF2B8E"/>
    <w:rsid w:val="00EF3180"/>
    <w:rsid w:val="00EF391E"/>
    <w:rsid w:val="00EF409C"/>
    <w:rsid w:val="00EF4164"/>
    <w:rsid w:val="00EF4747"/>
    <w:rsid w:val="00EF4BF8"/>
    <w:rsid w:val="00EF762F"/>
    <w:rsid w:val="00F02253"/>
    <w:rsid w:val="00F02BC8"/>
    <w:rsid w:val="00F03C2E"/>
    <w:rsid w:val="00F04141"/>
    <w:rsid w:val="00F042CE"/>
    <w:rsid w:val="00F04A66"/>
    <w:rsid w:val="00F04B4B"/>
    <w:rsid w:val="00F0516C"/>
    <w:rsid w:val="00F06391"/>
    <w:rsid w:val="00F067A2"/>
    <w:rsid w:val="00F07B9E"/>
    <w:rsid w:val="00F10F16"/>
    <w:rsid w:val="00F1116F"/>
    <w:rsid w:val="00F1263A"/>
    <w:rsid w:val="00F12DE9"/>
    <w:rsid w:val="00F135D7"/>
    <w:rsid w:val="00F139C5"/>
    <w:rsid w:val="00F14106"/>
    <w:rsid w:val="00F14FD5"/>
    <w:rsid w:val="00F15B77"/>
    <w:rsid w:val="00F16539"/>
    <w:rsid w:val="00F17CFA"/>
    <w:rsid w:val="00F20805"/>
    <w:rsid w:val="00F2089F"/>
    <w:rsid w:val="00F21236"/>
    <w:rsid w:val="00F2259A"/>
    <w:rsid w:val="00F239DF"/>
    <w:rsid w:val="00F23E66"/>
    <w:rsid w:val="00F24036"/>
    <w:rsid w:val="00F24234"/>
    <w:rsid w:val="00F247D2"/>
    <w:rsid w:val="00F24837"/>
    <w:rsid w:val="00F2575F"/>
    <w:rsid w:val="00F27565"/>
    <w:rsid w:val="00F302EC"/>
    <w:rsid w:val="00F30F36"/>
    <w:rsid w:val="00F310D4"/>
    <w:rsid w:val="00F317CD"/>
    <w:rsid w:val="00F31A21"/>
    <w:rsid w:val="00F31D5A"/>
    <w:rsid w:val="00F32532"/>
    <w:rsid w:val="00F33051"/>
    <w:rsid w:val="00F33975"/>
    <w:rsid w:val="00F33DE9"/>
    <w:rsid w:val="00F34046"/>
    <w:rsid w:val="00F346F4"/>
    <w:rsid w:val="00F35275"/>
    <w:rsid w:val="00F356EE"/>
    <w:rsid w:val="00F3580E"/>
    <w:rsid w:val="00F35E6D"/>
    <w:rsid w:val="00F3619A"/>
    <w:rsid w:val="00F3644B"/>
    <w:rsid w:val="00F37981"/>
    <w:rsid w:val="00F4075B"/>
    <w:rsid w:val="00F408FD"/>
    <w:rsid w:val="00F40AAA"/>
    <w:rsid w:val="00F40BA7"/>
    <w:rsid w:val="00F40F9D"/>
    <w:rsid w:val="00F41969"/>
    <w:rsid w:val="00F41ACD"/>
    <w:rsid w:val="00F42084"/>
    <w:rsid w:val="00F4231F"/>
    <w:rsid w:val="00F42619"/>
    <w:rsid w:val="00F43B73"/>
    <w:rsid w:val="00F445A6"/>
    <w:rsid w:val="00F45C64"/>
    <w:rsid w:val="00F463E0"/>
    <w:rsid w:val="00F46C4F"/>
    <w:rsid w:val="00F46CB6"/>
    <w:rsid w:val="00F470AA"/>
    <w:rsid w:val="00F473B8"/>
    <w:rsid w:val="00F4756D"/>
    <w:rsid w:val="00F478BD"/>
    <w:rsid w:val="00F47DE8"/>
    <w:rsid w:val="00F47F14"/>
    <w:rsid w:val="00F50043"/>
    <w:rsid w:val="00F51739"/>
    <w:rsid w:val="00F52DA0"/>
    <w:rsid w:val="00F53A3A"/>
    <w:rsid w:val="00F54038"/>
    <w:rsid w:val="00F542C1"/>
    <w:rsid w:val="00F550E3"/>
    <w:rsid w:val="00F55DD4"/>
    <w:rsid w:val="00F55E73"/>
    <w:rsid w:val="00F55EDA"/>
    <w:rsid w:val="00F55F7B"/>
    <w:rsid w:val="00F56BFC"/>
    <w:rsid w:val="00F56C80"/>
    <w:rsid w:val="00F571E1"/>
    <w:rsid w:val="00F60092"/>
    <w:rsid w:val="00F604A1"/>
    <w:rsid w:val="00F60F75"/>
    <w:rsid w:val="00F61B33"/>
    <w:rsid w:val="00F61C18"/>
    <w:rsid w:val="00F61D4B"/>
    <w:rsid w:val="00F6319F"/>
    <w:rsid w:val="00F64CC4"/>
    <w:rsid w:val="00F65F4B"/>
    <w:rsid w:val="00F67A69"/>
    <w:rsid w:val="00F67BEA"/>
    <w:rsid w:val="00F70714"/>
    <w:rsid w:val="00F70BFF"/>
    <w:rsid w:val="00F70C9D"/>
    <w:rsid w:val="00F71B56"/>
    <w:rsid w:val="00F72968"/>
    <w:rsid w:val="00F72FC9"/>
    <w:rsid w:val="00F73E08"/>
    <w:rsid w:val="00F74CD9"/>
    <w:rsid w:val="00F751AE"/>
    <w:rsid w:val="00F75502"/>
    <w:rsid w:val="00F779FB"/>
    <w:rsid w:val="00F77EA8"/>
    <w:rsid w:val="00F80373"/>
    <w:rsid w:val="00F80A7B"/>
    <w:rsid w:val="00F80E5D"/>
    <w:rsid w:val="00F80F50"/>
    <w:rsid w:val="00F810FE"/>
    <w:rsid w:val="00F81816"/>
    <w:rsid w:val="00F81E78"/>
    <w:rsid w:val="00F822B5"/>
    <w:rsid w:val="00F824E6"/>
    <w:rsid w:val="00F83916"/>
    <w:rsid w:val="00F840A0"/>
    <w:rsid w:val="00F851CE"/>
    <w:rsid w:val="00F861F1"/>
    <w:rsid w:val="00F86D58"/>
    <w:rsid w:val="00F87091"/>
    <w:rsid w:val="00F91219"/>
    <w:rsid w:val="00F92444"/>
    <w:rsid w:val="00F9254A"/>
    <w:rsid w:val="00F925B3"/>
    <w:rsid w:val="00F9386E"/>
    <w:rsid w:val="00F9393E"/>
    <w:rsid w:val="00F9534A"/>
    <w:rsid w:val="00F96FD0"/>
    <w:rsid w:val="00F97914"/>
    <w:rsid w:val="00F97A78"/>
    <w:rsid w:val="00FA0B20"/>
    <w:rsid w:val="00FA0E82"/>
    <w:rsid w:val="00FA24A3"/>
    <w:rsid w:val="00FA24E7"/>
    <w:rsid w:val="00FA2C76"/>
    <w:rsid w:val="00FA3728"/>
    <w:rsid w:val="00FA5EE6"/>
    <w:rsid w:val="00FA7956"/>
    <w:rsid w:val="00FB0824"/>
    <w:rsid w:val="00FB0844"/>
    <w:rsid w:val="00FB175F"/>
    <w:rsid w:val="00FB2FCB"/>
    <w:rsid w:val="00FB3718"/>
    <w:rsid w:val="00FB3A65"/>
    <w:rsid w:val="00FB3C2B"/>
    <w:rsid w:val="00FB44BD"/>
    <w:rsid w:val="00FB4BF5"/>
    <w:rsid w:val="00FB4C9C"/>
    <w:rsid w:val="00FB4DFA"/>
    <w:rsid w:val="00FB5626"/>
    <w:rsid w:val="00FB5C22"/>
    <w:rsid w:val="00FB6242"/>
    <w:rsid w:val="00FB671A"/>
    <w:rsid w:val="00FB7142"/>
    <w:rsid w:val="00FB7C55"/>
    <w:rsid w:val="00FC1074"/>
    <w:rsid w:val="00FC1884"/>
    <w:rsid w:val="00FC371D"/>
    <w:rsid w:val="00FC5F0B"/>
    <w:rsid w:val="00FC6F91"/>
    <w:rsid w:val="00FD0BAD"/>
    <w:rsid w:val="00FD2100"/>
    <w:rsid w:val="00FD39DB"/>
    <w:rsid w:val="00FD3F88"/>
    <w:rsid w:val="00FD436C"/>
    <w:rsid w:val="00FD4404"/>
    <w:rsid w:val="00FD446D"/>
    <w:rsid w:val="00FD4DD5"/>
    <w:rsid w:val="00FD4F2C"/>
    <w:rsid w:val="00FD4F7F"/>
    <w:rsid w:val="00FD51DC"/>
    <w:rsid w:val="00FD5614"/>
    <w:rsid w:val="00FD5C1F"/>
    <w:rsid w:val="00FD6394"/>
    <w:rsid w:val="00FD6617"/>
    <w:rsid w:val="00FD6E9E"/>
    <w:rsid w:val="00FE037B"/>
    <w:rsid w:val="00FE074F"/>
    <w:rsid w:val="00FE0E6C"/>
    <w:rsid w:val="00FE0F38"/>
    <w:rsid w:val="00FE1CDC"/>
    <w:rsid w:val="00FE26CC"/>
    <w:rsid w:val="00FE2990"/>
    <w:rsid w:val="00FE2B72"/>
    <w:rsid w:val="00FE3099"/>
    <w:rsid w:val="00FE4605"/>
    <w:rsid w:val="00FE4939"/>
    <w:rsid w:val="00FE4FFF"/>
    <w:rsid w:val="00FE6287"/>
    <w:rsid w:val="00FE6DAF"/>
    <w:rsid w:val="00FE70C3"/>
    <w:rsid w:val="00FF0CB5"/>
    <w:rsid w:val="00FF1A8B"/>
    <w:rsid w:val="00FF1EBA"/>
    <w:rsid w:val="00FF2AD9"/>
    <w:rsid w:val="00FF359F"/>
    <w:rsid w:val="00FF3D7F"/>
    <w:rsid w:val="00FF3DCF"/>
    <w:rsid w:val="00FF492C"/>
    <w:rsid w:val="00FF4A21"/>
    <w:rsid w:val="00FF53E2"/>
    <w:rsid w:val="00FF5AA3"/>
    <w:rsid w:val="00FF5AD8"/>
    <w:rsid w:val="00FF7B1A"/>
    <w:rsid w:val="00FF7B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DE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aliases w:val="BMS Heading 2"/>
    <w:basedOn w:val="Normal"/>
    <w:next w:val="Normal"/>
    <w:link w:val="Heading2Char"/>
    <w:qFormat/>
    <w:rsid w:val="001B204E"/>
    <w:pPr>
      <w:outlineLvl w:val="1"/>
    </w:pPr>
    <w:rPr>
      <w:b/>
      <w:i/>
      <w:sz w:val="28"/>
    </w:rPr>
  </w:style>
  <w:style w:type="paragraph" w:styleId="Heading3">
    <w:name w:val="heading 3"/>
    <w:aliases w:val="BMS Heading 3"/>
    <w:basedOn w:val="Normal"/>
    <w:next w:val="Normal"/>
    <w:qFormat/>
    <w:rsid w:val="001F7361"/>
    <w:pPr>
      <w:outlineLvl w:val="2"/>
    </w:pPr>
    <w:rPr>
      <w:u w:val="single"/>
    </w:rPr>
  </w:style>
  <w:style w:type="paragraph" w:styleId="Heading4">
    <w:name w:val="heading 4"/>
    <w:aliases w:val="BMS 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MS 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Normal: Bullets,Table Legend,Bullet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PBAC table,PHE Table Grid,HTAtableplain,MSD Table Grid,Dossier table,Section 3- footnotes,Summary Table,new sty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link w:val="TOC2Char"/>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9713BC"/>
    <w:pPr>
      <w:tabs>
        <w:tab w:val="left" w:pos="440"/>
        <w:tab w:val="right" w:leader="dot" w:pos="9016"/>
      </w:tabs>
      <w:spacing w:before="12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
    <w:basedOn w:val="Normal"/>
    <w:link w:val="CommentTextChar"/>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notes">
    <w:name w:val="Table notes"/>
    <w:basedOn w:val="Normal"/>
    <w:link w:val="TablenotesChar"/>
    <w:qFormat/>
    <w:rsid w:val="00C07D7A"/>
    <w:rPr>
      <w:rFonts w:ascii="Trebuchet MS" w:eastAsiaTheme="minorHAnsi" w:hAnsi="Trebuchet MS" w:cstheme="minorBidi"/>
      <w:sz w:val="16"/>
      <w:szCs w:val="22"/>
      <w:lang w:eastAsia="en-US"/>
    </w:rPr>
  </w:style>
  <w:style w:type="character" w:customStyle="1" w:styleId="TablenotesChar">
    <w:name w:val="Table notes Char"/>
    <w:basedOn w:val="DefaultParagraphFont"/>
    <w:link w:val="Tablenotes"/>
    <w:rsid w:val="00C07D7A"/>
    <w:rPr>
      <w:rFonts w:ascii="Trebuchet MS" w:eastAsiaTheme="minorHAnsi" w:hAnsi="Trebuchet MS" w:cstheme="minorBidi"/>
      <w:sz w:val="16"/>
      <w:szCs w:val="22"/>
      <w:lang w:eastAsia="en-US"/>
    </w:rPr>
  </w:style>
  <w:style w:type="paragraph" w:customStyle="1" w:styleId="C-AlphabeticList">
    <w:name w:val="C-Alphabetic List"/>
    <w:rsid w:val="00671317"/>
    <w:pPr>
      <w:numPr>
        <w:ilvl w:val="1"/>
        <w:numId w:val="7"/>
      </w:numPr>
      <w:jc w:val="both"/>
    </w:pPr>
    <w:rPr>
      <w:sz w:val="24"/>
      <w:lang w:val="en-US" w:eastAsia="en-US"/>
    </w:rPr>
  </w:style>
  <w:style w:type="table" w:styleId="GridTable1Light">
    <w:name w:val="Grid Table 1 Light"/>
    <w:basedOn w:val="TableNormal"/>
    <w:uiPriority w:val="46"/>
    <w:rsid w:val="00BB6BF4"/>
    <w:pPr>
      <w:jc w:val="both"/>
    </w:pPr>
    <w:rPr>
      <w:rFonts w:ascii="Trebuchet MS" w:eastAsiaTheme="minorHAnsi" w:hAnsi="Trebuchet MS"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OC2Char">
    <w:name w:val="TOC 2 Char"/>
    <w:basedOn w:val="DefaultParagraphFont"/>
    <w:link w:val="TOC2"/>
    <w:uiPriority w:val="39"/>
    <w:rsid w:val="00BB6BF4"/>
    <w:rPr>
      <w:rFonts w:ascii="Calibri" w:hAnsi="Calibri" w:cs="Arial"/>
      <w:iCs/>
      <w:szCs w:val="24"/>
    </w:rPr>
  </w:style>
  <w:style w:type="table" w:styleId="PlainTable2">
    <w:name w:val="Plain Table 2"/>
    <w:basedOn w:val="TableNormal"/>
    <w:uiPriority w:val="42"/>
    <w:rsid w:val="00BB6BF4"/>
    <w:pPr>
      <w:jc w:val="both"/>
    </w:pPr>
    <w:rPr>
      <w:rFonts w:ascii="Trebuchet MS" w:eastAsiaTheme="minorHAnsi" w:hAnsi="Trebuchet MS"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BACtable2">
    <w:name w:val="PBAC table2"/>
    <w:basedOn w:val="TableNormal"/>
    <w:next w:val="TableGrid"/>
    <w:uiPriority w:val="39"/>
    <w:rsid w:val="00935F2D"/>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Letter">
    <w:name w:val="Bullet+0 (Letter)"/>
    <w:basedOn w:val="Normal"/>
    <w:qFormat/>
    <w:rsid w:val="00263B1E"/>
    <w:pPr>
      <w:numPr>
        <w:numId w:val="8"/>
      </w:numPr>
      <w:tabs>
        <w:tab w:val="num" w:pos="643"/>
        <w:tab w:val="num" w:pos="1492"/>
      </w:tabs>
      <w:spacing w:line="276" w:lineRule="auto"/>
      <w:ind w:left="643"/>
    </w:pPr>
    <w:rPr>
      <w:rFonts w:asciiTheme="minorHAnsi" w:eastAsiaTheme="minorHAnsi" w:hAnsiTheme="minorHAnsi"/>
      <w:sz w:val="22"/>
      <w:szCs w:val="22"/>
      <w:lang w:eastAsia="en-US"/>
    </w:rPr>
  </w:style>
  <w:style w:type="table" w:customStyle="1" w:styleId="PBACtable3">
    <w:name w:val="PBAC table3"/>
    <w:basedOn w:val="TableNormal"/>
    <w:next w:val="TableGrid"/>
    <w:uiPriority w:val="39"/>
    <w:rsid w:val="008D1D82"/>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912D3A"/>
    <w:rPr>
      <w:vertAlign w:val="superscript"/>
    </w:rPr>
  </w:style>
  <w:style w:type="table" w:customStyle="1" w:styleId="PBACtable5">
    <w:name w:val="PBAC table5"/>
    <w:basedOn w:val="TableNormal"/>
    <w:next w:val="TableGrid"/>
    <w:rsid w:val="00912D3A"/>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C0EE0"/>
    <w:pPr>
      <w:jc w:val="center"/>
    </w:pPr>
    <w:rPr>
      <w:rFonts w:cs="Calibri"/>
      <w:noProof/>
    </w:rPr>
  </w:style>
  <w:style w:type="character" w:customStyle="1" w:styleId="EndNoteBibliographyTitleChar">
    <w:name w:val="EndNote Bibliography Title Char"/>
    <w:basedOn w:val="TableTextChar0"/>
    <w:link w:val="EndNoteBibliographyTitle"/>
    <w:rsid w:val="002C0EE0"/>
    <w:rPr>
      <w:rFonts w:ascii="Calibri" w:eastAsiaTheme="majorEastAsia" w:hAnsi="Calibri" w:cs="Calibri"/>
      <w:bCs w:val="0"/>
      <w:noProof/>
      <w:sz w:val="24"/>
      <w:szCs w:val="24"/>
    </w:rPr>
  </w:style>
  <w:style w:type="paragraph" w:customStyle="1" w:styleId="EndNoteBibliography">
    <w:name w:val="EndNote Bibliography"/>
    <w:basedOn w:val="Normal"/>
    <w:link w:val="EndNoteBibliographyChar"/>
    <w:rsid w:val="002C0EE0"/>
    <w:rPr>
      <w:rFonts w:cs="Calibri"/>
      <w:noProof/>
    </w:rPr>
  </w:style>
  <w:style w:type="character" w:customStyle="1" w:styleId="EndNoteBibliographyChar">
    <w:name w:val="EndNote Bibliography Char"/>
    <w:basedOn w:val="TableTextChar0"/>
    <w:link w:val="EndNoteBibliography"/>
    <w:rsid w:val="002C0EE0"/>
    <w:rPr>
      <w:rFonts w:ascii="Calibri" w:eastAsiaTheme="majorEastAsia" w:hAnsi="Calibri" w:cs="Calibri"/>
      <w:bCs w:val="0"/>
      <w:noProof/>
      <w:sz w:val="24"/>
      <w:szCs w:val="24"/>
    </w:rPr>
  </w:style>
  <w:style w:type="paragraph" w:styleId="FootnoteText">
    <w:name w:val="footnote text"/>
    <w:basedOn w:val="Normal"/>
    <w:link w:val="FootnoteTextChar"/>
    <w:uiPriority w:val="99"/>
    <w:unhideWhenUsed/>
    <w:rsid w:val="00675992"/>
    <w:rPr>
      <w:sz w:val="20"/>
      <w:szCs w:val="20"/>
    </w:rPr>
  </w:style>
  <w:style w:type="character" w:customStyle="1" w:styleId="FootnoteTextChar">
    <w:name w:val="Footnote Text Char"/>
    <w:basedOn w:val="DefaultParagraphFont"/>
    <w:link w:val="FootnoteText"/>
    <w:uiPriority w:val="99"/>
    <w:rsid w:val="00675992"/>
    <w:rPr>
      <w:rFonts w:ascii="Calibri" w:hAnsi="Calibri" w:cs="Arial"/>
    </w:rPr>
  </w:style>
  <w:style w:type="paragraph" w:customStyle="1" w:styleId="Tableheadingleft">
    <w:name w:val="Table heading left"/>
    <w:basedOn w:val="TableText0"/>
    <w:qFormat/>
    <w:rsid w:val="00675992"/>
    <w:pPr>
      <w:keepNext w:val="0"/>
    </w:pPr>
    <w:rPr>
      <w:rFonts w:asciiTheme="minorHAnsi" w:eastAsiaTheme="minorHAnsi" w:hAnsiTheme="minorHAnsi" w:cs="Arial"/>
      <w:b/>
      <w:bCs w:val="0"/>
      <w:color w:val="000000"/>
      <w:szCs w:val="18"/>
      <w:lang w:eastAsia="en-US"/>
    </w:rPr>
  </w:style>
  <w:style w:type="paragraph" w:customStyle="1" w:styleId="TableText1">
    <w:name w:val="TableText"/>
    <w:basedOn w:val="Normal"/>
    <w:link w:val="TableTextChar1"/>
    <w:uiPriority w:val="3"/>
    <w:qFormat/>
    <w:rsid w:val="00675992"/>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675992"/>
    <w:rPr>
      <w:rFonts w:ascii="Calibri" w:hAnsi="Calibri" w:cs="Calibri"/>
      <w:bCs/>
      <w:lang w:eastAsia="zh-CN"/>
    </w:rPr>
  </w:style>
  <w:style w:type="table" w:customStyle="1" w:styleId="PBACtable4">
    <w:name w:val="PBAC table4"/>
    <w:basedOn w:val="TableNormal"/>
    <w:next w:val="TableGrid"/>
    <w:rsid w:val="00675992"/>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7">
    <w:name w:val="PBAC table7"/>
    <w:basedOn w:val="TableNormal"/>
    <w:next w:val="TableGrid"/>
    <w:rsid w:val="00675992"/>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9">
    <w:name w:val="PBAC table9"/>
    <w:basedOn w:val="TableNormal"/>
    <w:next w:val="TableGrid"/>
    <w:rsid w:val="00675992"/>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0">
    <w:name w:val="PBAC table10"/>
    <w:basedOn w:val="TableNormal"/>
    <w:next w:val="TableGrid"/>
    <w:rsid w:val="00675992"/>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B53933"/>
  </w:style>
  <w:style w:type="paragraph" w:customStyle="1" w:styleId="TableFigureFooter">
    <w:name w:val="Table/Figure Footer"/>
    <w:basedOn w:val="Normal"/>
    <w:link w:val="TableFigureFooterChar"/>
    <w:qFormat/>
    <w:rsid w:val="00B5393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53933"/>
    <w:rPr>
      <w:rFonts w:ascii="Arial Narrow" w:hAnsi="Arial Narrow" w:cs="Arial"/>
      <w:snapToGrid w:val="0"/>
      <w:sz w:val="18"/>
      <w:szCs w:val="22"/>
    </w:rPr>
  </w:style>
  <w:style w:type="table" w:customStyle="1" w:styleId="Submissionstandard1">
    <w:name w:val="Submission standard1"/>
    <w:basedOn w:val="TableNormal"/>
    <w:uiPriority w:val="99"/>
    <w:qFormat/>
    <w:rsid w:val="00B53933"/>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eorgia Pro Cond Light" w:hAnsi="Georgia Pro Cond Light" w:cstheme="majorBidi"/>
        <w:b/>
        <w:sz w:val="20"/>
      </w:rPr>
      <w:tblPr/>
      <w:tcPr>
        <w:shd w:val="clear" w:color="auto" w:fill="BFBFBF" w:themeFill="background1" w:themeFillShade="BF"/>
      </w:tcPr>
    </w:tblStylePr>
  </w:style>
  <w:style w:type="character" w:customStyle="1" w:styleId="refseries">
    <w:name w:val="ref__series"/>
    <w:basedOn w:val="DefaultParagraphFont"/>
    <w:rsid w:val="000174B3"/>
  </w:style>
  <w:style w:type="character" w:customStyle="1" w:styleId="refseriesdate">
    <w:name w:val="ref__seriesdate"/>
    <w:basedOn w:val="DefaultParagraphFont"/>
    <w:rsid w:val="000174B3"/>
  </w:style>
  <w:style w:type="character" w:customStyle="1" w:styleId="refseriesvolume">
    <w:name w:val="ref__seriesvolume"/>
    <w:basedOn w:val="DefaultParagraphFont"/>
    <w:rsid w:val="000174B3"/>
  </w:style>
  <w:style w:type="character" w:customStyle="1" w:styleId="refseriespages">
    <w:name w:val="ref__seriespages"/>
    <w:basedOn w:val="DefaultParagraphFont"/>
    <w:rsid w:val="000174B3"/>
  </w:style>
  <w:style w:type="character" w:customStyle="1" w:styleId="hgkelc">
    <w:name w:val="hgkelc"/>
    <w:basedOn w:val="DefaultParagraphFont"/>
    <w:rsid w:val="00B938B1"/>
  </w:style>
  <w:style w:type="character" w:styleId="UnresolvedMention">
    <w:name w:val="Unresolved Mention"/>
    <w:basedOn w:val="DefaultParagraphFont"/>
    <w:uiPriority w:val="99"/>
    <w:semiHidden/>
    <w:unhideWhenUsed/>
    <w:rsid w:val="001A7733"/>
    <w:rPr>
      <w:color w:val="605E5C"/>
      <w:shd w:val="clear" w:color="auto" w:fill="E1DFDD"/>
    </w:rPr>
  </w:style>
  <w:style w:type="paragraph" w:styleId="EndnoteText">
    <w:name w:val="endnote text"/>
    <w:basedOn w:val="Normal"/>
    <w:link w:val="EndnoteTextChar"/>
    <w:semiHidden/>
    <w:unhideWhenUsed/>
    <w:rsid w:val="001936EF"/>
    <w:rPr>
      <w:sz w:val="20"/>
      <w:szCs w:val="20"/>
    </w:rPr>
  </w:style>
  <w:style w:type="character" w:customStyle="1" w:styleId="EndnoteTextChar">
    <w:name w:val="Endnote Text Char"/>
    <w:basedOn w:val="DefaultParagraphFont"/>
    <w:link w:val="EndnoteText"/>
    <w:semiHidden/>
    <w:rsid w:val="001936EF"/>
    <w:rPr>
      <w:rFonts w:ascii="Calibri" w:hAnsi="Calibri" w:cs="Arial"/>
    </w:rPr>
  </w:style>
  <w:style w:type="character" w:styleId="EndnoteReference">
    <w:name w:val="endnote reference"/>
    <w:basedOn w:val="DefaultParagraphFont"/>
    <w:semiHidden/>
    <w:unhideWhenUsed/>
    <w:rsid w:val="001936EF"/>
    <w:rPr>
      <w:vertAlign w:val="superscript"/>
    </w:rPr>
  </w:style>
  <w:style w:type="paragraph" w:customStyle="1" w:styleId="3-SubsectionHeading">
    <w:name w:val="3-Subsection Heading"/>
    <w:basedOn w:val="Heading2"/>
    <w:next w:val="Normal"/>
    <w:link w:val="3-SubsectionHeadingChar"/>
    <w:qFormat/>
    <w:rsid w:val="00F64CC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64CC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2456051">
      <w:bodyDiv w:val="1"/>
      <w:marLeft w:val="0"/>
      <w:marRight w:val="0"/>
      <w:marTop w:val="0"/>
      <w:marBottom w:val="0"/>
      <w:divBdr>
        <w:top w:val="none" w:sz="0" w:space="0" w:color="auto"/>
        <w:left w:val="none" w:sz="0" w:space="0" w:color="auto"/>
        <w:bottom w:val="none" w:sz="0" w:space="0" w:color="auto"/>
        <w:right w:val="none" w:sz="0" w:space="0" w:color="auto"/>
      </w:divBdr>
    </w:div>
    <w:div w:id="29853779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3749827">
      <w:bodyDiv w:val="1"/>
      <w:marLeft w:val="0"/>
      <w:marRight w:val="0"/>
      <w:marTop w:val="0"/>
      <w:marBottom w:val="0"/>
      <w:divBdr>
        <w:top w:val="none" w:sz="0" w:space="0" w:color="auto"/>
        <w:left w:val="none" w:sz="0" w:space="0" w:color="auto"/>
        <w:bottom w:val="none" w:sz="0" w:space="0" w:color="auto"/>
        <w:right w:val="none" w:sz="0" w:space="0" w:color="auto"/>
      </w:divBdr>
    </w:div>
    <w:div w:id="392581783">
      <w:bodyDiv w:val="1"/>
      <w:marLeft w:val="0"/>
      <w:marRight w:val="0"/>
      <w:marTop w:val="0"/>
      <w:marBottom w:val="0"/>
      <w:divBdr>
        <w:top w:val="none" w:sz="0" w:space="0" w:color="auto"/>
        <w:left w:val="none" w:sz="0" w:space="0" w:color="auto"/>
        <w:bottom w:val="none" w:sz="0" w:space="0" w:color="auto"/>
        <w:right w:val="none" w:sz="0" w:space="0" w:color="auto"/>
      </w:divBdr>
      <w:divsChild>
        <w:div w:id="1378696297">
          <w:marLeft w:val="1080"/>
          <w:marRight w:val="0"/>
          <w:marTop w:val="100"/>
          <w:marBottom w:val="0"/>
          <w:divBdr>
            <w:top w:val="none" w:sz="0" w:space="0" w:color="auto"/>
            <w:left w:val="none" w:sz="0" w:space="0" w:color="auto"/>
            <w:bottom w:val="none" w:sz="0" w:space="0" w:color="auto"/>
            <w:right w:val="none" w:sz="0" w:space="0" w:color="auto"/>
          </w:divBdr>
        </w:div>
        <w:div w:id="2068139024">
          <w:marLeft w:val="1080"/>
          <w:marRight w:val="0"/>
          <w:marTop w:val="100"/>
          <w:marBottom w:val="0"/>
          <w:divBdr>
            <w:top w:val="none" w:sz="0" w:space="0" w:color="auto"/>
            <w:left w:val="none" w:sz="0" w:space="0" w:color="auto"/>
            <w:bottom w:val="none" w:sz="0" w:space="0" w:color="auto"/>
            <w:right w:val="none" w:sz="0" w:space="0" w:color="auto"/>
          </w:divBdr>
        </w:div>
        <w:div w:id="1831670880">
          <w:marLeft w:val="1080"/>
          <w:marRight w:val="0"/>
          <w:marTop w:val="100"/>
          <w:marBottom w:val="0"/>
          <w:divBdr>
            <w:top w:val="none" w:sz="0" w:space="0" w:color="auto"/>
            <w:left w:val="none" w:sz="0" w:space="0" w:color="auto"/>
            <w:bottom w:val="none" w:sz="0" w:space="0" w:color="auto"/>
            <w:right w:val="none" w:sz="0" w:space="0" w:color="auto"/>
          </w:divBdr>
        </w:div>
        <w:div w:id="1898321056">
          <w:marLeft w:val="1080"/>
          <w:marRight w:val="0"/>
          <w:marTop w:val="100"/>
          <w:marBottom w:val="0"/>
          <w:divBdr>
            <w:top w:val="none" w:sz="0" w:space="0" w:color="auto"/>
            <w:left w:val="none" w:sz="0" w:space="0" w:color="auto"/>
            <w:bottom w:val="none" w:sz="0" w:space="0" w:color="auto"/>
            <w:right w:val="none" w:sz="0" w:space="0" w:color="auto"/>
          </w:divBdr>
        </w:div>
        <w:div w:id="1835950137">
          <w:marLeft w:val="1800"/>
          <w:marRight w:val="0"/>
          <w:marTop w:val="100"/>
          <w:marBottom w:val="0"/>
          <w:divBdr>
            <w:top w:val="none" w:sz="0" w:space="0" w:color="auto"/>
            <w:left w:val="none" w:sz="0" w:space="0" w:color="auto"/>
            <w:bottom w:val="none" w:sz="0" w:space="0" w:color="auto"/>
            <w:right w:val="none" w:sz="0" w:space="0" w:color="auto"/>
          </w:divBdr>
        </w:div>
        <w:div w:id="411706082">
          <w:marLeft w:val="1800"/>
          <w:marRight w:val="0"/>
          <w:marTop w:val="100"/>
          <w:marBottom w:val="0"/>
          <w:divBdr>
            <w:top w:val="none" w:sz="0" w:space="0" w:color="auto"/>
            <w:left w:val="none" w:sz="0" w:space="0" w:color="auto"/>
            <w:bottom w:val="none" w:sz="0" w:space="0" w:color="auto"/>
            <w:right w:val="none" w:sz="0" w:space="0" w:color="auto"/>
          </w:divBdr>
        </w:div>
        <w:div w:id="2128423388">
          <w:marLeft w:val="1800"/>
          <w:marRight w:val="0"/>
          <w:marTop w:val="100"/>
          <w:marBottom w:val="0"/>
          <w:divBdr>
            <w:top w:val="none" w:sz="0" w:space="0" w:color="auto"/>
            <w:left w:val="none" w:sz="0" w:space="0" w:color="auto"/>
            <w:bottom w:val="none" w:sz="0" w:space="0" w:color="auto"/>
            <w:right w:val="none" w:sz="0" w:space="0" w:color="auto"/>
          </w:divBdr>
        </w:div>
        <w:div w:id="430440485">
          <w:marLeft w:val="1800"/>
          <w:marRight w:val="0"/>
          <w:marTop w:val="1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9918998">
      <w:bodyDiv w:val="1"/>
      <w:marLeft w:val="0"/>
      <w:marRight w:val="0"/>
      <w:marTop w:val="0"/>
      <w:marBottom w:val="0"/>
      <w:divBdr>
        <w:top w:val="none" w:sz="0" w:space="0" w:color="auto"/>
        <w:left w:val="none" w:sz="0" w:space="0" w:color="auto"/>
        <w:bottom w:val="none" w:sz="0" w:space="0" w:color="auto"/>
        <w:right w:val="none" w:sz="0" w:space="0" w:color="auto"/>
      </w:divBdr>
    </w:div>
    <w:div w:id="1020667337">
      <w:bodyDiv w:val="1"/>
      <w:marLeft w:val="0"/>
      <w:marRight w:val="0"/>
      <w:marTop w:val="0"/>
      <w:marBottom w:val="0"/>
      <w:divBdr>
        <w:top w:val="none" w:sz="0" w:space="0" w:color="auto"/>
        <w:left w:val="none" w:sz="0" w:space="0" w:color="auto"/>
        <w:bottom w:val="none" w:sz="0" w:space="0" w:color="auto"/>
        <w:right w:val="none" w:sz="0" w:space="0" w:color="auto"/>
      </w:divBdr>
      <w:divsChild>
        <w:div w:id="675496893">
          <w:marLeft w:val="0"/>
          <w:marRight w:val="0"/>
          <w:marTop w:val="0"/>
          <w:marBottom w:val="0"/>
          <w:divBdr>
            <w:top w:val="none" w:sz="0" w:space="0" w:color="auto"/>
            <w:left w:val="none" w:sz="0" w:space="0" w:color="auto"/>
            <w:bottom w:val="none" w:sz="0" w:space="0" w:color="auto"/>
            <w:right w:val="none" w:sz="0" w:space="0" w:color="auto"/>
          </w:divBdr>
          <w:divsChild>
            <w:div w:id="18077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6302">
      <w:bodyDiv w:val="1"/>
      <w:marLeft w:val="0"/>
      <w:marRight w:val="0"/>
      <w:marTop w:val="0"/>
      <w:marBottom w:val="0"/>
      <w:divBdr>
        <w:top w:val="none" w:sz="0" w:space="0" w:color="auto"/>
        <w:left w:val="none" w:sz="0" w:space="0" w:color="auto"/>
        <w:bottom w:val="none" w:sz="0" w:space="0" w:color="auto"/>
        <w:right w:val="none" w:sz="0" w:space="0" w:color="auto"/>
      </w:divBdr>
      <w:divsChild>
        <w:div w:id="1658070142">
          <w:marLeft w:val="360"/>
          <w:marRight w:val="0"/>
          <w:marTop w:val="200"/>
          <w:marBottom w:val="0"/>
          <w:divBdr>
            <w:top w:val="none" w:sz="0" w:space="0" w:color="auto"/>
            <w:left w:val="none" w:sz="0" w:space="0" w:color="auto"/>
            <w:bottom w:val="none" w:sz="0" w:space="0" w:color="auto"/>
            <w:right w:val="none" w:sz="0" w:space="0" w:color="auto"/>
          </w:divBdr>
        </w:div>
        <w:div w:id="26563997">
          <w:marLeft w:val="1080"/>
          <w:marRight w:val="0"/>
          <w:marTop w:val="100"/>
          <w:marBottom w:val="0"/>
          <w:divBdr>
            <w:top w:val="none" w:sz="0" w:space="0" w:color="auto"/>
            <w:left w:val="none" w:sz="0" w:space="0" w:color="auto"/>
            <w:bottom w:val="none" w:sz="0" w:space="0" w:color="auto"/>
            <w:right w:val="none" w:sz="0" w:space="0" w:color="auto"/>
          </w:divBdr>
        </w:div>
        <w:div w:id="830489358">
          <w:marLeft w:val="1080"/>
          <w:marRight w:val="0"/>
          <w:marTop w:val="100"/>
          <w:marBottom w:val="0"/>
          <w:divBdr>
            <w:top w:val="none" w:sz="0" w:space="0" w:color="auto"/>
            <w:left w:val="none" w:sz="0" w:space="0" w:color="auto"/>
            <w:bottom w:val="none" w:sz="0" w:space="0" w:color="auto"/>
            <w:right w:val="none" w:sz="0" w:space="0" w:color="auto"/>
          </w:divBdr>
        </w:div>
        <w:div w:id="1070497668">
          <w:marLeft w:val="1080"/>
          <w:marRight w:val="0"/>
          <w:marTop w:val="100"/>
          <w:marBottom w:val="0"/>
          <w:divBdr>
            <w:top w:val="none" w:sz="0" w:space="0" w:color="auto"/>
            <w:left w:val="none" w:sz="0" w:space="0" w:color="auto"/>
            <w:bottom w:val="none" w:sz="0" w:space="0" w:color="auto"/>
            <w:right w:val="none" w:sz="0" w:space="0" w:color="auto"/>
          </w:divBdr>
        </w:div>
        <w:div w:id="1257253196">
          <w:marLeft w:val="1080"/>
          <w:marRight w:val="0"/>
          <w:marTop w:val="100"/>
          <w:marBottom w:val="0"/>
          <w:divBdr>
            <w:top w:val="none" w:sz="0" w:space="0" w:color="auto"/>
            <w:left w:val="none" w:sz="0" w:space="0" w:color="auto"/>
            <w:bottom w:val="none" w:sz="0" w:space="0" w:color="auto"/>
            <w:right w:val="none" w:sz="0" w:space="0" w:color="auto"/>
          </w:divBdr>
        </w:div>
        <w:div w:id="374887956">
          <w:marLeft w:val="1800"/>
          <w:marRight w:val="0"/>
          <w:marTop w:val="100"/>
          <w:marBottom w:val="0"/>
          <w:divBdr>
            <w:top w:val="none" w:sz="0" w:space="0" w:color="auto"/>
            <w:left w:val="none" w:sz="0" w:space="0" w:color="auto"/>
            <w:bottom w:val="none" w:sz="0" w:space="0" w:color="auto"/>
            <w:right w:val="none" w:sz="0" w:space="0" w:color="auto"/>
          </w:divBdr>
        </w:div>
        <w:div w:id="2118088994">
          <w:marLeft w:val="1800"/>
          <w:marRight w:val="0"/>
          <w:marTop w:val="100"/>
          <w:marBottom w:val="0"/>
          <w:divBdr>
            <w:top w:val="none" w:sz="0" w:space="0" w:color="auto"/>
            <w:left w:val="none" w:sz="0" w:space="0" w:color="auto"/>
            <w:bottom w:val="none" w:sz="0" w:space="0" w:color="auto"/>
            <w:right w:val="none" w:sz="0" w:space="0" w:color="auto"/>
          </w:divBdr>
        </w:div>
        <w:div w:id="1929926831">
          <w:marLeft w:val="1800"/>
          <w:marRight w:val="0"/>
          <w:marTop w:val="100"/>
          <w:marBottom w:val="0"/>
          <w:divBdr>
            <w:top w:val="none" w:sz="0" w:space="0" w:color="auto"/>
            <w:left w:val="none" w:sz="0" w:space="0" w:color="auto"/>
            <w:bottom w:val="none" w:sz="0" w:space="0" w:color="auto"/>
            <w:right w:val="none" w:sz="0" w:space="0" w:color="auto"/>
          </w:divBdr>
        </w:div>
        <w:div w:id="1229532722">
          <w:marLeft w:val="180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1377892">
      <w:bodyDiv w:val="1"/>
      <w:marLeft w:val="0"/>
      <w:marRight w:val="0"/>
      <w:marTop w:val="0"/>
      <w:marBottom w:val="0"/>
      <w:divBdr>
        <w:top w:val="none" w:sz="0" w:space="0" w:color="auto"/>
        <w:left w:val="none" w:sz="0" w:space="0" w:color="auto"/>
        <w:bottom w:val="none" w:sz="0" w:space="0" w:color="auto"/>
        <w:right w:val="none" w:sz="0" w:space="0" w:color="auto"/>
      </w:divBdr>
    </w:div>
    <w:div w:id="129067181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86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how/NCT034705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hospitals/hospital-performance-costs-acute-patients-2011-12/contents/ke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D6A49-9B7F-4A67-8A56-39027C89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17237</Words>
  <Characters>94335</Characters>
  <Application>Microsoft Office Word</Application>
  <DocSecurity>0</DocSecurity>
  <Lines>786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2023-03-02T05:04:00Z</dcterms:created>
  <dcterms:modified xsi:type="dcterms:W3CDTF">2023-03-07T05:26:00Z</dcterms:modified>
</cp:coreProperties>
</file>