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045EC" w14:textId="1A889F6D" w:rsidR="00245A93" w:rsidRDefault="000A14BD" w:rsidP="00245A93">
      <w:pPr>
        <w:pStyle w:val="1MainTitle"/>
        <w:jc w:val="left"/>
      </w:pPr>
      <w:bookmarkStart w:id="0" w:name="_Hlk110938903"/>
      <w:r>
        <w:t>6.14</w:t>
      </w:r>
      <w:r w:rsidR="00872E8F">
        <w:tab/>
      </w:r>
      <w:r w:rsidR="00245A93">
        <w:t>INFLIXIMAB</w:t>
      </w:r>
      <w:r w:rsidR="70971A32">
        <w:t xml:space="preserve">, </w:t>
      </w:r>
    </w:p>
    <w:p w14:paraId="0F41AC24" w14:textId="18754949" w:rsidR="00245A93" w:rsidRDefault="00245A93" w:rsidP="00245A93">
      <w:pPr>
        <w:pStyle w:val="1MainTitle"/>
        <w:ind w:firstLine="0"/>
        <w:jc w:val="left"/>
        <w:outlineLvl w:val="9"/>
      </w:pPr>
      <w:r>
        <w:t>Solution for injection 120 mg in 1 mL pre-filled pen</w:t>
      </w:r>
      <w:r w:rsidR="00A916B7">
        <w:t>;</w:t>
      </w:r>
    </w:p>
    <w:p w14:paraId="181DB627" w14:textId="5EA29817" w:rsidR="00872E8F" w:rsidRPr="007A5C88" w:rsidRDefault="00245A93" w:rsidP="002C2AE4">
      <w:pPr>
        <w:pStyle w:val="1MainTitle"/>
        <w:spacing w:after="100" w:afterAutospacing="1"/>
        <w:ind w:firstLine="0"/>
        <w:jc w:val="left"/>
        <w:outlineLvl w:val="9"/>
      </w:pPr>
      <w:r>
        <w:t>Solution for injection 120 mg in 1 mL pre-filled</w:t>
      </w:r>
      <w:r w:rsidR="002C2AE4">
        <w:t xml:space="preserve"> </w:t>
      </w:r>
      <w:r>
        <w:t>syringe</w:t>
      </w:r>
      <w:r w:rsidR="70971A32">
        <w:t>,</w:t>
      </w:r>
      <w:r w:rsidR="00872E8F">
        <w:br/>
      </w:r>
      <w:r>
        <w:t>Remsima</w:t>
      </w:r>
      <w:r w:rsidR="70971A32">
        <w:t>®</w:t>
      </w:r>
      <w:r>
        <w:t xml:space="preserve"> SC</w:t>
      </w:r>
      <w:r w:rsidR="70971A32">
        <w:t>,</w:t>
      </w:r>
      <w:r w:rsidR="00872E8F">
        <w:br/>
      </w:r>
      <w:r>
        <w:t>Celltrion Healthcare Australia Pty Ltd</w:t>
      </w:r>
    </w:p>
    <w:bookmarkEnd w:id="0"/>
    <w:p w14:paraId="5F4D54C1" w14:textId="4D00AF47" w:rsidR="00E11F44" w:rsidRPr="00E11F44" w:rsidRDefault="007E490F" w:rsidP="00CD6257">
      <w:pPr>
        <w:pStyle w:val="2-SectionHeading"/>
        <w:rPr>
          <w:rFonts w:cstheme="minorHAnsi"/>
          <w:color w:val="FF0000"/>
        </w:rPr>
      </w:pPr>
      <w:r w:rsidRPr="0033263D">
        <w:t xml:space="preserve">Purpose of </w:t>
      </w:r>
      <w:r w:rsidR="00FA0B04">
        <w:t>Submission</w:t>
      </w:r>
    </w:p>
    <w:p w14:paraId="28303210" w14:textId="7230C45C" w:rsidR="00A74A51" w:rsidRDefault="006C6C10" w:rsidP="000364BF">
      <w:pPr>
        <w:pStyle w:val="3Bodytext"/>
        <w:rPr>
          <w:rFonts w:cstheme="minorHAnsi"/>
          <w:szCs w:val="24"/>
        </w:rPr>
      </w:pPr>
      <w:r w:rsidRPr="00EF4580">
        <w:rPr>
          <w:rFonts w:cstheme="minorHAnsi"/>
          <w:szCs w:val="24"/>
        </w:rPr>
        <w:t>The</w:t>
      </w:r>
      <w:r w:rsidR="00A916B7">
        <w:rPr>
          <w:rFonts w:cstheme="minorHAnsi"/>
          <w:szCs w:val="24"/>
        </w:rPr>
        <w:t xml:space="preserve"> Category 3 submission requested </w:t>
      </w:r>
      <w:r w:rsidR="00663754">
        <w:rPr>
          <w:rFonts w:cstheme="minorHAnsi"/>
          <w:szCs w:val="24"/>
        </w:rPr>
        <w:t xml:space="preserve">a </w:t>
      </w:r>
      <w:r w:rsidR="00A916B7">
        <w:rPr>
          <w:rFonts w:cstheme="minorHAnsi"/>
          <w:szCs w:val="24"/>
        </w:rPr>
        <w:t xml:space="preserve">new Authority Required </w:t>
      </w:r>
      <w:r w:rsidR="00120FE3">
        <w:rPr>
          <w:rFonts w:cstheme="minorHAnsi"/>
          <w:szCs w:val="24"/>
        </w:rPr>
        <w:t>listing that provides loading doses</w:t>
      </w:r>
      <w:r w:rsidR="009A5540">
        <w:rPr>
          <w:rFonts w:cstheme="minorHAnsi"/>
          <w:szCs w:val="24"/>
        </w:rPr>
        <w:t xml:space="preserve"> </w:t>
      </w:r>
      <w:r w:rsidR="00A916B7">
        <w:rPr>
          <w:rFonts w:cstheme="minorHAnsi"/>
          <w:szCs w:val="24"/>
        </w:rPr>
        <w:t xml:space="preserve">for infliximab (Remsima® SC) </w:t>
      </w:r>
      <w:r w:rsidR="00A74A51">
        <w:rPr>
          <w:rFonts w:cstheme="minorHAnsi"/>
          <w:szCs w:val="24"/>
        </w:rPr>
        <w:t xml:space="preserve">for the treatment of severe active rheumatoid arthritis </w:t>
      </w:r>
      <w:r w:rsidR="00886A4B">
        <w:rPr>
          <w:rFonts w:cstheme="minorHAnsi"/>
          <w:szCs w:val="24"/>
        </w:rPr>
        <w:t xml:space="preserve">(RA) </w:t>
      </w:r>
      <w:r w:rsidR="00A916B7">
        <w:rPr>
          <w:rFonts w:cstheme="minorHAnsi"/>
          <w:szCs w:val="24"/>
        </w:rPr>
        <w:t>whereby 120 mg is given subcutaneously at weeks 0, 1</w:t>
      </w:r>
      <w:r w:rsidR="003F71CD">
        <w:rPr>
          <w:rFonts w:cstheme="minorHAnsi"/>
          <w:szCs w:val="24"/>
        </w:rPr>
        <w:t>,</w:t>
      </w:r>
      <w:r w:rsidR="00A916B7">
        <w:rPr>
          <w:rFonts w:cstheme="minorHAnsi"/>
          <w:szCs w:val="24"/>
        </w:rPr>
        <w:t xml:space="preserve"> 2, 3 and 4</w:t>
      </w:r>
      <w:r w:rsidR="009A5540">
        <w:rPr>
          <w:rFonts w:cstheme="minorHAnsi"/>
          <w:szCs w:val="24"/>
        </w:rPr>
        <w:t xml:space="preserve"> (herein referred to as IFX SC loading doses)</w:t>
      </w:r>
      <w:r w:rsidR="00A916B7">
        <w:rPr>
          <w:rFonts w:cstheme="minorHAnsi"/>
          <w:szCs w:val="24"/>
        </w:rPr>
        <w:t>, and then every 2 weeks thereafter for maintenance.</w:t>
      </w:r>
      <w:r w:rsidRPr="00EF4580">
        <w:rPr>
          <w:rFonts w:cstheme="minorHAnsi"/>
          <w:szCs w:val="24"/>
        </w:rPr>
        <w:t xml:space="preserve"> </w:t>
      </w:r>
    </w:p>
    <w:p w14:paraId="3D1D4320" w14:textId="77777777" w:rsidR="007E490F" w:rsidRPr="00FD6D8E" w:rsidRDefault="007E490F" w:rsidP="000364BF">
      <w:pPr>
        <w:pStyle w:val="2-SectionHeading"/>
        <w:numPr>
          <w:ilvl w:val="0"/>
          <w:numId w:val="2"/>
        </w:numPr>
      </w:pPr>
      <w:r w:rsidRPr="009E2E8E">
        <w:t>Background</w:t>
      </w:r>
      <w:r>
        <w:t xml:space="preserve"> </w:t>
      </w:r>
    </w:p>
    <w:p w14:paraId="28632B46" w14:textId="0649A67A" w:rsidR="00886A4B" w:rsidRPr="009A5540" w:rsidRDefault="00886A4B" w:rsidP="000364BF">
      <w:pPr>
        <w:pStyle w:val="3Bodytext"/>
        <w:rPr>
          <w:color w:val="000000" w:themeColor="text1"/>
        </w:rPr>
      </w:pPr>
      <w:r>
        <w:t>At its November 2020 meeting, t</w:t>
      </w:r>
      <w:r w:rsidR="00A74A51" w:rsidRPr="00A74A51">
        <w:t xml:space="preserve">he PBAC recommended the listing of IFX SC for </w:t>
      </w:r>
      <w:r>
        <w:t>RA whereby patients required 2 intravenous</w:t>
      </w:r>
      <w:r w:rsidR="00DD5C17">
        <w:t xml:space="preserve"> induction</w:t>
      </w:r>
      <w:r>
        <w:t xml:space="preserve"> doses</w:t>
      </w:r>
      <w:r w:rsidR="00A74A51" w:rsidRPr="00A74A51">
        <w:t xml:space="preserve"> </w:t>
      </w:r>
      <w:r w:rsidR="007759C4">
        <w:t>(3</w:t>
      </w:r>
      <w:r w:rsidR="000364BF">
        <w:t> </w:t>
      </w:r>
      <w:r w:rsidR="007759C4">
        <w:t xml:space="preserve">mg/kg) </w:t>
      </w:r>
      <w:r w:rsidR="00A74A51" w:rsidRPr="00A74A51">
        <w:t>given at weeks 0 and 2</w:t>
      </w:r>
      <w:r w:rsidR="00994319">
        <w:t xml:space="preserve"> (herein referred to as IFX IV induction)</w:t>
      </w:r>
      <w:r w:rsidR="00A74A51" w:rsidRPr="00A74A51">
        <w:t xml:space="preserve">. </w:t>
      </w:r>
    </w:p>
    <w:p w14:paraId="528441B4" w14:textId="41CEFAD9" w:rsidR="009A5540" w:rsidRPr="00101AEF" w:rsidRDefault="009A5540" w:rsidP="000364BF">
      <w:pPr>
        <w:pStyle w:val="3Bodytext"/>
        <w:rPr>
          <w:color w:val="000000" w:themeColor="text1"/>
        </w:rPr>
      </w:pPr>
      <w:r>
        <w:t>In July 2022, the TGA approved a new dose schedule for RA which allows for loading doses with IFX SC (at weeks 0, 1, 2, 3 and 4) rather than the induction doses with IFX I</w:t>
      </w:r>
      <w:r w:rsidR="00A060FD">
        <w:t>V</w:t>
      </w:r>
      <w:r>
        <w:t xml:space="preserve">. </w:t>
      </w:r>
    </w:p>
    <w:p w14:paraId="0F456A9E" w14:textId="34E1D182" w:rsidR="00BC04B1" w:rsidRDefault="00421F5F" w:rsidP="00101AEF">
      <w:pPr>
        <w:pStyle w:val="3Bodytext"/>
      </w:pPr>
      <w:r>
        <w:t xml:space="preserve">The current </w:t>
      </w:r>
      <w:r w:rsidR="009A5540">
        <w:t xml:space="preserve">dosage schedule listed on the PBS </w:t>
      </w:r>
      <w:r>
        <w:t xml:space="preserve">and proposed dosage </w:t>
      </w:r>
      <w:r w:rsidR="00FF29B9">
        <w:t xml:space="preserve">schedule </w:t>
      </w:r>
      <w:r>
        <w:t xml:space="preserve">is summarised in </w:t>
      </w:r>
      <w:r w:rsidRPr="00101AEF">
        <w:rPr>
          <w:rFonts w:cstheme="minorHAnsi"/>
          <w:szCs w:val="24"/>
        </w:rPr>
        <w:fldChar w:fldCharType="begin"/>
      </w:r>
      <w:r w:rsidRPr="00101AEF">
        <w:rPr>
          <w:rFonts w:cstheme="minorHAnsi"/>
          <w:szCs w:val="24"/>
        </w:rPr>
        <w:instrText xml:space="preserve"> REF _Ref115158536 \h  \* MERGEFORMAT </w:instrText>
      </w:r>
      <w:r w:rsidRPr="00101AEF">
        <w:rPr>
          <w:rFonts w:cstheme="minorHAnsi"/>
          <w:szCs w:val="24"/>
        </w:rPr>
      </w:r>
      <w:r w:rsidRPr="00101AEF">
        <w:rPr>
          <w:rFonts w:cstheme="minorHAnsi"/>
          <w:szCs w:val="24"/>
        </w:rPr>
        <w:fldChar w:fldCharType="separate"/>
      </w:r>
      <w:r w:rsidR="007C2102" w:rsidRPr="007C2102">
        <w:rPr>
          <w:rFonts w:cstheme="minorHAnsi"/>
          <w:szCs w:val="24"/>
        </w:rPr>
        <w:t xml:space="preserve">Table </w:t>
      </w:r>
      <w:r w:rsidR="007C2102" w:rsidRPr="007C2102">
        <w:rPr>
          <w:rFonts w:cstheme="minorHAnsi"/>
          <w:noProof/>
          <w:szCs w:val="24"/>
        </w:rPr>
        <w:t>1</w:t>
      </w:r>
      <w:r w:rsidRPr="00101AEF">
        <w:rPr>
          <w:rFonts w:cstheme="minorHAnsi"/>
          <w:szCs w:val="24"/>
        </w:rPr>
        <w:fldChar w:fldCharType="end"/>
      </w:r>
      <w:r w:rsidRPr="00101AEF">
        <w:t>.</w:t>
      </w:r>
      <w:r>
        <w:t xml:space="preserve"> </w:t>
      </w:r>
    </w:p>
    <w:p w14:paraId="20AD7D15" w14:textId="7B06125F" w:rsidR="00421F5F" w:rsidRPr="00101AEF" w:rsidRDefault="00421F5F" w:rsidP="00FF29B9">
      <w:pPr>
        <w:pStyle w:val="Caption"/>
        <w:spacing w:after="0"/>
        <w:rPr>
          <w:rFonts w:ascii="Arial Narrow" w:hAnsi="Arial Narrow"/>
          <w:b/>
          <w:bCs/>
          <w:i w:val="0"/>
          <w:iCs w:val="0"/>
          <w:sz w:val="20"/>
          <w:szCs w:val="20"/>
        </w:rPr>
      </w:pPr>
      <w:bookmarkStart w:id="1" w:name="_Ref115158536"/>
      <w:r w:rsidRPr="00101AEF">
        <w:rPr>
          <w:rFonts w:ascii="Arial Narrow" w:hAnsi="Arial Narrow"/>
          <w:b/>
          <w:bCs/>
          <w:i w:val="0"/>
          <w:iCs w:val="0"/>
          <w:sz w:val="20"/>
          <w:szCs w:val="20"/>
        </w:rPr>
        <w:t xml:space="preserve">Table </w:t>
      </w:r>
      <w:r w:rsidRPr="00101AEF">
        <w:rPr>
          <w:rFonts w:ascii="Arial Narrow" w:hAnsi="Arial Narrow"/>
          <w:b/>
          <w:bCs/>
          <w:i w:val="0"/>
          <w:iCs w:val="0"/>
          <w:sz w:val="20"/>
          <w:szCs w:val="20"/>
        </w:rPr>
        <w:fldChar w:fldCharType="begin"/>
      </w:r>
      <w:r w:rsidRPr="00101AEF">
        <w:rPr>
          <w:rFonts w:ascii="Arial Narrow" w:hAnsi="Arial Narrow"/>
          <w:b/>
          <w:bCs/>
          <w:i w:val="0"/>
          <w:iCs w:val="0"/>
          <w:sz w:val="20"/>
          <w:szCs w:val="20"/>
        </w:rPr>
        <w:instrText xml:space="preserve"> SEQ Table \* ARABIC </w:instrText>
      </w:r>
      <w:r w:rsidRPr="00101AEF">
        <w:rPr>
          <w:rFonts w:ascii="Arial Narrow" w:hAnsi="Arial Narrow"/>
          <w:b/>
          <w:bCs/>
          <w:i w:val="0"/>
          <w:iCs w:val="0"/>
          <w:sz w:val="20"/>
          <w:szCs w:val="20"/>
        </w:rPr>
        <w:fldChar w:fldCharType="separate"/>
      </w:r>
      <w:r w:rsidR="007C2102">
        <w:rPr>
          <w:rFonts w:ascii="Arial Narrow" w:hAnsi="Arial Narrow"/>
          <w:b/>
          <w:bCs/>
          <w:i w:val="0"/>
          <w:iCs w:val="0"/>
          <w:noProof/>
          <w:sz w:val="20"/>
          <w:szCs w:val="20"/>
        </w:rPr>
        <w:t>1</w:t>
      </w:r>
      <w:r w:rsidRPr="00101AEF">
        <w:rPr>
          <w:rFonts w:ascii="Arial Narrow" w:hAnsi="Arial Narrow"/>
          <w:b/>
          <w:bCs/>
          <w:i w:val="0"/>
          <w:iCs w:val="0"/>
          <w:sz w:val="20"/>
          <w:szCs w:val="20"/>
        </w:rPr>
        <w:fldChar w:fldCharType="end"/>
      </w:r>
      <w:bookmarkEnd w:id="1"/>
      <w:r>
        <w:rPr>
          <w:rFonts w:ascii="Arial Narrow" w:hAnsi="Arial Narrow"/>
          <w:b/>
          <w:bCs/>
          <w:i w:val="0"/>
          <w:iCs w:val="0"/>
          <w:sz w:val="20"/>
          <w:szCs w:val="20"/>
        </w:rPr>
        <w:t xml:space="preserve">: Current and proposed dosage </w:t>
      </w:r>
      <w:r w:rsidR="00FF29B9">
        <w:rPr>
          <w:rFonts w:ascii="Arial Narrow" w:hAnsi="Arial Narrow"/>
          <w:b/>
          <w:bCs/>
          <w:i w:val="0"/>
          <w:iCs w:val="0"/>
          <w:sz w:val="20"/>
          <w:szCs w:val="20"/>
        </w:rPr>
        <w:t xml:space="preserve">schedule </w:t>
      </w:r>
      <w:r>
        <w:rPr>
          <w:rFonts w:ascii="Arial Narrow" w:hAnsi="Arial Narrow"/>
          <w:b/>
          <w:bCs/>
          <w:i w:val="0"/>
          <w:iCs w:val="0"/>
          <w:sz w:val="20"/>
          <w:szCs w:val="20"/>
        </w:rPr>
        <w:t>for IFX SC</w:t>
      </w:r>
      <w:r w:rsidR="00101AEF">
        <w:rPr>
          <w:rFonts w:ascii="Arial Narrow" w:hAnsi="Arial Narrow"/>
          <w:b/>
          <w:bCs/>
          <w:i w:val="0"/>
          <w:iCs w:val="0"/>
          <w:sz w:val="20"/>
          <w:szCs w:val="20"/>
        </w:rPr>
        <w:t xml:space="preserve"> for RA</w:t>
      </w:r>
    </w:p>
    <w:tbl>
      <w:tblPr>
        <w:tblStyle w:val="TableGrid"/>
        <w:tblW w:w="0" w:type="auto"/>
        <w:tblLook w:val="04A0" w:firstRow="1" w:lastRow="0" w:firstColumn="1" w:lastColumn="0" w:noHBand="0" w:noVBand="1"/>
      </w:tblPr>
      <w:tblGrid>
        <w:gridCol w:w="2515"/>
        <w:gridCol w:w="3150"/>
        <w:gridCol w:w="3351"/>
      </w:tblGrid>
      <w:tr w:rsidR="00421F5F" w14:paraId="5EF525E8" w14:textId="77777777" w:rsidTr="001653D9">
        <w:tc>
          <w:tcPr>
            <w:tcW w:w="2515" w:type="dxa"/>
          </w:tcPr>
          <w:p w14:paraId="1404C07F" w14:textId="77777777" w:rsidR="00421F5F" w:rsidRPr="001653D9" w:rsidRDefault="00421F5F" w:rsidP="00421F5F">
            <w:pPr>
              <w:pStyle w:val="3Bodytext"/>
              <w:numPr>
                <w:ilvl w:val="0"/>
                <w:numId w:val="0"/>
              </w:numPr>
              <w:rPr>
                <w:rFonts w:ascii="Arial Narrow" w:hAnsi="Arial Narrow"/>
                <w:sz w:val="20"/>
                <w:szCs w:val="20"/>
              </w:rPr>
            </w:pPr>
          </w:p>
        </w:tc>
        <w:tc>
          <w:tcPr>
            <w:tcW w:w="3150" w:type="dxa"/>
          </w:tcPr>
          <w:p w14:paraId="1559764C" w14:textId="71AAA08B" w:rsidR="00421F5F" w:rsidRPr="001653D9" w:rsidRDefault="00421F5F" w:rsidP="00421F5F">
            <w:pPr>
              <w:pStyle w:val="3Bodytext"/>
              <w:numPr>
                <w:ilvl w:val="0"/>
                <w:numId w:val="0"/>
              </w:numPr>
              <w:rPr>
                <w:rFonts w:ascii="Arial Narrow" w:hAnsi="Arial Narrow"/>
                <w:b/>
                <w:bCs/>
                <w:sz w:val="20"/>
                <w:szCs w:val="20"/>
              </w:rPr>
            </w:pPr>
            <w:r w:rsidRPr="001653D9">
              <w:rPr>
                <w:rFonts w:ascii="Arial Narrow" w:hAnsi="Arial Narrow"/>
                <w:b/>
                <w:bCs/>
                <w:sz w:val="20"/>
                <w:szCs w:val="20"/>
              </w:rPr>
              <w:t>Current (with IFX IV induction doses)</w:t>
            </w:r>
          </w:p>
        </w:tc>
        <w:tc>
          <w:tcPr>
            <w:tcW w:w="3351" w:type="dxa"/>
          </w:tcPr>
          <w:p w14:paraId="241BF0E4" w14:textId="2A3C4F51" w:rsidR="00421F5F" w:rsidRPr="001653D9" w:rsidRDefault="00421F5F" w:rsidP="00421F5F">
            <w:pPr>
              <w:pStyle w:val="3Bodytext"/>
              <w:numPr>
                <w:ilvl w:val="0"/>
                <w:numId w:val="0"/>
              </w:numPr>
              <w:rPr>
                <w:rFonts w:ascii="Arial Narrow" w:hAnsi="Arial Narrow"/>
                <w:b/>
                <w:bCs/>
                <w:sz w:val="20"/>
                <w:szCs w:val="20"/>
              </w:rPr>
            </w:pPr>
            <w:r w:rsidRPr="001653D9">
              <w:rPr>
                <w:rFonts w:ascii="Arial Narrow" w:hAnsi="Arial Narrow"/>
                <w:b/>
                <w:bCs/>
                <w:sz w:val="20"/>
                <w:szCs w:val="20"/>
              </w:rPr>
              <w:t>Proposed (with IFX SC loading doses)</w:t>
            </w:r>
          </w:p>
        </w:tc>
      </w:tr>
      <w:tr w:rsidR="00421F5F" w14:paraId="44BE3295" w14:textId="77777777" w:rsidTr="001653D9">
        <w:tc>
          <w:tcPr>
            <w:tcW w:w="2515" w:type="dxa"/>
          </w:tcPr>
          <w:p w14:paraId="27CF5F9D" w14:textId="174BEA06" w:rsidR="00421F5F" w:rsidRPr="001653D9" w:rsidRDefault="00421F5F" w:rsidP="00421F5F">
            <w:pPr>
              <w:pStyle w:val="3Bodytext"/>
              <w:numPr>
                <w:ilvl w:val="0"/>
                <w:numId w:val="0"/>
              </w:numPr>
              <w:rPr>
                <w:rFonts w:ascii="Arial Narrow" w:hAnsi="Arial Narrow"/>
                <w:sz w:val="20"/>
                <w:szCs w:val="20"/>
              </w:rPr>
            </w:pPr>
            <w:r w:rsidRPr="001653D9">
              <w:rPr>
                <w:rFonts w:ascii="Arial Narrow" w:hAnsi="Arial Narrow"/>
                <w:sz w:val="20"/>
                <w:szCs w:val="20"/>
              </w:rPr>
              <w:t xml:space="preserve">Dose </w:t>
            </w:r>
            <w:r w:rsidR="00FF29B9" w:rsidRPr="001653D9">
              <w:rPr>
                <w:rFonts w:ascii="Arial Narrow" w:hAnsi="Arial Narrow"/>
                <w:sz w:val="20"/>
                <w:szCs w:val="20"/>
              </w:rPr>
              <w:t xml:space="preserve">schedules </w:t>
            </w:r>
            <w:r w:rsidR="00101AEF" w:rsidRPr="001653D9">
              <w:rPr>
                <w:rFonts w:ascii="Arial Narrow" w:hAnsi="Arial Narrow"/>
                <w:sz w:val="20"/>
                <w:szCs w:val="20"/>
              </w:rPr>
              <w:t>for rheumatoid arthritis</w:t>
            </w:r>
          </w:p>
        </w:tc>
        <w:tc>
          <w:tcPr>
            <w:tcW w:w="3150" w:type="dxa"/>
          </w:tcPr>
          <w:p w14:paraId="5993CEBE" w14:textId="74415827" w:rsidR="00421F5F" w:rsidRPr="001653D9" w:rsidRDefault="00421F5F" w:rsidP="00421F5F">
            <w:pPr>
              <w:pStyle w:val="3Bodytext"/>
              <w:numPr>
                <w:ilvl w:val="0"/>
                <w:numId w:val="0"/>
              </w:numPr>
              <w:rPr>
                <w:rFonts w:ascii="Arial Narrow" w:hAnsi="Arial Narrow"/>
                <w:sz w:val="20"/>
                <w:szCs w:val="20"/>
              </w:rPr>
            </w:pPr>
            <w:r w:rsidRPr="001653D9">
              <w:rPr>
                <w:rFonts w:ascii="Arial Narrow" w:hAnsi="Arial Narrow"/>
                <w:sz w:val="20"/>
                <w:szCs w:val="20"/>
              </w:rPr>
              <w:t>IFX IV at week 0 and 2 followed by IFX SC at week 6 and then every 2 weeks</w:t>
            </w:r>
          </w:p>
        </w:tc>
        <w:tc>
          <w:tcPr>
            <w:tcW w:w="3351" w:type="dxa"/>
          </w:tcPr>
          <w:p w14:paraId="166F3E85" w14:textId="7CC0C2C0" w:rsidR="00421F5F" w:rsidRPr="001653D9" w:rsidRDefault="00421F5F" w:rsidP="00421F5F">
            <w:pPr>
              <w:pStyle w:val="3Bodytext"/>
              <w:numPr>
                <w:ilvl w:val="0"/>
                <w:numId w:val="0"/>
              </w:numPr>
              <w:rPr>
                <w:rFonts w:ascii="Arial Narrow" w:hAnsi="Arial Narrow"/>
                <w:sz w:val="20"/>
                <w:szCs w:val="20"/>
              </w:rPr>
            </w:pPr>
            <w:r w:rsidRPr="001653D9">
              <w:rPr>
                <w:rFonts w:ascii="Arial Narrow" w:hAnsi="Arial Narrow"/>
                <w:sz w:val="20"/>
                <w:szCs w:val="20"/>
              </w:rPr>
              <w:t>IFX SC at week 0, 1, 2, 3 and 4 then every 2 weeks</w:t>
            </w:r>
          </w:p>
        </w:tc>
      </w:tr>
    </w:tbl>
    <w:p w14:paraId="2856E845" w14:textId="33B4002A" w:rsidR="00421F5F" w:rsidRPr="00101AEF" w:rsidRDefault="00101AEF" w:rsidP="00101AEF">
      <w:pPr>
        <w:pStyle w:val="3Bodytext"/>
        <w:numPr>
          <w:ilvl w:val="0"/>
          <w:numId w:val="0"/>
        </w:numPr>
        <w:rPr>
          <w:rFonts w:ascii="Arial Narrow" w:hAnsi="Arial Narrow"/>
          <w:sz w:val="18"/>
          <w:szCs w:val="16"/>
        </w:rPr>
      </w:pPr>
      <w:r w:rsidRPr="00101AEF">
        <w:rPr>
          <w:rFonts w:ascii="Arial Narrow" w:hAnsi="Arial Narrow"/>
          <w:sz w:val="18"/>
          <w:szCs w:val="16"/>
        </w:rPr>
        <w:t>IFX infliximab</w:t>
      </w:r>
      <w:r>
        <w:rPr>
          <w:rFonts w:ascii="Arial Narrow" w:hAnsi="Arial Narrow"/>
          <w:sz w:val="18"/>
          <w:szCs w:val="16"/>
        </w:rPr>
        <w:t>; IV intravenous; SC subcutaneous</w:t>
      </w:r>
    </w:p>
    <w:p w14:paraId="1B8790B6" w14:textId="333A56A8" w:rsidR="00964A9F" w:rsidRDefault="00964A9F" w:rsidP="000364BF">
      <w:pPr>
        <w:pStyle w:val="2-SectionHeading"/>
      </w:pPr>
      <w:r w:rsidRPr="009D507A">
        <w:t xml:space="preserve">Requested listing </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5"/>
        <w:gridCol w:w="2442"/>
        <w:gridCol w:w="850"/>
        <w:gridCol w:w="1134"/>
        <w:gridCol w:w="851"/>
        <w:gridCol w:w="1083"/>
        <w:gridCol w:w="1680"/>
      </w:tblGrid>
      <w:tr w:rsidR="007A3CD4" w:rsidRPr="00621B1F" w14:paraId="1A9AA9E9" w14:textId="77777777" w:rsidTr="001653D9">
        <w:trPr>
          <w:tblHeader/>
        </w:trPr>
        <w:tc>
          <w:tcPr>
            <w:tcW w:w="955" w:type="dxa"/>
            <w:shd w:val="clear" w:color="auto" w:fill="BFBFBF" w:themeFill="background1" w:themeFillShade="BF"/>
          </w:tcPr>
          <w:p w14:paraId="12AE54B4" w14:textId="77777777" w:rsidR="007A3CD4" w:rsidRPr="007A3CD4" w:rsidRDefault="007A3CD4" w:rsidP="00AD2329">
            <w:pPr>
              <w:pStyle w:val="KMC16-TableHeading"/>
            </w:pPr>
            <w:r w:rsidRPr="007A3CD4">
              <w:t>New PBS Items Numbers</w:t>
            </w:r>
          </w:p>
        </w:tc>
        <w:tc>
          <w:tcPr>
            <w:tcW w:w="2442" w:type="dxa"/>
            <w:shd w:val="clear" w:color="auto" w:fill="BFBFBF" w:themeFill="background1" w:themeFillShade="BF"/>
            <w:tcMar>
              <w:top w:w="0" w:type="dxa"/>
              <w:left w:w="108" w:type="dxa"/>
              <w:bottom w:w="0" w:type="dxa"/>
              <w:right w:w="108" w:type="dxa"/>
            </w:tcMar>
            <w:hideMark/>
          </w:tcPr>
          <w:p w14:paraId="44F42EEB" w14:textId="77777777" w:rsidR="007A3CD4" w:rsidRPr="007A3CD4" w:rsidRDefault="007A3CD4" w:rsidP="00AD2329">
            <w:pPr>
              <w:pStyle w:val="KMC16-TableHeading"/>
            </w:pPr>
            <w:r w:rsidRPr="007A3CD4">
              <w:t>Name, Restriction, Manner of administration and form</w:t>
            </w:r>
          </w:p>
        </w:tc>
        <w:tc>
          <w:tcPr>
            <w:tcW w:w="850" w:type="dxa"/>
            <w:shd w:val="clear" w:color="auto" w:fill="BFBFBF" w:themeFill="background1" w:themeFillShade="BF"/>
            <w:tcMar>
              <w:top w:w="0" w:type="dxa"/>
              <w:left w:w="108" w:type="dxa"/>
              <w:bottom w:w="0" w:type="dxa"/>
              <w:right w:w="108" w:type="dxa"/>
            </w:tcMar>
            <w:hideMark/>
          </w:tcPr>
          <w:p w14:paraId="66B8C9AE" w14:textId="77777777" w:rsidR="007A3CD4" w:rsidRPr="007A3CD4" w:rsidRDefault="007A3CD4" w:rsidP="00AD2329">
            <w:pPr>
              <w:pStyle w:val="KMC16-TableHeading"/>
            </w:pPr>
            <w:r w:rsidRPr="007A3CD4">
              <w:t>Max Qty (pack)</w:t>
            </w:r>
          </w:p>
        </w:tc>
        <w:tc>
          <w:tcPr>
            <w:tcW w:w="1134" w:type="dxa"/>
            <w:shd w:val="clear" w:color="auto" w:fill="BFBFBF" w:themeFill="background1" w:themeFillShade="BF"/>
            <w:tcMar>
              <w:top w:w="0" w:type="dxa"/>
              <w:left w:w="108" w:type="dxa"/>
              <w:bottom w:w="0" w:type="dxa"/>
              <w:right w:w="108" w:type="dxa"/>
            </w:tcMar>
            <w:hideMark/>
          </w:tcPr>
          <w:p w14:paraId="5A1E1005" w14:textId="77777777" w:rsidR="007A3CD4" w:rsidRPr="007A3CD4" w:rsidRDefault="007A3CD4" w:rsidP="00AD2329">
            <w:pPr>
              <w:pStyle w:val="KMC16-TableHeading"/>
            </w:pPr>
            <w:r w:rsidRPr="007A3CD4">
              <w:t>Max Qty (Injections)</w:t>
            </w:r>
          </w:p>
        </w:tc>
        <w:tc>
          <w:tcPr>
            <w:tcW w:w="851" w:type="dxa"/>
            <w:shd w:val="clear" w:color="auto" w:fill="BFBFBF" w:themeFill="background1" w:themeFillShade="BF"/>
            <w:tcMar>
              <w:top w:w="0" w:type="dxa"/>
              <w:left w:w="108" w:type="dxa"/>
              <w:bottom w:w="0" w:type="dxa"/>
              <w:right w:w="108" w:type="dxa"/>
            </w:tcMar>
            <w:hideMark/>
          </w:tcPr>
          <w:p w14:paraId="4E597AAA" w14:textId="77777777" w:rsidR="007A3CD4" w:rsidRPr="007A3CD4" w:rsidRDefault="007A3CD4" w:rsidP="00AD2329">
            <w:pPr>
              <w:pStyle w:val="KMC16-TableHeading"/>
            </w:pPr>
            <w:r w:rsidRPr="007A3CD4">
              <w:t>No. of Rpts</w:t>
            </w:r>
          </w:p>
        </w:tc>
        <w:tc>
          <w:tcPr>
            <w:tcW w:w="1083" w:type="dxa"/>
            <w:shd w:val="clear" w:color="auto" w:fill="BFBFBF" w:themeFill="background1" w:themeFillShade="BF"/>
            <w:tcMar>
              <w:top w:w="0" w:type="dxa"/>
              <w:left w:w="108" w:type="dxa"/>
              <w:bottom w:w="0" w:type="dxa"/>
              <w:right w:w="108" w:type="dxa"/>
            </w:tcMar>
            <w:hideMark/>
          </w:tcPr>
          <w:p w14:paraId="59C3A658" w14:textId="77777777" w:rsidR="007A3CD4" w:rsidRPr="007A3CD4" w:rsidRDefault="007A3CD4" w:rsidP="00AD2329">
            <w:pPr>
              <w:pStyle w:val="KMC16-TableHeading"/>
            </w:pPr>
            <w:r w:rsidRPr="007A3CD4">
              <w:t>DPMQ (s.85)</w:t>
            </w:r>
          </w:p>
        </w:tc>
        <w:tc>
          <w:tcPr>
            <w:tcW w:w="1680" w:type="dxa"/>
            <w:shd w:val="clear" w:color="auto" w:fill="BFBFBF" w:themeFill="background1" w:themeFillShade="BF"/>
            <w:tcMar>
              <w:top w:w="0" w:type="dxa"/>
              <w:left w:w="108" w:type="dxa"/>
              <w:bottom w:w="0" w:type="dxa"/>
              <w:right w:w="108" w:type="dxa"/>
            </w:tcMar>
            <w:hideMark/>
          </w:tcPr>
          <w:p w14:paraId="41D16EF6" w14:textId="77777777" w:rsidR="007A3CD4" w:rsidRPr="007A3CD4" w:rsidRDefault="007A3CD4" w:rsidP="00AD2329">
            <w:pPr>
              <w:pStyle w:val="KMC16-TableHeading"/>
            </w:pPr>
            <w:r w:rsidRPr="007A3CD4">
              <w:t>Name and Manufacturer</w:t>
            </w:r>
          </w:p>
        </w:tc>
      </w:tr>
      <w:tr w:rsidR="007A3CD4" w:rsidRPr="00621B1F" w14:paraId="7EBC51A3" w14:textId="77777777" w:rsidTr="001653D9">
        <w:tc>
          <w:tcPr>
            <w:tcW w:w="955" w:type="dxa"/>
            <w:vAlign w:val="center"/>
          </w:tcPr>
          <w:p w14:paraId="3A75219E" w14:textId="77777777" w:rsidR="007A3CD4" w:rsidRPr="007A3CD4" w:rsidRDefault="007A3CD4" w:rsidP="00AE11B1">
            <w:pPr>
              <w:pStyle w:val="KMC16-Tablecontent"/>
              <w:jc w:val="center"/>
            </w:pPr>
            <w:r w:rsidRPr="007A3CD4">
              <w:t>TBD</w:t>
            </w:r>
          </w:p>
        </w:tc>
        <w:tc>
          <w:tcPr>
            <w:tcW w:w="2442" w:type="dxa"/>
            <w:tcMar>
              <w:top w:w="0" w:type="dxa"/>
              <w:left w:w="108" w:type="dxa"/>
              <w:bottom w:w="0" w:type="dxa"/>
              <w:right w:w="108" w:type="dxa"/>
            </w:tcMar>
          </w:tcPr>
          <w:p w14:paraId="3A97794C" w14:textId="77777777" w:rsidR="007A3CD4" w:rsidRPr="007A3CD4" w:rsidRDefault="007A3CD4" w:rsidP="00AD2329">
            <w:pPr>
              <w:pStyle w:val="KMC16-Tablecontent"/>
            </w:pPr>
            <w:r w:rsidRPr="007A3CD4">
              <w:rPr>
                <w:b/>
              </w:rPr>
              <w:t>For Initiation</w:t>
            </w:r>
            <w:r w:rsidRPr="007A3CD4">
              <w:t xml:space="preserve">: </w:t>
            </w:r>
          </w:p>
          <w:p w14:paraId="60153CB6" w14:textId="77777777" w:rsidR="007A3CD4" w:rsidRPr="007A3CD4" w:rsidRDefault="007A3CD4" w:rsidP="00AD2329">
            <w:pPr>
              <w:pStyle w:val="KMC16-Tablecontent"/>
            </w:pPr>
            <w:r w:rsidRPr="007A3CD4">
              <w:t>Infliximab SC, 120mg/ml injection, 1 mL pre-filled syringe</w:t>
            </w:r>
          </w:p>
        </w:tc>
        <w:tc>
          <w:tcPr>
            <w:tcW w:w="850" w:type="dxa"/>
            <w:tcMar>
              <w:top w:w="0" w:type="dxa"/>
              <w:left w:w="108" w:type="dxa"/>
              <w:bottom w:w="0" w:type="dxa"/>
              <w:right w:w="108" w:type="dxa"/>
            </w:tcMar>
            <w:vAlign w:val="center"/>
          </w:tcPr>
          <w:p w14:paraId="29C705BC" w14:textId="77777777" w:rsidR="007A3CD4" w:rsidRPr="007A3CD4" w:rsidRDefault="007A3CD4" w:rsidP="00AE11B1">
            <w:pPr>
              <w:pStyle w:val="KMC16-Tablecontent"/>
              <w:jc w:val="center"/>
            </w:pPr>
            <w:r w:rsidRPr="007A3CD4">
              <w:t>1</w:t>
            </w:r>
          </w:p>
        </w:tc>
        <w:tc>
          <w:tcPr>
            <w:tcW w:w="1134" w:type="dxa"/>
            <w:tcMar>
              <w:top w:w="0" w:type="dxa"/>
              <w:left w:w="108" w:type="dxa"/>
              <w:bottom w:w="0" w:type="dxa"/>
              <w:right w:w="108" w:type="dxa"/>
            </w:tcMar>
            <w:vAlign w:val="center"/>
            <w:hideMark/>
          </w:tcPr>
          <w:p w14:paraId="5333BB30" w14:textId="77777777" w:rsidR="007A3CD4" w:rsidRPr="007A3CD4" w:rsidRDefault="007A3CD4" w:rsidP="00AE11B1">
            <w:pPr>
              <w:pStyle w:val="KMC16-Tablecontent"/>
              <w:jc w:val="center"/>
            </w:pPr>
            <w:r w:rsidRPr="007A3CD4">
              <w:t>5</w:t>
            </w:r>
          </w:p>
        </w:tc>
        <w:tc>
          <w:tcPr>
            <w:tcW w:w="851" w:type="dxa"/>
            <w:tcMar>
              <w:top w:w="0" w:type="dxa"/>
              <w:left w:w="108" w:type="dxa"/>
              <w:bottom w:w="0" w:type="dxa"/>
              <w:right w:w="108" w:type="dxa"/>
            </w:tcMar>
            <w:vAlign w:val="center"/>
            <w:hideMark/>
          </w:tcPr>
          <w:p w14:paraId="02A0FBA1" w14:textId="77777777" w:rsidR="007A3CD4" w:rsidRPr="007A3CD4" w:rsidRDefault="007A3CD4" w:rsidP="00AE11B1">
            <w:pPr>
              <w:pStyle w:val="KMC16-Tablecontent"/>
              <w:jc w:val="center"/>
            </w:pPr>
            <w:r w:rsidRPr="007A3CD4">
              <w:t>0</w:t>
            </w:r>
          </w:p>
        </w:tc>
        <w:tc>
          <w:tcPr>
            <w:tcW w:w="1083" w:type="dxa"/>
            <w:tcMar>
              <w:top w:w="0" w:type="dxa"/>
              <w:left w:w="108" w:type="dxa"/>
              <w:bottom w:w="0" w:type="dxa"/>
              <w:right w:w="108" w:type="dxa"/>
            </w:tcMar>
            <w:vAlign w:val="center"/>
          </w:tcPr>
          <w:p w14:paraId="74E20522" w14:textId="3A1310A8" w:rsidR="007A3CD4" w:rsidRPr="007A3CD4" w:rsidRDefault="007A3CD4" w:rsidP="00AE11B1">
            <w:pPr>
              <w:pStyle w:val="KMC16-Tablecontent"/>
              <w:jc w:val="center"/>
            </w:pPr>
            <w:r w:rsidRPr="007A3CD4">
              <w:t>$</w:t>
            </w:r>
            <w:r w:rsidR="00AD200A" w:rsidRPr="00A064A9">
              <w:rPr>
                <w:spacing w:val="103"/>
                <w:shd w:val="solid" w:color="000000" w:fill="000000"/>
                <w:fitText w:val="196" w:id="-1304780800"/>
                <w14:textFill>
                  <w14:solidFill>
                    <w14:srgbClr w14:val="000000">
                      <w14:alpha w14:val="100000"/>
                    </w14:srgbClr>
                  </w14:solidFill>
                </w14:textFill>
              </w:rPr>
              <w:t>|</w:t>
            </w:r>
            <w:r w:rsidR="00AD200A" w:rsidRPr="00A064A9">
              <w:rPr>
                <w:shd w:val="solid" w:color="000000" w:fill="000000"/>
                <w:fitText w:val="196" w:id="-1304780800"/>
                <w14:textFill>
                  <w14:solidFill>
                    <w14:srgbClr w14:val="000000">
                      <w14:alpha w14:val="100000"/>
                    </w14:srgbClr>
                  </w14:solidFill>
                </w14:textFill>
              </w:rPr>
              <w:t>|</w:t>
            </w:r>
          </w:p>
        </w:tc>
        <w:tc>
          <w:tcPr>
            <w:tcW w:w="1680" w:type="dxa"/>
            <w:tcMar>
              <w:top w:w="0" w:type="dxa"/>
              <w:left w:w="108" w:type="dxa"/>
              <w:bottom w:w="0" w:type="dxa"/>
              <w:right w:w="108" w:type="dxa"/>
            </w:tcMar>
            <w:vAlign w:val="center"/>
          </w:tcPr>
          <w:p w14:paraId="1DEBEBA8" w14:textId="77777777" w:rsidR="007A3CD4" w:rsidRPr="007A3CD4" w:rsidRDefault="007A3CD4" w:rsidP="00AE11B1">
            <w:pPr>
              <w:pStyle w:val="KMC16-Tablecontent"/>
            </w:pPr>
            <w:r w:rsidRPr="007A3CD4">
              <w:t>Remsima SC – Celltrion Healthcare Australia Pty Ltd.</w:t>
            </w:r>
          </w:p>
        </w:tc>
      </w:tr>
      <w:tr w:rsidR="007A3CD4" w14:paraId="24557F97" w14:textId="77777777" w:rsidTr="001653D9">
        <w:tc>
          <w:tcPr>
            <w:tcW w:w="955" w:type="dxa"/>
            <w:vAlign w:val="center"/>
          </w:tcPr>
          <w:p w14:paraId="1994D09B" w14:textId="77777777" w:rsidR="007A3CD4" w:rsidRPr="007A3CD4" w:rsidRDefault="007A3CD4" w:rsidP="00AE11B1">
            <w:pPr>
              <w:pStyle w:val="KMC16-Tablecontent"/>
              <w:jc w:val="center"/>
            </w:pPr>
            <w:r w:rsidRPr="007A3CD4">
              <w:lastRenderedPageBreak/>
              <w:t>TBD</w:t>
            </w:r>
          </w:p>
        </w:tc>
        <w:tc>
          <w:tcPr>
            <w:tcW w:w="2442" w:type="dxa"/>
            <w:tcMar>
              <w:top w:w="0" w:type="dxa"/>
              <w:left w:w="108" w:type="dxa"/>
              <w:bottom w:w="0" w:type="dxa"/>
              <w:right w:w="108" w:type="dxa"/>
            </w:tcMar>
          </w:tcPr>
          <w:p w14:paraId="7D137D7B" w14:textId="77777777" w:rsidR="007A3CD4" w:rsidRPr="007A3CD4" w:rsidRDefault="007A3CD4" w:rsidP="00AD2329">
            <w:pPr>
              <w:pStyle w:val="KMC16-Tablecontent"/>
            </w:pPr>
            <w:r w:rsidRPr="007A3CD4">
              <w:rPr>
                <w:b/>
              </w:rPr>
              <w:t>For Initiation</w:t>
            </w:r>
            <w:r w:rsidRPr="007A3CD4">
              <w:t xml:space="preserve">: </w:t>
            </w:r>
          </w:p>
          <w:p w14:paraId="6FC1DA35" w14:textId="72B82F2A" w:rsidR="007A3CD4" w:rsidRPr="007A3CD4" w:rsidRDefault="007A3CD4" w:rsidP="00AD2329">
            <w:pPr>
              <w:pStyle w:val="KMC16-Tablecontent"/>
            </w:pPr>
            <w:r w:rsidRPr="007A3CD4">
              <w:t>Infliximab SC, 120mg/ml, 1</w:t>
            </w:r>
            <w:r w:rsidR="00FD2835">
              <w:t> </w:t>
            </w:r>
            <w:r w:rsidRPr="007A3CD4">
              <w:t>mL pen device vial/pen</w:t>
            </w:r>
          </w:p>
        </w:tc>
        <w:tc>
          <w:tcPr>
            <w:tcW w:w="850" w:type="dxa"/>
            <w:tcMar>
              <w:top w:w="0" w:type="dxa"/>
              <w:left w:w="108" w:type="dxa"/>
              <w:bottom w:w="0" w:type="dxa"/>
              <w:right w:w="108" w:type="dxa"/>
            </w:tcMar>
            <w:vAlign w:val="center"/>
          </w:tcPr>
          <w:p w14:paraId="7ADD0D46" w14:textId="77777777" w:rsidR="007A3CD4" w:rsidRPr="007A3CD4" w:rsidRDefault="007A3CD4" w:rsidP="00AE11B1">
            <w:pPr>
              <w:pStyle w:val="KMC16-Tablecontent"/>
              <w:jc w:val="center"/>
            </w:pPr>
            <w:r w:rsidRPr="007A3CD4">
              <w:t>1</w:t>
            </w:r>
          </w:p>
        </w:tc>
        <w:tc>
          <w:tcPr>
            <w:tcW w:w="1134" w:type="dxa"/>
            <w:tcMar>
              <w:top w:w="0" w:type="dxa"/>
              <w:left w:w="108" w:type="dxa"/>
              <w:bottom w:w="0" w:type="dxa"/>
              <w:right w:w="108" w:type="dxa"/>
            </w:tcMar>
            <w:vAlign w:val="center"/>
          </w:tcPr>
          <w:p w14:paraId="0D533789" w14:textId="77777777" w:rsidR="007A3CD4" w:rsidRPr="007A3CD4" w:rsidRDefault="007A3CD4" w:rsidP="00AE11B1">
            <w:pPr>
              <w:pStyle w:val="KMC16-Tablecontent"/>
              <w:jc w:val="center"/>
            </w:pPr>
            <w:r w:rsidRPr="007A3CD4">
              <w:t>5</w:t>
            </w:r>
          </w:p>
        </w:tc>
        <w:tc>
          <w:tcPr>
            <w:tcW w:w="851" w:type="dxa"/>
            <w:tcMar>
              <w:top w:w="0" w:type="dxa"/>
              <w:left w:w="108" w:type="dxa"/>
              <w:bottom w:w="0" w:type="dxa"/>
              <w:right w:w="108" w:type="dxa"/>
            </w:tcMar>
            <w:vAlign w:val="center"/>
          </w:tcPr>
          <w:p w14:paraId="4C86350C" w14:textId="77777777" w:rsidR="007A3CD4" w:rsidRPr="007A3CD4" w:rsidRDefault="007A3CD4" w:rsidP="00AE11B1">
            <w:pPr>
              <w:pStyle w:val="KMC16-Tablecontent"/>
              <w:jc w:val="center"/>
            </w:pPr>
            <w:r w:rsidRPr="007A3CD4">
              <w:t>0</w:t>
            </w:r>
          </w:p>
        </w:tc>
        <w:tc>
          <w:tcPr>
            <w:tcW w:w="1083" w:type="dxa"/>
            <w:tcMar>
              <w:top w:w="0" w:type="dxa"/>
              <w:left w:w="108" w:type="dxa"/>
              <w:bottom w:w="0" w:type="dxa"/>
              <w:right w:w="108" w:type="dxa"/>
            </w:tcMar>
            <w:vAlign w:val="center"/>
          </w:tcPr>
          <w:p w14:paraId="53ADE2A0" w14:textId="2F968531" w:rsidR="007A3CD4" w:rsidRPr="007A3CD4" w:rsidRDefault="007A3CD4" w:rsidP="00AE11B1">
            <w:pPr>
              <w:pStyle w:val="KMC16-Tablecontent"/>
              <w:jc w:val="center"/>
            </w:pPr>
            <w:r w:rsidRPr="007A3CD4">
              <w:t>$</w:t>
            </w:r>
            <w:r w:rsidR="00AD200A" w:rsidRPr="00A064A9">
              <w:rPr>
                <w:spacing w:val="103"/>
                <w:shd w:val="solid" w:color="000000" w:fill="000000"/>
                <w:fitText w:val="196" w:id="-1304780799"/>
                <w14:textFill>
                  <w14:solidFill>
                    <w14:srgbClr w14:val="000000">
                      <w14:alpha w14:val="100000"/>
                    </w14:srgbClr>
                  </w14:solidFill>
                </w14:textFill>
              </w:rPr>
              <w:t>|</w:t>
            </w:r>
            <w:r w:rsidR="00AD200A" w:rsidRPr="00A064A9">
              <w:rPr>
                <w:shd w:val="solid" w:color="000000" w:fill="000000"/>
                <w:fitText w:val="196" w:id="-1304780799"/>
                <w14:textFill>
                  <w14:solidFill>
                    <w14:srgbClr w14:val="000000">
                      <w14:alpha w14:val="100000"/>
                    </w14:srgbClr>
                  </w14:solidFill>
                </w14:textFill>
              </w:rPr>
              <w:t>|</w:t>
            </w:r>
          </w:p>
        </w:tc>
        <w:tc>
          <w:tcPr>
            <w:tcW w:w="1680" w:type="dxa"/>
            <w:tcMar>
              <w:top w:w="0" w:type="dxa"/>
              <w:left w:w="108" w:type="dxa"/>
              <w:bottom w:w="0" w:type="dxa"/>
              <w:right w:w="108" w:type="dxa"/>
            </w:tcMar>
            <w:vAlign w:val="center"/>
          </w:tcPr>
          <w:p w14:paraId="50DC0916" w14:textId="77777777" w:rsidR="007A3CD4" w:rsidRPr="007A3CD4" w:rsidRDefault="007A3CD4" w:rsidP="00AE11B1">
            <w:pPr>
              <w:pStyle w:val="KMC16-Tablecontent"/>
            </w:pPr>
            <w:r w:rsidRPr="007A3CD4">
              <w:t>Remsima SC – Celltrion Healthcare Australia Pty Ltd.</w:t>
            </w:r>
          </w:p>
        </w:tc>
      </w:tr>
    </w:tbl>
    <w:p w14:paraId="5CB71F07" w14:textId="77777777" w:rsidR="007A3CD4" w:rsidRDefault="007A3CD4" w:rsidP="00AE11B1">
      <w:pPr>
        <w:pStyle w:val="3Bodytext"/>
        <w:numPr>
          <w:ilvl w:val="0"/>
          <w:numId w:val="0"/>
        </w:numPr>
        <w:spacing w:after="0"/>
        <w:ind w:left="720"/>
      </w:pPr>
      <w:bookmarkStart w:id="2" w:name="_Hlk110939201"/>
    </w:p>
    <w:p w14:paraId="77CCF2F7" w14:textId="0B1ACF5F" w:rsidR="000364BF" w:rsidRDefault="00C11FCF" w:rsidP="00C11FCF">
      <w:pPr>
        <w:pStyle w:val="3Bodytext"/>
      </w:pPr>
      <w:r>
        <w:t>T</w:t>
      </w:r>
      <w:r w:rsidRPr="000B44C3">
        <w:t xml:space="preserve">he submission </w:t>
      </w:r>
      <w:r>
        <w:t xml:space="preserve">proposed a new initial listing with </w:t>
      </w:r>
      <w:r w:rsidR="00A154EA">
        <w:t xml:space="preserve">a </w:t>
      </w:r>
      <w:r>
        <w:t>max</w:t>
      </w:r>
      <w:r w:rsidR="00A154EA">
        <w:t>imum</w:t>
      </w:r>
      <w:r>
        <w:t xml:space="preserve"> quantity of 5 </w:t>
      </w:r>
      <w:r w:rsidR="0026553C">
        <w:t>and</w:t>
      </w:r>
      <w:r>
        <w:t xml:space="preserve"> no repeats to provide doses for weeks 0, 1, 2, 3 and 4</w:t>
      </w:r>
      <w:r w:rsidRPr="000A51FF">
        <w:rPr>
          <w:i/>
        </w:rPr>
        <w:t xml:space="preserve">. </w:t>
      </w:r>
      <w:r w:rsidR="00964A9F" w:rsidRPr="00E0207E">
        <w:t xml:space="preserve">The </w:t>
      </w:r>
      <w:r w:rsidR="000364BF">
        <w:t>submissio</w:t>
      </w:r>
      <w:r w:rsidR="00964A9F" w:rsidRPr="00E0207E">
        <w:t xml:space="preserve">n </w:t>
      </w:r>
      <w:r w:rsidR="000364BF">
        <w:t>proposed that the new dosing schedule</w:t>
      </w:r>
      <w:r>
        <w:t xml:space="preserve"> </w:t>
      </w:r>
      <w:r w:rsidR="008D1203">
        <w:t xml:space="preserve">restrictions </w:t>
      </w:r>
      <w:r>
        <w:t xml:space="preserve">should align with the current initial treatment – Initial 1 (new patient) with the </w:t>
      </w:r>
      <w:r w:rsidR="000364BF">
        <w:t>removal of the following clinical criteri</w:t>
      </w:r>
      <w:r w:rsidR="00B30058">
        <w:t>on</w:t>
      </w:r>
      <w:r w:rsidR="000364BF">
        <w:t xml:space="preserve">: </w:t>
      </w:r>
    </w:p>
    <w:p w14:paraId="6257E924" w14:textId="0416DE64" w:rsidR="00C11FCF" w:rsidRDefault="000364BF" w:rsidP="00C11FCF">
      <w:pPr>
        <w:pStyle w:val="3Bodytext"/>
        <w:numPr>
          <w:ilvl w:val="0"/>
          <w:numId w:val="0"/>
        </w:numPr>
        <w:ind w:left="1440"/>
      </w:pPr>
      <w:r>
        <w:t>Patient must have undergone two loading dose intravenous infusions of infliximab 3</w:t>
      </w:r>
      <w:r w:rsidR="003C69E3">
        <w:t> </w:t>
      </w:r>
      <w:r>
        <w:t>mg/kg given 2 weeks apart.</w:t>
      </w:r>
      <w:r w:rsidR="00964A9F" w:rsidRPr="00E0207E">
        <w:t xml:space="preserve"> </w:t>
      </w:r>
    </w:p>
    <w:p w14:paraId="39D42FF9" w14:textId="536EBB81" w:rsidR="007A3CD4" w:rsidRPr="00E73DD5" w:rsidRDefault="007A3CD4" w:rsidP="007A3CD4">
      <w:pPr>
        <w:pStyle w:val="3Bodytext"/>
      </w:pPr>
      <w:bookmarkStart w:id="3" w:name="_Ref115101433"/>
      <w:bookmarkEnd w:id="2"/>
      <w:r w:rsidRPr="00E73DD5">
        <w:t xml:space="preserve">The Secretariat proposed that the new dosing schedule align with the Initial 1, Initial 2, </w:t>
      </w:r>
      <w:r w:rsidR="002C2AE4" w:rsidRPr="00E73DD5">
        <w:t xml:space="preserve">and </w:t>
      </w:r>
      <w:r w:rsidRPr="00E73DD5">
        <w:t xml:space="preserve">Initial 3 listings for the IV induction doses of infliximab and include a listing for </w:t>
      </w:r>
      <w:r w:rsidR="002C2AE4" w:rsidRPr="00E73DD5">
        <w:t>g</w:t>
      </w:r>
      <w:r w:rsidRPr="00E73DD5">
        <w:t>randfathering.</w:t>
      </w:r>
      <w:r w:rsidR="00E73DD5">
        <w:t xml:space="preserve"> </w:t>
      </w:r>
      <w:r w:rsidR="00E73DD5" w:rsidRPr="00E73DD5">
        <w:t>The PBAC advised this was appropriate</w:t>
      </w:r>
      <w:r w:rsidRPr="00E73DD5">
        <w:t>.</w:t>
      </w:r>
    </w:p>
    <w:p w14:paraId="6CBEE2F3" w14:textId="53EA002C" w:rsidR="003B6C40" w:rsidRDefault="008D1203" w:rsidP="003B6C40">
      <w:pPr>
        <w:pStyle w:val="3Bodytext"/>
      </w:pPr>
      <w:r w:rsidRPr="00E73DD5">
        <w:t xml:space="preserve">The Secretariat proposed that the new IFX SC listing </w:t>
      </w:r>
      <w:r w:rsidR="00A07459">
        <w:t>(to provide the loading dose</w:t>
      </w:r>
      <w:r w:rsidR="00663754">
        <w:t>s</w:t>
      </w:r>
      <w:r w:rsidR="00A07459">
        <w:t xml:space="preserve">) </w:t>
      </w:r>
      <w:r w:rsidR="00F5408A" w:rsidRPr="00E73DD5">
        <w:t>have a maximum quantity of 3 with 3 repeats</w:t>
      </w:r>
      <w:r w:rsidRPr="00E73DD5">
        <w:t xml:space="preserve">. </w:t>
      </w:r>
      <w:r w:rsidR="003B6C40" w:rsidRPr="00E73DD5">
        <w:t>This will provide patients with 20 weeks of treatment</w:t>
      </w:r>
      <w:r w:rsidR="00E86FE9" w:rsidRPr="00E73DD5">
        <w:rPr>
          <w:rStyle w:val="FootnoteReference"/>
        </w:rPr>
        <w:footnoteReference w:id="2"/>
      </w:r>
      <w:r w:rsidR="003B6C40" w:rsidRPr="00E73DD5">
        <w:t xml:space="preserve">, sufficient to demonstrate a response and enough time for the prescriber to seek authority for continuing </w:t>
      </w:r>
      <w:r w:rsidR="00C05680" w:rsidRPr="00E73DD5">
        <w:t xml:space="preserve">treatment </w:t>
      </w:r>
      <w:r w:rsidR="003B6C40" w:rsidRPr="00E73DD5">
        <w:t>(similar to 22 weeks with IV).</w:t>
      </w:r>
      <w:bookmarkEnd w:id="3"/>
      <w:r w:rsidR="00F751FE" w:rsidRPr="00E73DD5">
        <w:t xml:space="preserve"> </w:t>
      </w:r>
      <w:r w:rsidR="00E73DD5" w:rsidRPr="00E73DD5">
        <w:t>The PBAC advised this was appropriate</w:t>
      </w:r>
      <w:r w:rsidR="00E73DD5">
        <w:t>.</w:t>
      </w:r>
    </w:p>
    <w:p w14:paraId="533C46D9" w14:textId="16757E56" w:rsidR="00822FF8" w:rsidRDefault="00822FF8" w:rsidP="00822FF8">
      <w:pPr>
        <w:pStyle w:val="3Bodytext"/>
      </w:pPr>
      <w:r>
        <w:t>The Pre-PBAC response accepted the proposed restrictions though noted that patients will have a limited window to fill their next script for weeks 3, 4 and 6 (the start of maintenance) and advised that the 21-day rule would need to be waived.</w:t>
      </w:r>
    </w:p>
    <w:p w14:paraId="655FEA8D" w14:textId="67AAF5A5" w:rsidR="003B48FF" w:rsidRPr="00FD2835" w:rsidRDefault="003B48FF" w:rsidP="003B48FF">
      <w:pPr>
        <w:ind w:firstLine="709"/>
        <w:rPr>
          <w:rFonts w:asciiTheme="minorHAnsi" w:hAnsiTheme="minorHAnsi"/>
          <w:i/>
        </w:rPr>
      </w:pPr>
      <w:bookmarkStart w:id="4" w:name="_Hlk76375324"/>
      <w:r w:rsidRPr="00FD2835">
        <w:rPr>
          <w:rFonts w:asciiTheme="minorHAnsi" w:hAnsiTheme="minorHAnsi"/>
          <w:i/>
        </w:rPr>
        <w:t>For more detail on PBAC’s view, see section 6 PBAC outcome.</w:t>
      </w:r>
    </w:p>
    <w:bookmarkEnd w:id="4"/>
    <w:p w14:paraId="29A96004" w14:textId="05190F5F" w:rsidR="00C27C1C" w:rsidRPr="00980B0E" w:rsidRDefault="00C27C1C" w:rsidP="000364BF">
      <w:pPr>
        <w:pStyle w:val="2-SectionHeading"/>
        <w:numPr>
          <w:ilvl w:val="0"/>
          <w:numId w:val="2"/>
        </w:numPr>
        <w:rPr>
          <w:color w:val="FF0000"/>
        </w:rPr>
      </w:pPr>
      <w:r w:rsidRPr="003C2FB5">
        <w:t>Comparator</w:t>
      </w:r>
      <w:r>
        <w:t xml:space="preserve"> </w:t>
      </w:r>
    </w:p>
    <w:p w14:paraId="62835B8C" w14:textId="08B53749" w:rsidR="00E732C4" w:rsidRPr="0094107A" w:rsidRDefault="00C27C1C" w:rsidP="0094107A">
      <w:pPr>
        <w:pStyle w:val="3Bodytext"/>
        <w:rPr>
          <w:i/>
        </w:rPr>
      </w:pPr>
      <w:r w:rsidRPr="000B44C3">
        <w:t xml:space="preserve">The </w:t>
      </w:r>
      <w:r w:rsidRPr="00401F8B">
        <w:t>submission nominated</w:t>
      </w:r>
      <w:r w:rsidR="000A51FF" w:rsidRPr="00401F8B">
        <w:t xml:space="preserve"> infliximab IV induction</w:t>
      </w:r>
      <w:r w:rsidR="00EB7210" w:rsidRPr="00401F8B">
        <w:t xml:space="preserve"> </w:t>
      </w:r>
      <w:r w:rsidRPr="00401F8B">
        <w:t>as the main comparator.</w:t>
      </w:r>
      <w:r w:rsidR="00EB7210" w:rsidRPr="00401F8B">
        <w:t xml:space="preserve"> </w:t>
      </w:r>
      <w:r w:rsidR="000A51FF" w:rsidRPr="00401F8B">
        <w:t xml:space="preserve">Whilst infliximab IV induction </w:t>
      </w:r>
      <w:r w:rsidR="0001086B" w:rsidRPr="00401F8B">
        <w:t xml:space="preserve">may be </w:t>
      </w:r>
      <w:r w:rsidR="003F71CD" w:rsidRPr="00401F8B">
        <w:t>an</w:t>
      </w:r>
      <w:r w:rsidR="000A51FF" w:rsidRPr="00401F8B">
        <w:t xml:space="preserve"> appropriate comparator, </w:t>
      </w:r>
      <w:r w:rsidR="009A5540" w:rsidRPr="00401F8B">
        <w:t xml:space="preserve">without the requirement of IFX IV induction doses, </w:t>
      </w:r>
      <w:r w:rsidR="000A51FF" w:rsidRPr="00401F8B">
        <w:t>there are other alternative therapies.</w:t>
      </w:r>
      <w:r w:rsidR="000A51FF" w:rsidRPr="0094107A">
        <w:rPr>
          <w:i/>
        </w:rPr>
        <w:t xml:space="preserve"> </w:t>
      </w:r>
    </w:p>
    <w:p w14:paraId="34C42318" w14:textId="4405D35E" w:rsidR="00F3414B" w:rsidRPr="00401F8B" w:rsidRDefault="00F3414B" w:rsidP="000364BF">
      <w:pPr>
        <w:pStyle w:val="3Bodytext"/>
      </w:pPr>
      <w:r>
        <w:t xml:space="preserve">At its November 2020 meeting, the PBAC considered </w:t>
      </w:r>
      <w:r w:rsidRPr="00F3414B">
        <w:t xml:space="preserve">that while there </w:t>
      </w:r>
      <w:r w:rsidR="00B30058">
        <w:t>were</w:t>
      </w:r>
      <w:r w:rsidR="00B30058" w:rsidRPr="00F3414B">
        <w:t xml:space="preserve"> </w:t>
      </w:r>
      <w:r w:rsidRPr="00F3414B">
        <w:t xml:space="preserve">alternative biologic disease-modifying drugs (bDMDs) which may be less costly, a switch from those alternative agents to IFX SC for maintenance treatment </w:t>
      </w:r>
      <w:r w:rsidR="00B30058">
        <w:t>was</w:t>
      </w:r>
      <w:r w:rsidR="00B30058" w:rsidRPr="00F3414B">
        <w:t xml:space="preserve"> </w:t>
      </w:r>
      <w:r w:rsidRPr="00F3414B">
        <w:t xml:space="preserve">less likely, in particular where an assessment of response makes it inappropriate and/or when re-induction with IFX </w:t>
      </w:r>
      <w:r w:rsidRPr="00401F8B">
        <w:t xml:space="preserve">IV would be required. The PBAC further considered that IFX IV followed by IFX SC </w:t>
      </w:r>
      <w:r w:rsidR="00B30058" w:rsidRPr="00401F8B">
        <w:t xml:space="preserve">was </w:t>
      </w:r>
      <w:r w:rsidRPr="00401F8B">
        <w:t>likely to deliver improved outcomes, for some patients, compared with a switch to an alternative agent (para 7.12, infliximab Public Summary Document (PSD), Nov 2020)</w:t>
      </w:r>
      <w:r w:rsidR="000364BF" w:rsidRPr="00401F8B">
        <w:t>.</w:t>
      </w:r>
      <w:r w:rsidR="0001086B" w:rsidRPr="00401F8B">
        <w:t xml:space="preserve"> With the removal of the requirement for </w:t>
      </w:r>
      <w:r w:rsidR="008A0104" w:rsidRPr="00401F8B">
        <w:t xml:space="preserve">the </w:t>
      </w:r>
      <w:r w:rsidR="0001086B" w:rsidRPr="00401F8B">
        <w:t xml:space="preserve">IFX IV </w:t>
      </w:r>
      <w:r w:rsidR="008A0104" w:rsidRPr="00401F8B">
        <w:t xml:space="preserve">induction </w:t>
      </w:r>
      <w:r w:rsidR="0001086B" w:rsidRPr="00401F8B">
        <w:t>dose</w:t>
      </w:r>
      <w:r w:rsidR="008A0104" w:rsidRPr="00401F8B">
        <w:t>s</w:t>
      </w:r>
      <w:r w:rsidR="0001086B" w:rsidRPr="00401F8B">
        <w:t xml:space="preserve">, IFX SC may replace any of the currently listed bDMDs. </w:t>
      </w:r>
    </w:p>
    <w:p w14:paraId="2605519A" w14:textId="01356AA6" w:rsidR="0094107A" w:rsidRDefault="0094107A" w:rsidP="00401F8B">
      <w:pPr>
        <w:pStyle w:val="3Bodytext"/>
        <w:spacing w:after="240"/>
      </w:pPr>
      <w:bookmarkStart w:id="5" w:name="_Ref119478749"/>
      <w:r w:rsidRPr="00401F8B">
        <w:t>The PBAC could only recommend listing infliximab SC (with loading doses) at a higher price than alternative therapies if it is satisfied that it provides, for some patients, a significant improvement in efficacy or reduction of toxicity over the alternative therapy or therapies (</w:t>
      </w:r>
      <w:r w:rsidRPr="00401F8B">
        <w:rPr>
          <w:i/>
          <w:iCs/>
        </w:rPr>
        <w:t>National Health Act 1953</w:t>
      </w:r>
      <w:r w:rsidRPr="00401F8B">
        <w:t>, Section 101(3B)).</w:t>
      </w:r>
      <w:r w:rsidR="00705A6B">
        <w:t xml:space="preserve"> Alternative therapies include </w:t>
      </w:r>
      <w:r w:rsidR="00685D7E" w:rsidRPr="00685D7E">
        <w:t>abatacept, adalimumab, baricitinib, certolizumab pegol, etanercept, golimumab, infliximab, rituximab, tocilizumab, tofacitinib and upadacitinib</w:t>
      </w:r>
      <w:r w:rsidR="00685D7E">
        <w:t>.</w:t>
      </w:r>
      <w:bookmarkEnd w:id="5"/>
    </w:p>
    <w:p w14:paraId="52C69A68" w14:textId="77777777" w:rsidR="003B48FF" w:rsidRPr="00C33D30" w:rsidRDefault="003B48FF" w:rsidP="003B48FF">
      <w:pPr>
        <w:ind w:firstLine="709"/>
        <w:rPr>
          <w:rFonts w:asciiTheme="minorHAnsi" w:hAnsiTheme="minorHAnsi"/>
          <w:i/>
        </w:rPr>
      </w:pPr>
      <w:r w:rsidRPr="00C33D30">
        <w:rPr>
          <w:rFonts w:asciiTheme="minorHAnsi" w:hAnsiTheme="minorHAnsi"/>
          <w:i/>
        </w:rPr>
        <w:t xml:space="preserve">For more detail on PBAC’s view, see section </w:t>
      </w:r>
      <w:r>
        <w:rPr>
          <w:rFonts w:asciiTheme="minorHAnsi" w:hAnsiTheme="minorHAnsi"/>
          <w:i/>
        </w:rPr>
        <w:t>6</w:t>
      </w:r>
      <w:r w:rsidRPr="00C33D30">
        <w:rPr>
          <w:rFonts w:asciiTheme="minorHAnsi" w:hAnsiTheme="minorHAnsi"/>
          <w:i/>
        </w:rPr>
        <w:t xml:space="preserve"> PBAC outcome.</w:t>
      </w:r>
    </w:p>
    <w:p w14:paraId="0436B7D8" w14:textId="77777777" w:rsidR="00C27C1C" w:rsidRDefault="00C27C1C" w:rsidP="001F2311">
      <w:pPr>
        <w:pStyle w:val="Heading1"/>
        <w:keepLines/>
        <w:numPr>
          <w:ilvl w:val="0"/>
          <w:numId w:val="2"/>
        </w:numPr>
        <w:spacing w:before="240"/>
        <w:ind w:left="709" w:hanging="709"/>
        <w:rPr>
          <w:sz w:val="32"/>
          <w:szCs w:val="32"/>
        </w:rPr>
      </w:pPr>
      <w:r w:rsidRPr="003C2FB5">
        <w:rPr>
          <w:sz w:val="32"/>
          <w:szCs w:val="32"/>
        </w:rPr>
        <w:t>Consideration of the evidence</w:t>
      </w:r>
    </w:p>
    <w:p w14:paraId="7F05E6C9" w14:textId="77777777" w:rsidR="00401F8B" w:rsidRPr="00E15DD2" w:rsidRDefault="00401F8B" w:rsidP="00401F8B">
      <w:pPr>
        <w:pStyle w:val="3-SubsectionHeading"/>
        <w:rPr>
          <w:color w:val="auto"/>
        </w:rPr>
      </w:pPr>
      <w:bookmarkStart w:id="6" w:name="_Hlk76375935"/>
      <w:r w:rsidRPr="00E15DD2">
        <w:rPr>
          <w:color w:val="auto"/>
        </w:rPr>
        <w:t>Sponsor hearing</w:t>
      </w:r>
    </w:p>
    <w:p w14:paraId="2073B910" w14:textId="77777777" w:rsidR="00401F8B" w:rsidRPr="00F91542" w:rsidRDefault="00401F8B" w:rsidP="00401F8B">
      <w:pPr>
        <w:widowControl w:val="0"/>
        <w:numPr>
          <w:ilvl w:val="1"/>
          <w:numId w:val="2"/>
        </w:numPr>
        <w:spacing w:after="120"/>
        <w:rPr>
          <w:rFonts w:cs="Calibri"/>
          <w:bCs/>
          <w:snapToGrid w:val="0"/>
        </w:rPr>
      </w:pPr>
      <w:r w:rsidRPr="00F91542">
        <w:rPr>
          <w:rFonts w:cs="Calibri"/>
          <w:bCs/>
          <w:snapToGrid w:val="0"/>
        </w:rPr>
        <w:t xml:space="preserve"> There was no hearing for this item.</w:t>
      </w:r>
    </w:p>
    <w:p w14:paraId="128F6106" w14:textId="77777777" w:rsidR="00401F8B" w:rsidRPr="00E15DD2" w:rsidRDefault="00401F8B" w:rsidP="00401F8B">
      <w:pPr>
        <w:pStyle w:val="3-SubsectionHeading"/>
        <w:rPr>
          <w:color w:val="auto"/>
        </w:rPr>
      </w:pPr>
      <w:r w:rsidRPr="00E15DD2">
        <w:rPr>
          <w:color w:val="auto"/>
        </w:rPr>
        <w:t>Consumer comments</w:t>
      </w:r>
    </w:p>
    <w:p w14:paraId="6E9A952E" w14:textId="3B24D502" w:rsidR="0022222D" w:rsidRDefault="00401F8B" w:rsidP="0022222D">
      <w:pPr>
        <w:widowControl w:val="0"/>
        <w:numPr>
          <w:ilvl w:val="1"/>
          <w:numId w:val="2"/>
        </w:numPr>
        <w:spacing w:after="120"/>
        <w:rPr>
          <w:rFonts w:asciiTheme="minorHAnsi" w:hAnsiTheme="minorHAnsi" w:cs="Arial"/>
          <w:bCs/>
          <w:snapToGrid w:val="0"/>
        </w:rPr>
      </w:pPr>
      <w:bookmarkStart w:id="7" w:name="_Hlk76382618"/>
      <w:r w:rsidRPr="00836F75">
        <w:rPr>
          <w:rFonts w:asciiTheme="minorHAnsi" w:hAnsiTheme="minorHAnsi" w:cs="Arial"/>
          <w:bCs/>
          <w:snapToGrid w:val="0"/>
        </w:rPr>
        <w:t xml:space="preserve">The PBAC noted and welcomed the input from </w:t>
      </w:r>
      <w:r w:rsidR="0022222D">
        <w:rPr>
          <w:rFonts w:asciiTheme="minorHAnsi" w:hAnsiTheme="minorHAnsi" w:cs="Arial"/>
          <w:bCs/>
          <w:snapToGrid w:val="0"/>
        </w:rPr>
        <w:t>an</w:t>
      </w:r>
      <w:r w:rsidRPr="00836F75">
        <w:rPr>
          <w:rFonts w:asciiTheme="minorHAnsi" w:hAnsiTheme="minorHAnsi" w:cs="Arial"/>
          <w:bCs/>
          <w:snapToGrid w:val="0"/>
        </w:rPr>
        <w:t xml:space="preserve"> organisation (1) via the Consumer Comments facility on the PBS website. </w:t>
      </w:r>
      <w:r w:rsidR="0022222D" w:rsidRPr="0022222D">
        <w:rPr>
          <w:rFonts w:asciiTheme="minorHAnsi" w:hAnsiTheme="minorHAnsi" w:cs="Arial"/>
          <w:bCs/>
          <w:snapToGrid w:val="0"/>
        </w:rPr>
        <w:t>The National Paediatric Medicines Forum (NPMF)</w:t>
      </w:r>
      <w:r w:rsidR="0022222D">
        <w:rPr>
          <w:rFonts w:asciiTheme="minorHAnsi" w:hAnsiTheme="minorHAnsi" w:cs="Arial"/>
          <w:bCs/>
          <w:snapToGrid w:val="0"/>
        </w:rPr>
        <w:t xml:space="preserve"> requested the PBAC consider that no age restriction apply to the listing of infliximab for the treatment of severe active rheumatoid arthritis. The NPMF advised that p</w:t>
      </w:r>
      <w:r w:rsidR="0022222D" w:rsidRPr="0022222D">
        <w:rPr>
          <w:rFonts w:asciiTheme="minorHAnsi" w:hAnsiTheme="minorHAnsi" w:cs="Arial"/>
          <w:bCs/>
          <w:snapToGrid w:val="0"/>
        </w:rPr>
        <w:t>aediatric hospitals have a significant number of adolescent patients with rheumatological conditions that are not able to access PBS funded treatment due to prescribing restrictions</w:t>
      </w:r>
      <w:r w:rsidR="0022222D">
        <w:rPr>
          <w:rFonts w:asciiTheme="minorHAnsi" w:hAnsiTheme="minorHAnsi" w:cs="Arial"/>
          <w:bCs/>
          <w:snapToGrid w:val="0"/>
        </w:rPr>
        <w:t xml:space="preserve">. It commented that a </w:t>
      </w:r>
      <w:r w:rsidR="0022222D" w:rsidRPr="0022222D">
        <w:rPr>
          <w:rFonts w:asciiTheme="minorHAnsi" w:hAnsiTheme="minorHAnsi" w:cs="Arial"/>
          <w:bCs/>
          <w:snapToGrid w:val="0"/>
        </w:rPr>
        <w:t>subcutaneous pre-filled syringe and pen would improve the quality of life</w:t>
      </w:r>
      <w:r w:rsidR="0022222D">
        <w:rPr>
          <w:rFonts w:asciiTheme="minorHAnsi" w:hAnsiTheme="minorHAnsi" w:cs="Arial"/>
          <w:bCs/>
          <w:snapToGrid w:val="0"/>
        </w:rPr>
        <w:t xml:space="preserve"> for juvenile patients by enabling</w:t>
      </w:r>
      <w:r w:rsidR="0022222D" w:rsidRPr="0022222D">
        <w:rPr>
          <w:rFonts w:asciiTheme="minorHAnsi" w:hAnsiTheme="minorHAnsi" w:cs="Arial"/>
          <w:bCs/>
          <w:snapToGrid w:val="0"/>
        </w:rPr>
        <w:t xml:space="preserve"> administ</w:t>
      </w:r>
      <w:r w:rsidR="0022222D">
        <w:rPr>
          <w:rFonts w:asciiTheme="minorHAnsi" w:hAnsiTheme="minorHAnsi" w:cs="Arial"/>
          <w:bCs/>
          <w:snapToGrid w:val="0"/>
        </w:rPr>
        <w:t>ration within</w:t>
      </w:r>
      <w:r w:rsidR="0022222D" w:rsidRPr="0022222D">
        <w:rPr>
          <w:rFonts w:asciiTheme="minorHAnsi" w:hAnsiTheme="minorHAnsi" w:cs="Arial"/>
          <w:bCs/>
          <w:snapToGrid w:val="0"/>
        </w:rPr>
        <w:t xml:space="preserve"> the home environment</w:t>
      </w:r>
      <w:r w:rsidR="0022222D">
        <w:rPr>
          <w:rFonts w:asciiTheme="minorHAnsi" w:hAnsiTheme="minorHAnsi" w:cs="Arial"/>
          <w:bCs/>
          <w:snapToGrid w:val="0"/>
        </w:rPr>
        <w:t>, and that th</w:t>
      </w:r>
      <w:r w:rsidR="0022222D" w:rsidRPr="0022222D">
        <w:rPr>
          <w:rFonts w:asciiTheme="minorHAnsi" w:hAnsiTheme="minorHAnsi" w:cs="Arial"/>
          <w:bCs/>
          <w:snapToGrid w:val="0"/>
        </w:rPr>
        <w:t xml:space="preserve">e cost savings to public hospitals for their day stay procedures would be immense as paediatric hospitals have cohorts of hundreds of patients that require regular infusions six-eight weekly. </w:t>
      </w:r>
    </w:p>
    <w:p w14:paraId="0F0C81F3" w14:textId="466100C7" w:rsidR="00014823" w:rsidRDefault="00A257BE" w:rsidP="0022222D">
      <w:pPr>
        <w:widowControl w:val="0"/>
        <w:numPr>
          <w:ilvl w:val="1"/>
          <w:numId w:val="2"/>
        </w:numPr>
        <w:spacing w:after="120"/>
        <w:rPr>
          <w:rFonts w:asciiTheme="minorHAnsi" w:hAnsiTheme="minorHAnsi" w:cs="Arial"/>
          <w:bCs/>
          <w:snapToGrid w:val="0"/>
        </w:rPr>
      </w:pPr>
      <w:r w:rsidRPr="00A257BE">
        <w:rPr>
          <w:rFonts w:asciiTheme="minorHAnsi" w:hAnsiTheme="minorHAnsi" w:cs="Arial"/>
          <w:bCs/>
          <w:snapToGrid w:val="0"/>
        </w:rPr>
        <w:t xml:space="preserve">The PBAC acknowledged that access to appropriate medicines for patients with childhood rheumatic diseases continues to be an important issue. </w:t>
      </w:r>
    </w:p>
    <w:bookmarkEnd w:id="6"/>
    <w:bookmarkEnd w:id="7"/>
    <w:p w14:paraId="3F679FE9" w14:textId="77777777" w:rsidR="00C27C1C" w:rsidRPr="00937958" w:rsidRDefault="00C27C1C" w:rsidP="00C27C1C">
      <w:pPr>
        <w:pStyle w:val="4-SubsectionHeading"/>
        <w:keepNext w:val="0"/>
        <w:rPr>
          <w:lang w:eastAsia="en-US"/>
        </w:rPr>
      </w:pPr>
      <w:r w:rsidRPr="003C2FB5">
        <w:rPr>
          <w:lang w:eastAsia="en-US"/>
        </w:rPr>
        <w:t>Clinical trials</w:t>
      </w:r>
      <w:r>
        <w:rPr>
          <w:lang w:eastAsia="en-US"/>
        </w:rPr>
        <w:t xml:space="preserve"> </w:t>
      </w:r>
    </w:p>
    <w:p w14:paraId="2E08B1DC" w14:textId="2EC31F2F" w:rsidR="008F1289" w:rsidRDefault="008A0104" w:rsidP="00C27C1C">
      <w:pPr>
        <w:pStyle w:val="3Bodytext"/>
      </w:pPr>
      <w:bookmarkStart w:id="8" w:name="_Hlk86163265"/>
      <w:r w:rsidRPr="008A0104">
        <w:t>The</w:t>
      </w:r>
      <w:r>
        <w:t xml:space="preserve"> submission stated </w:t>
      </w:r>
      <w:r w:rsidR="00CB7B92">
        <w:t xml:space="preserve">there </w:t>
      </w:r>
      <w:r w:rsidRPr="008A0104">
        <w:t>are no clinical trials with IFX SC 120</w:t>
      </w:r>
      <w:r w:rsidR="00FD2835">
        <w:t> </w:t>
      </w:r>
      <w:r w:rsidRPr="008A0104">
        <w:t xml:space="preserve">mg given subcutaneously without intravenous loading doses of infliximab in patients with RA (i.e., using IFX SC in weeks 0, 1, 2, 3, 4 followed by SC administration every two weeks). </w:t>
      </w:r>
      <w:r w:rsidR="008F1289">
        <w:t xml:space="preserve">The submission stated there was one </w:t>
      </w:r>
      <w:r w:rsidR="00CA2CF6">
        <w:t xml:space="preserve">simulation study </w:t>
      </w:r>
      <w:r w:rsidR="008F1289">
        <w:t>included in the TGA submission to support registration of IVX SC</w:t>
      </w:r>
      <w:r w:rsidR="00DD5C17">
        <w:t xml:space="preserve"> loading doses</w:t>
      </w:r>
      <w:r w:rsidR="008F1289">
        <w:t xml:space="preserve"> (see Table </w:t>
      </w:r>
      <w:r w:rsidR="00450370">
        <w:t>2</w:t>
      </w:r>
      <w:r w:rsidR="008F1289">
        <w:t xml:space="preserve">). </w:t>
      </w:r>
    </w:p>
    <w:p w14:paraId="726FE867" w14:textId="77777777" w:rsidR="008F1289" w:rsidRPr="00401F8B" w:rsidRDefault="008F1289" w:rsidP="008F1289">
      <w:pPr>
        <w:pStyle w:val="3-BodyText"/>
        <w:numPr>
          <w:ilvl w:val="1"/>
          <w:numId w:val="2"/>
        </w:numPr>
        <w:rPr>
          <w:iCs/>
        </w:rPr>
      </w:pPr>
      <w:r w:rsidRPr="00401F8B">
        <w:rPr>
          <w:iCs/>
          <w:lang w:eastAsia="en-US"/>
        </w:rPr>
        <w:t>As a Category 3 submission, no evaluation of the clinical evidence was undertaken</w:t>
      </w:r>
      <w:r w:rsidRPr="00401F8B">
        <w:rPr>
          <w:iCs/>
        </w:rPr>
        <w:t>.</w:t>
      </w:r>
    </w:p>
    <w:p w14:paraId="47E3C415" w14:textId="2045A5FE" w:rsidR="00764236" w:rsidRPr="00B127D7" w:rsidRDefault="00764236" w:rsidP="00366940">
      <w:pPr>
        <w:pStyle w:val="Tabletitles"/>
        <w:keepNext/>
        <w:spacing w:after="0"/>
      </w:pPr>
      <w:bookmarkStart w:id="9" w:name="_Ref12352636"/>
      <w:bookmarkStart w:id="10" w:name="_Toc107951784"/>
      <w:bookmarkStart w:id="11" w:name="_Toc12373104"/>
      <w:bookmarkStart w:id="12" w:name="_Toc12445212"/>
      <w:bookmarkStart w:id="13" w:name="_Hlk12110366"/>
      <w:r w:rsidRPr="00B127D7">
        <w:t xml:space="preserve">Table </w:t>
      </w:r>
      <w:bookmarkEnd w:id="9"/>
      <w:r w:rsidR="00450370">
        <w:t>2</w:t>
      </w:r>
      <w:r w:rsidRPr="00B127D7">
        <w:t>: Trials and associated reports presented in the submission</w:t>
      </w:r>
      <w:bookmarkEnd w:id="10"/>
      <w:r w:rsidRPr="00B127D7">
        <w:t xml:space="preserve"> </w:t>
      </w:r>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661"/>
        <w:gridCol w:w="4926"/>
      </w:tblGrid>
      <w:tr w:rsidR="008F1289" w:rsidRPr="008123DA" w14:paraId="54C3F4CC" w14:textId="77777777" w:rsidTr="00764236">
        <w:trPr>
          <w:tblHeader/>
        </w:trPr>
        <w:tc>
          <w:tcPr>
            <w:tcW w:w="784" w:type="pct"/>
            <w:shd w:val="clear" w:color="auto" w:fill="auto"/>
          </w:tcPr>
          <w:p w14:paraId="07E624A3" w14:textId="77777777" w:rsidR="00764236" w:rsidRPr="008123DA" w:rsidRDefault="00764236" w:rsidP="00366940">
            <w:pPr>
              <w:pStyle w:val="KMC16-TableHeading"/>
              <w:keepNext/>
            </w:pPr>
            <w:r w:rsidRPr="008123DA">
              <w:t>Study identifier (ID)</w:t>
            </w:r>
          </w:p>
        </w:tc>
        <w:tc>
          <w:tcPr>
            <w:tcW w:w="1480" w:type="pct"/>
            <w:shd w:val="clear" w:color="auto" w:fill="auto"/>
          </w:tcPr>
          <w:p w14:paraId="23182DE0" w14:textId="77777777" w:rsidR="00764236" w:rsidRPr="008123DA" w:rsidRDefault="00764236" w:rsidP="00366940">
            <w:pPr>
              <w:pStyle w:val="KMC16-TableHeading"/>
              <w:keepNext/>
            </w:pPr>
            <w:r>
              <w:t xml:space="preserve">Key data source: PK Study </w:t>
            </w:r>
            <w:r w:rsidRPr="008123DA">
              <w:t>Report</w:t>
            </w:r>
            <w:r>
              <w:t xml:space="preserve"> </w:t>
            </w:r>
          </w:p>
        </w:tc>
        <w:tc>
          <w:tcPr>
            <w:tcW w:w="2736" w:type="pct"/>
            <w:shd w:val="clear" w:color="auto" w:fill="auto"/>
          </w:tcPr>
          <w:p w14:paraId="71A4A7BD" w14:textId="77777777" w:rsidR="00764236" w:rsidRDefault="00764236" w:rsidP="00366940">
            <w:pPr>
              <w:pStyle w:val="KMC16-TableHeading"/>
              <w:keepNext/>
            </w:pPr>
            <w:r>
              <w:t>Additional publications</w:t>
            </w:r>
          </w:p>
        </w:tc>
      </w:tr>
      <w:tr w:rsidR="00764236" w:rsidRPr="008123DA" w14:paraId="76330F9E" w14:textId="77777777" w:rsidTr="00764236">
        <w:trPr>
          <w:tblHeader/>
        </w:trPr>
        <w:tc>
          <w:tcPr>
            <w:tcW w:w="784" w:type="pct"/>
            <w:vMerge w:val="restart"/>
            <w:shd w:val="clear" w:color="auto" w:fill="FFFFFF" w:themeFill="background1"/>
          </w:tcPr>
          <w:p w14:paraId="7C9308C0" w14:textId="138DB636" w:rsidR="00764236" w:rsidRPr="00EB0A2C" w:rsidRDefault="00764236" w:rsidP="00366940">
            <w:pPr>
              <w:pStyle w:val="KMC16-Tablecontent"/>
              <w:keepNext/>
            </w:pPr>
            <w:r>
              <w:t>P</w:t>
            </w:r>
            <w:r w:rsidR="008F1289">
              <w:t>harmacokinetic (P</w:t>
            </w:r>
            <w:r>
              <w:t>K</w:t>
            </w:r>
            <w:r w:rsidR="008F1289">
              <w:t>)</w:t>
            </w:r>
            <w:r>
              <w:t xml:space="preserve"> Study</w:t>
            </w:r>
          </w:p>
        </w:tc>
        <w:tc>
          <w:tcPr>
            <w:tcW w:w="1480" w:type="pct"/>
            <w:vMerge w:val="restart"/>
            <w:shd w:val="clear" w:color="auto" w:fill="FFFFFF" w:themeFill="background1"/>
          </w:tcPr>
          <w:p w14:paraId="2FC3BB5E" w14:textId="77777777" w:rsidR="00764236" w:rsidRPr="000364BF" w:rsidRDefault="00764236" w:rsidP="00366940">
            <w:pPr>
              <w:pStyle w:val="KMC16-Tablecontent"/>
              <w:keepNext/>
              <w:rPr>
                <w:color w:val="auto"/>
              </w:rPr>
            </w:pPr>
            <w:r w:rsidRPr="000364BF">
              <w:rPr>
                <w:color w:val="auto"/>
              </w:rPr>
              <w:t xml:space="preserve">CERTARA 2021. PK simulations of ct-p13 in rheumatoid arthritis Patients in support of response to EMA: Reference treatment regimen 1. CSC Reference Number: CELL-PMX-CTP13-2581. </w:t>
            </w:r>
            <w:r w:rsidRPr="000364BF">
              <w:rPr>
                <w:color w:val="auto"/>
              </w:rPr>
              <w:fldChar w:fldCharType="begin"/>
            </w:r>
            <w:r w:rsidRPr="000364BF">
              <w:rPr>
                <w:color w:val="auto"/>
              </w:rPr>
              <w:instrText xml:space="preserve"> ADDIN EN.CITE &lt;EndNote&gt;&lt;Cite&gt;&lt;Author&gt;Certara&lt;/Author&gt;&lt;Year&gt;2021&lt;/Year&gt;&lt;RecNum&gt;51&lt;/RecNum&gt;&lt;DisplayText&gt;(Certara 2021)&lt;/DisplayText&gt;&lt;record&gt;&lt;rec-number&gt;51&lt;/rec-number&gt;&lt;foreign-keys&gt;&lt;key app="EN" db-id="s0w0wdvf35t20qefpx7xfwe55s9svrdss9p5" timestamp="1655681859"&gt;51&lt;/key&gt;&lt;/foreign-keys&gt;&lt;ref-type name="Report"&gt;27&lt;/ref-type&gt;&lt;contributors&gt;&lt;authors&gt;&lt;author&gt;Certara,&lt;/author&gt;&lt;/authors&gt;&lt;/contributors&gt;&lt;titles&gt;&lt;title&gt;Pk simulations of ct-p13 in rheumatoid arthritis Patients in support of response to EMA: Reference treatment regimen 1&lt;/title&gt;&lt;secondary-title&gt;CSC Reference Number: CELL-PMX-CTP13-2581&lt;/secondary-title&gt;&lt;/titles&gt;&lt;dates&gt;&lt;year&gt;2021&lt;/year&gt;&lt;/dates&gt;&lt;urls&gt;&lt;/urls&gt;&lt;/record&gt;&lt;/Cite&gt;&lt;/EndNote&gt;</w:instrText>
            </w:r>
            <w:r w:rsidRPr="000364BF">
              <w:rPr>
                <w:color w:val="auto"/>
              </w:rPr>
              <w:fldChar w:fldCharType="separate"/>
            </w:r>
            <w:r w:rsidRPr="000364BF">
              <w:rPr>
                <w:noProof/>
                <w:color w:val="auto"/>
              </w:rPr>
              <w:t>(</w:t>
            </w:r>
            <w:hyperlink w:anchor="_ENREF_4" w:tooltip="Certara, 2021 #51" w:history="1">
              <w:r w:rsidRPr="000364BF">
                <w:rPr>
                  <w:noProof/>
                  <w:color w:val="auto"/>
                </w:rPr>
                <w:t>Certara 2021</w:t>
              </w:r>
            </w:hyperlink>
            <w:r w:rsidRPr="000364BF">
              <w:rPr>
                <w:noProof/>
                <w:color w:val="auto"/>
              </w:rPr>
              <w:t>)</w:t>
            </w:r>
            <w:r w:rsidRPr="000364BF">
              <w:rPr>
                <w:color w:val="auto"/>
              </w:rPr>
              <w:fldChar w:fldCharType="end"/>
            </w:r>
          </w:p>
        </w:tc>
        <w:tc>
          <w:tcPr>
            <w:tcW w:w="2736" w:type="pct"/>
            <w:shd w:val="clear" w:color="auto" w:fill="FFFFFF" w:themeFill="background1"/>
          </w:tcPr>
          <w:p w14:paraId="02F7C451" w14:textId="7264FCBF" w:rsidR="00764236" w:rsidRPr="000364BF" w:rsidRDefault="00764236" w:rsidP="00366940">
            <w:pPr>
              <w:pStyle w:val="KMC16-Tablecontent"/>
              <w:keepNext/>
              <w:rPr>
                <w:color w:val="auto"/>
              </w:rPr>
            </w:pPr>
            <w:r w:rsidRPr="000364BF">
              <w:rPr>
                <w:color w:val="auto"/>
              </w:rPr>
              <w:t xml:space="preserve">TGA 2021. Therapeutic Goods </w:t>
            </w:r>
            <w:r w:rsidR="00C31DF5" w:rsidRPr="000364BF">
              <w:rPr>
                <w:color w:val="auto"/>
              </w:rPr>
              <w:t>Administration</w:t>
            </w:r>
            <w:r w:rsidRPr="000364BF">
              <w:rPr>
                <w:color w:val="auto"/>
              </w:rPr>
              <w:t xml:space="preserve">. Clinical Evaluation Report, Infliximab, Remsima. Submission number: PM-2021-03776. </w:t>
            </w:r>
            <w:r w:rsidRPr="000364BF">
              <w:rPr>
                <w:color w:val="auto"/>
              </w:rPr>
              <w:fldChar w:fldCharType="begin"/>
            </w:r>
            <w:r w:rsidRPr="000364BF">
              <w:rPr>
                <w:color w:val="auto"/>
              </w:rPr>
              <w:instrText xml:space="preserve"> ADDIN EN.CITE &lt;EndNote&gt;&lt;Cite&gt;&lt;Author&gt;TGA&lt;/Author&gt;&lt;Year&gt;2021&lt;/Year&gt;&lt;RecNum&gt;54&lt;/RecNum&gt;&lt;DisplayText&gt;(TGA 2021)&lt;/DisplayText&gt;&lt;record&gt;&lt;rec-number&gt;54&lt;/rec-number&gt;&lt;foreign-keys&gt;&lt;key app="EN" db-id="2r9srfrfitx0wlevs2mprarv9s25tzpfett9" timestamp="1656453031"&gt;54&lt;/key&gt;&lt;/foreign-keys&gt;&lt;ref-type name="Report"&gt;27&lt;/ref-type&gt;&lt;contributors&gt;&lt;authors&gt;&lt;author&gt;TGA,&lt;/author&gt;&lt;/authors&gt;&lt;/contributors&gt;&lt;titles&gt;&lt;title&gt;Therapeutic Goods Administraton. Clinical Evaluation Report, Infliximab, Remsima.&lt;/title&gt;&lt;secondary-title&gt;Submission number: PM-2021-03776&lt;/secondary-title&gt;&lt;/titles&gt;&lt;dates&gt;&lt;year&gt;2021&lt;/year&gt;&lt;/dates&gt;&lt;urls&gt;&lt;/urls&gt;&lt;/record&gt;&lt;/Cite&gt;&lt;/EndNote&gt;</w:instrText>
            </w:r>
            <w:r w:rsidRPr="000364BF">
              <w:rPr>
                <w:color w:val="auto"/>
              </w:rPr>
              <w:fldChar w:fldCharType="separate"/>
            </w:r>
            <w:r w:rsidRPr="000364BF">
              <w:rPr>
                <w:noProof/>
                <w:color w:val="auto"/>
              </w:rPr>
              <w:t>(</w:t>
            </w:r>
            <w:hyperlink w:anchor="_ENREF_17" w:tooltip="TGA, 2021 #54" w:history="1">
              <w:r w:rsidRPr="000364BF">
                <w:rPr>
                  <w:noProof/>
                  <w:color w:val="auto"/>
                </w:rPr>
                <w:t>TGA 2021</w:t>
              </w:r>
            </w:hyperlink>
            <w:r w:rsidRPr="000364BF">
              <w:rPr>
                <w:noProof/>
                <w:color w:val="auto"/>
              </w:rPr>
              <w:t>)</w:t>
            </w:r>
            <w:r w:rsidRPr="000364BF">
              <w:rPr>
                <w:color w:val="auto"/>
              </w:rPr>
              <w:fldChar w:fldCharType="end"/>
            </w:r>
          </w:p>
        </w:tc>
      </w:tr>
      <w:tr w:rsidR="00764236" w:rsidRPr="008123DA" w14:paraId="01C922F9" w14:textId="77777777" w:rsidTr="00764236">
        <w:trPr>
          <w:tblHeader/>
        </w:trPr>
        <w:tc>
          <w:tcPr>
            <w:tcW w:w="784" w:type="pct"/>
            <w:vMerge/>
            <w:shd w:val="clear" w:color="auto" w:fill="FFFFFF" w:themeFill="background1"/>
          </w:tcPr>
          <w:p w14:paraId="1FEB2972" w14:textId="77777777" w:rsidR="00764236" w:rsidRPr="00EB0A2C" w:rsidRDefault="00764236" w:rsidP="00366940">
            <w:pPr>
              <w:pStyle w:val="KMC16-Tablecontent"/>
              <w:keepNext/>
            </w:pPr>
          </w:p>
        </w:tc>
        <w:tc>
          <w:tcPr>
            <w:tcW w:w="1480" w:type="pct"/>
            <w:vMerge/>
            <w:shd w:val="clear" w:color="auto" w:fill="FFFFFF" w:themeFill="background1"/>
          </w:tcPr>
          <w:p w14:paraId="1BA1CD5D" w14:textId="77777777" w:rsidR="00764236" w:rsidRPr="000364BF" w:rsidRDefault="00764236" w:rsidP="00366940">
            <w:pPr>
              <w:pStyle w:val="KMC16-Tablecontent"/>
              <w:keepNext/>
              <w:rPr>
                <w:color w:val="auto"/>
              </w:rPr>
            </w:pPr>
          </w:p>
        </w:tc>
        <w:tc>
          <w:tcPr>
            <w:tcW w:w="2736" w:type="pct"/>
            <w:shd w:val="clear" w:color="auto" w:fill="FFFFFF" w:themeFill="background1"/>
          </w:tcPr>
          <w:p w14:paraId="29501F2F" w14:textId="77777777" w:rsidR="00764236" w:rsidRPr="000364BF" w:rsidRDefault="00764236" w:rsidP="00366940">
            <w:pPr>
              <w:pStyle w:val="KMC16-Tablecontent"/>
              <w:keepNext/>
              <w:rPr>
                <w:color w:val="auto"/>
              </w:rPr>
            </w:pPr>
            <w:r w:rsidRPr="000364BF">
              <w:rPr>
                <w:color w:val="auto"/>
              </w:rPr>
              <w:t>EUROPEAN MEDICINES AGENCY 2021. Type II variation assessment report: Infliximab (Remsima). European Medicines Agency,.</w:t>
            </w:r>
            <w:r w:rsidRPr="000364BF">
              <w:rPr>
                <w:color w:val="auto"/>
              </w:rPr>
              <w:fldChar w:fldCharType="begin"/>
            </w:r>
            <w:r w:rsidRPr="000364BF">
              <w:rPr>
                <w:color w:val="auto"/>
              </w:rPr>
              <w:instrText xml:space="preserve"> ADDIN EN.CITE &lt;EndNote&gt;&lt;Cite&gt;&lt;Author&gt;European Medicines Agency&lt;/Author&gt;&lt;Year&gt;2021&lt;/Year&gt;&lt;RecNum&gt;52&lt;/RecNum&gt;&lt;DisplayText&gt;(European Medicines Agency 2021)&lt;/DisplayText&gt;&lt;record&gt;&lt;rec-number&gt;52&lt;/rec-number&gt;&lt;foreign-keys&gt;&lt;key app="EN" db-id="s0w0wdvf35t20qefpx7xfwe55s9svrdss9p5" timestamp="1655682132"&gt;52&lt;/key&gt;&lt;/foreign-keys&gt;&lt;ref-type name="Report"&gt;27&lt;/ref-type&gt;&lt;contributors&gt;&lt;authors&gt;&lt;author&gt;European Medicines Agency,&lt;/author&gt;&lt;/authors&gt;&lt;/contributors&gt;&lt;titles&gt;&lt;title&gt;Type II variation assessment report: Infliximab (Remsima)&lt;/title&gt;&lt;/titles&gt;&lt;volume&gt;Procedure No. EMEA/H/C/002576/II/0095&lt;/volume&gt;&lt;dates&gt;&lt;year&gt;2021&lt;/year&gt;&lt;/dates&gt;&lt;publisher&gt;European Medicines Agency,&lt;/publisher&gt;&lt;urls&gt;&lt;/urls&gt;&lt;/record&gt;&lt;/Cite&gt;&lt;/EndNote&gt;</w:instrText>
            </w:r>
            <w:r w:rsidRPr="000364BF">
              <w:rPr>
                <w:color w:val="auto"/>
              </w:rPr>
              <w:fldChar w:fldCharType="separate"/>
            </w:r>
            <w:r w:rsidRPr="000364BF">
              <w:rPr>
                <w:noProof/>
                <w:color w:val="auto"/>
              </w:rPr>
              <w:t>(</w:t>
            </w:r>
            <w:hyperlink w:anchor="_ENREF_9" w:tooltip="European Medicines Agency, 2021 #52" w:history="1">
              <w:r w:rsidRPr="000364BF">
                <w:rPr>
                  <w:noProof/>
                  <w:color w:val="auto"/>
                </w:rPr>
                <w:t>European Medicines Agency 2021</w:t>
              </w:r>
            </w:hyperlink>
            <w:r w:rsidRPr="000364BF">
              <w:rPr>
                <w:noProof/>
                <w:color w:val="auto"/>
              </w:rPr>
              <w:t>)</w:t>
            </w:r>
            <w:r w:rsidRPr="000364BF">
              <w:rPr>
                <w:color w:val="auto"/>
              </w:rPr>
              <w:fldChar w:fldCharType="end"/>
            </w:r>
          </w:p>
        </w:tc>
      </w:tr>
      <w:tr w:rsidR="00764236" w:rsidRPr="008123DA" w14:paraId="5D057D3F" w14:textId="77777777" w:rsidTr="00764236">
        <w:trPr>
          <w:tblHeader/>
        </w:trPr>
        <w:tc>
          <w:tcPr>
            <w:tcW w:w="784" w:type="pct"/>
            <w:vMerge/>
            <w:shd w:val="clear" w:color="auto" w:fill="FFFFFF" w:themeFill="background1"/>
          </w:tcPr>
          <w:p w14:paraId="1C4F5638" w14:textId="77777777" w:rsidR="00764236" w:rsidRPr="00EB0A2C" w:rsidRDefault="00764236" w:rsidP="00366940">
            <w:pPr>
              <w:pStyle w:val="KMC16-Tablecontent"/>
              <w:keepNext/>
            </w:pPr>
          </w:p>
        </w:tc>
        <w:tc>
          <w:tcPr>
            <w:tcW w:w="1480" w:type="pct"/>
            <w:vMerge/>
            <w:shd w:val="clear" w:color="auto" w:fill="FFFFFF" w:themeFill="background1"/>
          </w:tcPr>
          <w:p w14:paraId="2AAB58D2" w14:textId="77777777" w:rsidR="00764236" w:rsidRPr="000364BF" w:rsidRDefault="00764236" w:rsidP="00366940">
            <w:pPr>
              <w:pStyle w:val="KMC16-Tablecontent"/>
              <w:keepNext/>
              <w:rPr>
                <w:color w:val="auto"/>
              </w:rPr>
            </w:pPr>
          </w:p>
        </w:tc>
        <w:tc>
          <w:tcPr>
            <w:tcW w:w="2736" w:type="pct"/>
            <w:shd w:val="clear" w:color="auto" w:fill="FFFFFF" w:themeFill="background1"/>
          </w:tcPr>
          <w:p w14:paraId="0A7B3CCB" w14:textId="77777777" w:rsidR="00764236" w:rsidRPr="000364BF" w:rsidRDefault="00764236" w:rsidP="00366940">
            <w:pPr>
              <w:pStyle w:val="KMC16-Tablecontent"/>
              <w:keepNext/>
              <w:rPr>
                <w:color w:val="auto"/>
              </w:rPr>
            </w:pPr>
            <w:r w:rsidRPr="000364BF">
              <w:rPr>
                <w:color w:val="auto"/>
              </w:rPr>
              <w:t>CELLTRION 2022. Population PK and PK-PD Modelling and Simulation (PowerPoint). Celltrion.</w:t>
            </w:r>
          </w:p>
          <w:p w14:paraId="34D7FCAE" w14:textId="77777777" w:rsidR="00764236" w:rsidRPr="000364BF" w:rsidRDefault="00764236" w:rsidP="00366940">
            <w:pPr>
              <w:pStyle w:val="KMC16-Tablecontent"/>
              <w:keepNext/>
              <w:rPr>
                <w:color w:val="auto"/>
              </w:rPr>
            </w:pPr>
            <w:r w:rsidRPr="000364BF">
              <w:rPr>
                <w:color w:val="auto"/>
              </w:rPr>
              <w:fldChar w:fldCharType="begin"/>
            </w:r>
            <w:r w:rsidRPr="000364BF">
              <w:rPr>
                <w:color w:val="auto"/>
              </w:rPr>
              <w:instrText xml:space="preserve"> ADDIN EN.CITE &lt;EndNote&gt;&lt;Cite&gt;&lt;Author&gt;Celltrion&lt;/Author&gt;&lt;Year&gt;2022&lt;/Year&gt;&lt;RecNum&gt;53&lt;/RecNum&gt;&lt;DisplayText&gt;(Celltrion 2022)&lt;/DisplayText&gt;&lt;record&gt;&lt;rec-number&gt;53&lt;/rec-number&gt;&lt;foreign-keys&gt;&lt;key app="EN" db-id="s0w0wdvf35t20qefpx7xfwe55s9svrdss9p5" timestamp="1655683890"&gt;53&lt;/key&gt;&lt;/foreign-keys&gt;&lt;ref-type name="Audiovisual Material"&gt;3&lt;/ref-type&gt;&lt;contributors&gt;&lt;authors&gt;&lt;author&gt;Celltrion,&lt;/author&gt;&lt;/authors&gt;&lt;/contributors&gt;&lt;titles&gt;&lt;title&gt;Population PK and PK-PD Modelling and Simulation (PowerPoint)&lt;/title&gt;&lt;/titles&gt;&lt;dates&gt;&lt;year&gt;2022&lt;/year&gt;&lt;pub-dates&gt;&lt;date&gt;25/02/2022&lt;/date&gt;&lt;/pub-dates&gt;&lt;/dates&gt;&lt;publisher&gt;Celltrion&lt;/publisher&gt;&lt;urls&gt;&lt;/urls&gt;&lt;/record&gt;&lt;/Cite&gt;&lt;/EndNote&gt;</w:instrText>
            </w:r>
            <w:r w:rsidRPr="000364BF">
              <w:rPr>
                <w:color w:val="auto"/>
              </w:rPr>
              <w:fldChar w:fldCharType="separate"/>
            </w:r>
            <w:r w:rsidRPr="000364BF">
              <w:rPr>
                <w:noProof/>
                <w:color w:val="auto"/>
              </w:rPr>
              <w:t>(</w:t>
            </w:r>
            <w:hyperlink w:anchor="_ENREF_3" w:tooltip="Celltrion, 2022 #53" w:history="1">
              <w:r w:rsidRPr="000364BF">
                <w:rPr>
                  <w:noProof/>
                  <w:color w:val="auto"/>
                </w:rPr>
                <w:t>Celltrion 2022</w:t>
              </w:r>
            </w:hyperlink>
            <w:r w:rsidRPr="000364BF">
              <w:rPr>
                <w:noProof/>
                <w:color w:val="auto"/>
              </w:rPr>
              <w:t>)</w:t>
            </w:r>
            <w:r w:rsidRPr="000364BF">
              <w:rPr>
                <w:color w:val="auto"/>
              </w:rPr>
              <w:fldChar w:fldCharType="end"/>
            </w:r>
          </w:p>
        </w:tc>
      </w:tr>
    </w:tbl>
    <w:bookmarkEnd w:id="13"/>
    <w:p w14:paraId="1959521E" w14:textId="2AFDBD38" w:rsidR="00764236" w:rsidRPr="00545130" w:rsidRDefault="00764236" w:rsidP="00366940">
      <w:pPr>
        <w:pStyle w:val="TableFooter"/>
        <w:keepNext/>
        <w:spacing w:after="120"/>
      </w:pPr>
      <w:r>
        <w:t>Source: Table 2-5, p27 of the submission</w:t>
      </w:r>
    </w:p>
    <w:bookmarkEnd w:id="8"/>
    <w:p w14:paraId="5D8145F0" w14:textId="47F24E1C" w:rsidR="00D14E4A" w:rsidRPr="00E74DF5" w:rsidRDefault="00622087" w:rsidP="00E74DF5">
      <w:pPr>
        <w:pStyle w:val="3Bodytext"/>
        <w:rPr>
          <w:bCs/>
        </w:rPr>
      </w:pPr>
      <w:r>
        <w:rPr>
          <w:bCs/>
        </w:rPr>
        <w:t xml:space="preserve">The TGA Clinical Evaluator </w:t>
      </w:r>
      <w:r w:rsidR="004F6FD3">
        <w:rPr>
          <w:bCs/>
        </w:rPr>
        <w:t>(TGA Clinical Evaluation Report)</w:t>
      </w:r>
      <w:r w:rsidR="00C545E9">
        <w:rPr>
          <w:bCs/>
        </w:rPr>
        <w:t xml:space="preserve"> noted that</w:t>
      </w:r>
      <w:r w:rsidR="00D362AC">
        <w:rPr>
          <w:bCs/>
        </w:rPr>
        <w:t xml:space="preserve"> </w:t>
      </w:r>
      <w:r w:rsidR="00C545E9">
        <w:rPr>
          <w:bCs/>
        </w:rPr>
        <w:t>a</w:t>
      </w:r>
      <w:r w:rsidR="004F6FD3" w:rsidRPr="00C545E9">
        <w:rPr>
          <w:bCs/>
        </w:rPr>
        <w:t>lthough no clinical studies have been conducted with the proposed SC only dosing regimen,</w:t>
      </w:r>
      <w:r w:rsidR="00C545E9">
        <w:rPr>
          <w:bCs/>
        </w:rPr>
        <w:t xml:space="preserve"> population pharmacokinetic </w:t>
      </w:r>
      <w:r w:rsidR="004F6FD3" w:rsidRPr="00D362AC">
        <w:rPr>
          <w:bCs/>
        </w:rPr>
        <w:t>simulations indicate that this new posology most closely mimics infliximab exposure over the first 14 weeks following the previously TGA approved dosing regimen combining IV loading doses</w:t>
      </w:r>
      <w:r w:rsidR="00120FE3">
        <w:rPr>
          <w:bCs/>
        </w:rPr>
        <w:t xml:space="preserve"> (3</w:t>
      </w:r>
      <w:r w:rsidR="003C69E3">
        <w:rPr>
          <w:bCs/>
        </w:rPr>
        <w:t> </w:t>
      </w:r>
      <w:r w:rsidR="00120FE3">
        <w:rPr>
          <w:bCs/>
        </w:rPr>
        <w:t>mg/kg)</w:t>
      </w:r>
      <w:r w:rsidR="004F6FD3" w:rsidRPr="00D362AC">
        <w:rPr>
          <w:bCs/>
        </w:rPr>
        <w:t xml:space="preserve"> with SC maintenance dosing. </w:t>
      </w:r>
      <w:r w:rsidR="008F1289" w:rsidRPr="00E74DF5">
        <w:t>In consideration of the evidence, t</w:t>
      </w:r>
      <w:r w:rsidR="00764236" w:rsidRPr="00E74DF5">
        <w:t xml:space="preserve">he TGA Clinical Evaluator </w:t>
      </w:r>
      <w:r w:rsidR="00D14E4A" w:rsidRPr="00E74DF5">
        <w:rPr>
          <w:bCs/>
        </w:rPr>
        <w:t>recommended that</w:t>
      </w:r>
      <w:r w:rsidR="006E1413">
        <w:rPr>
          <w:bCs/>
        </w:rPr>
        <w:t xml:space="preserve"> IFX</w:t>
      </w:r>
      <w:r>
        <w:rPr>
          <w:bCs/>
        </w:rPr>
        <w:t xml:space="preserve"> SC</w:t>
      </w:r>
      <w:r w:rsidR="00D14E4A" w:rsidRPr="00E74DF5">
        <w:rPr>
          <w:bCs/>
        </w:rPr>
        <w:t xml:space="preserve"> be approved to be administered without IV induction by SC injection at a dose of 120</w:t>
      </w:r>
      <w:r w:rsidR="00FF29B9">
        <w:rPr>
          <w:bCs/>
        </w:rPr>
        <w:t> </w:t>
      </w:r>
      <w:r w:rsidR="00D14E4A" w:rsidRPr="00E74DF5">
        <w:rPr>
          <w:bCs/>
        </w:rPr>
        <w:t>mg at Weeks 0, 1, 2, 3, 4 and</w:t>
      </w:r>
      <w:r w:rsidR="00A07459">
        <w:rPr>
          <w:bCs/>
        </w:rPr>
        <w:t xml:space="preserve"> every two weeks</w:t>
      </w:r>
      <w:r w:rsidR="00D14E4A" w:rsidRPr="00E74DF5">
        <w:rPr>
          <w:bCs/>
        </w:rPr>
        <w:t xml:space="preserve"> thereafter.</w:t>
      </w:r>
    </w:p>
    <w:p w14:paraId="2CDF3682" w14:textId="6D3BC57D" w:rsidR="00C27C1C" w:rsidRPr="008306F3" w:rsidRDefault="00C27C1C" w:rsidP="00C27C1C">
      <w:pPr>
        <w:pStyle w:val="4-SubsectionHeading"/>
        <w:rPr>
          <w:lang w:eastAsia="en-US"/>
        </w:rPr>
      </w:pPr>
      <w:r w:rsidRPr="003C2FB5">
        <w:rPr>
          <w:lang w:eastAsia="en-US"/>
        </w:rPr>
        <w:t>Clinical claim</w:t>
      </w:r>
    </w:p>
    <w:p w14:paraId="6504DECC" w14:textId="52B36F33" w:rsidR="00DF3A27" w:rsidRPr="003B0CCC" w:rsidRDefault="00C27C1C" w:rsidP="00DF3A27">
      <w:pPr>
        <w:pStyle w:val="3Bodytext"/>
      </w:pPr>
      <w:r w:rsidRPr="003C2FB5">
        <w:t xml:space="preserve">The submission </w:t>
      </w:r>
      <w:r w:rsidRPr="0089332E">
        <w:t>claimed non-inferior comparative effectiveness and safety of</w:t>
      </w:r>
      <w:r w:rsidR="0089332E" w:rsidRPr="0089332E">
        <w:t xml:space="preserve"> IFX SC </w:t>
      </w:r>
      <w:r w:rsidR="000364BF">
        <w:t>loading doses</w:t>
      </w:r>
      <w:r w:rsidR="000364BF" w:rsidRPr="0089332E">
        <w:t xml:space="preserve"> </w:t>
      </w:r>
      <w:r w:rsidRPr="0089332E">
        <w:t>compared with</w:t>
      </w:r>
      <w:r w:rsidR="0089332E" w:rsidRPr="0089332E">
        <w:t xml:space="preserve"> IF</w:t>
      </w:r>
      <w:r w:rsidR="000364BF">
        <w:t>X</w:t>
      </w:r>
      <w:r w:rsidR="0089332E" w:rsidRPr="0089332E">
        <w:t xml:space="preserve"> IV induction</w:t>
      </w:r>
      <w:r w:rsidR="0056076D">
        <w:t xml:space="preserve"> doses</w:t>
      </w:r>
      <w:r w:rsidRPr="0089332E">
        <w:rPr>
          <w:i/>
        </w:rPr>
        <w:t xml:space="preserve">. </w:t>
      </w:r>
    </w:p>
    <w:p w14:paraId="48BDE2E6" w14:textId="0A7AA44E" w:rsidR="003B0CCC" w:rsidRPr="003B0CCC" w:rsidRDefault="003B0CCC" w:rsidP="003B0CCC">
      <w:pPr>
        <w:widowControl w:val="0"/>
        <w:numPr>
          <w:ilvl w:val="1"/>
          <w:numId w:val="2"/>
        </w:numPr>
        <w:spacing w:after="120"/>
        <w:rPr>
          <w:rFonts w:asciiTheme="minorHAnsi" w:hAnsiTheme="minorHAnsi" w:cs="Arial"/>
          <w:snapToGrid w:val="0"/>
          <w:szCs w:val="20"/>
        </w:rPr>
      </w:pPr>
      <w:bookmarkStart w:id="14" w:name="_Hlk76376200"/>
      <w:r w:rsidRPr="003B0CCC">
        <w:rPr>
          <w:rFonts w:asciiTheme="minorHAnsi" w:hAnsiTheme="minorHAnsi" w:cs="Arial"/>
          <w:iCs/>
          <w:snapToGrid w:val="0"/>
        </w:rPr>
        <w:t>The</w:t>
      </w:r>
      <w:r w:rsidRPr="003B0CCC">
        <w:rPr>
          <w:rFonts w:asciiTheme="minorHAnsi" w:hAnsiTheme="minorHAnsi" w:cs="Arial"/>
          <w:snapToGrid w:val="0"/>
          <w:szCs w:val="20"/>
        </w:rPr>
        <w:t xml:space="preserve"> PBAC </w:t>
      </w:r>
      <w:r w:rsidR="00D362AC">
        <w:rPr>
          <w:rFonts w:asciiTheme="minorHAnsi" w:hAnsiTheme="minorHAnsi" w:cs="Arial"/>
          <w:snapToGrid w:val="0"/>
          <w:szCs w:val="20"/>
        </w:rPr>
        <w:t xml:space="preserve">noted no clinical data was presented; however </w:t>
      </w:r>
      <w:r w:rsidRPr="003B0CCC">
        <w:rPr>
          <w:rFonts w:asciiTheme="minorHAnsi" w:hAnsiTheme="minorHAnsi" w:cs="Arial"/>
          <w:snapToGrid w:val="0"/>
          <w:szCs w:val="20"/>
        </w:rPr>
        <w:t>considered that</w:t>
      </w:r>
      <w:r w:rsidR="00D362AC">
        <w:rPr>
          <w:rFonts w:asciiTheme="minorHAnsi" w:hAnsiTheme="minorHAnsi" w:cs="Arial"/>
          <w:snapToGrid w:val="0"/>
          <w:szCs w:val="20"/>
        </w:rPr>
        <w:t xml:space="preserve">, overall, </w:t>
      </w:r>
      <w:r w:rsidRPr="003B0CCC">
        <w:rPr>
          <w:rFonts w:asciiTheme="minorHAnsi" w:hAnsiTheme="minorHAnsi" w:cs="Arial"/>
          <w:snapToGrid w:val="0"/>
          <w:szCs w:val="20"/>
        </w:rPr>
        <w:t xml:space="preserve">the claim of non-inferior comparative effectiveness and safety was </w:t>
      </w:r>
      <w:r w:rsidR="00D362AC">
        <w:rPr>
          <w:rFonts w:asciiTheme="minorHAnsi" w:hAnsiTheme="minorHAnsi" w:cs="Arial"/>
          <w:snapToGrid w:val="0"/>
          <w:szCs w:val="20"/>
        </w:rPr>
        <w:t xml:space="preserve">likely to be </w:t>
      </w:r>
      <w:r w:rsidRPr="003B0CCC">
        <w:rPr>
          <w:rFonts w:asciiTheme="minorHAnsi" w:hAnsiTheme="minorHAnsi" w:cs="Arial"/>
          <w:snapToGrid w:val="0"/>
          <w:szCs w:val="20"/>
        </w:rPr>
        <w:t>reasonable.</w:t>
      </w:r>
      <w:bookmarkEnd w:id="14"/>
    </w:p>
    <w:p w14:paraId="45D181E4" w14:textId="77777777" w:rsidR="00C27C1C" w:rsidRDefault="00C27C1C" w:rsidP="00C27C1C">
      <w:pPr>
        <w:pStyle w:val="4-SubsectionHeading"/>
        <w:rPr>
          <w:lang w:eastAsia="en-US"/>
        </w:rPr>
      </w:pPr>
      <w:r w:rsidRPr="003C2FB5">
        <w:rPr>
          <w:lang w:eastAsia="en-US"/>
        </w:rPr>
        <w:t>Economic analysis</w:t>
      </w:r>
      <w:r>
        <w:rPr>
          <w:lang w:eastAsia="en-US"/>
        </w:rPr>
        <w:t xml:space="preserve"> </w:t>
      </w:r>
    </w:p>
    <w:p w14:paraId="594FCBFC" w14:textId="3791FB74" w:rsidR="00C27C1C" w:rsidRPr="00401F8B" w:rsidRDefault="00C27C1C" w:rsidP="00C27C1C">
      <w:pPr>
        <w:pStyle w:val="3Bodytext"/>
        <w:rPr>
          <w:rFonts w:cstheme="minorHAnsi"/>
          <w:iCs/>
          <w:szCs w:val="24"/>
        </w:rPr>
      </w:pPr>
      <w:r w:rsidRPr="00401F8B">
        <w:rPr>
          <w:iCs/>
        </w:rPr>
        <w:t>As a Category 3 submission, the economic analysis has not been independently evaluated.</w:t>
      </w:r>
    </w:p>
    <w:p w14:paraId="1A7CAF7D" w14:textId="3A0CAF8D" w:rsidR="00EF4580" w:rsidRPr="00FE2C04" w:rsidRDefault="00C27C1C" w:rsidP="007759C4">
      <w:pPr>
        <w:pStyle w:val="3Bodytext"/>
        <w:rPr>
          <w:rFonts w:cstheme="minorHAnsi"/>
          <w:szCs w:val="24"/>
        </w:rPr>
      </w:pPr>
      <w:r w:rsidRPr="00917D69">
        <w:t>The submission presented a cost-minimisation</w:t>
      </w:r>
      <w:r w:rsidR="00D362AC">
        <w:t xml:space="preserve"> approach</w:t>
      </w:r>
      <w:r w:rsidRPr="00917D69">
        <w:t xml:space="preserve"> of </w:t>
      </w:r>
      <w:r w:rsidR="008F1289">
        <w:t xml:space="preserve">IFX SC </w:t>
      </w:r>
      <w:r w:rsidR="00192E1E">
        <w:t xml:space="preserve">loading doses </w:t>
      </w:r>
      <w:r w:rsidRPr="00917D69">
        <w:t xml:space="preserve">compared with </w:t>
      </w:r>
      <w:r w:rsidR="008F1289">
        <w:t>IFX IV induction</w:t>
      </w:r>
      <w:r w:rsidR="00873DC8">
        <w:t xml:space="preserve"> </w:t>
      </w:r>
      <w:r w:rsidR="0056076D">
        <w:t xml:space="preserve">doses </w:t>
      </w:r>
      <w:r w:rsidR="00873DC8">
        <w:t>over the first 6 weeks of treatment</w:t>
      </w:r>
      <w:r w:rsidR="008F1289">
        <w:t>.</w:t>
      </w:r>
      <w:r w:rsidRPr="00917D69">
        <w:t xml:space="preserve"> The equi-effective doses were estimated as</w:t>
      </w:r>
      <w:r w:rsidR="00192E1E">
        <w:t xml:space="preserve"> IFX</w:t>
      </w:r>
      <w:r w:rsidR="007759C4">
        <w:t xml:space="preserve"> SC</w:t>
      </w:r>
      <w:r w:rsidRPr="00917D69">
        <w:t xml:space="preserve"> </w:t>
      </w:r>
      <w:r w:rsidR="007759C4">
        <w:t>120 </w:t>
      </w:r>
      <w:r w:rsidRPr="00917D69">
        <w:t>m</w:t>
      </w:r>
      <w:r w:rsidR="007759C4">
        <w:t>g at weeks 0, 1, 2, 3, and 4</w:t>
      </w:r>
      <w:r w:rsidR="00192E1E">
        <w:t>,</w:t>
      </w:r>
      <w:r w:rsidRPr="00917D69">
        <w:t xml:space="preserve"> and</w:t>
      </w:r>
      <w:r w:rsidR="00192E1E">
        <w:t xml:space="preserve"> IFX</w:t>
      </w:r>
      <w:r w:rsidR="007759C4">
        <w:t xml:space="preserve"> IV 3</w:t>
      </w:r>
      <w:r w:rsidR="00FD2835">
        <w:t> </w:t>
      </w:r>
      <w:r w:rsidR="007759C4">
        <w:t xml:space="preserve">mg/kg at weeks 0 and 2. </w:t>
      </w:r>
    </w:p>
    <w:p w14:paraId="3B3566BA" w14:textId="2DCDF545" w:rsidR="0083184B" w:rsidRPr="00715F47" w:rsidRDefault="0083184B" w:rsidP="00AD2DB2">
      <w:pPr>
        <w:pStyle w:val="3Bodytext"/>
        <w:keepNext/>
        <w:numPr>
          <w:ilvl w:val="0"/>
          <w:numId w:val="0"/>
        </w:numPr>
        <w:spacing w:after="0"/>
        <w:rPr>
          <w:rFonts w:cstheme="minorHAnsi"/>
          <w:b/>
          <w:sz w:val="28"/>
          <w:szCs w:val="24"/>
        </w:rPr>
      </w:pPr>
      <w:r w:rsidRPr="00715F47">
        <w:rPr>
          <w:rStyle w:val="CommentReference"/>
          <w:rFonts w:ascii="Arial Narrow" w:hAnsi="Arial Narrow"/>
          <w:b/>
          <w:sz w:val="20"/>
        </w:rPr>
        <w:t xml:space="preserve">Table </w:t>
      </w:r>
      <w:r w:rsidR="00450370">
        <w:rPr>
          <w:rStyle w:val="CommentReference"/>
          <w:rFonts w:ascii="Arial Narrow" w:hAnsi="Arial Narrow"/>
          <w:b/>
          <w:sz w:val="20"/>
        </w:rPr>
        <w:t>3</w:t>
      </w:r>
      <w:r w:rsidRPr="00AF01AC">
        <w:rPr>
          <w:rStyle w:val="CommentReference"/>
          <w:rFonts w:ascii="Arial Narrow" w:hAnsi="Arial Narrow"/>
          <w:sz w:val="20"/>
        </w:rPr>
        <w:t xml:space="preserve">: </w:t>
      </w:r>
      <w:r w:rsidRPr="00AF01AC">
        <w:rPr>
          <w:rStyle w:val="CommentReference"/>
          <w:rFonts w:ascii="Arial Narrow" w:hAnsi="Arial Narrow"/>
          <w:b/>
          <w:sz w:val="20"/>
        </w:rPr>
        <w:t xml:space="preserve">IFX </w:t>
      </w:r>
      <w:r w:rsidR="00AF01AC" w:rsidRPr="00AF01AC">
        <w:rPr>
          <w:rStyle w:val="CommentReference"/>
          <w:rFonts w:ascii="Arial Narrow" w:hAnsi="Arial Narrow"/>
          <w:b/>
          <w:sz w:val="20"/>
        </w:rPr>
        <w:t xml:space="preserve">SC </w:t>
      </w:r>
      <w:r w:rsidR="00F13C07">
        <w:rPr>
          <w:rStyle w:val="CommentReference"/>
          <w:rFonts w:ascii="Arial Narrow" w:hAnsi="Arial Narrow"/>
          <w:b/>
          <w:sz w:val="20"/>
        </w:rPr>
        <w:t>loading doses cost-minimised</w:t>
      </w:r>
      <w:r w:rsidR="00AF01AC" w:rsidRPr="00AF01AC">
        <w:rPr>
          <w:rStyle w:val="CommentReference"/>
          <w:rFonts w:ascii="Arial Narrow" w:hAnsi="Arial Narrow"/>
          <w:b/>
          <w:sz w:val="20"/>
        </w:rPr>
        <w:t xml:space="preserve"> to </w:t>
      </w:r>
      <w:r w:rsidR="00FE2C04">
        <w:rPr>
          <w:rStyle w:val="CommentReference"/>
          <w:rFonts w:ascii="Arial Narrow" w:hAnsi="Arial Narrow"/>
          <w:b/>
          <w:sz w:val="20"/>
        </w:rPr>
        <w:t xml:space="preserve">IFX </w:t>
      </w:r>
      <w:r w:rsidR="00AF01AC" w:rsidRPr="00AF01AC">
        <w:rPr>
          <w:rStyle w:val="CommentReference"/>
          <w:rFonts w:ascii="Arial Narrow" w:hAnsi="Arial Narrow"/>
          <w:b/>
          <w:sz w:val="20"/>
        </w:rPr>
        <w:t>IV induction</w:t>
      </w:r>
      <w:r w:rsidR="00C05680">
        <w:rPr>
          <w:rStyle w:val="CommentReference"/>
          <w:rFonts w:ascii="Arial Narrow" w:hAnsi="Arial Narrow"/>
          <w:b/>
          <w:sz w:val="20"/>
        </w:rPr>
        <w:t xml:space="preserve"> doses</w:t>
      </w:r>
      <w:r w:rsidR="00F9754F">
        <w:rPr>
          <w:rStyle w:val="CommentReference"/>
          <w:rFonts w:ascii="Arial Narrow" w:hAnsi="Arial Narrow"/>
          <w:b/>
          <w:sz w:val="20"/>
        </w:rPr>
        <w:t xml:space="preserve"> for RA</w:t>
      </w:r>
    </w:p>
    <w:tbl>
      <w:tblPr>
        <w:tblStyle w:val="TableGrid"/>
        <w:tblW w:w="5000" w:type="pct"/>
        <w:tblLook w:val="04A0" w:firstRow="1" w:lastRow="0" w:firstColumn="1" w:lastColumn="0" w:noHBand="0" w:noVBand="1"/>
      </w:tblPr>
      <w:tblGrid>
        <w:gridCol w:w="3120"/>
        <w:gridCol w:w="2946"/>
        <w:gridCol w:w="2950"/>
      </w:tblGrid>
      <w:tr w:rsidR="0083184B" w:rsidRPr="007D2E98" w14:paraId="7BD3CDF0" w14:textId="77777777" w:rsidTr="00AD6A17">
        <w:trPr>
          <w:trHeight w:val="255"/>
        </w:trPr>
        <w:tc>
          <w:tcPr>
            <w:tcW w:w="1730" w:type="pct"/>
            <w:vAlign w:val="center"/>
          </w:tcPr>
          <w:p w14:paraId="0AB2B2CF" w14:textId="441F4096" w:rsidR="0083184B" w:rsidRPr="007D2E98" w:rsidRDefault="0083184B" w:rsidP="00AD6A17">
            <w:pPr>
              <w:keepNext/>
              <w:jc w:val="left"/>
              <w:rPr>
                <w:rFonts w:ascii="Arial Narrow" w:hAnsi="Arial Narrow"/>
                <w:sz w:val="20"/>
              </w:rPr>
            </w:pPr>
          </w:p>
        </w:tc>
        <w:tc>
          <w:tcPr>
            <w:tcW w:w="1634" w:type="pct"/>
            <w:vAlign w:val="center"/>
          </w:tcPr>
          <w:p w14:paraId="04825C63" w14:textId="0EFFB29E" w:rsidR="0083184B" w:rsidRPr="00134CE7" w:rsidRDefault="0083184B" w:rsidP="00AD6A17">
            <w:pPr>
              <w:keepNext/>
              <w:jc w:val="left"/>
              <w:rPr>
                <w:rFonts w:ascii="Arial Narrow" w:hAnsi="Arial Narrow"/>
                <w:b/>
                <w:sz w:val="20"/>
              </w:rPr>
            </w:pPr>
            <w:r>
              <w:rPr>
                <w:rFonts w:ascii="Arial Narrow" w:hAnsi="Arial Narrow"/>
                <w:b/>
                <w:sz w:val="20"/>
              </w:rPr>
              <w:t>IFX SC</w:t>
            </w:r>
          </w:p>
        </w:tc>
        <w:tc>
          <w:tcPr>
            <w:tcW w:w="1636" w:type="pct"/>
            <w:vAlign w:val="center"/>
          </w:tcPr>
          <w:p w14:paraId="181EE363" w14:textId="3AC3A9DC" w:rsidR="0083184B" w:rsidRPr="00134CE7" w:rsidRDefault="0083184B" w:rsidP="00AD6A17">
            <w:pPr>
              <w:keepNext/>
              <w:jc w:val="left"/>
              <w:rPr>
                <w:rFonts w:ascii="Arial Narrow" w:hAnsi="Arial Narrow"/>
                <w:b/>
                <w:sz w:val="20"/>
              </w:rPr>
            </w:pPr>
            <w:r>
              <w:rPr>
                <w:rFonts w:ascii="Arial Narrow" w:hAnsi="Arial Narrow"/>
                <w:b/>
                <w:sz w:val="20"/>
              </w:rPr>
              <w:t>IFX IV</w:t>
            </w:r>
          </w:p>
        </w:tc>
      </w:tr>
      <w:tr w:rsidR="0083184B" w:rsidRPr="007D2E98" w14:paraId="6BE87503" w14:textId="77777777" w:rsidTr="00AD6A17">
        <w:trPr>
          <w:trHeight w:val="255"/>
        </w:trPr>
        <w:tc>
          <w:tcPr>
            <w:tcW w:w="1730" w:type="pct"/>
            <w:vAlign w:val="center"/>
          </w:tcPr>
          <w:p w14:paraId="07906707" w14:textId="77777777" w:rsidR="0083184B" w:rsidRPr="007D2E98" w:rsidRDefault="0083184B" w:rsidP="00AD6A17">
            <w:pPr>
              <w:keepNext/>
              <w:jc w:val="left"/>
              <w:rPr>
                <w:rFonts w:ascii="Arial Narrow" w:hAnsi="Arial Narrow"/>
                <w:sz w:val="20"/>
              </w:rPr>
            </w:pPr>
            <w:r>
              <w:rPr>
                <w:rFonts w:ascii="Arial Narrow" w:hAnsi="Arial Narrow"/>
                <w:sz w:val="20"/>
              </w:rPr>
              <w:t xml:space="preserve">Dose </w:t>
            </w:r>
          </w:p>
        </w:tc>
        <w:tc>
          <w:tcPr>
            <w:tcW w:w="1634" w:type="pct"/>
            <w:vAlign w:val="center"/>
          </w:tcPr>
          <w:p w14:paraId="49CD2E51" w14:textId="4E26C959" w:rsidR="0083184B" w:rsidRPr="007D2E98" w:rsidRDefault="0083184B" w:rsidP="00AD6A17">
            <w:pPr>
              <w:keepNext/>
              <w:jc w:val="left"/>
              <w:rPr>
                <w:rFonts w:ascii="Arial Narrow" w:hAnsi="Arial Narrow"/>
                <w:sz w:val="20"/>
              </w:rPr>
            </w:pPr>
            <w:r>
              <w:rPr>
                <w:rFonts w:ascii="Arial Narrow" w:hAnsi="Arial Narrow"/>
                <w:sz w:val="20"/>
              </w:rPr>
              <w:t xml:space="preserve">120 mg SC injection </w:t>
            </w:r>
          </w:p>
        </w:tc>
        <w:tc>
          <w:tcPr>
            <w:tcW w:w="1636" w:type="pct"/>
            <w:vAlign w:val="center"/>
          </w:tcPr>
          <w:p w14:paraId="5F76AACC" w14:textId="3841F4CD" w:rsidR="0083184B" w:rsidRPr="007D2E98" w:rsidRDefault="0083184B" w:rsidP="00AD6A17">
            <w:pPr>
              <w:keepNext/>
              <w:jc w:val="left"/>
              <w:rPr>
                <w:rFonts w:ascii="Arial Narrow" w:hAnsi="Arial Narrow"/>
                <w:sz w:val="20"/>
              </w:rPr>
            </w:pPr>
            <w:r>
              <w:rPr>
                <w:rFonts w:ascii="Arial Narrow" w:hAnsi="Arial Narrow"/>
                <w:sz w:val="20"/>
              </w:rPr>
              <w:t xml:space="preserve">3 mg/ kg </w:t>
            </w:r>
            <w:r w:rsidR="0061219D">
              <w:rPr>
                <w:rFonts w:ascii="Arial Narrow" w:hAnsi="Arial Narrow"/>
                <w:sz w:val="20"/>
              </w:rPr>
              <w:t>IV</w:t>
            </w:r>
            <w:r>
              <w:rPr>
                <w:rFonts w:ascii="Arial Narrow" w:hAnsi="Arial Narrow"/>
                <w:sz w:val="20"/>
              </w:rPr>
              <w:t xml:space="preserve"> infusion</w:t>
            </w:r>
          </w:p>
        </w:tc>
      </w:tr>
      <w:tr w:rsidR="0083184B" w:rsidRPr="007D2E98" w14:paraId="4D54CD72" w14:textId="77777777" w:rsidTr="00AD6A17">
        <w:trPr>
          <w:trHeight w:val="255"/>
        </w:trPr>
        <w:tc>
          <w:tcPr>
            <w:tcW w:w="1730" w:type="pct"/>
            <w:vAlign w:val="center"/>
          </w:tcPr>
          <w:p w14:paraId="64507BA8" w14:textId="38FBEA74" w:rsidR="0083184B" w:rsidRDefault="0083184B" w:rsidP="00AD6A17">
            <w:pPr>
              <w:keepNext/>
              <w:jc w:val="left"/>
              <w:rPr>
                <w:rFonts w:ascii="Arial Narrow" w:hAnsi="Arial Narrow"/>
                <w:sz w:val="20"/>
              </w:rPr>
            </w:pPr>
            <w:r>
              <w:rPr>
                <w:rFonts w:ascii="Arial Narrow" w:hAnsi="Arial Narrow"/>
                <w:sz w:val="20"/>
              </w:rPr>
              <w:t>Dose regimen</w:t>
            </w:r>
          </w:p>
        </w:tc>
        <w:tc>
          <w:tcPr>
            <w:tcW w:w="1634" w:type="pct"/>
            <w:vAlign w:val="center"/>
          </w:tcPr>
          <w:p w14:paraId="7EA4DB55" w14:textId="225B8654" w:rsidR="0083184B" w:rsidRDefault="0083184B" w:rsidP="00AD6A17">
            <w:pPr>
              <w:keepNext/>
              <w:jc w:val="left"/>
              <w:rPr>
                <w:rFonts w:ascii="Arial Narrow" w:hAnsi="Arial Narrow"/>
                <w:sz w:val="20"/>
              </w:rPr>
            </w:pPr>
            <w:r>
              <w:rPr>
                <w:rFonts w:ascii="Arial Narrow" w:hAnsi="Arial Narrow"/>
                <w:sz w:val="20"/>
              </w:rPr>
              <w:t xml:space="preserve">0, 1, 2, 3, 4 weeks </w:t>
            </w:r>
            <w:r w:rsidR="00873DC8" w:rsidRPr="00120FE3">
              <w:rPr>
                <w:rFonts w:ascii="Arial Narrow" w:hAnsi="Arial Narrow"/>
                <w:sz w:val="20"/>
              </w:rPr>
              <w:t>(providing 6 weeks of treatment)</w:t>
            </w:r>
          </w:p>
        </w:tc>
        <w:tc>
          <w:tcPr>
            <w:tcW w:w="1636" w:type="pct"/>
            <w:vAlign w:val="center"/>
          </w:tcPr>
          <w:p w14:paraId="157F3D06" w14:textId="6C3D2651" w:rsidR="0083184B" w:rsidRDefault="0083184B" w:rsidP="00AD6A17">
            <w:pPr>
              <w:keepNext/>
              <w:jc w:val="left"/>
              <w:rPr>
                <w:rFonts w:ascii="Arial Narrow" w:hAnsi="Arial Narrow"/>
                <w:sz w:val="20"/>
              </w:rPr>
            </w:pPr>
            <w:r>
              <w:rPr>
                <w:rFonts w:ascii="Arial Narrow" w:hAnsi="Arial Narrow"/>
                <w:sz w:val="20"/>
              </w:rPr>
              <w:t xml:space="preserve">0, 2 weeks </w:t>
            </w:r>
            <w:r w:rsidR="00873DC8" w:rsidRPr="00120FE3">
              <w:rPr>
                <w:rFonts w:ascii="Arial Narrow" w:hAnsi="Arial Narrow"/>
                <w:sz w:val="20"/>
              </w:rPr>
              <w:t>(providing 6 weeks of treatment)</w:t>
            </w:r>
          </w:p>
        </w:tc>
      </w:tr>
      <w:tr w:rsidR="0083184B" w:rsidRPr="007D2E98" w14:paraId="49AF89C4" w14:textId="77777777" w:rsidTr="00AD6A17">
        <w:trPr>
          <w:trHeight w:val="255"/>
        </w:trPr>
        <w:tc>
          <w:tcPr>
            <w:tcW w:w="1730" w:type="pct"/>
            <w:vAlign w:val="center"/>
          </w:tcPr>
          <w:p w14:paraId="4FDDF484" w14:textId="1D381005" w:rsidR="0083184B" w:rsidRDefault="0083184B" w:rsidP="00AD6A17">
            <w:pPr>
              <w:keepNext/>
              <w:jc w:val="left"/>
              <w:rPr>
                <w:rFonts w:ascii="Arial Narrow" w:hAnsi="Arial Narrow"/>
                <w:sz w:val="20"/>
              </w:rPr>
            </w:pPr>
            <w:r>
              <w:rPr>
                <w:rFonts w:ascii="Arial Narrow" w:hAnsi="Arial Narrow"/>
                <w:sz w:val="20"/>
              </w:rPr>
              <w:t xml:space="preserve">Number of doses </w:t>
            </w:r>
          </w:p>
        </w:tc>
        <w:tc>
          <w:tcPr>
            <w:tcW w:w="1634" w:type="pct"/>
            <w:vAlign w:val="center"/>
          </w:tcPr>
          <w:p w14:paraId="10FA52AF" w14:textId="36008CD0" w:rsidR="0083184B" w:rsidRDefault="0083184B" w:rsidP="00AD6A17">
            <w:pPr>
              <w:keepNext/>
              <w:jc w:val="left"/>
              <w:rPr>
                <w:rFonts w:ascii="Arial Narrow" w:hAnsi="Arial Narrow"/>
                <w:sz w:val="20"/>
              </w:rPr>
            </w:pPr>
            <w:r>
              <w:rPr>
                <w:rFonts w:ascii="Arial Narrow" w:hAnsi="Arial Narrow"/>
                <w:sz w:val="20"/>
              </w:rPr>
              <w:t>5</w:t>
            </w:r>
          </w:p>
        </w:tc>
        <w:tc>
          <w:tcPr>
            <w:tcW w:w="1636" w:type="pct"/>
            <w:vAlign w:val="center"/>
          </w:tcPr>
          <w:p w14:paraId="6E42B82C" w14:textId="20C5073F" w:rsidR="0083184B" w:rsidRDefault="0083184B" w:rsidP="00AD6A17">
            <w:pPr>
              <w:keepNext/>
              <w:jc w:val="left"/>
              <w:rPr>
                <w:rFonts w:ascii="Arial Narrow" w:hAnsi="Arial Narrow"/>
                <w:sz w:val="20"/>
              </w:rPr>
            </w:pPr>
            <w:r>
              <w:rPr>
                <w:rFonts w:ascii="Arial Narrow" w:hAnsi="Arial Narrow"/>
                <w:sz w:val="20"/>
              </w:rPr>
              <w:t>2</w:t>
            </w:r>
          </w:p>
        </w:tc>
      </w:tr>
      <w:tr w:rsidR="0083184B" w:rsidRPr="007D2E98" w14:paraId="1939B67C" w14:textId="77777777" w:rsidTr="00AD6A17">
        <w:trPr>
          <w:trHeight w:val="255"/>
        </w:trPr>
        <w:tc>
          <w:tcPr>
            <w:tcW w:w="1730" w:type="pct"/>
            <w:vAlign w:val="center"/>
          </w:tcPr>
          <w:p w14:paraId="6E4503BC" w14:textId="3537915C" w:rsidR="0083184B" w:rsidRPr="00900453" w:rsidRDefault="0083184B" w:rsidP="00AD6A17">
            <w:pPr>
              <w:keepNext/>
              <w:jc w:val="left"/>
              <w:rPr>
                <w:rFonts w:ascii="Arial Narrow" w:hAnsi="Arial Narrow"/>
                <w:sz w:val="20"/>
                <w:vertAlign w:val="superscript"/>
              </w:rPr>
            </w:pPr>
            <w:r>
              <w:rPr>
                <w:rFonts w:ascii="Arial Narrow" w:hAnsi="Arial Narrow"/>
                <w:sz w:val="20"/>
              </w:rPr>
              <w:t>Average number of vials per dose</w:t>
            </w:r>
          </w:p>
        </w:tc>
        <w:tc>
          <w:tcPr>
            <w:tcW w:w="1634" w:type="pct"/>
            <w:vAlign w:val="center"/>
          </w:tcPr>
          <w:p w14:paraId="68AD33D6" w14:textId="556E0CF8" w:rsidR="0083184B" w:rsidRPr="007D2E98" w:rsidRDefault="00867D89" w:rsidP="00AD6A17">
            <w:pPr>
              <w:keepNext/>
              <w:jc w:val="left"/>
              <w:rPr>
                <w:rFonts w:ascii="Arial Narrow" w:hAnsi="Arial Narrow"/>
                <w:sz w:val="20"/>
              </w:rPr>
            </w:pPr>
            <w:r>
              <w:rPr>
                <w:rFonts w:ascii="Arial Narrow" w:hAnsi="Arial Narrow"/>
                <w:sz w:val="20"/>
              </w:rPr>
              <w:t>-</w:t>
            </w:r>
          </w:p>
        </w:tc>
        <w:tc>
          <w:tcPr>
            <w:tcW w:w="1636" w:type="pct"/>
            <w:vAlign w:val="center"/>
          </w:tcPr>
          <w:p w14:paraId="57AA925A" w14:textId="71D6B07D" w:rsidR="0083184B" w:rsidRPr="007D2E98" w:rsidRDefault="00365AA0" w:rsidP="00AD6A17">
            <w:pPr>
              <w:keepNext/>
              <w:jc w:val="left"/>
              <w:rPr>
                <w:rFonts w:ascii="Arial Narrow" w:hAnsi="Arial Narrow"/>
                <w:sz w:val="20"/>
              </w:rPr>
            </w:pPr>
            <w:r>
              <w:rPr>
                <w:rFonts w:ascii="Arial Narrow" w:hAnsi="Arial Narrow"/>
                <w:sz w:val="20"/>
              </w:rPr>
              <w:t>3.38</w:t>
            </w:r>
            <w:r w:rsidR="00D2278F" w:rsidRPr="00D2278F">
              <w:rPr>
                <w:rFonts w:ascii="Arial Narrow" w:hAnsi="Arial Narrow"/>
                <w:sz w:val="20"/>
                <w:vertAlign w:val="superscript"/>
              </w:rPr>
              <w:t>1</w:t>
            </w:r>
            <w:r>
              <w:rPr>
                <w:rFonts w:ascii="Arial Narrow" w:hAnsi="Arial Narrow"/>
                <w:sz w:val="20"/>
              </w:rPr>
              <w:t>, submission rounded to 4</w:t>
            </w:r>
          </w:p>
        </w:tc>
      </w:tr>
      <w:tr w:rsidR="00867D89" w:rsidRPr="007D2E98" w14:paraId="482A0013" w14:textId="77777777" w:rsidTr="00AD6A17">
        <w:trPr>
          <w:trHeight w:val="255"/>
        </w:trPr>
        <w:tc>
          <w:tcPr>
            <w:tcW w:w="1730" w:type="pct"/>
            <w:vAlign w:val="center"/>
          </w:tcPr>
          <w:p w14:paraId="58C800C3" w14:textId="6772F0AF" w:rsidR="00867D89" w:rsidRDefault="00867D89" w:rsidP="00AD6A17">
            <w:pPr>
              <w:keepNext/>
              <w:jc w:val="left"/>
              <w:rPr>
                <w:rFonts w:ascii="Arial Narrow" w:hAnsi="Arial Narrow"/>
                <w:sz w:val="20"/>
              </w:rPr>
            </w:pPr>
            <w:r>
              <w:rPr>
                <w:rFonts w:ascii="Arial Narrow" w:hAnsi="Arial Narrow"/>
                <w:sz w:val="20"/>
              </w:rPr>
              <w:t xml:space="preserve">EMP </w:t>
            </w:r>
          </w:p>
        </w:tc>
        <w:tc>
          <w:tcPr>
            <w:tcW w:w="1634" w:type="pct"/>
            <w:vAlign w:val="center"/>
          </w:tcPr>
          <w:p w14:paraId="0BD21D3F" w14:textId="16EE9B94" w:rsidR="00867D89" w:rsidRDefault="00867D89" w:rsidP="00AD6A17">
            <w:pPr>
              <w:keepNext/>
              <w:jc w:val="left"/>
              <w:rPr>
                <w:rFonts w:ascii="Arial Narrow" w:hAnsi="Arial Narrow"/>
                <w:sz w:val="20"/>
              </w:rPr>
            </w:pPr>
            <w:r>
              <w:rPr>
                <w:rFonts w:ascii="Arial Narrow" w:hAnsi="Arial Narrow"/>
                <w:sz w:val="20"/>
              </w:rPr>
              <w:t>$</w:t>
            </w:r>
            <w:r w:rsidR="00AD200A" w:rsidRPr="00AD200A">
              <w:rPr>
                <w:rFonts w:ascii="Arial Narrow" w:hAnsi="Arial Narrow"/>
                <w:color w:val="000000"/>
                <w:spacing w:val="65"/>
                <w:sz w:val="20"/>
                <w:shd w:val="solid" w:color="000000" w:fill="000000"/>
                <w:fitText w:val="369" w:id="-1304780798"/>
                <w14:textFill>
                  <w14:solidFill>
                    <w14:srgbClr w14:val="000000">
                      <w14:alpha w14:val="100000"/>
                    </w14:srgbClr>
                  </w14:solidFill>
                </w14:textFill>
              </w:rPr>
              <w:t>|||</w:t>
            </w:r>
            <w:r w:rsidR="00AD200A" w:rsidRPr="00AD200A">
              <w:rPr>
                <w:rFonts w:ascii="Arial Narrow" w:hAnsi="Arial Narrow"/>
                <w:color w:val="000000"/>
                <w:spacing w:val="2"/>
                <w:sz w:val="20"/>
                <w:shd w:val="solid" w:color="000000" w:fill="000000"/>
                <w:fitText w:val="369" w:id="-1304780798"/>
                <w14:textFill>
                  <w14:solidFill>
                    <w14:srgbClr w14:val="000000">
                      <w14:alpha w14:val="100000"/>
                    </w14:srgbClr>
                  </w14:solidFill>
                </w14:textFill>
              </w:rPr>
              <w:t>|</w:t>
            </w:r>
            <w:r>
              <w:rPr>
                <w:rFonts w:ascii="Arial Narrow" w:hAnsi="Arial Narrow"/>
                <w:sz w:val="20"/>
              </w:rPr>
              <w:t xml:space="preserve"> per syringe</w:t>
            </w:r>
          </w:p>
        </w:tc>
        <w:tc>
          <w:tcPr>
            <w:tcW w:w="1636" w:type="pct"/>
            <w:vAlign w:val="center"/>
          </w:tcPr>
          <w:p w14:paraId="16B8BCA7" w14:textId="4751D4F3" w:rsidR="00867D89" w:rsidRDefault="00867D89" w:rsidP="00AD6A17">
            <w:pPr>
              <w:keepNext/>
              <w:jc w:val="left"/>
              <w:rPr>
                <w:rFonts w:ascii="Arial Narrow" w:hAnsi="Arial Narrow"/>
                <w:sz w:val="20"/>
              </w:rPr>
            </w:pPr>
            <w:r>
              <w:rPr>
                <w:rFonts w:ascii="Arial Narrow" w:hAnsi="Arial Narrow"/>
                <w:sz w:val="20"/>
              </w:rPr>
              <w:t>$320.71 per 100 mg vial</w:t>
            </w:r>
            <w:r w:rsidR="00D2278F" w:rsidRPr="00D2278F">
              <w:rPr>
                <w:rFonts w:ascii="Arial Narrow" w:hAnsi="Arial Narrow"/>
                <w:sz w:val="20"/>
                <w:vertAlign w:val="superscript"/>
              </w:rPr>
              <w:t>2</w:t>
            </w:r>
          </w:p>
        </w:tc>
      </w:tr>
      <w:tr w:rsidR="0083184B" w:rsidRPr="007D2E98" w14:paraId="1D926902" w14:textId="77777777" w:rsidTr="00AD6A17">
        <w:trPr>
          <w:trHeight w:val="255"/>
        </w:trPr>
        <w:tc>
          <w:tcPr>
            <w:tcW w:w="1730" w:type="pct"/>
            <w:vAlign w:val="center"/>
          </w:tcPr>
          <w:p w14:paraId="561A81CC" w14:textId="77777777" w:rsidR="0083184B" w:rsidRPr="007D2E98" w:rsidRDefault="0083184B" w:rsidP="00AD6A17">
            <w:pPr>
              <w:keepNext/>
              <w:jc w:val="left"/>
              <w:rPr>
                <w:rFonts w:ascii="Arial Narrow" w:hAnsi="Arial Narrow"/>
                <w:sz w:val="20"/>
              </w:rPr>
            </w:pPr>
            <w:r>
              <w:rPr>
                <w:rFonts w:ascii="Arial Narrow" w:hAnsi="Arial Narrow"/>
                <w:sz w:val="20"/>
              </w:rPr>
              <w:t>% Public hospital use</w:t>
            </w:r>
          </w:p>
        </w:tc>
        <w:tc>
          <w:tcPr>
            <w:tcW w:w="1634" w:type="pct"/>
            <w:vAlign w:val="center"/>
          </w:tcPr>
          <w:p w14:paraId="51F24547" w14:textId="79F46ED7" w:rsidR="0083184B" w:rsidRPr="007D2E98" w:rsidRDefault="00867D89" w:rsidP="00AD6A17">
            <w:pPr>
              <w:keepNext/>
              <w:jc w:val="left"/>
              <w:rPr>
                <w:rFonts w:ascii="Arial Narrow" w:hAnsi="Arial Narrow"/>
                <w:sz w:val="20"/>
              </w:rPr>
            </w:pPr>
            <w:r>
              <w:rPr>
                <w:rFonts w:ascii="Arial Narrow" w:hAnsi="Arial Narrow"/>
                <w:sz w:val="20"/>
              </w:rPr>
              <w:t>-</w:t>
            </w:r>
          </w:p>
        </w:tc>
        <w:tc>
          <w:tcPr>
            <w:tcW w:w="1636" w:type="pct"/>
            <w:vAlign w:val="center"/>
          </w:tcPr>
          <w:p w14:paraId="56588A49" w14:textId="18B898BF" w:rsidR="0083184B" w:rsidRPr="007D2E98" w:rsidRDefault="00365AA0" w:rsidP="00AD6A17">
            <w:pPr>
              <w:keepNext/>
              <w:jc w:val="left"/>
              <w:rPr>
                <w:rFonts w:ascii="Arial Narrow" w:hAnsi="Arial Narrow"/>
                <w:sz w:val="20"/>
              </w:rPr>
            </w:pPr>
            <w:r>
              <w:rPr>
                <w:rFonts w:ascii="Arial Narrow" w:hAnsi="Arial Narrow"/>
                <w:sz w:val="20"/>
              </w:rPr>
              <w:t>65%</w:t>
            </w:r>
          </w:p>
        </w:tc>
      </w:tr>
      <w:tr w:rsidR="0083184B" w:rsidRPr="007D2E98" w14:paraId="7C284E7F" w14:textId="77777777" w:rsidTr="00AD6A17">
        <w:trPr>
          <w:trHeight w:val="255"/>
        </w:trPr>
        <w:tc>
          <w:tcPr>
            <w:tcW w:w="1730" w:type="pct"/>
            <w:vAlign w:val="center"/>
          </w:tcPr>
          <w:p w14:paraId="14D3238F" w14:textId="31E043C8" w:rsidR="0083184B" w:rsidRDefault="0083184B" w:rsidP="00AD6A17">
            <w:pPr>
              <w:keepNext/>
              <w:jc w:val="left"/>
              <w:rPr>
                <w:rFonts w:ascii="Arial Narrow" w:hAnsi="Arial Narrow"/>
                <w:sz w:val="20"/>
              </w:rPr>
            </w:pPr>
            <w:r>
              <w:rPr>
                <w:rFonts w:ascii="Arial Narrow" w:hAnsi="Arial Narrow"/>
                <w:sz w:val="20"/>
              </w:rPr>
              <w:t>Total drug cost (net of patient copayment</w:t>
            </w:r>
            <w:r w:rsidR="00BB0B30">
              <w:rPr>
                <w:rFonts w:ascii="Arial Narrow" w:hAnsi="Arial Narrow"/>
                <w:sz w:val="20"/>
              </w:rPr>
              <w:t xml:space="preserve"> at DPMQ level</w:t>
            </w:r>
            <w:r>
              <w:rPr>
                <w:rFonts w:ascii="Arial Narrow" w:hAnsi="Arial Narrow"/>
                <w:sz w:val="20"/>
              </w:rPr>
              <w:t>)</w:t>
            </w:r>
          </w:p>
        </w:tc>
        <w:tc>
          <w:tcPr>
            <w:tcW w:w="1634" w:type="pct"/>
            <w:vAlign w:val="center"/>
          </w:tcPr>
          <w:p w14:paraId="0307D069" w14:textId="3F299C27" w:rsidR="0083184B" w:rsidRDefault="00867D89" w:rsidP="00AD6A17">
            <w:pPr>
              <w:keepNext/>
              <w:jc w:val="left"/>
              <w:rPr>
                <w:rFonts w:ascii="Arial Narrow" w:hAnsi="Arial Narrow"/>
                <w:sz w:val="20"/>
              </w:rPr>
            </w:pPr>
            <w:r w:rsidRPr="00867D89">
              <w:rPr>
                <w:rFonts w:ascii="Arial Narrow" w:hAnsi="Arial Narrow"/>
                <w:sz w:val="20"/>
              </w:rPr>
              <w:t>$</w:t>
            </w:r>
            <w:r w:rsidR="00AD200A" w:rsidRPr="00AD200A">
              <w:rPr>
                <w:rFonts w:ascii="Arial Narrow" w:hAnsi="Arial Narrow"/>
                <w:color w:val="000000"/>
                <w:spacing w:val="65"/>
                <w:sz w:val="20"/>
                <w:shd w:val="solid" w:color="000000" w:fill="000000"/>
                <w:fitText w:val="369" w:id="-1304780797"/>
                <w14:textFill>
                  <w14:solidFill>
                    <w14:srgbClr w14:val="000000">
                      <w14:alpha w14:val="100000"/>
                    </w14:srgbClr>
                  </w14:solidFill>
                </w14:textFill>
              </w:rPr>
              <w:t>|||</w:t>
            </w:r>
            <w:r w:rsidR="00AD200A" w:rsidRPr="00AD200A">
              <w:rPr>
                <w:rFonts w:ascii="Arial Narrow" w:hAnsi="Arial Narrow"/>
                <w:color w:val="000000"/>
                <w:spacing w:val="2"/>
                <w:sz w:val="20"/>
                <w:shd w:val="solid" w:color="000000" w:fill="000000"/>
                <w:fitText w:val="369" w:id="-1304780797"/>
                <w14:textFill>
                  <w14:solidFill>
                    <w14:srgbClr w14:val="000000">
                      <w14:alpha w14:val="100000"/>
                    </w14:srgbClr>
                  </w14:solidFill>
                </w14:textFill>
              </w:rPr>
              <w:t>|</w:t>
            </w:r>
          </w:p>
        </w:tc>
        <w:tc>
          <w:tcPr>
            <w:tcW w:w="1636" w:type="pct"/>
            <w:vAlign w:val="center"/>
          </w:tcPr>
          <w:p w14:paraId="5DD30D1B" w14:textId="415CB2C5" w:rsidR="0083184B" w:rsidRDefault="00867D89" w:rsidP="00AD6A17">
            <w:pPr>
              <w:keepNext/>
              <w:jc w:val="left"/>
              <w:rPr>
                <w:rFonts w:ascii="Arial Narrow" w:hAnsi="Arial Narrow"/>
                <w:sz w:val="20"/>
              </w:rPr>
            </w:pPr>
            <w:r w:rsidRPr="00867D89">
              <w:rPr>
                <w:rFonts w:ascii="Arial Narrow" w:hAnsi="Arial Narrow"/>
                <w:sz w:val="20"/>
              </w:rPr>
              <w:t>$1,268.43</w:t>
            </w:r>
          </w:p>
        </w:tc>
      </w:tr>
      <w:tr w:rsidR="0083184B" w:rsidRPr="007D2E98" w14:paraId="279A6105" w14:textId="77777777" w:rsidTr="00AD6A17">
        <w:trPr>
          <w:trHeight w:val="255"/>
        </w:trPr>
        <w:tc>
          <w:tcPr>
            <w:tcW w:w="1730" w:type="pct"/>
            <w:vAlign w:val="center"/>
          </w:tcPr>
          <w:p w14:paraId="3158635C" w14:textId="0884705A" w:rsidR="0083184B" w:rsidRDefault="0083184B" w:rsidP="00AD6A17">
            <w:pPr>
              <w:keepNext/>
              <w:jc w:val="left"/>
              <w:rPr>
                <w:rFonts w:ascii="Arial Narrow" w:hAnsi="Arial Narrow"/>
                <w:sz w:val="20"/>
              </w:rPr>
            </w:pPr>
            <w:r>
              <w:rPr>
                <w:rFonts w:ascii="Arial Narrow" w:hAnsi="Arial Narrow"/>
                <w:sz w:val="20"/>
              </w:rPr>
              <w:t>Total admin cost</w:t>
            </w:r>
          </w:p>
        </w:tc>
        <w:tc>
          <w:tcPr>
            <w:tcW w:w="1634" w:type="pct"/>
            <w:vAlign w:val="center"/>
          </w:tcPr>
          <w:p w14:paraId="26E898C4" w14:textId="4E99A020" w:rsidR="0083184B" w:rsidRDefault="00867D89" w:rsidP="00AD6A17">
            <w:pPr>
              <w:keepNext/>
              <w:jc w:val="left"/>
              <w:rPr>
                <w:rFonts w:ascii="Arial Narrow" w:hAnsi="Arial Narrow"/>
                <w:sz w:val="20"/>
              </w:rPr>
            </w:pPr>
            <w:r>
              <w:rPr>
                <w:rFonts w:ascii="Arial Narrow" w:hAnsi="Arial Narrow"/>
                <w:sz w:val="20"/>
              </w:rPr>
              <w:t>$6.38</w:t>
            </w:r>
          </w:p>
        </w:tc>
        <w:tc>
          <w:tcPr>
            <w:tcW w:w="1636" w:type="pct"/>
            <w:vAlign w:val="center"/>
          </w:tcPr>
          <w:p w14:paraId="44395099" w14:textId="1CEB4360" w:rsidR="0083184B" w:rsidRDefault="00867D89" w:rsidP="00AD6A17">
            <w:pPr>
              <w:keepNext/>
              <w:jc w:val="left"/>
              <w:rPr>
                <w:rFonts w:ascii="Arial Narrow" w:hAnsi="Arial Narrow"/>
                <w:sz w:val="20"/>
              </w:rPr>
            </w:pPr>
            <w:r w:rsidRPr="00867D89">
              <w:rPr>
                <w:rFonts w:ascii="Arial Narrow" w:hAnsi="Arial Narrow"/>
                <w:sz w:val="20"/>
              </w:rPr>
              <w:t>$163.04</w:t>
            </w:r>
            <w:r w:rsidR="00B0689A" w:rsidRPr="00524615">
              <w:rPr>
                <w:rFonts w:ascii="Arial Narrow" w:hAnsi="Arial Narrow"/>
                <w:sz w:val="20"/>
                <w:vertAlign w:val="superscript"/>
              </w:rPr>
              <w:t>3</w:t>
            </w:r>
          </w:p>
        </w:tc>
      </w:tr>
      <w:tr w:rsidR="0083184B" w:rsidRPr="007D2E98" w14:paraId="093D3559" w14:textId="77777777" w:rsidTr="00AD6A17">
        <w:trPr>
          <w:trHeight w:val="255"/>
        </w:trPr>
        <w:tc>
          <w:tcPr>
            <w:tcW w:w="1730" w:type="pct"/>
            <w:vAlign w:val="center"/>
          </w:tcPr>
          <w:p w14:paraId="6888BEE7" w14:textId="1F06DD5B" w:rsidR="0083184B" w:rsidRDefault="0083184B" w:rsidP="00AD6A17">
            <w:pPr>
              <w:keepNext/>
              <w:jc w:val="left"/>
              <w:rPr>
                <w:rFonts w:ascii="Arial Narrow" w:hAnsi="Arial Narrow"/>
                <w:sz w:val="20"/>
              </w:rPr>
            </w:pPr>
            <w:r>
              <w:rPr>
                <w:rFonts w:ascii="Arial Narrow" w:hAnsi="Arial Narrow"/>
                <w:sz w:val="20"/>
              </w:rPr>
              <w:t>Total cost</w:t>
            </w:r>
            <w:r w:rsidR="00BB0B30">
              <w:rPr>
                <w:rFonts w:ascii="Arial Narrow" w:hAnsi="Arial Narrow"/>
                <w:sz w:val="20"/>
              </w:rPr>
              <w:t xml:space="preserve"> </w:t>
            </w:r>
          </w:p>
        </w:tc>
        <w:tc>
          <w:tcPr>
            <w:tcW w:w="1634" w:type="pct"/>
            <w:vAlign w:val="center"/>
          </w:tcPr>
          <w:p w14:paraId="611085B3" w14:textId="7856BD75" w:rsidR="0083184B" w:rsidRPr="0083184B" w:rsidRDefault="00867D89" w:rsidP="00AD6A17">
            <w:pPr>
              <w:keepNext/>
              <w:jc w:val="left"/>
              <w:rPr>
                <w:rFonts w:ascii="Arial Narrow" w:hAnsi="Arial Narrow"/>
                <w:sz w:val="20"/>
              </w:rPr>
            </w:pPr>
            <w:r w:rsidRPr="00867D89">
              <w:rPr>
                <w:rFonts w:ascii="Arial Narrow" w:hAnsi="Arial Narrow"/>
                <w:sz w:val="20"/>
              </w:rPr>
              <w:t>$</w:t>
            </w:r>
            <w:r w:rsidR="00AD200A" w:rsidRPr="00AD200A">
              <w:rPr>
                <w:rFonts w:ascii="Arial Narrow" w:hAnsi="Arial Narrow"/>
                <w:color w:val="000000"/>
                <w:spacing w:val="65"/>
                <w:sz w:val="20"/>
                <w:shd w:val="solid" w:color="000000" w:fill="000000"/>
                <w:fitText w:val="369" w:id="-1304780796"/>
                <w14:textFill>
                  <w14:solidFill>
                    <w14:srgbClr w14:val="000000">
                      <w14:alpha w14:val="100000"/>
                    </w14:srgbClr>
                  </w14:solidFill>
                </w14:textFill>
              </w:rPr>
              <w:t>|||</w:t>
            </w:r>
            <w:r w:rsidR="00AD200A" w:rsidRPr="00AD200A">
              <w:rPr>
                <w:rFonts w:ascii="Arial Narrow" w:hAnsi="Arial Narrow"/>
                <w:color w:val="000000"/>
                <w:spacing w:val="2"/>
                <w:sz w:val="20"/>
                <w:shd w:val="solid" w:color="000000" w:fill="000000"/>
                <w:fitText w:val="369" w:id="-1304780796"/>
                <w14:textFill>
                  <w14:solidFill>
                    <w14:srgbClr w14:val="000000">
                      <w14:alpha w14:val="100000"/>
                    </w14:srgbClr>
                  </w14:solidFill>
                </w14:textFill>
              </w:rPr>
              <w:t>|</w:t>
            </w:r>
          </w:p>
        </w:tc>
        <w:tc>
          <w:tcPr>
            <w:tcW w:w="1636" w:type="pct"/>
            <w:vAlign w:val="center"/>
          </w:tcPr>
          <w:p w14:paraId="51E5FF70" w14:textId="657545C2" w:rsidR="0083184B" w:rsidRDefault="00867D89" w:rsidP="00AD6A17">
            <w:pPr>
              <w:keepNext/>
              <w:jc w:val="left"/>
              <w:rPr>
                <w:rFonts w:ascii="Arial Narrow" w:hAnsi="Arial Narrow"/>
                <w:sz w:val="20"/>
              </w:rPr>
            </w:pPr>
            <w:r w:rsidRPr="00867D89">
              <w:rPr>
                <w:rFonts w:ascii="Arial Narrow" w:hAnsi="Arial Narrow"/>
                <w:sz w:val="20"/>
              </w:rPr>
              <w:t>$2,699.90</w:t>
            </w:r>
          </w:p>
        </w:tc>
      </w:tr>
    </w:tbl>
    <w:p w14:paraId="4EE228D5" w14:textId="77777777" w:rsidR="00D2278F" w:rsidRDefault="00AF01AC" w:rsidP="00AD2DB2">
      <w:pPr>
        <w:pStyle w:val="3Bodytext"/>
        <w:keepNext/>
        <w:numPr>
          <w:ilvl w:val="0"/>
          <w:numId w:val="0"/>
        </w:numPr>
        <w:spacing w:after="0"/>
        <w:rPr>
          <w:rFonts w:ascii="Arial Narrow" w:hAnsi="Arial Narrow"/>
          <w:sz w:val="18"/>
        </w:rPr>
      </w:pPr>
      <w:r w:rsidRPr="00C74BC8">
        <w:rPr>
          <w:rFonts w:ascii="Arial Narrow" w:hAnsi="Arial Narrow"/>
          <w:sz w:val="18"/>
        </w:rPr>
        <w:t xml:space="preserve">Source: Tables 3-3 and </w:t>
      </w:r>
      <w:r w:rsidR="00C74BC8" w:rsidRPr="00C74BC8">
        <w:rPr>
          <w:rFonts w:ascii="Arial Narrow" w:hAnsi="Arial Narrow"/>
          <w:sz w:val="18"/>
        </w:rPr>
        <w:t>3-4</w:t>
      </w:r>
      <w:r w:rsidRPr="00C74BC8">
        <w:rPr>
          <w:rFonts w:ascii="Arial Narrow" w:hAnsi="Arial Narrow"/>
          <w:sz w:val="18"/>
        </w:rPr>
        <w:t xml:space="preserve"> of the submission. </w:t>
      </w:r>
    </w:p>
    <w:p w14:paraId="48A9FB4C" w14:textId="69D5EC96" w:rsidR="0083184B" w:rsidRPr="00C74BC8" w:rsidRDefault="00BB0B30" w:rsidP="00AD2DB2">
      <w:pPr>
        <w:pStyle w:val="3Bodytext"/>
        <w:keepNext/>
        <w:numPr>
          <w:ilvl w:val="0"/>
          <w:numId w:val="0"/>
        </w:numPr>
        <w:spacing w:after="0"/>
        <w:rPr>
          <w:rFonts w:ascii="Arial Narrow" w:hAnsi="Arial Narrow" w:cstheme="minorHAnsi"/>
          <w:sz w:val="14"/>
          <w:szCs w:val="20"/>
        </w:rPr>
      </w:pPr>
      <w:r>
        <w:rPr>
          <w:rFonts w:ascii="Arial Narrow" w:hAnsi="Arial Narrow"/>
          <w:sz w:val="18"/>
        </w:rPr>
        <w:t xml:space="preserve">DPMQ dispensed price for maximum quantity; </w:t>
      </w:r>
      <w:r w:rsidR="00AF01AC" w:rsidRPr="00C74BC8">
        <w:rPr>
          <w:rFonts w:ascii="Arial Narrow" w:hAnsi="Arial Narrow"/>
          <w:sz w:val="18"/>
        </w:rPr>
        <w:t>EMP ex-manufacturer price; IFX infliximab; IV intravenous; SC subcutaneous</w:t>
      </w:r>
    </w:p>
    <w:p w14:paraId="3C1A621C" w14:textId="09B30048" w:rsidR="0083184B" w:rsidRDefault="00AF01AC" w:rsidP="00D2278F">
      <w:pPr>
        <w:pStyle w:val="3Bodytext"/>
        <w:keepNext/>
        <w:numPr>
          <w:ilvl w:val="0"/>
          <w:numId w:val="0"/>
        </w:numPr>
        <w:spacing w:after="0"/>
        <w:rPr>
          <w:rFonts w:ascii="Arial Narrow" w:hAnsi="Arial Narrow" w:cstheme="minorHAnsi"/>
          <w:sz w:val="18"/>
          <w:szCs w:val="20"/>
        </w:rPr>
      </w:pPr>
      <w:r w:rsidRPr="00C74BC8">
        <w:rPr>
          <w:rFonts w:ascii="Arial Narrow" w:hAnsi="Arial Narrow" w:cstheme="minorHAnsi"/>
          <w:sz w:val="18"/>
          <w:szCs w:val="20"/>
          <w:vertAlign w:val="superscript"/>
        </w:rPr>
        <w:t>1</w:t>
      </w:r>
      <w:r w:rsidR="0083184B" w:rsidRPr="00C74BC8">
        <w:rPr>
          <w:rFonts w:ascii="Arial Narrow" w:hAnsi="Arial Narrow" w:cstheme="minorHAnsi"/>
          <w:sz w:val="18"/>
          <w:szCs w:val="20"/>
        </w:rPr>
        <w:t xml:space="preserve"> Based on a</w:t>
      </w:r>
      <w:r w:rsidRPr="00C74BC8">
        <w:rPr>
          <w:rFonts w:ascii="Arial Narrow" w:hAnsi="Arial Narrow" w:cstheme="minorHAnsi"/>
          <w:sz w:val="18"/>
          <w:szCs w:val="20"/>
        </w:rPr>
        <w:t xml:space="preserve"> Prospection Analysis</w:t>
      </w:r>
      <w:r w:rsidR="00AC242B">
        <w:rPr>
          <w:rFonts w:ascii="Arial Narrow" w:hAnsi="Arial Narrow" w:cstheme="minorHAnsi"/>
          <w:sz w:val="18"/>
          <w:szCs w:val="20"/>
        </w:rPr>
        <w:t>. This would be an appropriate dose for a patient weighing 112 kg.</w:t>
      </w:r>
    </w:p>
    <w:p w14:paraId="613FB3A7" w14:textId="755418E1" w:rsidR="00D2278F" w:rsidRPr="008E2739" w:rsidRDefault="00D2278F" w:rsidP="00B0689A">
      <w:pPr>
        <w:pStyle w:val="3Bodytext"/>
        <w:numPr>
          <w:ilvl w:val="0"/>
          <w:numId w:val="0"/>
        </w:numPr>
        <w:spacing w:after="0"/>
        <w:rPr>
          <w:rFonts w:ascii="Arial Narrow" w:hAnsi="Arial Narrow"/>
          <w:sz w:val="18"/>
          <w:szCs w:val="16"/>
        </w:rPr>
      </w:pPr>
      <w:r w:rsidRPr="008E2739">
        <w:rPr>
          <w:rFonts w:ascii="Arial Narrow" w:hAnsi="Arial Narrow"/>
          <w:sz w:val="18"/>
          <w:szCs w:val="16"/>
          <w:vertAlign w:val="superscript"/>
        </w:rPr>
        <w:t>2</w:t>
      </w:r>
      <w:r w:rsidRPr="008E2739">
        <w:rPr>
          <w:rFonts w:ascii="Arial Narrow" w:hAnsi="Arial Narrow"/>
          <w:sz w:val="18"/>
          <w:szCs w:val="16"/>
        </w:rPr>
        <w:t xml:space="preserve"> The Secretariat noted the price of IFX IV price reduced on the 1 October to $253.52 per 100 mg vial</w:t>
      </w:r>
    </w:p>
    <w:p w14:paraId="078B8345" w14:textId="0F53304C" w:rsidR="008E2739" w:rsidRPr="00663754" w:rsidRDefault="00756EA9" w:rsidP="00663754">
      <w:pPr>
        <w:pStyle w:val="3Bodytext"/>
        <w:numPr>
          <w:ilvl w:val="0"/>
          <w:numId w:val="0"/>
        </w:numPr>
        <w:rPr>
          <w:rFonts w:ascii="Arial Narrow" w:hAnsi="Arial Narrow" w:cstheme="minorHAnsi"/>
          <w:sz w:val="18"/>
          <w:szCs w:val="18"/>
        </w:rPr>
      </w:pPr>
      <w:r w:rsidRPr="008E2739">
        <w:rPr>
          <w:rFonts w:ascii="Arial Narrow" w:hAnsi="Arial Narrow"/>
          <w:sz w:val="18"/>
          <w:szCs w:val="16"/>
          <w:vertAlign w:val="superscript"/>
        </w:rPr>
        <w:t>3</w:t>
      </w:r>
      <w:r w:rsidRPr="008E2739">
        <w:rPr>
          <w:rFonts w:ascii="Arial Narrow" w:hAnsi="Arial Narrow"/>
          <w:sz w:val="18"/>
          <w:szCs w:val="16"/>
        </w:rPr>
        <w:t xml:space="preserve"> </w:t>
      </w:r>
      <w:r w:rsidR="00507380" w:rsidRPr="008E2739">
        <w:rPr>
          <w:rFonts w:ascii="Arial Narrow" w:hAnsi="Arial Narrow"/>
          <w:sz w:val="18"/>
          <w:szCs w:val="16"/>
        </w:rPr>
        <w:t xml:space="preserve">Cost of administration </w:t>
      </w:r>
      <w:r w:rsidR="009F769B" w:rsidRPr="008E2739">
        <w:rPr>
          <w:rFonts w:ascii="Arial Narrow" w:hAnsi="Arial Narrow"/>
          <w:sz w:val="18"/>
          <w:szCs w:val="16"/>
        </w:rPr>
        <w:t>$81.52</w:t>
      </w:r>
      <w:r w:rsidR="00B0689A" w:rsidRPr="008E2739">
        <w:rPr>
          <w:rFonts w:ascii="Arial Narrow" w:hAnsi="Arial Narrow"/>
          <w:sz w:val="18"/>
          <w:szCs w:val="16"/>
        </w:rPr>
        <w:t xml:space="preserve"> per infusion</w:t>
      </w:r>
    </w:p>
    <w:p w14:paraId="666FAA8A" w14:textId="7FE5821D" w:rsidR="00421F5F" w:rsidRPr="00401F8B" w:rsidRDefault="00F9754F" w:rsidP="00421F5F">
      <w:pPr>
        <w:pStyle w:val="3Bodytext"/>
        <w:rPr>
          <w:rFonts w:cstheme="minorHAnsi"/>
          <w:szCs w:val="24"/>
        </w:rPr>
      </w:pPr>
      <w:r w:rsidRPr="00401F8B">
        <w:t xml:space="preserve">The sponsor noted that the </w:t>
      </w:r>
      <w:r w:rsidR="00D2278F" w:rsidRPr="00401F8B">
        <w:t xml:space="preserve">calculated </w:t>
      </w:r>
      <w:r w:rsidR="00C05680" w:rsidRPr="00401F8B">
        <w:t xml:space="preserve">ex-manufacturer </w:t>
      </w:r>
      <w:r w:rsidRPr="00401F8B">
        <w:t xml:space="preserve">price </w:t>
      </w:r>
      <w:r w:rsidR="00C05680" w:rsidRPr="00401F8B">
        <w:t xml:space="preserve">(EMP) </w:t>
      </w:r>
      <w:r w:rsidRPr="00401F8B">
        <w:t xml:space="preserve">per injection </w:t>
      </w:r>
      <w:r w:rsidR="00873DC8" w:rsidRPr="00401F8B">
        <w:t>($</w:t>
      </w:r>
      <w:r w:rsidR="00AD200A" w:rsidRPr="007C2102">
        <w:rPr>
          <w:color w:val="000000"/>
          <w:w w:val="15"/>
          <w:shd w:val="solid" w:color="000000" w:fill="000000"/>
          <w:fitText w:val="-20" w:id="-1304780795"/>
          <w14:textFill>
            <w14:solidFill>
              <w14:srgbClr w14:val="000000">
                <w14:alpha w14:val="100000"/>
              </w14:srgbClr>
            </w14:solidFill>
          </w14:textFill>
        </w:rPr>
        <w:t xml:space="preserve">|  </w:t>
      </w:r>
      <w:r w:rsidR="00AD200A" w:rsidRPr="007C2102">
        <w:rPr>
          <w:color w:val="000000"/>
          <w:spacing w:val="-69"/>
          <w:w w:val="15"/>
          <w:shd w:val="solid" w:color="000000" w:fill="000000"/>
          <w:fitText w:val="-20" w:id="-1304780795"/>
          <w14:textFill>
            <w14:solidFill>
              <w14:srgbClr w14:val="000000">
                <w14:alpha w14:val="100000"/>
              </w14:srgbClr>
            </w14:solidFill>
          </w14:textFill>
        </w:rPr>
        <w:t>|</w:t>
      </w:r>
      <w:r w:rsidR="00873DC8" w:rsidRPr="00401F8B">
        <w:t xml:space="preserve">) </w:t>
      </w:r>
      <w:r w:rsidRPr="00401F8B">
        <w:t>is higher than the current</w:t>
      </w:r>
      <w:r w:rsidR="00C05680" w:rsidRPr="00401F8B">
        <w:t xml:space="preserve"> EMP</w:t>
      </w:r>
      <w:r w:rsidRPr="00401F8B">
        <w:t xml:space="preserve"> of $332.80 per SC injection. </w:t>
      </w:r>
    </w:p>
    <w:p w14:paraId="5D1B24E5" w14:textId="47CA9B6A" w:rsidR="00192E1E" w:rsidRPr="00F9754F" w:rsidRDefault="00192E1E" w:rsidP="00192E1E">
      <w:pPr>
        <w:pStyle w:val="3Bodytext"/>
        <w:rPr>
          <w:rFonts w:cstheme="minorHAnsi"/>
          <w:szCs w:val="24"/>
        </w:rPr>
      </w:pPr>
      <w:r w:rsidRPr="00401F8B">
        <w:rPr>
          <w:rFonts w:cstheme="minorHAnsi"/>
          <w:szCs w:val="24"/>
        </w:rPr>
        <w:t>The sponsor noted that with a change to a maximum quantity of 5 for the loading doses (as proposed in the submission) and using the current</w:t>
      </w:r>
      <w:r>
        <w:rPr>
          <w:rFonts w:cstheme="minorHAnsi"/>
          <w:szCs w:val="24"/>
        </w:rPr>
        <w:t xml:space="preserve"> </w:t>
      </w:r>
      <w:r w:rsidR="00C05680">
        <w:rPr>
          <w:rFonts w:cstheme="minorHAnsi"/>
          <w:szCs w:val="24"/>
        </w:rPr>
        <w:t xml:space="preserve">EMP </w:t>
      </w:r>
      <w:r>
        <w:rPr>
          <w:rFonts w:cstheme="minorHAnsi"/>
          <w:szCs w:val="24"/>
        </w:rPr>
        <w:t>per injection ($332.80), the DPMQ for continuing scripts reduced by $</w:t>
      </w:r>
      <w:r w:rsidR="00BB46EF">
        <w:rPr>
          <w:rFonts w:cstheme="minorHAnsi"/>
          <w:szCs w:val="24"/>
        </w:rPr>
        <w:t>29.82</w:t>
      </w:r>
      <w:r w:rsidR="00AD200A" w:rsidRPr="007C2102">
        <w:rPr>
          <w:rFonts w:cstheme="minorHAnsi"/>
          <w:color w:val="000000"/>
          <w:w w:val="15"/>
          <w:szCs w:val="24"/>
          <w:shd w:val="solid" w:color="000000" w:fill="000000"/>
          <w:fitText w:val="-20" w:id="-1304780794"/>
          <w14:textFill>
            <w14:solidFill>
              <w14:srgbClr w14:val="000000">
                <w14:alpha w14:val="100000"/>
              </w14:srgbClr>
            </w14:solidFill>
          </w14:textFill>
        </w:rPr>
        <w:t xml:space="preserve">  </w:t>
      </w:r>
      <w:r w:rsidR="00AD200A" w:rsidRPr="007C2102">
        <w:rPr>
          <w:rFonts w:cstheme="minorHAnsi"/>
          <w:color w:val="000000"/>
          <w:spacing w:val="-52"/>
          <w:w w:val="15"/>
          <w:szCs w:val="24"/>
          <w:shd w:val="solid" w:color="000000" w:fill="000000"/>
          <w:fitText w:val="-20" w:id="-1304780794"/>
          <w14:textFill>
            <w14:solidFill>
              <w14:srgbClr w14:val="000000">
                <w14:alpha w14:val="100000"/>
              </w14:srgbClr>
            </w14:solidFill>
          </w14:textFill>
        </w:rPr>
        <w:t>|</w:t>
      </w:r>
      <w:r>
        <w:rPr>
          <w:rFonts w:cstheme="minorHAnsi"/>
          <w:szCs w:val="24"/>
        </w:rPr>
        <w:t xml:space="preserve"> to $728.70 </w:t>
      </w:r>
      <w:r>
        <w:t>due to a change in supply chain marks-ups (</w:t>
      </w:r>
      <w:r>
        <w:fldChar w:fldCharType="begin"/>
      </w:r>
      <w:r>
        <w:instrText xml:space="preserve"> REF _Ref115353520 \h  \* MERGEFORMAT </w:instrText>
      </w:r>
      <w:r>
        <w:fldChar w:fldCharType="separate"/>
      </w:r>
      <w:r w:rsidR="007C2102" w:rsidRPr="007C2102">
        <w:t xml:space="preserve">Table </w:t>
      </w:r>
      <w:r>
        <w:fldChar w:fldCharType="end"/>
      </w:r>
      <w:r>
        <w:t xml:space="preserve">). </w:t>
      </w:r>
    </w:p>
    <w:p w14:paraId="25EBA508" w14:textId="322D3025" w:rsidR="00421F5F" w:rsidRPr="00C05680" w:rsidRDefault="00192E1E" w:rsidP="00192E1E">
      <w:pPr>
        <w:pStyle w:val="Caption"/>
        <w:keepNext/>
        <w:spacing w:after="0"/>
        <w:rPr>
          <w:rFonts w:ascii="Arial Narrow" w:hAnsi="Arial Narrow"/>
          <w:b/>
          <w:bCs/>
          <w:i w:val="0"/>
          <w:iCs w:val="0"/>
          <w:sz w:val="20"/>
          <w:szCs w:val="20"/>
        </w:rPr>
      </w:pPr>
      <w:bookmarkStart w:id="15" w:name="_Ref115353520"/>
      <w:r w:rsidRPr="00C05680">
        <w:rPr>
          <w:rFonts w:ascii="Arial Narrow" w:hAnsi="Arial Narrow"/>
          <w:b/>
          <w:bCs/>
          <w:i w:val="0"/>
          <w:iCs w:val="0"/>
          <w:sz w:val="20"/>
          <w:szCs w:val="20"/>
        </w:rPr>
        <w:t xml:space="preserve">Table </w:t>
      </w:r>
      <w:bookmarkEnd w:id="15"/>
      <w:r w:rsidR="00450370">
        <w:rPr>
          <w:rFonts w:ascii="Arial Narrow" w:hAnsi="Arial Narrow"/>
          <w:b/>
          <w:bCs/>
          <w:i w:val="0"/>
          <w:iCs w:val="0"/>
          <w:sz w:val="20"/>
          <w:szCs w:val="20"/>
        </w:rPr>
        <w:t>4</w:t>
      </w:r>
      <w:r w:rsidR="00FF29B9" w:rsidRPr="00C05680">
        <w:rPr>
          <w:rFonts w:ascii="Arial Narrow" w:hAnsi="Arial Narrow"/>
          <w:b/>
          <w:bCs/>
          <w:i w:val="0"/>
          <w:iCs w:val="0"/>
          <w:sz w:val="20"/>
          <w:szCs w:val="20"/>
        </w:rPr>
        <w:t>:</w:t>
      </w:r>
      <w:r w:rsidR="00D2278F" w:rsidRPr="00C05680">
        <w:rPr>
          <w:rFonts w:ascii="Arial Narrow" w:hAnsi="Arial Narrow"/>
          <w:b/>
          <w:bCs/>
          <w:i w:val="0"/>
          <w:iCs w:val="0"/>
          <w:sz w:val="20"/>
          <w:szCs w:val="20"/>
        </w:rPr>
        <w:t xml:space="preserve"> DPMQ with different maximum quantities</w:t>
      </w:r>
    </w:p>
    <w:tbl>
      <w:tblPr>
        <w:tblStyle w:val="TableGrid"/>
        <w:tblW w:w="0" w:type="auto"/>
        <w:tblLook w:val="04A0" w:firstRow="1" w:lastRow="0" w:firstColumn="1" w:lastColumn="0" w:noHBand="0" w:noVBand="1"/>
      </w:tblPr>
      <w:tblGrid>
        <w:gridCol w:w="2405"/>
        <w:gridCol w:w="1436"/>
        <w:gridCol w:w="1294"/>
        <w:gridCol w:w="1293"/>
        <w:gridCol w:w="1294"/>
        <w:gridCol w:w="1294"/>
      </w:tblGrid>
      <w:tr w:rsidR="00421F5F" w14:paraId="6BDBB336" w14:textId="4389EF31" w:rsidTr="00101AEF">
        <w:tc>
          <w:tcPr>
            <w:tcW w:w="2405" w:type="dxa"/>
          </w:tcPr>
          <w:p w14:paraId="6279679C" w14:textId="00A779CB" w:rsidR="00421F5F" w:rsidRPr="00101AEF" w:rsidRDefault="00F6232C" w:rsidP="00FF29B9">
            <w:pPr>
              <w:pStyle w:val="3Bodytext"/>
              <w:numPr>
                <w:ilvl w:val="0"/>
                <w:numId w:val="0"/>
              </w:numPr>
              <w:spacing w:after="0"/>
              <w:rPr>
                <w:rFonts w:ascii="Arial Narrow" w:hAnsi="Arial Narrow" w:cstheme="minorHAnsi"/>
                <w:sz w:val="20"/>
                <w:szCs w:val="20"/>
              </w:rPr>
            </w:pPr>
            <w:r>
              <w:rPr>
                <w:rFonts w:ascii="Arial Narrow" w:hAnsi="Arial Narrow" w:cstheme="minorHAnsi"/>
                <w:sz w:val="20"/>
                <w:szCs w:val="20"/>
              </w:rPr>
              <w:t>IFX SC</w:t>
            </w:r>
          </w:p>
        </w:tc>
        <w:tc>
          <w:tcPr>
            <w:tcW w:w="1436" w:type="dxa"/>
          </w:tcPr>
          <w:p w14:paraId="271C57E8" w14:textId="7D41B8A4" w:rsidR="00421F5F" w:rsidRPr="00101AEF" w:rsidRDefault="00421F5F" w:rsidP="00FF29B9">
            <w:pPr>
              <w:pStyle w:val="3Bodytext"/>
              <w:numPr>
                <w:ilvl w:val="0"/>
                <w:numId w:val="0"/>
              </w:numPr>
              <w:spacing w:after="0"/>
              <w:rPr>
                <w:rFonts w:ascii="Arial Narrow" w:hAnsi="Arial Narrow" w:cstheme="minorHAnsi"/>
                <w:b/>
                <w:bCs/>
                <w:sz w:val="20"/>
                <w:szCs w:val="20"/>
              </w:rPr>
            </w:pPr>
            <w:r w:rsidRPr="00101AEF">
              <w:rPr>
                <w:rFonts w:ascii="Arial Narrow" w:hAnsi="Arial Narrow" w:cstheme="minorHAnsi"/>
                <w:b/>
                <w:bCs/>
                <w:sz w:val="20"/>
                <w:szCs w:val="20"/>
              </w:rPr>
              <w:t>Current</w:t>
            </w:r>
          </w:p>
        </w:tc>
        <w:tc>
          <w:tcPr>
            <w:tcW w:w="2587" w:type="dxa"/>
            <w:gridSpan w:val="2"/>
          </w:tcPr>
          <w:p w14:paraId="125F44B6" w14:textId="449DD84C" w:rsidR="00421F5F" w:rsidRPr="00101AEF" w:rsidRDefault="00B53CA1" w:rsidP="00FF29B9">
            <w:pPr>
              <w:pStyle w:val="3Bodytext"/>
              <w:numPr>
                <w:ilvl w:val="0"/>
                <w:numId w:val="0"/>
              </w:numPr>
              <w:spacing w:after="0"/>
              <w:rPr>
                <w:rFonts w:ascii="Arial Narrow" w:hAnsi="Arial Narrow" w:cstheme="minorHAnsi"/>
                <w:b/>
                <w:bCs/>
                <w:sz w:val="20"/>
                <w:szCs w:val="20"/>
              </w:rPr>
            </w:pPr>
            <w:r w:rsidRPr="00101AEF">
              <w:rPr>
                <w:rFonts w:ascii="Arial Narrow" w:hAnsi="Arial Narrow" w:cstheme="minorHAnsi"/>
                <w:b/>
                <w:bCs/>
                <w:sz w:val="20"/>
                <w:szCs w:val="20"/>
              </w:rPr>
              <w:t>Proposed with current price</w:t>
            </w:r>
          </w:p>
        </w:tc>
        <w:tc>
          <w:tcPr>
            <w:tcW w:w="2588" w:type="dxa"/>
            <w:gridSpan w:val="2"/>
          </w:tcPr>
          <w:p w14:paraId="1DAA01F2" w14:textId="5C6FCC4B" w:rsidR="00421F5F" w:rsidRPr="00101AEF" w:rsidRDefault="00B53CA1" w:rsidP="00FF29B9">
            <w:pPr>
              <w:pStyle w:val="3Bodytext"/>
              <w:numPr>
                <w:ilvl w:val="0"/>
                <w:numId w:val="0"/>
              </w:numPr>
              <w:spacing w:after="0"/>
              <w:rPr>
                <w:rFonts w:ascii="Arial Narrow" w:hAnsi="Arial Narrow" w:cstheme="minorHAnsi"/>
                <w:b/>
                <w:bCs/>
                <w:sz w:val="20"/>
                <w:szCs w:val="20"/>
              </w:rPr>
            </w:pPr>
            <w:r w:rsidRPr="00101AEF">
              <w:rPr>
                <w:rFonts w:ascii="Arial Narrow" w:hAnsi="Arial Narrow" w:cstheme="minorHAnsi"/>
                <w:b/>
                <w:bCs/>
                <w:sz w:val="20"/>
                <w:szCs w:val="20"/>
              </w:rPr>
              <w:t>Proposed with revised price</w:t>
            </w:r>
          </w:p>
        </w:tc>
      </w:tr>
      <w:tr w:rsidR="00B53CA1" w14:paraId="18A70C58" w14:textId="77777777" w:rsidTr="00101AEF">
        <w:tc>
          <w:tcPr>
            <w:tcW w:w="2405" w:type="dxa"/>
          </w:tcPr>
          <w:p w14:paraId="66F76577" w14:textId="2E2C6E6A" w:rsidR="00B53CA1" w:rsidRDefault="00D2278F" w:rsidP="00FF29B9">
            <w:pPr>
              <w:pStyle w:val="3Bodytext"/>
              <w:numPr>
                <w:ilvl w:val="0"/>
                <w:numId w:val="0"/>
              </w:numPr>
              <w:spacing w:after="0"/>
              <w:rPr>
                <w:rFonts w:ascii="Arial Narrow" w:hAnsi="Arial Narrow" w:cstheme="minorHAnsi"/>
                <w:sz w:val="20"/>
                <w:szCs w:val="20"/>
              </w:rPr>
            </w:pPr>
            <w:r>
              <w:rPr>
                <w:rFonts w:ascii="Arial Narrow" w:hAnsi="Arial Narrow" w:cstheme="minorHAnsi"/>
                <w:sz w:val="20"/>
                <w:szCs w:val="20"/>
              </w:rPr>
              <w:t>Treatment phase</w:t>
            </w:r>
          </w:p>
        </w:tc>
        <w:tc>
          <w:tcPr>
            <w:tcW w:w="1436" w:type="dxa"/>
          </w:tcPr>
          <w:p w14:paraId="60CF8CBA" w14:textId="4F4A698C" w:rsidR="00B53CA1" w:rsidRPr="00101AEF" w:rsidRDefault="00B53CA1" w:rsidP="00FF29B9">
            <w:pPr>
              <w:pStyle w:val="3Bodytext"/>
              <w:numPr>
                <w:ilvl w:val="0"/>
                <w:numId w:val="0"/>
              </w:numPr>
              <w:spacing w:after="0"/>
              <w:rPr>
                <w:rFonts w:ascii="Arial Narrow" w:hAnsi="Arial Narrow" w:cstheme="minorHAnsi"/>
                <w:b/>
                <w:bCs/>
                <w:sz w:val="20"/>
                <w:szCs w:val="20"/>
              </w:rPr>
            </w:pPr>
            <w:r w:rsidRPr="00101AEF">
              <w:rPr>
                <w:rFonts w:ascii="Arial Narrow" w:hAnsi="Arial Narrow" w:cstheme="minorHAnsi"/>
                <w:b/>
                <w:bCs/>
                <w:sz w:val="20"/>
                <w:szCs w:val="20"/>
              </w:rPr>
              <w:t>Initial and cont</w:t>
            </w:r>
          </w:p>
        </w:tc>
        <w:tc>
          <w:tcPr>
            <w:tcW w:w="1294" w:type="dxa"/>
          </w:tcPr>
          <w:p w14:paraId="1556B81B" w14:textId="219D7CDD" w:rsidR="00B53CA1" w:rsidRPr="00101AEF" w:rsidRDefault="00B53CA1" w:rsidP="00FF29B9">
            <w:pPr>
              <w:pStyle w:val="3Bodytext"/>
              <w:numPr>
                <w:ilvl w:val="0"/>
                <w:numId w:val="0"/>
              </w:numPr>
              <w:spacing w:after="0"/>
              <w:rPr>
                <w:rFonts w:ascii="Arial Narrow" w:hAnsi="Arial Narrow" w:cstheme="minorHAnsi"/>
                <w:b/>
                <w:bCs/>
                <w:sz w:val="20"/>
                <w:szCs w:val="20"/>
              </w:rPr>
            </w:pPr>
            <w:r w:rsidRPr="00101AEF">
              <w:rPr>
                <w:rFonts w:ascii="Arial Narrow" w:hAnsi="Arial Narrow" w:cstheme="minorHAnsi"/>
                <w:b/>
                <w:bCs/>
                <w:sz w:val="20"/>
                <w:szCs w:val="20"/>
              </w:rPr>
              <w:t>Initial</w:t>
            </w:r>
          </w:p>
        </w:tc>
        <w:tc>
          <w:tcPr>
            <w:tcW w:w="1293" w:type="dxa"/>
          </w:tcPr>
          <w:p w14:paraId="3AE192F0" w14:textId="7ED87917" w:rsidR="00B53CA1" w:rsidRPr="00101AEF" w:rsidRDefault="00B53CA1" w:rsidP="00FF29B9">
            <w:pPr>
              <w:pStyle w:val="3Bodytext"/>
              <w:numPr>
                <w:ilvl w:val="0"/>
                <w:numId w:val="0"/>
              </w:numPr>
              <w:spacing w:after="0"/>
              <w:rPr>
                <w:rFonts w:ascii="Arial Narrow" w:hAnsi="Arial Narrow" w:cstheme="minorHAnsi"/>
                <w:b/>
                <w:bCs/>
                <w:sz w:val="20"/>
                <w:szCs w:val="20"/>
              </w:rPr>
            </w:pPr>
            <w:r w:rsidRPr="00101AEF">
              <w:rPr>
                <w:rFonts w:ascii="Arial Narrow" w:hAnsi="Arial Narrow" w:cstheme="minorHAnsi"/>
                <w:b/>
                <w:bCs/>
                <w:sz w:val="20"/>
                <w:szCs w:val="20"/>
              </w:rPr>
              <w:t>Cont</w:t>
            </w:r>
          </w:p>
        </w:tc>
        <w:tc>
          <w:tcPr>
            <w:tcW w:w="1294" w:type="dxa"/>
          </w:tcPr>
          <w:p w14:paraId="7ACEE4B0" w14:textId="5A536511" w:rsidR="00B53CA1" w:rsidRPr="00101AEF" w:rsidRDefault="00B53CA1" w:rsidP="00FF29B9">
            <w:pPr>
              <w:pStyle w:val="3Bodytext"/>
              <w:numPr>
                <w:ilvl w:val="0"/>
                <w:numId w:val="0"/>
              </w:numPr>
              <w:spacing w:after="0"/>
              <w:rPr>
                <w:rFonts w:ascii="Arial Narrow" w:hAnsi="Arial Narrow" w:cstheme="minorHAnsi"/>
                <w:b/>
                <w:bCs/>
                <w:sz w:val="20"/>
                <w:szCs w:val="20"/>
              </w:rPr>
            </w:pPr>
            <w:r w:rsidRPr="00101AEF">
              <w:rPr>
                <w:rFonts w:ascii="Arial Narrow" w:hAnsi="Arial Narrow" w:cstheme="minorHAnsi"/>
                <w:b/>
                <w:bCs/>
                <w:sz w:val="20"/>
                <w:szCs w:val="20"/>
              </w:rPr>
              <w:t>Initial</w:t>
            </w:r>
          </w:p>
        </w:tc>
        <w:tc>
          <w:tcPr>
            <w:tcW w:w="1294" w:type="dxa"/>
          </w:tcPr>
          <w:p w14:paraId="6E283C87" w14:textId="4C5934C3" w:rsidR="00B53CA1" w:rsidRPr="00101AEF" w:rsidRDefault="00B53CA1" w:rsidP="00FF29B9">
            <w:pPr>
              <w:pStyle w:val="3Bodytext"/>
              <w:numPr>
                <w:ilvl w:val="0"/>
                <w:numId w:val="0"/>
              </w:numPr>
              <w:spacing w:after="0"/>
              <w:rPr>
                <w:rFonts w:ascii="Arial Narrow" w:hAnsi="Arial Narrow" w:cstheme="minorHAnsi"/>
                <w:b/>
                <w:bCs/>
                <w:sz w:val="20"/>
                <w:szCs w:val="20"/>
              </w:rPr>
            </w:pPr>
            <w:r w:rsidRPr="00101AEF">
              <w:rPr>
                <w:rFonts w:ascii="Arial Narrow" w:hAnsi="Arial Narrow" w:cstheme="minorHAnsi"/>
                <w:b/>
                <w:bCs/>
                <w:sz w:val="20"/>
                <w:szCs w:val="20"/>
              </w:rPr>
              <w:t>Cont</w:t>
            </w:r>
          </w:p>
        </w:tc>
      </w:tr>
      <w:tr w:rsidR="00B53CA1" w14:paraId="2A8E1A78" w14:textId="1E195DE8" w:rsidTr="00101AEF">
        <w:tc>
          <w:tcPr>
            <w:tcW w:w="2405" w:type="dxa"/>
          </w:tcPr>
          <w:p w14:paraId="7CF1767A" w14:textId="3C2CBA4B" w:rsidR="00B53CA1" w:rsidRDefault="00B53CA1" w:rsidP="00FF29B9">
            <w:pPr>
              <w:pStyle w:val="3Bodytext"/>
              <w:numPr>
                <w:ilvl w:val="0"/>
                <w:numId w:val="0"/>
              </w:numPr>
              <w:spacing w:after="0"/>
              <w:rPr>
                <w:rFonts w:ascii="Arial Narrow" w:hAnsi="Arial Narrow" w:cstheme="minorHAnsi"/>
                <w:sz w:val="20"/>
                <w:szCs w:val="20"/>
              </w:rPr>
            </w:pPr>
            <w:r>
              <w:rPr>
                <w:rFonts w:ascii="Arial Narrow" w:hAnsi="Arial Narrow" w:cstheme="minorHAnsi"/>
                <w:sz w:val="20"/>
                <w:szCs w:val="20"/>
              </w:rPr>
              <w:t>Max. quantity</w:t>
            </w:r>
          </w:p>
        </w:tc>
        <w:tc>
          <w:tcPr>
            <w:tcW w:w="1436" w:type="dxa"/>
          </w:tcPr>
          <w:p w14:paraId="022F5104" w14:textId="0512AF91" w:rsidR="00B53CA1" w:rsidRPr="00421F5F" w:rsidRDefault="00B53CA1" w:rsidP="00FF29B9">
            <w:pPr>
              <w:pStyle w:val="3Bodytext"/>
              <w:numPr>
                <w:ilvl w:val="0"/>
                <w:numId w:val="0"/>
              </w:numPr>
              <w:spacing w:after="0"/>
              <w:rPr>
                <w:rFonts w:ascii="Arial Narrow" w:hAnsi="Arial Narrow" w:cstheme="minorHAnsi"/>
                <w:sz w:val="20"/>
                <w:szCs w:val="20"/>
              </w:rPr>
            </w:pPr>
            <w:r>
              <w:rPr>
                <w:rFonts w:ascii="Arial Narrow" w:hAnsi="Arial Narrow" w:cstheme="minorHAnsi"/>
                <w:sz w:val="20"/>
                <w:szCs w:val="20"/>
              </w:rPr>
              <w:t>2</w:t>
            </w:r>
          </w:p>
        </w:tc>
        <w:tc>
          <w:tcPr>
            <w:tcW w:w="1294" w:type="dxa"/>
          </w:tcPr>
          <w:p w14:paraId="6C43A4DF" w14:textId="529E348B" w:rsidR="00B53CA1" w:rsidRPr="00421F5F" w:rsidRDefault="00227FDF" w:rsidP="00FF29B9">
            <w:pPr>
              <w:pStyle w:val="3Bodytext"/>
              <w:numPr>
                <w:ilvl w:val="0"/>
                <w:numId w:val="0"/>
              </w:numPr>
              <w:spacing w:after="0"/>
              <w:rPr>
                <w:rFonts w:ascii="Arial Narrow" w:hAnsi="Arial Narrow" w:cstheme="minorHAnsi"/>
                <w:sz w:val="20"/>
                <w:szCs w:val="20"/>
              </w:rPr>
            </w:pPr>
            <w:r>
              <w:rPr>
                <w:rFonts w:ascii="Arial Narrow" w:hAnsi="Arial Narrow" w:cstheme="minorHAnsi"/>
                <w:sz w:val="20"/>
                <w:szCs w:val="20"/>
              </w:rPr>
              <w:t>5</w:t>
            </w:r>
          </w:p>
        </w:tc>
        <w:tc>
          <w:tcPr>
            <w:tcW w:w="1293" w:type="dxa"/>
          </w:tcPr>
          <w:p w14:paraId="7A18F579" w14:textId="1A52970F" w:rsidR="00B53CA1" w:rsidRPr="00421F5F" w:rsidRDefault="00227FDF" w:rsidP="00FF29B9">
            <w:pPr>
              <w:pStyle w:val="3Bodytext"/>
              <w:numPr>
                <w:ilvl w:val="0"/>
                <w:numId w:val="0"/>
              </w:numPr>
              <w:spacing w:after="0"/>
              <w:rPr>
                <w:rFonts w:ascii="Arial Narrow" w:hAnsi="Arial Narrow" w:cstheme="minorHAnsi"/>
                <w:sz w:val="20"/>
                <w:szCs w:val="20"/>
              </w:rPr>
            </w:pPr>
            <w:r>
              <w:rPr>
                <w:rFonts w:ascii="Arial Narrow" w:hAnsi="Arial Narrow" w:cstheme="minorHAnsi"/>
                <w:sz w:val="20"/>
                <w:szCs w:val="20"/>
              </w:rPr>
              <w:t>2</w:t>
            </w:r>
          </w:p>
        </w:tc>
        <w:tc>
          <w:tcPr>
            <w:tcW w:w="1294" w:type="dxa"/>
          </w:tcPr>
          <w:p w14:paraId="4942AF8E" w14:textId="103AA11A" w:rsidR="00B53CA1" w:rsidRPr="00421F5F" w:rsidRDefault="00B53CA1" w:rsidP="00FF29B9">
            <w:pPr>
              <w:pStyle w:val="3Bodytext"/>
              <w:numPr>
                <w:ilvl w:val="0"/>
                <w:numId w:val="0"/>
              </w:numPr>
              <w:spacing w:after="0"/>
              <w:rPr>
                <w:rFonts w:ascii="Arial Narrow" w:hAnsi="Arial Narrow" w:cstheme="minorHAnsi"/>
                <w:sz w:val="20"/>
                <w:szCs w:val="20"/>
              </w:rPr>
            </w:pPr>
            <w:r>
              <w:rPr>
                <w:rFonts w:ascii="Arial Narrow" w:hAnsi="Arial Narrow" w:cstheme="minorHAnsi"/>
                <w:sz w:val="20"/>
                <w:szCs w:val="20"/>
              </w:rPr>
              <w:t>5</w:t>
            </w:r>
          </w:p>
        </w:tc>
        <w:tc>
          <w:tcPr>
            <w:tcW w:w="1294" w:type="dxa"/>
          </w:tcPr>
          <w:p w14:paraId="4E346193" w14:textId="344323DC" w:rsidR="00B53CA1" w:rsidRPr="00421F5F" w:rsidRDefault="00B53CA1" w:rsidP="00FF29B9">
            <w:pPr>
              <w:pStyle w:val="3Bodytext"/>
              <w:numPr>
                <w:ilvl w:val="0"/>
                <w:numId w:val="0"/>
              </w:numPr>
              <w:spacing w:after="0"/>
              <w:rPr>
                <w:rFonts w:ascii="Arial Narrow" w:hAnsi="Arial Narrow" w:cstheme="minorHAnsi"/>
                <w:sz w:val="20"/>
                <w:szCs w:val="20"/>
              </w:rPr>
            </w:pPr>
            <w:r>
              <w:rPr>
                <w:rFonts w:ascii="Arial Narrow" w:hAnsi="Arial Narrow" w:cstheme="minorHAnsi"/>
                <w:sz w:val="20"/>
                <w:szCs w:val="20"/>
              </w:rPr>
              <w:t>2</w:t>
            </w:r>
          </w:p>
        </w:tc>
      </w:tr>
      <w:tr w:rsidR="00B53CA1" w14:paraId="45BED155" w14:textId="4A902B81" w:rsidTr="00101AEF">
        <w:tc>
          <w:tcPr>
            <w:tcW w:w="2405" w:type="dxa"/>
          </w:tcPr>
          <w:p w14:paraId="16FF9F0C" w14:textId="535AB66F" w:rsidR="00B53CA1" w:rsidRPr="00101AEF" w:rsidRDefault="00B53CA1" w:rsidP="00FF29B9">
            <w:pPr>
              <w:pStyle w:val="3Bodytext"/>
              <w:numPr>
                <w:ilvl w:val="0"/>
                <w:numId w:val="0"/>
              </w:numPr>
              <w:spacing w:after="0"/>
              <w:rPr>
                <w:rFonts w:ascii="Arial Narrow" w:hAnsi="Arial Narrow" w:cstheme="minorHAnsi"/>
                <w:sz w:val="20"/>
                <w:szCs w:val="20"/>
              </w:rPr>
            </w:pPr>
            <w:r>
              <w:rPr>
                <w:rFonts w:ascii="Arial Narrow" w:hAnsi="Arial Narrow" w:cstheme="minorHAnsi"/>
                <w:sz w:val="20"/>
                <w:szCs w:val="20"/>
              </w:rPr>
              <w:t>EMP per dose</w:t>
            </w:r>
          </w:p>
        </w:tc>
        <w:tc>
          <w:tcPr>
            <w:tcW w:w="1436" w:type="dxa"/>
          </w:tcPr>
          <w:p w14:paraId="7DCF4402" w14:textId="3E6F9453" w:rsidR="00B53CA1" w:rsidRPr="00101AEF" w:rsidRDefault="00B53CA1" w:rsidP="00FF29B9">
            <w:pPr>
              <w:pStyle w:val="3Bodytext"/>
              <w:numPr>
                <w:ilvl w:val="0"/>
                <w:numId w:val="0"/>
              </w:numPr>
              <w:spacing w:after="0"/>
              <w:rPr>
                <w:rFonts w:ascii="Arial Narrow" w:hAnsi="Arial Narrow" w:cstheme="minorHAnsi"/>
                <w:sz w:val="20"/>
                <w:szCs w:val="20"/>
              </w:rPr>
            </w:pPr>
            <w:r w:rsidRPr="00C26FA8">
              <w:rPr>
                <w:rFonts w:ascii="Arial Narrow" w:hAnsi="Arial Narrow"/>
                <w:sz w:val="20"/>
                <w:szCs w:val="20"/>
                <w:lang w:val="en-US"/>
              </w:rPr>
              <w:t>$332.80</w:t>
            </w:r>
          </w:p>
        </w:tc>
        <w:tc>
          <w:tcPr>
            <w:tcW w:w="1294" w:type="dxa"/>
          </w:tcPr>
          <w:p w14:paraId="1370EC7A" w14:textId="09C06C4A" w:rsidR="00B53CA1" w:rsidRPr="00101AEF" w:rsidRDefault="00B53CA1" w:rsidP="00FF29B9">
            <w:pPr>
              <w:pStyle w:val="3Bodytext"/>
              <w:numPr>
                <w:ilvl w:val="0"/>
                <w:numId w:val="0"/>
              </w:numPr>
              <w:spacing w:after="0"/>
              <w:rPr>
                <w:rFonts w:ascii="Arial Narrow" w:hAnsi="Arial Narrow" w:cstheme="minorHAnsi"/>
                <w:sz w:val="20"/>
                <w:szCs w:val="20"/>
              </w:rPr>
            </w:pPr>
            <w:r w:rsidRPr="00E46CF5">
              <w:rPr>
                <w:rFonts w:ascii="Arial Narrow" w:hAnsi="Arial Narrow"/>
                <w:sz w:val="20"/>
                <w:szCs w:val="20"/>
                <w:lang w:val="en-US"/>
              </w:rPr>
              <w:t>$332.80</w:t>
            </w:r>
          </w:p>
        </w:tc>
        <w:tc>
          <w:tcPr>
            <w:tcW w:w="1293" w:type="dxa"/>
          </w:tcPr>
          <w:p w14:paraId="6E2CBF96" w14:textId="753B7B3D" w:rsidR="00B53CA1" w:rsidRPr="00101AEF" w:rsidRDefault="00B53CA1" w:rsidP="00FF29B9">
            <w:pPr>
              <w:pStyle w:val="3Bodytext"/>
              <w:numPr>
                <w:ilvl w:val="0"/>
                <w:numId w:val="0"/>
              </w:numPr>
              <w:spacing w:after="0"/>
              <w:rPr>
                <w:rFonts w:ascii="Arial Narrow" w:hAnsi="Arial Narrow" w:cstheme="minorHAnsi"/>
                <w:sz w:val="20"/>
                <w:szCs w:val="20"/>
              </w:rPr>
            </w:pPr>
            <w:r w:rsidRPr="00E46CF5">
              <w:rPr>
                <w:rFonts w:ascii="Arial Narrow" w:hAnsi="Arial Narrow"/>
                <w:sz w:val="20"/>
                <w:szCs w:val="20"/>
                <w:lang w:val="en-US"/>
              </w:rPr>
              <w:t>$332.80</w:t>
            </w:r>
          </w:p>
        </w:tc>
        <w:tc>
          <w:tcPr>
            <w:tcW w:w="1294" w:type="dxa"/>
          </w:tcPr>
          <w:p w14:paraId="598FE46A" w14:textId="05B8DF6D" w:rsidR="00B53CA1" w:rsidRPr="00B0140A" w:rsidRDefault="00B53CA1" w:rsidP="00FF29B9">
            <w:pPr>
              <w:pStyle w:val="3Bodytext"/>
              <w:numPr>
                <w:ilvl w:val="0"/>
                <w:numId w:val="0"/>
              </w:numPr>
              <w:spacing w:after="0"/>
              <w:rPr>
                <w:rFonts w:ascii="Arial Narrow" w:hAnsi="Arial Narrow" w:cstheme="minorHAnsi"/>
                <w:sz w:val="20"/>
                <w:szCs w:val="20"/>
              </w:rPr>
            </w:pPr>
            <w:r w:rsidRPr="00B0140A">
              <w:rPr>
                <w:rFonts w:ascii="Arial Narrow" w:hAnsi="Arial Narrow" w:cstheme="minorHAnsi"/>
                <w:sz w:val="20"/>
                <w:szCs w:val="20"/>
              </w:rPr>
              <w:t>$</w:t>
            </w:r>
            <w:r w:rsidR="00AD200A" w:rsidRPr="00AD200A">
              <w:rPr>
                <w:rFonts w:ascii="Arial Narrow" w:hAnsi="Arial Narrow" w:cstheme="minorHAnsi"/>
                <w:color w:val="000000"/>
                <w:spacing w:val="16"/>
                <w:sz w:val="20"/>
                <w:szCs w:val="20"/>
                <w:shd w:val="solid" w:color="000000" w:fill="000000"/>
                <w:fitText w:val="348" w:id="-1304780793"/>
                <w14:textFill>
                  <w14:solidFill>
                    <w14:srgbClr w14:val="000000">
                      <w14:alpha w14:val="100000"/>
                    </w14:srgbClr>
                  </w14:solidFill>
                </w14:textFill>
              </w:rPr>
              <w:t>||  |</w:t>
            </w:r>
            <w:r w:rsidR="00AD200A" w:rsidRPr="00AD200A">
              <w:rPr>
                <w:rFonts w:ascii="Arial Narrow" w:hAnsi="Arial Narrow" w:cstheme="minorHAnsi"/>
                <w:color w:val="000000"/>
                <w:spacing w:val="4"/>
                <w:sz w:val="20"/>
                <w:szCs w:val="20"/>
                <w:shd w:val="solid" w:color="000000" w:fill="000000"/>
                <w:fitText w:val="348" w:id="-1304780793"/>
                <w14:textFill>
                  <w14:solidFill>
                    <w14:srgbClr w14:val="000000">
                      <w14:alpha w14:val="100000"/>
                    </w14:srgbClr>
                  </w14:solidFill>
                </w14:textFill>
              </w:rPr>
              <w:t>|</w:t>
            </w:r>
          </w:p>
        </w:tc>
        <w:tc>
          <w:tcPr>
            <w:tcW w:w="1294" w:type="dxa"/>
          </w:tcPr>
          <w:p w14:paraId="17E1CB4F" w14:textId="452E48CC" w:rsidR="00B53CA1" w:rsidRPr="00B0140A" w:rsidRDefault="00B53CA1" w:rsidP="00FF29B9">
            <w:pPr>
              <w:pStyle w:val="3Bodytext"/>
              <w:numPr>
                <w:ilvl w:val="0"/>
                <w:numId w:val="0"/>
              </w:numPr>
              <w:spacing w:after="0"/>
              <w:rPr>
                <w:rFonts w:ascii="Arial Narrow" w:hAnsi="Arial Narrow" w:cstheme="minorHAnsi"/>
                <w:sz w:val="20"/>
                <w:szCs w:val="20"/>
              </w:rPr>
            </w:pPr>
            <w:r w:rsidRPr="00B0140A">
              <w:rPr>
                <w:rFonts w:ascii="Arial Narrow" w:hAnsi="Arial Narrow" w:cstheme="minorHAnsi"/>
                <w:sz w:val="20"/>
                <w:szCs w:val="20"/>
              </w:rPr>
              <w:t>$</w:t>
            </w:r>
            <w:r w:rsidR="00AD200A" w:rsidRPr="00AD200A">
              <w:rPr>
                <w:rFonts w:ascii="Arial Narrow" w:hAnsi="Arial Narrow" w:cstheme="minorHAnsi"/>
                <w:color w:val="000000"/>
                <w:spacing w:val="17"/>
                <w:sz w:val="20"/>
                <w:szCs w:val="20"/>
                <w:shd w:val="solid" w:color="000000" w:fill="000000"/>
                <w:fitText w:val="349" w:id="-1304780792"/>
                <w14:textFill>
                  <w14:solidFill>
                    <w14:srgbClr w14:val="000000">
                      <w14:alpha w14:val="100000"/>
                    </w14:srgbClr>
                  </w14:solidFill>
                </w14:textFill>
              </w:rPr>
              <w:t>||  |</w:t>
            </w:r>
            <w:r w:rsidR="00AD200A" w:rsidRPr="00AD200A">
              <w:rPr>
                <w:rFonts w:ascii="Arial Narrow" w:hAnsi="Arial Narrow" w:cstheme="minorHAnsi"/>
                <w:color w:val="000000"/>
                <w:sz w:val="20"/>
                <w:szCs w:val="20"/>
                <w:shd w:val="solid" w:color="000000" w:fill="000000"/>
                <w:fitText w:val="349" w:id="-1304780792"/>
                <w14:textFill>
                  <w14:solidFill>
                    <w14:srgbClr w14:val="000000">
                      <w14:alpha w14:val="100000"/>
                    </w14:srgbClr>
                  </w14:solidFill>
                </w14:textFill>
              </w:rPr>
              <w:t>|</w:t>
            </w:r>
          </w:p>
        </w:tc>
      </w:tr>
      <w:tr w:rsidR="00B53CA1" w14:paraId="562196A0" w14:textId="4C414833" w:rsidTr="00101AEF">
        <w:tc>
          <w:tcPr>
            <w:tcW w:w="2405" w:type="dxa"/>
          </w:tcPr>
          <w:p w14:paraId="6EF110DA" w14:textId="04686F52" w:rsidR="00B53CA1" w:rsidRPr="00421F5F" w:rsidRDefault="00B53CA1" w:rsidP="00FF29B9">
            <w:pPr>
              <w:pStyle w:val="3Bodytext"/>
              <w:numPr>
                <w:ilvl w:val="0"/>
                <w:numId w:val="0"/>
              </w:numPr>
              <w:spacing w:after="0"/>
              <w:rPr>
                <w:rFonts w:ascii="Arial Narrow" w:hAnsi="Arial Narrow" w:cstheme="minorHAnsi"/>
                <w:sz w:val="20"/>
                <w:szCs w:val="20"/>
              </w:rPr>
            </w:pPr>
            <w:r>
              <w:rPr>
                <w:rFonts w:ascii="Arial Narrow" w:hAnsi="Arial Narrow" w:cstheme="minorHAnsi"/>
                <w:sz w:val="20"/>
                <w:szCs w:val="20"/>
              </w:rPr>
              <w:t>DPMQ</w:t>
            </w:r>
          </w:p>
        </w:tc>
        <w:tc>
          <w:tcPr>
            <w:tcW w:w="1436" w:type="dxa"/>
          </w:tcPr>
          <w:p w14:paraId="42313795" w14:textId="33A591E6" w:rsidR="00B53CA1" w:rsidRPr="00B53CA1" w:rsidRDefault="00B53CA1" w:rsidP="00FF29B9">
            <w:pPr>
              <w:pStyle w:val="3Bodytext"/>
              <w:numPr>
                <w:ilvl w:val="0"/>
                <w:numId w:val="0"/>
              </w:numPr>
              <w:spacing w:after="0"/>
              <w:rPr>
                <w:rFonts w:ascii="Arial Narrow" w:hAnsi="Arial Narrow" w:cstheme="minorHAnsi"/>
                <w:sz w:val="20"/>
                <w:szCs w:val="20"/>
              </w:rPr>
            </w:pPr>
            <w:r w:rsidRPr="00101AEF">
              <w:rPr>
                <w:rFonts w:ascii="Arial Narrow" w:hAnsi="Arial Narrow"/>
                <w:sz w:val="20"/>
                <w:szCs w:val="20"/>
                <w:lang w:val="en-US"/>
              </w:rPr>
              <w:t>$758.5</w:t>
            </w:r>
            <w:r w:rsidR="00FE6559">
              <w:rPr>
                <w:rFonts w:ascii="Arial Narrow" w:hAnsi="Arial Narrow"/>
                <w:sz w:val="20"/>
                <w:szCs w:val="20"/>
                <w:lang w:val="en-US"/>
              </w:rPr>
              <w:t>8</w:t>
            </w:r>
          </w:p>
        </w:tc>
        <w:tc>
          <w:tcPr>
            <w:tcW w:w="1294" w:type="dxa"/>
          </w:tcPr>
          <w:p w14:paraId="752E3088" w14:textId="5BD55533" w:rsidR="00B53CA1" w:rsidRPr="00B53CA1" w:rsidRDefault="00227FDF" w:rsidP="00FF29B9">
            <w:pPr>
              <w:pStyle w:val="3Bodytext"/>
              <w:numPr>
                <w:ilvl w:val="0"/>
                <w:numId w:val="0"/>
              </w:numPr>
              <w:spacing w:after="0"/>
              <w:rPr>
                <w:rFonts w:ascii="Arial Narrow" w:hAnsi="Arial Narrow" w:cstheme="minorHAnsi"/>
                <w:sz w:val="20"/>
                <w:szCs w:val="20"/>
              </w:rPr>
            </w:pPr>
            <w:r w:rsidRPr="005F2903">
              <w:rPr>
                <w:rFonts w:ascii="Arial Narrow" w:hAnsi="Arial Narrow"/>
                <w:sz w:val="20"/>
                <w:szCs w:val="20"/>
                <w:lang w:val="en-US"/>
              </w:rPr>
              <w:t>$1,811.13</w:t>
            </w:r>
          </w:p>
        </w:tc>
        <w:tc>
          <w:tcPr>
            <w:tcW w:w="1293" w:type="dxa"/>
          </w:tcPr>
          <w:p w14:paraId="0808D6B5" w14:textId="268F2042" w:rsidR="00B53CA1" w:rsidRPr="00B53CA1" w:rsidRDefault="00227FDF" w:rsidP="00FF29B9">
            <w:pPr>
              <w:pStyle w:val="3Bodytext"/>
              <w:numPr>
                <w:ilvl w:val="0"/>
                <w:numId w:val="0"/>
              </w:numPr>
              <w:spacing w:after="0"/>
              <w:rPr>
                <w:rFonts w:ascii="Arial Narrow" w:hAnsi="Arial Narrow" w:cstheme="minorHAnsi"/>
                <w:sz w:val="20"/>
                <w:szCs w:val="20"/>
              </w:rPr>
            </w:pPr>
            <w:r w:rsidRPr="00634FE0">
              <w:rPr>
                <w:rFonts w:ascii="Arial Narrow" w:hAnsi="Arial Narrow"/>
                <w:sz w:val="20"/>
                <w:szCs w:val="20"/>
                <w:lang w:val="en-US"/>
              </w:rPr>
              <w:t>$728.70</w:t>
            </w:r>
          </w:p>
        </w:tc>
        <w:tc>
          <w:tcPr>
            <w:tcW w:w="1294" w:type="dxa"/>
          </w:tcPr>
          <w:p w14:paraId="63728479" w14:textId="1C2672E5" w:rsidR="00B53CA1" w:rsidRPr="00B53CA1" w:rsidRDefault="00B53CA1" w:rsidP="00FF29B9">
            <w:pPr>
              <w:pStyle w:val="3Bodytext"/>
              <w:numPr>
                <w:ilvl w:val="0"/>
                <w:numId w:val="0"/>
              </w:numPr>
              <w:spacing w:after="0"/>
              <w:rPr>
                <w:rFonts w:ascii="Arial Narrow" w:hAnsi="Arial Narrow" w:cstheme="minorHAnsi"/>
                <w:sz w:val="20"/>
                <w:szCs w:val="20"/>
              </w:rPr>
            </w:pPr>
            <w:r w:rsidRPr="00101AEF">
              <w:rPr>
                <w:rFonts w:ascii="Arial Narrow" w:hAnsi="Arial Narrow"/>
                <w:sz w:val="20"/>
                <w:szCs w:val="20"/>
              </w:rPr>
              <w:t>$</w:t>
            </w:r>
            <w:r w:rsidR="00AD200A" w:rsidRPr="00AD200A">
              <w:rPr>
                <w:rFonts w:ascii="Arial Narrow" w:hAnsi="Arial Narrow"/>
                <w:color w:val="000000"/>
                <w:spacing w:val="16"/>
                <w:sz w:val="20"/>
                <w:szCs w:val="20"/>
                <w:shd w:val="solid" w:color="000000" w:fill="000000"/>
                <w:fitText w:val="348" w:id="-1304780791"/>
                <w14:textFill>
                  <w14:solidFill>
                    <w14:srgbClr w14:val="000000">
                      <w14:alpha w14:val="100000"/>
                    </w14:srgbClr>
                  </w14:solidFill>
                </w14:textFill>
              </w:rPr>
              <w:t>||  |</w:t>
            </w:r>
            <w:r w:rsidR="00AD200A" w:rsidRPr="00AD200A">
              <w:rPr>
                <w:rFonts w:ascii="Arial Narrow" w:hAnsi="Arial Narrow"/>
                <w:color w:val="000000"/>
                <w:spacing w:val="4"/>
                <w:sz w:val="20"/>
                <w:szCs w:val="20"/>
                <w:shd w:val="solid" w:color="000000" w:fill="000000"/>
                <w:fitText w:val="348" w:id="-1304780791"/>
                <w14:textFill>
                  <w14:solidFill>
                    <w14:srgbClr w14:val="000000">
                      <w14:alpha w14:val="100000"/>
                    </w14:srgbClr>
                  </w14:solidFill>
                </w14:textFill>
              </w:rPr>
              <w:t>|</w:t>
            </w:r>
          </w:p>
        </w:tc>
        <w:tc>
          <w:tcPr>
            <w:tcW w:w="1294" w:type="dxa"/>
          </w:tcPr>
          <w:p w14:paraId="7F7BB6B2" w14:textId="61053F32" w:rsidR="00B53CA1" w:rsidRPr="00B53CA1" w:rsidRDefault="00B53CA1" w:rsidP="00FF29B9">
            <w:pPr>
              <w:pStyle w:val="3Bodytext"/>
              <w:numPr>
                <w:ilvl w:val="0"/>
                <w:numId w:val="0"/>
              </w:numPr>
              <w:spacing w:after="0"/>
              <w:rPr>
                <w:rFonts w:ascii="Arial Narrow" w:hAnsi="Arial Narrow" w:cstheme="minorHAnsi"/>
                <w:sz w:val="20"/>
                <w:szCs w:val="20"/>
              </w:rPr>
            </w:pPr>
            <w:r w:rsidRPr="00101AEF">
              <w:rPr>
                <w:rFonts w:ascii="Arial Narrow" w:hAnsi="Arial Narrow"/>
                <w:sz w:val="20"/>
                <w:szCs w:val="20"/>
                <w:lang w:val="en-US"/>
              </w:rPr>
              <w:t>$</w:t>
            </w:r>
            <w:r w:rsidR="00AD200A" w:rsidRPr="00AD200A">
              <w:rPr>
                <w:rFonts w:ascii="Arial Narrow" w:hAnsi="Arial Narrow"/>
                <w:color w:val="000000"/>
                <w:spacing w:val="17"/>
                <w:sz w:val="20"/>
                <w:szCs w:val="20"/>
                <w:shd w:val="solid" w:color="000000" w:fill="000000"/>
                <w:fitText w:val="349" w:id="-1304780790"/>
                <w:lang w:val="en-US"/>
                <w14:textFill>
                  <w14:solidFill>
                    <w14:srgbClr w14:val="000000">
                      <w14:alpha w14:val="100000"/>
                    </w14:srgbClr>
                  </w14:solidFill>
                </w14:textFill>
              </w:rPr>
              <w:t>||  |</w:t>
            </w:r>
            <w:r w:rsidR="00AD200A" w:rsidRPr="00AD200A">
              <w:rPr>
                <w:rFonts w:ascii="Arial Narrow" w:hAnsi="Arial Narrow"/>
                <w:color w:val="000000"/>
                <w:sz w:val="20"/>
                <w:szCs w:val="20"/>
                <w:shd w:val="solid" w:color="000000" w:fill="000000"/>
                <w:fitText w:val="349" w:id="-1304780790"/>
                <w:lang w:val="en-US"/>
                <w14:textFill>
                  <w14:solidFill>
                    <w14:srgbClr w14:val="000000">
                      <w14:alpha w14:val="100000"/>
                    </w14:srgbClr>
                  </w14:solidFill>
                </w14:textFill>
              </w:rPr>
              <w:t>|</w:t>
            </w:r>
          </w:p>
        </w:tc>
      </w:tr>
    </w:tbl>
    <w:p w14:paraId="47B79C69" w14:textId="2A0C0BBE" w:rsidR="00227FDF" w:rsidRDefault="00227FDF" w:rsidP="00101AEF">
      <w:pPr>
        <w:pStyle w:val="3Bodytext"/>
        <w:numPr>
          <w:ilvl w:val="0"/>
          <w:numId w:val="0"/>
        </w:numPr>
        <w:spacing w:after="0"/>
        <w:rPr>
          <w:rFonts w:ascii="Arial Narrow" w:hAnsi="Arial Narrow" w:cstheme="minorHAnsi"/>
          <w:sz w:val="18"/>
          <w:szCs w:val="18"/>
        </w:rPr>
      </w:pPr>
      <w:r>
        <w:rPr>
          <w:rFonts w:ascii="Arial Narrow" w:hAnsi="Arial Narrow" w:cstheme="minorHAnsi"/>
          <w:sz w:val="18"/>
          <w:szCs w:val="18"/>
        </w:rPr>
        <w:t>Source: Table 3-5 of the submission</w:t>
      </w:r>
    </w:p>
    <w:p w14:paraId="729E44D7" w14:textId="4FCF0FB0" w:rsidR="00421F5F" w:rsidRPr="00101AEF" w:rsidRDefault="00C05680" w:rsidP="00F6232C">
      <w:pPr>
        <w:pStyle w:val="3Bodytext"/>
        <w:numPr>
          <w:ilvl w:val="0"/>
          <w:numId w:val="0"/>
        </w:numPr>
        <w:rPr>
          <w:rFonts w:ascii="Arial Narrow" w:hAnsi="Arial Narrow" w:cstheme="minorHAnsi"/>
          <w:sz w:val="18"/>
          <w:szCs w:val="18"/>
        </w:rPr>
      </w:pPr>
      <w:r>
        <w:rPr>
          <w:rFonts w:ascii="Arial Narrow" w:hAnsi="Arial Narrow" w:cstheme="minorHAnsi"/>
          <w:sz w:val="18"/>
          <w:szCs w:val="18"/>
        </w:rPr>
        <w:t xml:space="preserve">Cont continuing; </w:t>
      </w:r>
      <w:r w:rsidR="00227FDF">
        <w:rPr>
          <w:rFonts w:ascii="Arial Narrow" w:hAnsi="Arial Narrow" w:cstheme="minorHAnsi"/>
          <w:sz w:val="18"/>
          <w:szCs w:val="18"/>
        </w:rPr>
        <w:t xml:space="preserve">DPMQ dispensed price for maximum quantity; </w:t>
      </w:r>
      <w:r w:rsidR="00227FDF" w:rsidRPr="00101AEF">
        <w:rPr>
          <w:rFonts w:ascii="Arial Narrow" w:hAnsi="Arial Narrow" w:cstheme="minorHAnsi"/>
          <w:sz w:val="18"/>
          <w:szCs w:val="18"/>
        </w:rPr>
        <w:t>EMP</w:t>
      </w:r>
      <w:r w:rsidR="00227FDF">
        <w:rPr>
          <w:rFonts w:ascii="Arial Narrow" w:hAnsi="Arial Narrow" w:cstheme="minorHAnsi"/>
          <w:sz w:val="18"/>
          <w:szCs w:val="18"/>
        </w:rPr>
        <w:t xml:space="preserve"> ex-manufacturer price</w:t>
      </w:r>
      <w:r>
        <w:rPr>
          <w:rFonts w:ascii="Arial Narrow" w:hAnsi="Arial Narrow" w:cstheme="minorHAnsi"/>
          <w:sz w:val="18"/>
          <w:szCs w:val="18"/>
        </w:rPr>
        <w:t>; IFX infliximab; SC subcutaneous</w:t>
      </w:r>
    </w:p>
    <w:p w14:paraId="7DC4BF05" w14:textId="6F977F6E" w:rsidR="007E7D1A" w:rsidRPr="00401F8B" w:rsidRDefault="00F9754F" w:rsidP="00FB4DA1">
      <w:pPr>
        <w:pStyle w:val="3Bodytext"/>
        <w:rPr>
          <w:rStyle w:val="CommentReference"/>
          <w:rFonts w:cstheme="minorHAnsi"/>
          <w:sz w:val="24"/>
          <w:szCs w:val="24"/>
        </w:rPr>
      </w:pPr>
      <w:r>
        <w:t>The sponsor proposed a price increase to an EMP of $</w:t>
      </w:r>
      <w:r w:rsidR="00AD200A" w:rsidRPr="00BB46EF">
        <w:rPr>
          <w:color w:val="000000"/>
          <w:w w:val="60"/>
          <w:shd w:val="solid" w:color="000000" w:fill="000000"/>
          <w:fitText w:val="464" w:id="-1304780789"/>
          <w14:textFill>
            <w14:solidFill>
              <w14:srgbClr w14:val="000000">
                <w14:alpha w14:val="100000"/>
              </w14:srgbClr>
            </w14:solidFill>
          </w14:textFill>
        </w:rPr>
        <w:t>|||  |||</w:t>
      </w:r>
      <w:r>
        <w:t xml:space="preserve"> </w:t>
      </w:r>
      <w:r w:rsidR="00E74DF5">
        <w:t>per syringe</w:t>
      </w:r>
      <w:r w:rsidR="007564D9">
        <w:t xml:space="preserve"> </w:t>
      </w:r>
      <w:r>
        <w:t xml:space="preserve">to </w:t>
      </w:r>
      <w:r w:rsidR="007564D9">
        <w:t xml:space="preserve">account for </w:t>
      </w:r>
      <w:r w:rsidR="007564D9" w:rsidRPr="007564D9">
        <w:t>the s</w:t>
      </w:r>
      <w:r w:rsidR="007564D9" w:rsidRPr="00401F8B">
        <w:t>avings which are generated by the reduction in supply chain costs (from introducing a listing with a larger maximum quantity)</w:t>
      </w:r>
      <w:r w:rsidRPr="00401F8B">
        <w:t>.</w:t>
      </w:r>
      <w:r w:rsidR="00227FDF" w:rsidRPr="00401F8B">
        <w:t xml:space="preserve"> </w:t>
      </w:r>
      <w:r w:rsidR="00512F76" w:rsidRPr="00401F8B">
        <w:t>The Secretariat note</w:t>
      </w:r>
      <w:r w:rsidR="00D35E7A" w:rsidRPr="00401F8B">
        <w:t>d</w:t>
      </w:r>
      <w:r w:rsidR="00512F76" w:rsidRPr="00401F8B">
        <w:t xml:space="preserve"> that changes to costs in the supply chain due to a change in PBS maximum quantity is in</w:t>
      </w:r>
      <w:r w:rsidR="00C9661C" w:rsidRPr="00401F8B">
        <w:t>adequate</w:t>
      </w:r>
      <w:r w:rsidR="00512F76" w:rsidRPr="00401F8B">
        <w:t xml:space="preserve"> justification for a</w:t>
      </w:r>
      <w:r w:rsidR="00C9661C" w:rsidRPr="00401F8B">
        <w:t xml:space="preserve">n </w:t>
      </w:r>
      <w:r w:rsidR="00512F76" w:rsidRPr="00401F8B">
        <w:t xml:space="preserve">increase to the </w:t>
      </w:r>
      <w:r w:rsidR="00C9661C" w:rsidRPr="00401F8B">
        <w:t xml:space="preserve">existing </w:t>
      </w:r>
      <w:r w:rsidR="00512F76" w:rsidRPr="00401F8B">
        <w:t>IFX SC</w:t>
      </w:r>
      <w:r w:rsidR="00C9661C" w:rsidRPr="00401F8B">
        <w:t xml:space="preserve"> EMP</w:t>
      </w:r>
      <w:r w:rsidR="00512F76" w:rsidRPr="00401F8B">
        <w:t xml:space="preserve">. </w:t>
      </w:r>
    </w:p>
    <w:p w14:paraId="5EB16602" w14:textId="42365B55" w:rsidR="00D70349" w:rsidRDefault="00D70349" w:rsidP="008756AA">
      <w:pPr>
        <w:pStyle w:val="4-SubsectionHeading"/>
        <w:rPr>
          <w:lang w:eastAsia="en-US"/>
        </w:rPr>
      </w:pPr>
      <w:r w:rsidRPr="009D507A">
        <w:rPr>
          <w:lang w:eastAsia="en-US"/>
        </w:rPr>
        <w:t>Estimated PBS utilisation and financial implications</w:t>
      </w:r>
      <w:r w:rsidR="008756AA">
        <w:rPr>
          <w:lang w:eastAsia="en-US"/>
        </w:rPr>
        <w:t xml:space="preserve"> </w:t>
      </w:r>
    </w:p>
    <w:p w14:paraId="6D0FA717" w14:textId="0F577922" w:rsidR="007612A7" w:rsidRDefault="007612A7" w:rsidP="00C24F56">
      <w:pPr>
        <w:pStyle w:val="3Bodytext"/>
      </w:pPr>
      <w:r>
        <w:t>The submission used a</w:t>
      </w:r>
      <w:r w:rsidR="00C24F56">
        <w:t xml:space="preserve"> market share approach to estimate the</w:t>
      </w:r>
      <w:r w:rsidR="004913C9">
        <w:t xml:space="preserve"> financial implications of the proposed listing and </w:t>
      </w:r>
      <w:r w:rsidR="004913C9">
        <w:fldChar w:fldCharType="begin"/>
      </w:r>
      <w:r w:rsidR="004913C9">
        <w:instrText xml:space="preserve"> REF _Ref115355143 \h  \* MERGEFORMAT </w:instrText>
      </w:r>
      <w:r w:rsidR="004913C9">
        <w:fldChar w:fldCharType="separate"/>
      </w:r>
      <w:r w:rsidR="007C2102" w:rsidRPr="007C2102">
        <w:t xml:space="preserve">Table </w:t>
      </w:r>
      <w:r w:rsidR="004913C9">
        <w:fldChar w:fldCharType="end"/>
      </w:r>
      <w:r w:rsidR="00120FE3">
        <w:t>5</w:t>
      </w:r>
      <w:r w:rsidR="004913C9">
        <w:t xml:space="preserve"> summarises the key inputs</w:t>
      </w:r>
      <w:r w:rsidR="00C24F56">
        <w:t xml:space="preserve">. </w:t>
      </w:r>
    </w:p>
    <w:p w14:paraId="08B13150" w14:textId="0AD7D14D" w:rsidR="004913C9" w:rsidRPr="004913C9" w:rsidRDefault="004913C9" w:rsidP="00CB7B92">
      <w:pPr>
        <w:pStyle w:val="3Bodytext"/>
        <w:keepNext/>
        <w:numPr>
          <w:ilvl w:val="0"/>
          <w:numId w:val="0"/>
        </w:numPr>
        <w:spacing w:after="0"/>
      </w:pPr>
      <w:bookmarkStart w:id="16" w:name="_Ref115355143"/>
      <w:r w:rsidRPr="004913C9">
        <w:rPr>
          <w:rFonts w:ascii="Arial Narrow" w:hAnsi="Arial Narrow"/>
          <w:b/>
          <w:bCs/>
          <w:sz w:val="20"/>
          <w:szCs w:val="20"/>
        </w:rPr>
        <w:t xml:space="preserve">Table </w:t>
      </w:r>
      <w:bookmarkEnd w:id="16"/>
      <w:r w:rsidR="00120FE3">
        <w:rPr>
          <w:rFonts w:ascii="Arial Narrow" w:hAnsi="Arial Narrow"/>
          <w:b/>
          <w:bCs/>
          <w:sz w:val="20"/>
          <w:szCs w:val="20"/>
        </w:rPr>
        <w:t>5</w:t>
      </w:r>
      <w:r w:rsidR="007A3CD4">
        <w:rPr>
          <w:rFonts w:ascii="Arial Narrow" w:hAnsi="Arial Narrow"/>
          <w:b/>
          <w:bCs/>
          <w:sz w:val="20"/>
          <w:szCs w:val="20"/>
        </w:rPr>
        <w:t>: Key inputs into financial estimates</w:t>
      </w:r>
    </w:p>
    <w:tbl>
      <w:tblPr>
        <w:tblStyle w:val="TableGrid"/>
        <w:tblW w:w="0" w:type="auto"/>
        <w:tblLook w:val="04A0" w:firstRow="1" w:lastRow="0" w:firstColumn="1" w:lastColumn="0" w:noHBand="0" w:noVBand="1"/>
      </w:tblPr>
      <w:tblGrid>
        <w:gridCol w:w="3397"/>
        <w:gridCol w:w="1276"/>
        <w:gridCol w:w="4343"/>
      </w:tblGrid>
      <w:tr w:rsidR="004913C9" w:rsidRPr="004913C9" w14:paraId="4F30A643" w14:textId="77777777" w:rsidTr="002E2AC7">
        <w:tc>
          <w:tcPr>
            <w:tcW w:w="3397" w:type="dxa"/>
          </w:tcPr>
          <w:p w14:paraId="1528AD3E" w14:textId="0D821BA9" w:rsidR="004913C9" w:rsidRPr="001653D9" w:rsidRDefault="002E2AC7" w:rsidP="00CB7B92">
            <w:pPr>
              <w:pStyle w:val="3Bodytext"/>
              <w:keepNext/>
              <w:numPr>
                <w:ilvl w:val="0"/>
                <w:numId w:val="0"/>
              </w:numPr>
              <w:spacing w:after="0"/>
              <w:jc w:val="left"/>
              <w:rPr>
                <w:rFonts w:ascii="Arial Narrow" w:hAnsi="Arial Narrow" w:cstheme="minorHAnsi"/>
                <w:b/>
                <w:bCs/>
                <w:sz w:val="20"/>
                <w:szCs w:val="20"/>
              </w:rPr>
            </w:pPr>
            <w:r w:rsidRPr="001653D9">
              <w:rPr>
                <w:rFonts w:ascii="Arial Narrow" w:hAnsi="Arial Narrow" w:cstheme="minorHAnsi"/>
                <w:b/>
                <w:bCs/>
                <w:sz w:val="20"/>
                <w:szCs w:val="20"/>
              </w:rPr>
              <w:t xml:space="preserve">Input </w:t>
            </w:r>
          </w:p>
        </w:tc>
        <w:tc>
          <w:tcPr>
            <w:tcW w:w="1276" w:type="dxa"/>
          </w:tcPr>
          <w:p w14:paraId="548AF0C6" w14:textId="4E1367D4" w:rsidR="004913C9" w:rsidRPr="001653D9" w:rsidRDefault="002E2AC7" w:rsidP="00CB7B92">
            <w:pPr>
              <w:pStyle w:val="3Bodytext"/>
              <w:keepNext/>
              <w:numPr>
                <w:ilvl w:val="0"/>
                <w:numId w:val="0"/>
              </w:numPr>
              <w:spacing w:after="0"/>
              <w:jc w:val="left"/>
              <w:rPr>
                <w:rFonts w:ascii="Arial Narrow" w:hAnsi="Arial Narrow" w:cstheme="minorHAnsi"/>
                <w:b/>
                <w:bCs/>
                <w:sz w:val="20"/>
                <w:szCs w:val="20"/>
              </w:rPr>
            </w:pPr>
            <w:r w:rsidRPr="001653D9">
              <w:rPr>
                <w:rFonts w:ascii="Arial Narrow" w:hAnsi="Arial Narrow" w:cstheme="minorHAnsi"/>
                <w:b/>
                <w:bCs/>
                <w:sz w:val="20"/>
                <w:szCs w:val="20"/>
              </w:rPr>
              <w:t xml:space="preserve">Value </w:t>
            </w:r>
          </w:p>
        </w:tc>
        <w:tc>
          <w:tcPr>
            <w:tcW w:w="4343" w:type="dxa"/>
          </w:tcPr>
          <w:p w14:paraId="7143C02E" w14:textId="4516D5DE" w:rsidR="004913C9" w:rsidRPr="001653D9" w:rsidRDefault="002E2AC7" w:rsidP="00CB7B92">
            <w:pPr>
              <w:pStyle w:val="3Bodytext"/>
              <w:keepNext/>
              <w:numPr>
                <w:ilvl w:val="0"/>
                <w:numId w:val="0"/>
              </w:numPr>
              <w:spacing w:after="0"/>
              <w:jc w:val="left"/>
              <w:rPr>
                <w:rFonts w:ascii="Arial Narrow" w:hAnsi="Arial Narrow" w:cstheme="minorHAnsi"/>
                <w:b/>
                <w:bCs/>
                <w:sz w:val="20"/>
                <w:szCs w:val="20"/>
              </w:rPr>
            </w:pPr>
            <w:r w:rsidRPr="001653D9">
              <w:rPr>
                <w:rFonts w:ascii="Arial Narrow" w:hAnsi="Arial Narrow" w:cstheme="minorHAnsi"/>
                <w:b/>
                <w:bCs/>
                <w:sz w:val="20"/>
                <w:szCs w:val="20"/>
              </w:rPr>
              <w:t>Source/ comment</w:t>
            </w:r>
          </w:p>
        </w:tc>
      </w:tr>
      <w:tr w:rsidR="002E2AC7" w:rsidRPr="004913C9" w14:paraId="2560F868" w14:textId="77777777" w:rsidTr="002E2AC7">
        <w:tc>
          <w:tcPr>
            <w:tcW w:w="3397" w:type="dxa"/>
          </w:tcPr>
          <w:p w14:paraId="4D3715E7" w14:textId="2303113F" w:rsidR="002E2AC7" w:rsidRPr="001653D9" w:rsidRDefault="002E2AC7" w:rsidP="00CB7B92">
            <w:pPr>
              <w:pStyle w:val="3Bodytext"/>
              <w:keepNext/>
              <w:numPr>
                <w:ilvl w:val="0"/>
                <w:numId w:val="0"/>
              </w:numPr>
              <w:spacing w:after="0"/>
              <w:jc w:val="left"/>
              <w:rPr>
                <w:rFonts w:ascii="Arial Narrow" w:hAnsi="Arial Narrow"/>
                <w:sz w:val="20"/>
                <w:szCs w:val="20"/>
              </w:rPr>
            </w:pPr>
            <w:r w:rsidRPr="001653D9">
              <w:rPr>
                <w:rFonts w:ascii="Arial Narrow" w:hAnsi="Arial Narrow"/>
                <w:sz w:val="20"/>
                <w:szCs w:val="20"/>
              </w:rPr>
              <w:t>IFX initiating script market growth</w:t>
            </w:r>
          </w:p>
        </w:tc>
        <w:tc>
          <w:tcPr>
            <w:tcW w:w="1276" w:type="dxa"/>
          </w:tcPr>
          <w:p w14:paraId="55500A38" w14:textId="259ACFC1" w:rsidR="002E2AC7" w:rsidRPr="001653D9" w:rsidRDefault="002E2AC7" w:rsidP="00CB7B92">
            <w:pPr>
              <w:pStyle w:val="3Bodytext"/>
              <w:keepNext/>
              <w:numPr>
                <w:ilvl w:val="0"/>
                <w:numId w:val="0"/>
              </w:numPr>
              <w:spacing w:after="0"/>
              <w:jc w:val="left"/>
              <w:rPr>
                <w:rFonts w:ascii="Arial Narrow" w:hAnsi="Arial Narrow" w:cstheme="minorHAnsi"/>
                <w:sz w:val="20"/>
                <w:szCs w:val="20"/>
              </w:rPr>
            </w:pPr>
            <w:r w:rsidRPr="001653D9">
              <w:rPr>
                <w:rFonts w:ascii="Arial Narrow" w:hAnsi="Arial Narrow" w:cstheme="minorHAnsi"/>
                <w:sz w:val="20"/>
                <w:szCs w:val="20"/>
              </w:rPr>
              <w:t>-</w:t>
            </w:r>
            <w:r w:rsidR="00AD200A" w:rsidRPr="00AD200A">
              <w:rPr>
                <w:rFonts w:ascii="Arial Narrow" w:hAnsi="Arial Narrow" w:cstheme="minorHAnsi"/>
                <w:color w:val="000000"/>
                <w:spacing w:val="61"/>
                <w:sz w:val="20"/>
                <w:szCs w:val="20"/>
                <w:shd w:val="solid" w:color="000000" w:fill="000000"/>
                <w:fitText w:val="357" w:id="-1304780788"/>
                <w14:textFill>
                  <w14:solidFill>
                    <w14:srgbClr w14:val="000000">
                      <w14:alpha w14:val="100000"/>
                    </w14:srgbClr>
                  </w14:solidFill>
                </w14:textFill>
              </w:rPr>
              <w:t>|||</w:t>
            </w:r>
            <w:r w:rsidR="00AD200A" w:rsidRPr="00AD200A">
              <w:rPr>
                <w:rFonts w:ascii="Arial Narrow" w:hAnsi="Arial Narrow" w:cstheme="minorHAnsi"/>
                <w:color w:val="000000"/>
                <w:spacing w:val="2"/>
                <w:sz w:val="20"/>
                <w:szCs w:val="20"/>
                <w:shd w:val="solid" w:color="000000" w:fill="000000"/>
                <w:fitText w:val="357" w:id="-1304780788"/>
                <w14:textFill>
                  <w14:solidFill>
                    <w14:srgbClr w14:val="000000">
                      <w14:alpha w14:val="100000"/>
                    </w14:srgbClr>
                  </w14:solidFill>
                </w14:textFill>
              </w:rPr>
              <w:t>|</w:t>
            </w:r>
            <w:r w:rsidRPr="001653D9">
              <w:rPr>
                <w:rFonts w:ascii="Arial Narrow" w:hAnsi="Arial Narrow" w:cstheme="minorHAnsi"/>
                <w:sz w:val="20"/>
                <w:szCs w:val="20"/>
              </w:rPr>
              <w:t>%</w:t>
            </w:r>
          </w:p>
        </w:tc>
        <w:tc>
          <w:tcPr>
            <w:tcW w:w="4343" w:type="dxa"/>
          </w:tcPr>
          <w:p w14:paraId="56A75274" w14:textId="77777777" w:rsidR="00A04FB1" w:rsidRDefault="002E2AC7" w:rsidP="00CB7B92">
            <w:pPr>
              <w:pStyle w:val="3Bodytext"/>
              <w:keepNext/>
              <w:numPr>
                <w:ilvl w:val="0"/>
                <w:numId w:val="0"/>
              </w:numPr>
              <w:spacing w:after="0"/>
              <w:jc w:val="left"/>
              <w:rPr>
                <w:rFonts w:ascii="Arial Narrow" w:hAnsi="Arial Narrow" w:cstheme="minorHAnsi"/>
                <w:sz w:val="20"/>
                <w:szCs w:val="20"/>
              </w:rPr>
            </w:pPr>
            <w:r w:rsidRPr="001653D9">
              <w:rPr>
                <w:rFonts w:ascii="Arial Narrow" w:hAnsi="Arial Narrow" w:cstheme="minorHAnsi"/>
                <w:sz w:val="20"/>
                <w:szCs w:val="20"/>
              </w:rPr>
              <w:t>Based on observed decrease in IFX IV use over last 3 calendar years</w:t>
            </w:r>
            <w:r w:rsidR="00A04FB1">
              <w:rPr>
                <w:rFonts w:ascii="Arial Narrow" w:hAnsi="Arial Narrow" w:cstheme="minorHAnsi"/>
                <w:sz w:val="20"/>
                <w:szCs w:val="20"/>
              </w:rPr>
              <w:t xml:space="preserve">. </w:t>
            </w:r>
          </w:p>
          <w:p w14:paraId="7AA4F53C" w14:textId="2A1D5191" w:rsidR="002E2AC7" w:rsidRPr="00401F8B" w:rsidRDefault="00A04FB1" w:rsidP="00CB7B92">
            <w:pPr>
              <w:pStyle w:val="3Bodytext"/>
              <w:keepNext/>
              <w:numPr>
                <w:ilvl w:val="0"/>
                <w:numId w:val="0"/>
              </w:numPr>
              <w:spacing w:after="0"/>
              <w:jc w:val="left"/>
              <w:rPr>
                <w:rFonts w:ascii="Arial Narrow" w:hAnsi="Arial Narrow" w:cstheme="minorHAnsi"/>
                <w:sz w:val="20"/>
                <w:szCs w:val="20"/>
              </w:rPr>
            </w:pPr>
            <w:r w:rsidRPr="00401F8B">
              <w:rPr>
                <w:rFonts w:ascii="Arial Narrow" w:hAnsi="Arial Narrow" w:cstheme="minorHAnsi"/>
                <w:sz w:val="20"/>
                <w:szCs w:val="20"/>
              </w:rPr>
              <w:t>With the listing of IFX SC without the requirement of IFX IV loading doses, IFX SC may substitute for other listed treatments for RA.</w:t>
            </w:r>
          </w:p>
        </w:tc>
      </w:tr>
      <w:tr w:rsidR="009F3E59" w:rsidRPr="004913C9" w14:paraId="0E8DF516" w14:textId="77777777" w:rsidTr="002E2AC7">
        <w:tc>
          <w:tcPr>
            <w:tcW w:w="3397" w:type="dxa"/>
          </w:tcPr>
          <w:p w14:paraId="42AF51A3" w14:textId="37708F75" w:rsidR="009F3E59" w:rsidRPr="001653D9" w:rsidRDefault="002E2AC7" w:rsidP="00CB7B92">
            <w:pPr>
              <w:pStyle w:val="3Bodytext"/>
              <w:keepNext/>
              <w:numPr>
                <w:ilvl w:val="0"/>
                <w:numId w:val="0"/>
              </w:numPr>
              <w:spacing w:after="0"/>
              <w:jc w:val="left"/>
              <w:rPr>
                <w:rFonts w:ascii="Arial Narrow" w:hAnsi="Arial Narrow" w:cstheme="minorHAnsi"/>
                <w:sz w:val="20"/>
                <w:szCs w:val="20"/>
              </w:rPr>
            </w:pPr>
            <w:r w:rsidRPr="001653D9">
              <w:rPr>
                <w:rFonts w:ascii="Arial Narrow" w:hAnsi="Arial Narrow"/>
                <w:sz w:val="20"/>
                <w:szCs w:val="20"/>
              </w:rPr>
              <w:t>Script substitution rate</w:t>
            </w:r>
          </w:p>
        </w:tc>
        <w:tc>
          <w:tcPr>
            <w:tcW w:w="1276" w:type="dxa"/>
          </w:tcPr>
          <w:p w14:paraId="5ADBAF1B" w14:textId="21F6BD82" w:rsidR="009F3E59" w:rsidRPr="005C7F85" w:rsidRDefault="002E2AC7" w:rsidP="00CB7B92">
            <w:pPr>
              <w:pStyle w:val="3Bodytext"/>
              <w:keepNext/>
              <w:numPr>
                <w:ilvl w:val="0"/>
                <w:numId w:val="0"/>
              </w:numPr>
              <w:spacing w:after="0"/>
              <w:jc w:val="left"/>
              <w:rPr>
                <w:rFonts w:ascii="Arial Narrow" w:hAnsi="Arial Narrow" w:cstheme="minorHAnsi"/>
                <w:sz w:val="20"/>
                <w:szCs w:val="20"/>
              </w:rPr>
            </w:pPr>
            <w:r w:rsidRPr="005C7F85">
              <w:rPr>
                <w:rFonts w:ascii="Arial Narrow" w:hAnsi="Arial Narrow" w:cstheme="minorHAnsi"/>
                <w:sz w:val="20"/>
                <w:szCs w:val="20"/>
              </w:rPr>
              <w:t xml:space="preserve">0.5 </w:t>
            </w:r>
          </w:p>
        </w:tc>
        <w:tc>
          <w:tcPr>
            <w:tcW w:w="4343" w:type="dxa"/>
          </w:tcPr>
          <w:p w14:paraId="38D9974B" w14:textId="11870607" w:rsidR="009F3E59" w:rsidRPr="001653D9" w:rsidRDefault="002E2AC7" w:rsidP="00CB7B92">
            <w:pPr>
              <w:pStyle w:val="3Bodytext"/>
              <w:keepNext/>
              <w:numPr>
                <w:ilvl w:val="0"/>
                <w:numId w:val="0"/>
              </w:numPr>
              <w:spacing w:after="0"/>
              <w:jc w:val="left"/>
              <w:rPr>
                <w:rFonts w:ascii="Arial Narrow" w:hAnsi="Arial Narrow" w:cstheme="minorHAnsi"/>
                <w:sz w:val="20"/>
                <w:szCs w:val="20"/>
              </w:rPr>
            </w:pPr>
            <w:r w:rsidRPr="001653D9">
              <w:rPr>
                <w:rFonts w:ascii="Arial Narrow" w:hAnsi="Arial Narrow" w:cstheme="minorHAnsi"/>
                <w:sz w:val="20"/>
                <w:szCs w:val="20"/>
              </w:rPr>
              <w:t>2 scripts for IFX IV induction doses will be displaced by 1 script for 5 syringe/pens of IFX SC.</w:t>
            </w:r>
          </w:p>
        </w:tc>
      </w:tr>
      <w:tr w:rsidR="009F3E59" w:rsidRPr="004913C9" w14:paraId="2B5DAFA8" w14:textId="77777777" w:rsidTr="002E2AC7">
        <w:tc>
          <w:tcPr>
            <w:tcW w:w="3397" w:type="dxa"/>
          </w:tcPr>
          <w:p w14:paraId="0582534B" w14:textId="76F68A08" w:rsidR="009F3E59" w:rsidRPr="001653D9" w:rsidRDefault="002E2AC7" w:rsidP="00CB7B92">
            <w:pPr>
              <w:pStyle w:val="3Bodytext"/>
              <w:keepNext/>
              <w:numPr>
                <w:ilvl w:val="0"/>
                <w:numId w:val="0"/>
              </w:numPr>
              <w:spacing w:after="0"/>
              <w:jc w:val="left"/>
              <w:rPr>
                <w:rFonts w:ascii="Arial Narrow" w:hAnsi="Arial Narrow" w:cstheme="minorHAnsi"/>
                <w:sz w:val="20"/>
                <w:szCs w:val="20"/>
              </w:rPr>
            </w:pPr>
            <w:r w:rsidRPr="001653D9">
              <w:rPr>
                <w:rFonts w:ascii="Arial Narrow" w:hAnsi="Arial Narrow" w:cstheme="minorHAnsi"/>
                <w:sz w:val="20"/>
                <w:szCs w:val="20"/>
              </w:rPr>
              <w:t>Uptake of IFX SC loading doses</w:t>
            </w:r>
          </w:p>
        </w:tc>
        <w:tc>
          <w:tcPr>
            <w:tcW w:w="1276" w:type="dxa"/>
          </w:tcPr>
          <w:p w14:paraId="73C21984" w14:textId="4C1C5F98" w:rsidR="009F3E59" w:rsidRPr="001653D9" w:rsidRDefault="00AD200A" w:rsidP="00CB7B92">
            <w:pPr>
              <w:pStyle w:val="3Bodytext"/>
              <w:keepNext/>
              <w:numPr>
                <w:ilvl w:val="0"/>
                <w:numId w:val="0"/>
              </w:numPr>
              <w:spacing w:after="0"/>
              <w:jc w:val="left"/>
              <w:rPr>
                <w:rFonts w:ascii="Arial Narrow" w:hAnsi="Arial Narrow" w:cstheme="minorHAnsi"/>
                <w:sz w:val="20"/>
                <w:szCs w:val="20"/>
              </w:rPr>
            </w:pPr>
            <w:r w:rsidRPr="00AD200A">
              <w:rPr>
                <w:rFonts w:ascii="Arial Narrow" w:hAnsi="Arial Narrow" w:cstheme="minorHAnsi"/>
                <w:color w:val="000000"/>
                <w:spacing w:val="65"/>
                <w:sz w:val="20"/>
                <w:szCs w:val="20"/>
                <w:shd w:val="solid" w:color="000000" w:fill="000000"/>
                <w:fitText w:val="368" w:id="-1304780787"/>
                <w14:textFill>
                  <w14:solidFill>
                    <w14:srgbClr w14:val="000000">
                      <w14:alpha w14:val="100000"/>
                    </w14:srgbClr>
                  </w14:solidFill>
                </w14:textFill>
              </w:rPr>
              <w:t>|||</w:t>
            </w:r>
            <w:r w:rsidRPr="00AD200A">
              <w:rPr>
                <w:rFonts w:ascii="Arial Narrow" w:hAnsi="Arial Narrow" w:cstheme="minorHAnsi"/>
                <w:color w:val="000000"/>
                <w:spacing w:val="1"/>
                <w:sz w:val="20"/>
                <w:szCs w:val="20"/>
                <w:shd w:val="solid" w:color="000000" w:fill="000000"/>
                <w:fitText w:val="368" w:id="-1304780787"/>
                <w14:textFill>
                  <w14:solidFill>
                    <w14:srgbClr w14:val="000000">
                      <w14:alpha w14:val="100000"/>
                    </w14:srgbClr>
                  </w14:solidFill>
                </w14:textFill>
              </w:rPr>
              <w:t>|</w:t>
            </w:r>
            <w:r w:rsidR="002E2AC7" w:rsidRPr="00E54C54">
              <w:rPr>
                <w:rFonts w:ascii="Arial Narrow" w:hAnsi="Arial Narrow" w:cstheme="minorHAnsi"/>
                <w:sz w:val="20"/>
                <w:szCs w:val="20"/>
              </w:rPr>
              <w:t xml:space="preserve">% in Yr 1 increasing to </w:t>
            </w:r>
            <w:r w:rsidRPr="00AD200A">
              <w:rPr>
                <w:rFonts w:ascii="Arial Narrow" w:hAnsi="Arial Narrow" w:cstheme="minorHAnsi"/>
                <w:color w:val="000000"/>
                <w:spacing w:val="65"/>
                <w:sz w:val="20"/>
                <w:szCs w:val="20"/>
                <w:shd w:val="solid" w:color="000000" w:fill="000000"/>
                <w:fitText w:val="368" w:id="-1304780786"/>
                <w14:textFill>
                  <w14:solidFill>
                    <w14:srgbClr w14:val="000000">
                      <w14:alpha w14:val="100000"/>
                    </w14:srgbClr>
                  </w14:solidFill>
                </w14:textFill>
              </w:rPr>
              <w:t>|||</w:t>
            </w:r>
            <w:r w:rsidRPr="00AD200A">
              <w:rPr>
                <w:rFonts w:ascii="Arial Narrow" w:hAnsi="Arial Narrow" w:cstheme="minorHAnsi"/>
                <w:color w:val="000000"/>
                <w:spacing w:val="1"/>
                <w:sz w:val="20"/>
                <w:szCs w:val="20"/>
                <w:shd w:val="solid" w:color="000000" w:fill="000000"/>
                <w:fitText w:val="368" w:id="-1304780786"/>
                <w14:textFill>
                  <w14:solidFill>
                    <w14:srgbClr w14:val="000000">
                      <w14:alpha w14:val="100000"/>
                    </w14:srgbClr>
                  </w14:solidFill>
                </w14:textFill>
              </w:rPr>
              <w:t>|</w:t>
            </w:r>
            <w:r w:rsidR="002E2AC7" w:rsidRPr="001653D9">
              <w:rPr>
                <w:rFonts w:ascii="Arial Narrow" w:hAnsi="Arial Narrow" w:cstheme="minorHAnsi"/>
                <w:sz w:val="20"/>
                <w:szCs w:val="20"/>
              </w:rPr>
              <w:t>% in Yr 6</w:t>
            </w:r>
          </w:p>
        </w:tc>
        <w:tc>
          <w:tcPr>
            <w:tcW w:w="4343" w:type="dxa"/>
          </w:tcPr>
          <w:p w14:paraId="7859E2C6" w14:textId="376D676F" w:rsidR="009F3E59" w:rsidRPr="001653D9" w:rsidRDefault="002E2AC7" w:rsidP="00CB7B92">
            <w:pPr>
              <w:pStyle w:val="3Bodytext"/>
              <w:keepNext/>
              <w:numPr>
                <w:ilvl w:val="0"/>
                <w:numId w:val="0"/>
              </w:numPr>
              <w:spacing w:after="0"/>
              <w:jc w:val="left"/>
              <w:rPr>
                <w:rFonts w:ascii="Arial Narrow" w:hAnsi="Arial Narrow" w:cstheme="minorHAnsi"/>
                <w:sz w:val="20"/>
                <w:szCs w:val="20"/>
              </w:rPr>
            </w:pPr>
            <w:r w:rsidRPr="001653D9">
              <w:rPr>
                <w:rFonts w:ascii="Arial Narrow" w:hAnsi="Arial Narrow" w:cstheme="minorHAnsi"/>
                <w:sz w:val="20"/>
                <w:szCs w:val="20"/>
              </w:rPr>
              <w:t>Sponsor assumption</w:t>
            </w:r>
          </w:p>
        </w:tc>
      </w:tr>
      <w:tr w:rsidR="0076423E" w:rsidRPr="004913C9" w14:paraId="63034608" w14:textId="77777777" w:rsidTr="007E50A4">
        <w:tc>
          <w:tcPr>
            <w:tcW w:w="3397" w:type="dxa"/>
          </w:tcPr>
          <w:p w14:paraId="3AD5EEDB" w14:textId="77777777" w:rsidR="0076423E" w:rsidRPr="001653D9" w:rsidRDefault="0076423E" w:rsidP="007E50A4">
            <w:pPr>
              <w:pStyle w:val="3Bodytext"/>
              <w:keepNext/>
              <w:numPr>
                <w:ilvl w:val="0"/>
                <w:numId w:val="0"/>
              </w:numPr>
              <w:spacing w:after="0"/>
              <w:jc w:val="left"/>
              <w:rPr>
                <w:rFonts w:ascii="Arial Narrow" w:hAnsi="Arial Narrow" w:cstheme="minorHAnsi"/>
                <w:sz w:val="20"/>
                <w:szCs w:val="20"/>
              </w:rPr>
            </w:pPr>
            <w:r w:rsidRPr="001653D9">
              <w:rPr>
                <w:rFonts w:ascii="Arial Narrow" w:hAnsi="Arial Narrow" w:cstheme="minorHAnsi"/>
                <w:sz w:val="20"/>
                <w:szCs w:val="20"/>
              </w:rPr>
              <w:t>Cost, DPMQ, IFX SC</w:t>
            </w:r>
          </w:p>
        </w:tc>
        <w:tc>
          <w:tcPr>
            <w:tcW w:w="1276" w:type="dxa"/>
          </w:tcPr>
          <w:p w14:paraId="3C391662" w14:textId="25D9866B" w:rsidR="0076423E" w:rsidRPr="001653D9" w:rsidRDefault="0076423E" w:rsidP="007E50A4">
            <w:pPr>
              <w:pStyle w:val="3Bodytext"/>
              <w:keepNext/>
              <w:numPr>
                <w:ilvl w:val="0"/>
                <w:numId w:val="0"/>
              </w:numPr>
              <w:spacing w:after="0"/>
              <w:jc w:val="left"/>
              <w:rPr>
                <w:rFonts w:ascii="Arial Narrow" w:hAnsi="Arial Narrow" w:cstheme="minorHAnsi"/>
                <w:sz w:val="20"/>
                <w:szCs w:val="20"/>
              </w:rPr>
            </w:pPr>
            <w:r w:rsidRPr="001653D9">
              <w:rPr>
                <w:rFonts w:ascii="Arial Narrow" w:hAnsi="Arial Narrow" w:cstheme="minorHAnsi"/>
                <w:sz w:val="20"/>
                <w:szCs w:val="20"/>
              </w:rPr>
              <w:t>$</w:t>
            </w:r>
            <w:r w:rsidR="00AD200A" w:rsidRPr="00AD200A">
              <w:rPr>
                <w:rFonts w:ascii="Arial Narrow" w:hAnsi="Arial Narrow" w:cstheme="minorHAnsi"/>
                <w:color w:val="000000"/>
                <w:spacing w:val="65"/>
                <w:sz w:val="20"/>
                <w:szCs w:val="20"/>
                <w:shd w:val="solid" w:color="000000" w:fill="000000"/>
                <w:fitText w:val="369" w:id="-1304780785"/>
                <w14:textFill>
                  <w14:solidFill>
                    <w14:srgbClr w14:val="000000">
                      <w14:alpha w14:val="100000"/>
                    </w14:srgbClr>
                  </w14:solidFill>
                </w14:textFill>
              </w:rPr>
              <w:t>|||</w:t>
            </w:r>
            <w:r w:rsidR="00AD200A" w:rsidRPr="00AD200A">
              <w:rPr>
                <w:rFonts w:ascii="Arial Narrow" w:hAnsi="Arial Narrow" w:cstheme="minorHAnsi"/>
                <w:color w:val="000000"/>
                <w:spacing w:val="2"/>
                <w:sz w:val="20"/>
                <w:szCs w:val="20"/>
                <w:shd w:val="solid" w:color="000000" w:fill="000000"/>
                <w:fitText w:val="369" w:id="-1304780785"/>
                <w14:textFill>
                  <w14:solidFill>
                    <w14:srgbClr w14:val="000000">
                      <w14:alpha w14:val="100000"/>
                    </w14:srgbClr>
                  </w14:solidFill>
                </w14:textFill>
              </w:rPr>
              <w:t>|</w:t>
            </w:r>
          </w:p>
        </w:tc>
        <w:tc>
          <w:tcPr>
            <w:tcW w:w="4343" w:type="dxa"/>
          </w:tcPr>
          <w:p w14:paraId="751C8ABC" w14:textId="22131072" w:rsidR="0076423E" w:rsidRPr="001653D9" w:rsidRDefault="0076423E" w:rsidP="007E50A4">
            <w:pPr>
              <w:pStyle w:val="3Bodytext"/>
              <w:keepNext/>
              <w:numPr>
                <w:ilvl w:val="0"/>
                <w:numId w:val="0"/>
              </w:numPr>
              <w:spacing w:after="0"/>
              <w:jc w:val="left"/>
              <w:rPr>
                <w:rFonts w:ascii="Arial Narrow" w:hAnsi="Arial Narrow" w:cstheme="minorHAnsi"/>
                <w:sz w:val="20"/>
                <w:szCs w:val="20"/>
              </w:rPr>
            </w:pPr>
            <w:r w:rsidRPr="001653D9">
              <w:rPr>
                <w:rFonts w:ascii="Arial Narrow" w:hAnsi="Arial Narrow" w:cstheme="minorHAnsi"/>
                <w:sz w:val="20"/>
                <w:szCs w:val="20"/>
              </w:rPr>
              <w:t>For a maximum quantity of 5</w:t>
            </w:r>
            <w:r w:rsidR="0056076D" w:rsidRPr="001653D9">
              <w:rPr>
                <w:rFonts w:ascii="Arial Narrow" w:hAnsi="Arial Narrow" w:cstheme="minorHAnsi"/>
                <w:sz w:val="20"/>
                <w:szCs w:val="20"/>
              </w:rPr>
              <w:t xml:space="preserve"> injections</w:t>
            </w:r>
          </w:p>
        </w:tc>
      </w:tr>
      <w:tr w:rsidR="007A3CD4" w:rsidRPr="004913C9" w14:paraId="4DB03F5F" w14:textId="77777777" w:rsidTr="002E2AC7">
        <w:tc>
          <w:tcPr>
            <w:tcW w:w="3397" w:type="dxa"/>
          </w:tcPr>
          <w:p w14:paraId="62F79397" w14:textId="614DF652" w:rsidR="007A3CD4" w:rsidRPr="005C7F85" w:rsidRDefault="007A3CD4" w:rsidP="00CB7B92">
            <w:pPr>
              <w:pStyle w:val="3Bodytext"/>
              <w:keepNext/>
              <w:numPr>
                <w:ilvl w:val="0"/>
                <w:numId w:val="0"/>
              </w:numPr>
              <w:spacing w:after="0"/>
              <w:jc w:val="left"/>
              <w:rPr>
                <w:rFonts w:ascii="Arial Narrow" w:hAnsi="Arial Narrow" w:cstheme="minorHAnsi"/>
                <w:sz w:val="20"/>
                <w:szCs w:val="20"/>
              </w:rPr>
            </w:pPr>
            <w:r w:rsidRPr="005C7F85">
              <w:rPr>
                <w:rFonts w:ascii="Arial Narrow" w:hAnsi="Arial Narrow" w:cstheme="minorHAnsi"/>
                <w:sz w:val="20"/>
                <w:szCs w:val="20"/>
              </w:rPr>
              <w:t>IFX vials per script (for cost offset calculation)</w:t>
            </w:r>
          </w:p>
        </w:tc>
        <w:tc>
          <w:tcPr>
            <w:tcW w:w="1276" w:type="dxa"/>
          </w:tcPr>
          <w:p w14:paraId="4EE5EE35" w14:textId="7CB07CF9" w:rsidR="007A3CD4" w:rsidRPr="005C7F85" w:rsidRDefault="007A3CD4" w:rsidP="00CB7B92">
            <w:pPr>
              <w:pStyle w:val="3Bodytext"/>
              <w:keepNext/>
              <w:numPr>
                <w:ilvl w:val="0"/>
                <w:numId w:val="0"/>
              </w:numPr>
              <w:spacing w:after="0"/>
              <w:jc w:val="left"/>
              <w:rPr>
                <w:rFonts w:ascii="Arial Narrow" w:hAnsi="Arial Narrow" w:cstheme="minorHAnsi"/>
                <w:sz w:val="20"/>
                <w:szCs w:val="20"/>
              </w:rPr>
            </w:pPr>
            <w:r w:rsidRPr="005C7F85">
              <w:rPr>
                <w:rFonts w:ascii="Arial Narrow" w:hAnsi="Arial Narrow" w:cstheme="minorHAnsi"/>
                <w:sz w:val="20"/>
                <w:szCs w:val="20"/>
              </w:rPr>
              <w:t>3.38, rounded to 4</w:t>
            </w:r>
          </w:p>
        </w:tc>
        <w:tc>
          <w:tcPr>
            <w:tcW w:w="4343" w:type="dxa"/>
          </w:tcPr>
          <w:p w14:paraId="65F045BD" w14:textId="7917D27B" w:rsidR="007A3CD4" w:rsidRPr="001653D9" w:rsidRDefault="007A3CD4" w:rsidP="00CB7B92">
            <w:pPr>
              <w:pStyle w:val="3Bodytext"/>
              <w:keepNext/>
              <w:numPr>
                <w:ilvl w:val="0"/>
                <w:numId w:val="0"/>
              </w:numPr>
              <w:spacing w:after="0"/>
              <w:jc w:val="left"/>
              <w:rPr>
                <w:rFonts w:ascii="Arial Narrow" w:hAnsi="Arial Narrow" w:cstheme="minorHAnsi"/>
                <w:sz w:val="20"/>
                <w:szCs w:val="20"/>
              </w:rPr>
            </w:pPr>
            <w:r w:rsidRPr="001653D9">
              <w:rPr>
                <w:rFonts w:ascii="Arial Narrow" w:hAnsi="Arial Narrow" w:cstheme="minorHAnsi"/>
                <w:sz w:val="20"/>
                <w:szCs w:val="20"/>
              </w:rPr>
              <w:t>Analysis of PBS data</w:t>
            </w:r>
          </w:p>
        </w:tc>
      </w:tr>
      <w:tr w:rsidR="00C05680" w:rsidRPr="004913C9" w14:paraId="3F758291" w14:textId="77777777" w:rsidTr="002E2AC7">
        <w:tc>
          <w:tcPr>
            <w:tcW w:w="3397" w:type="dxa"/>
          </w:tcPr>
          <w:p w14:paraId="4B1127FF" w14:textId="21B87FD2" w:rsidR="00C05680" w:rsidRPr="001653D9" w:rsidRDefault="00C05680" w:rsidP="00CB7B92">
            <w:pPr>
              <w:pStyle w:val="3Bodytext"/>
              <w:keepNext/>
              <w:numPr>
                <w:ilvl w:val="0"/>
                <w:numId w:val="0"/>
              </w:numPr>
              <w:spacing w:after="0"/>
              <w:jc w:val="left"/>
              <w:rPr>
                <w:rFonts w:ascii="Arial Narrow" w:hAnsi="Arial Narrow" w:cstheme="minorHAnsi"/>
                <w:sz w:val="20"/>
                <w:szCs w:val="20"/>
              </w:rPr>
            </w:pPr>
            <w:r w:rsidRPr="001653D9">
              <w:rPr>
                <w:rFonts w:ascii="Arial Narrow" w:hAnsi="Arial Narrow" w:cstheme="minorHAnsi"/>
                <w:sz w:val="20"/>
                <w:szCs w:val="20"/>
              </w:rPr>
              <w:t>Cost DPMQ, IFX IV</w:t>
            </w:r>
          </w:p>
        </w:tc>
        <w:tc>
          <w:tcPr>
            <w:tcW w:w="1276" w:type="dxa"/>
          </w:tcPr>
          <w:p w14:paraId="6C3832A2" w14:textId="7FB3F57A" w:rsidR="00C05680" w:rsidRPr="001653D9" w:rsidRDefault="00C05680" w:rsidP="00CB7B92">
            <w:pPr>
              <w:pStyle w:val="3Bodytext"/>
              <w:keepNext/>
              <w:numPr>
                <w:ilvl w:val="0"/>
                <w:numId w:val="0"/>
              </w:numPr>
              <w:spacing w:after="0"/>
              <w:jc w:val="left"/>
              <w:rPr>
                <w:rFonts w:ascii="Arial Narrow" w:hAnsi="Arial Narrow" w:cstheme="minorHAnsi"/>
                <w:sz w:val="20"/>
                <w:szCs w:val="20"/>
              </w:rPr>
            </w:pPr>
            <w:r w:rsidRPr="001653D9">
              <w:rPr>
                <w:rFonts w:ascii="Arial Narrow" w:hAnsi="Arial Narrow" w:cstheme="minorHAnsi"/>
                <w:sz w:val="20"/>
                <w:szCs w:val="20"/>
              </w:rPr>
              <w:t>$</w:t>
            </w:r>
            <w:r w:rsidR="00AD200A" w:rsidRPr="00AD200A">
              <w:rPr>
                <w:rFonts w:ascii="Arial Narrow" w:hAnsi="Arial Narrow" w:cstheme="minorHAnsi"/>
                <w:color w:val="000000"/>
                <w:spacing w:val="65"/>
                <w:sz w:val="20"/>
                <w:szCs w:val="20"/>
                <w:shd w:val="solid" w:color="000000" w:fill="000000"/>
                <w:fitText w:val="369" w:id="-1304780784"/>
                <w14:textFill>
                  <w14:solidFill>
                    <w14:srgbClr w14:val="000000">
                      <w14:alpha w14:val="100000"/>
                    </w14:srgbClr>
                  </w14:solidFill>
                </w14:textFill>
              </w:rPr>
              <w:t>|||</w:t>
            </w:r>
            <w:r w:rsidR="00AD200A" w:rsidRPr="00AD200A">
              <w:rPr>
                <w:rFonts w:ascii="Arial Narrow" w:hAnsi="Arial Narrow" w:cstheme="minorHAnsi"/>
                <w:color w:val="000000"/>
                <w:spacing w:val="2"/>
                <w:sz w:val="20"/>
                <w:szCs w:val="20"/>
                <w:shd w:val="solid" w:color="000000" w:fill="000000"/>
                <w:fitText w:val="369" w:id="-1304780784"/>
                <w14:textFill>
                  <w14:solidFill>
                    <w14:srgbClr w14:val="000000">
                      <w14:alpha w14:val="100000"/>
                    </w14:srgbClr>
                  </w14:solidFill>
                </w14:textFill>
              </w:rPr>
              <w:t>|</w:t>
            </w:r>
          </w:p>
        </w:tc>
        <w:tc>
          <w:tcPr>
            <w:tcW w:w="4343" w:type="dxa"/>
          </w:tcPr>
          <w:p w14:paraId="42FB5841" w14:textId="5AD7A4B7" w:rsidR="00C05680" w:rsidRPr="001653D9" w:rsidRDefault="00312601" w:rsidP="00CB7B92">
            <w:pPr>
              <w:pStyle w:val="3Bodytext"/>
              <w:keepNext/>
              <w:numPr>
                <w:ilvl w:val="0"/>
                <w:numId w:val="0"/>
              </w:numPr>
              <w:spacing w:after="0"/>
              <w:jc w:val="left"/>
              <w:rPr>
                <w:rFonts w:ascii="Arial Narrow" w:hAnsi="Arial Narrow" w:cstheme="minorHAnsi"/>
                <w:sz w:val="20"/>
                <w:szCs w:val="20"/>
              </w:rPr>
            </w:pPr>
            <w:r w:rsidRPr="001653D9">
              <w:rPr>
                <w:rFonts w:ascii="Arial Narrow" w:hAnsi="Arial Narrow" w:cstheme="minorHAnsi"/>
                <w:sz w:val="20"/>
                <w:szCs w:val="20"/>
              </w:rPr>
              <w:t>65% public use</w:t>
            </w:r>
          </w:p>
        </w:tc>
      </w:tr>
    </w:tbl>
    <w:p w14:paraId="7E9EDECC" w14:textId="4D6A9B75" w:rsidR="004913C9" w:rsidRPr="001653D9" w:rsidRDefault="007A3CD4" w:rsidP="00CB7B92">
      <w:pPr>
        <w:pStyle w:val="3Bodytext"/>
        <w:keepNext/>
        <w:numPr>
          <w:ilvl w:val="0"/>
          <w:numId w:val="0"/>
        </w:numPr>
        <w:spacing w:after="0"/>
        <w:rPr>
          <w:rFonts w:ascii="Arial Narrow" w:hAnsi="Arial Narrow" w:cstheme="minorHAnsi"/>
          <w:sz w:val="18"/>
          <w:szCs w:val="18"/>
        </w:rPr>
      </w:pPr>
      <w:r w:rsidRPr="001653D9">
        <w:rPr>
          <w:rFonts w:ascii="Arial Narrow" w:hAnsi="Arial Narrow" w:cstheme="minorHAnsi"/>
          <w:sz w:val="18"/>
          <w:szCs w:val="18"/>
        </w:rPr>
        <w:t xml:space="preserve">Source: Table 4-3 of submission; </w:t>
      </w:r>
    </w:p>
    <w:p w14:paraId="0DC75951" w14:textId="42415F5E" w:rsidR="007A3CD4" w:rsidRPr="001653D9" w:rsidRDefault="0076423E" w:rsidP="00CB7B92">
      <w:pPr>
        <w:pStyle w:val="3Bodytext"/>
        <w:keepNext/>
        <w:numPr>
          <w:ilvl w:val="0"/>
          <w:numId w:val="0"/>
        </w:numPr>
        <w:rPr>
          <w:rFonts w:ascii="Arial Narrow" w:hAnsi="Arial Narrow" w:cstheme="minorHAnsi"/>
          <w:sz w:val="18"/>
          <w:szCs w:val="18"/>
        </w:rPr>
      </w:pPr>
      <w:r w:rsidRPr="001653D9">
        <w:rPr>
          <w:rFonts w:ascii="Arial Narrow" w:hAnsi="Arial Narrow" w:cstheme="minorHAnsi"/>
          <w:sz w:val="18"/>
          <w:szCs w:val="18"/>
        </w:rPr>
        <w:t xml:space="preserve">DPMQ dispensed price for maximum quantity; </w:t>
      </w:r>
      <w:r w:rsidR="007A3CD4" w:rsidRPr="001653D9">
        <w:rPr>
          <w:rFonts w:ascii="Arial Narrow" w:hAnsi="Arial Narrow" w:cstheme="minorHAnsi"/>
          <w:sz w:val="18"/>
          <w:szCs w:val="18"/>
        </w:rPr>
        <w:t>IFX infliximab; IV intravenous; SC subcutaneous</w:t>
      </w:r>
    </w:p>
    <w:p w14:paraId="471D67FD" w14:textId="7DD07DDC" w:rsidR="004913C9" w:rsidRPr="00E719A4" w:rsidRDefault="00E719A4" w:rsidP="00E719A4">
      <w:pPr>
        <w:pStyle w:val="ListParagraph"/>
        <w:numPr>
          <w:ilvl w:val="1"/>
          <w:numId w:val="2"/>
        </w:numPr>
        <w:spacing w:after="160"/>
      </w:pPr>
      <w:r>
        <w:fldChar w:fldCharType="begin"/>
      </w:r>
      <w:r>
        <w:instrText xml:space="preserve"> REF _Ref115355317 \h  \* MERGEFORMAT </w:instrText>
      </w:r>
      <w:r>
        <w:fldChar w:fldCharType="separate"/>
      </w:r>
      <w:r w:rsidR="007C2102" w:rsidRPr="007C2102">
        <w:t xml:space="preserve">Table </w:t>
      </w:r>
      <w:r>
        <w:fldChar w:fldCharType="end"/>
      </w:r>
      <w:r>
        <w:t xml:space="preserve"> </w:t>
      </w:r>
      <w:r w:rsidRPr="005D05BB">
        <w:t xml:space="preserve">summarises the estimated net financial implications for the proposed listing of IFX SC </w:t>
      </w:r>
      <w:r w:rsidR="00FF7BCD">
        <w:t xml:space="preserve">loading doses </w:t>
      </w:r>
      <w:r w:rsidRPr="005D05BB">
        <w:t>on the PBS/RPBS</w:t>
      </w:r>
      <w:r>
        <w:t xml:space="preserve">. </w:t>
      </w:r>
    </w:p>
    <w:p w14:paraId="5F8487C3" w14:textId="6F3C6A3E" w:rsidR="002D0613" w:rsidRPr="00E719A4" w:rsidRDefault="00E719A4" w:rsidP="00E719A4">
      <w:pPr>
        <w:pStyle w:val="Caption"/>
        <w:keepNext/>
        <w:spacing w:after="0"/>
        <w:rPr>
          <w:rStyle w:val="CommentReference"/>
          <w:i w:val="0"/>
          <w:iCs w:val="0"/>
          <w:sz w:val="18"/>
          <w:szCs w:val="18"/>
        </w:rPr>
      </w:pPr>
      <w:bookmarkStart w:id="17" w:name="_Ref115355317"/>
      <w:r w:rsidRPr="00E719A4">
        <w:rPr>
          <w:rFonts w:ascii="Arial Narrow" w:hAnsi="Arial Narrow"/>
          <w:b/>
          <w:bCs/>
          <w:i w:val="0"/>
          <w:iCs w:val="0"/>
        </w:rPr>
        <w:t xml:space="preserve">Table </w:t>
      </w:r>
      <w:bookmarkEnd w:id="17"/>
      <w:r w:rsidR="00120FE3">
        <w:rPr>
          <w:rFonts w:ascii="Arial Narrow" w:hAnsi="Arial Narrow"/>
          <w:b/>
          <w:bCs/>
          <w:i w:val="0"/>
          <w:iCs w:val="0"/>
        </w:rPr>
        <w:t>6</w:t>
      </w:r>
      <w:r w:rsidRPr="00E719A4">
        <w:rPr>
          <w:rFonts w:ascii="Arial Narrow" w:hAnsi="Arial Narrow"/>
          <w:b/>
          <w:bCs/>
          <w:i w:val="0"/>
          <w:iCs w:val="0"/>
        </w:rPr>
        <w:t>:</w:t>
      </w:r>
      <w:r w:rsidRPr="00E719A4">
        <w:rPr>
          <w:i w:val="0"/>
          <w:iCs w:val="0"/>
        </w:rPr>
        <w:t xml:space="preserve"> </w:t>
      </w:r>
      <w:r w:rsidR="002D0613" w:rsidRPr="00E719A4">
        <w:rPr>
          <w:rStyle w:val="CommentReference"/>
          <w:rFonts w:ascii="Arial Narrow" w:hAnsi="Arial Narrow"/>
          <w:b/>
          <w:i w:val="0"/>
          <w:iCs w:val="0"/>
          <w:sz w:val="20"/>
        </w:rPr>
        <w:t>Estimated use and financial implications</w:t>
      </w:r>
    </w:p>
    <w:tbl>
      <w:tblPr>
        <w:tblStyle w:val="TableGrid"/>
        <w:tblW w:w="5000" w:type="pct"/>
        <w:tblLayout w:type="fixed"/>
        <w:tblLook w:val="04A0" w:firstRow="1" w:lastRow="0" w:firstColumn="1" w:lastColumn="0" w:noHBand="0" w:noVBand="1"/>
      </w:tblPr>
      <w:tblGrid>
        <w:gridCol w:w="2403"/>
        <w:gridCol w:w="1101"/>
        <w:gridCol w:w="1102"/>
        <w:gridCol w:w="1102"/>
        <w:gridCol w:w="1102"/>
        <w:gridCol w:w="1102"/>
        <w:gridCol w:w="1104"/>
      </w:tblGrid>
      <w:tr w:rsidR="002D0613" w:rsidRPr="00D1078F" w14:paraId="36E3A234" w14:textId="77777777" w:rsidTr="00C935FE">
        <w:tc>
          <w:tcPr>
            <w:tcW w:w="1333" w:type="pct"/>
          </w:tcPr>
          <w:p w14:paraId="7A5923E5" w14:textId="77777777" w:rsidR="002D0613" w:rsidRPr="003639A6" w:rsidRDefault="002D0613" w:rsidP="00B534FA">
            <w:pPr>
              <w:pStyle w:val="In-tableHeading"/>
              <w:jc w:val="center"/>
            </w:pPr>
          </w:p>
        </w:tc>
        <w:tc>
          <w:tcPr>
            <w:tcW w:w="611" w:type="pct"/>
          </w:tcPr>
          <w:p w14:paraId="48C30326" w14:textId="77777777" w:rsidR="002D0613" w:rsidRPr="00D1078F" w:rsidRDefault="002D0613" w:rsidP="00B534FA">
            <w:pPr>
              <w:pStyle w:val="In-tableHeading"/>
              <w:jc w:val="center"/>
            </w:pPr>
            <w:r w:rsidRPr="00D1078F">
              <w:t>Year 1</w:t>
            </w:r>
          </w:p>
        </w:tc>
        <w:tc>
          <w:tcPr>
            <w:tcW w:w="611" w:type="pct"/>
          </w:tcPr>
          <w:p w14:paraId="7C5CA57D" w14:textId="77777777" w:rsidR="002D0613" w:rsidRPr="00D1078F" w:rsidRDefault="002D0613" w:rsidP="00B534FA">
            <w:pPr>
              <w:pStyle w:val="In-tableHeading"/>
              <w:jc w:val="center"/>
            </w:pPr>
            <w:r w:rsidRPr="00D1078F">
              <w:t>Year 2</w:t>
            </w:r>
          </w:p>
        </w:tc>
        <w:tc>
          <w:tcPr>
            <w:tcW w:w="611" w:type="pct"/>
          </w:tcPr>
          <w:p w14:paraId="0945A0B4" w14:textId="77777777" w:rsidR="002D0613" w:rsidRPr="00D1078F" w:rsidRDefault="002D0613" w:rsidP="00B534FA">
            <w:pPr>
              <w:pStyle w:val="In-tableHeading"/>
              <w:jc w:val="center"/>
            </w:pPr>
            <w:r w:rsidRPr="00D1078F">
              <w:t>Year 3</w:t>
            </w:r>
          </w:p>
        </w:tc>
        <w:tc>
          <w:tcPr>
            <w:tcW w:w="611" w:type="pct"/>
          </w:tcPr>
          <w:p w14:paraId="4F32C945" w14:textId="77777777" w:rsidR="002D0613" w:rsidRPr="00D1078F" w:rsidRDefault="002D0613" w:rsidP="00B534FA">
            <w:pPr>
              <w:pStyle w:val="In-tableHeading"/>
              <w:jc w:val="center"/>
            </w:pPr>
            <w:r w:rsidRPr="00D1078F">
              <w:t>Year 4</w:t>
            </w:r>
          </w:p>
        </w:tc>
        <w:tc>
          <w:tcPr>
            <w:tcW w:w="611" w:type="pct"/>
          </w:tcPr>
          <w:p w14:paraId="6A603887" w14:textId="77777777" w:rsidR="002D0613" w:rsidRPr="00D1078F" w:rsidRDefault="002D0613" w:rsidP="00B534FA">
            <w:pPr>
              <w:pStyle w:val="In-tableHeading"/>
              <w:jc w:val="center"/>
            </w:pPr>
            <w:r w:rsidRPr="00D1078F">
              <w:t>Year 5</w:t>
            </w:r>
          </w:p>
        </w:tc>
        <w:tc>
          <w:tcPr>
            <w:tcW w:w="612" w:type="pct"/>
          </w:tcPr>
          <w:p w14:paraId="0865726E" w14:textId="77777777" w:rsidR="002D0613" w:rsidRPr="00D1078F" w:rsidRDefault="002D0613" w:rsidP="00B534FA">
            <w:pPr>
              <w:pStyle w:val="In-tableHeading"/>
              <w:jc w:val="center"/>
            </w:pPr>
            <w:r w:rsidRPr="00D1078F">
              <w:t>Year 6</w:t>
            </w:r>
          </w:p>
        </w:tc>
      </w:tr>
      <w:tr w:rsidR="002D0613" w:rsidRPr="00D1078F" w14:paraId="078E1B06" w14:textId="77777777" w:rsidTr="00C935FE">
        <w:tc>
          <w:tcPr>
            <w:tcW w:w="5000" w:type="pct"/>
            <w:gridSpan w:val="7"/>
          </w:tcPr>
          <w:p w14:paraId="55D2803A" w14:textId="41B58A93" w:rsidR="002D0613" w:rsidRPr="00D1078F" w:rsidRDefault="002D0613" w:rsidP="00B534FA">
            <w:pPr>
              <w:pStyle w:val="In-tableHeading"/>
              <w:rPr>
                <w:bCs/>
                <w:color w:val="000000"/>
              </w:rPr>
            </w:pPr>
            <w:r w:rsidRPr="00D1078F">
              <w:rPr>
                <w:bCs/>
                <w:color w:val="000000"/>
              </w:rPr>
              <w:t>Estimated extent of use</w:t>
            </w:r>
            <w:r w:rsidR="005C0206">
              <w:rPr>
                <w:bCs/>
                <w:color w:val="000000"/>
              </w:rPr>
              <w:t>, scripts dispensed</w:t>
            </w:r>
          </w:p>
        </w:tc>
      </w:tr>
      <w:tr w:rsidR="009B59B4" w:rsidRPr="003639A6" w14:paraId="47FF3E4D" w14:textId="77777777" w:rsidTr="00C935FE">
        <w:tc>
          <w:tcPr>
            <w:tcW w:w="1333" w:type="pct"/>
          </w:tcPr>
          <w:p w14:paraId="22B5FD91" w14:textId="37986680" w:rsidR="009B59B4" w:rsidRPr="003639A6" w:rsidRDefault="009B59B4" w:rsidP="009B59B4">
            <w:pPr>
              <w:pStyle w:val="TableText0"/>
              <w:rPr>
                <w:rFonts w:ascii="Times" w:hAnsi="Times"/>
              </w:rPr>
            </w:pPr>
            <w:r>
              <w:t>SC loading dose</w:t>
            </w:r>
          </w:p>
        </w:tc>
        <w:tc>
          <w:tcPr>
            <w:tcW w:w="611" w:type="pct"/>
          </w:tcPr>
          <w:p w14:paraId="3ACD6FE1" w14:textId="1C9E47DF" w:rsidR="009B59B4" w:rsidRPr="009B59B4" w:rsidRDefault="00AD200A" w:rsidP="009B59B4">
            <w:pPr>
              <w:pStyle w:val="TableText0"/>
              <w:jc w:val="center"/>
              <w:rPr>
                <w:rFonts w:cs="Arial"/>
                <w:color w:val="000000"/>
                <w:szCs w:val="20"/>
              </w:rPr>
            </w:pPr>
            <w:r w:rsidRPr="00AD200A">
              <w:rPr>
                <w:rFonts w:cs="Arial"/>
                <w:color w:val="000000"/>
                <w:spacing w:val="98"/>
                <w:szCs w:val="20"/>
                <w:shd w:val="solid" w:color="000000" w:fill="000000"/>
                <w:fitText w:val="184" w:id="-1304780800"/>
                <w14:textFill>
                  <w14:solidFill>
                    <w14:srgbClr w14:val="000000">
                      <w14:alpha w14:val="100000"/>
                    </w14:srgbClr>
                  </w14:solidFill>
                </w14:textFill>
              </w:rPr>
              <w:t>|</w:t>
            </w:r>
            <w:r w:rsidRPr="00AD200A">
              <w:rPr>
                <w:rFonts w:cs="Arial"/>
                <w:color w:val="000000"/>
                <w:szCs w:val="20"/>
                <w:shd w:val="solid" w:color="000000" w:fill="000000"/>
                <w:fitText w:val="184" w:id="-1304780800"/>
                <w14:textFill>
                  <w14:solidFill>
                    <w14:srgbClr w14:val="000000">
                      <w14:alpha w14:val="100000"/>
                    </w14:srgbClr>
                  </w14:solidFill>
                </w14:textFill>
              </w:rPr>
              <w:t>|</w:t>
            </w:r>
            <w:r w:rsidR="003B2B2E">
              <w:rPr>
                <w:rFonts w:cs="Arial"/>
                <w:color w:val="000000"/>
                <w:szCs w:val="20"/>
                <w:vertAlign w:val="superscript"/>
              </w:rPr>
              <w:t>1</w:t>
            </w:r>
            <w:r w:rsidR="009B59B4" w:rsidRPr="00C935FE">
              <w:rPr>
                <w:rFonts w:cs="Arial"/>
                <w:color w:val="000000"/>
                <w:szCs w:val="20"/>
              </w:rPr>
              <w:t xml:space="preserve"> </w:t>
            </w:r>
          </w:p>
        </w:tc>
        <w:tc>
          <w:tcPr>
            <w:tcW w:w="611" w:type="pct"/>
          </w:tcPr>
          <w:p w14:paraId="7649DA29" w14:textId="0CD45FA9" w:rsidR="009B59B4" w:rsidRPr="009B59B4" w:rsidRDefault="00AD200A" w:rsidP="009B59B4">
            <w:pPr>
              <w:pStyle w:val="TableText0"/>
              <w:jc w:val="center"/>
              <w:rPr>
                <w:rFonts w:cs="Arial"/>
                <w:color w:val="000000"/>
                <w:szCs w:val="20"/>
              </w:rPr>
            </w:pPr>
            <w:r w:rsidRPr="00AD200A">
              <w:rPr>
                <w:rFonts w:cs="Arial"/>
                <w:color w:val="000000"/>
                <w:spacing w:val="98"/>
                <w:szCs w:val="20"/>
                <w:shd w:val="solid" w:color="000000" w:fill="000000"/>
                <w:fitText w:val="184" w:id="-1304780799"/>
                <w14:textFill>
                  <w14:solidFill>
                    <w14:srgbClr w14:val="000000">
                      <w14:alpha w14:val="100000"/>
                    </w14:srgbClr>
                  </w14:solidFill>
                </w14:textFill>
              </w:rPr>
              <w:t>|</w:t>
            </w:r>
            <w:r w:rsidRPr="00AD200A">
              <w:rPr>
                <w:rFonts w:cs="Arial"/>
                <w:color w:val="000000"/>
                <w:szCs w:val="20"/>
                <w:shd w:val="solid" w:color="000000" w:fill="000000"/>
                <w:fitText w:val="184" w:id="-1304780799"/>
                <w14:textFill>
                  <w14:solidFill>
                    <w14:srgbClr w14:val="000000">
                      <w14:alpha w14:val="100000"/>
                    </w14:srgbClr>
                  </w14:solidFill>
                </w14:textFill>
              </w:rPr>
              <w:t>|</w:t>
            </w:r>
            <w:r w:rsidR="003B2B2E">
              <w:rPr>
                <w:rFonts w:cs="Arial"/>
                <w:color w:val="000000"/>
                <w:szCs w:val="20"/>
                <w:vertAlign w:val="superscript"/>
              </w:rPr>
              <w:t>1</w:t>
            </w:r>
            <w:r w:rsidR="009B59B4" w:rsidRPr="00C935FE">
              <w:rPr>
                <w:rFonts w:cs="Arial"/>
                <w:color w:val="000000"/>
                <w:szCs w:val="20"/>
              </w:rPr>
              <w:t xml:space="preserve"> </w:t>
            </w:r>
          </w:p>
        </w:tc>
        <w:tc>
          <w:tcPr>
            <w:tcW w:w="611" w:type="pct"/>
          </w:tcPr>
          <w:p w14:paraId="0A43456B" w14:textId="182939D0" w:rsidR="009B59B4" w:rsidRPr="009B59B4" w:rsidRDefault="00AD200A" w:rsidP="009B59B4">
            <w:pPr>
              <w:pStyle w:val="TableText0"/>
              <w:jc w:val="center"/>
              <w:rPr>
                <w:rFonts w:cs="Arial"/>
                <w:color w:val="000000"/>
                <w:szCs w:val="20"/>
              </w:rPr>
            </w:pPr>
            <w:r w:rsidRPr="00AD200A">
              <w:rPr>
                <w:rFonts w:cs="Arial"/>
                <w:color w:val="000000"/>
                <w:spacing w:val="98"/>
                <w:szCs w:val="20"/>
                <w:shd w:val="solid" w:color="000000" w:fill="000000"/>
                <w:fitText w:val="184" w:id="-1304780798"/>
                <w14:textFill>
                  <w14:solidFill>
                    <w14:srgbClr w14:val="000000">
                      <w14:alpha w14:val="100000"/>
                    </w14:srgbClr>
                  </w14:solidFill>
                </w14:textFill>
              </w:rPr>
              <w:t>|</w:t>
            </w:r>
            <w:r w:rsidRPr="00AD200A">
              <w:rPr>
                <w:rFonts w:cs="Arial"/>
                <w:color w:val="000000"/>
                <w:szCs w:val="20"/>
                <w:shd w:val="solid" w:color="000000" w:fill="000000"/>
                <w:fitText w:val="184" w:id="-1304780798"/>
                <w14:textFill>
                  <w14:solidFill>
                    <w14:srgbClr w14:val="000000">
                      <w14:alpha w14:val="100000"/>
                    </w14:srgbClr>
                  </w14:solidFill>
                </w14:textFill>
              </w:rPr>
              <w:t>|</w:t>
            </w:r>
            <w:r w:rsidR="003B2B2E">
              <w:rPr>
                <w:rFonts w:cs="Arial"/>
                <w:color w:val="000000"/>
                <w:szCs w:val="20"/>
                <w:vertAlign w:val="superscript"/>
              </w:rPr>
              <w:t>1</w:t>
            </w:r>
            <w:r w:rsidR="009B59B4" w:rsidRPr="00C935FE">
              <w:rPr>
                <w:rFonts w:cs="Arial"/>
                <w:color w:val="000000"/>
                <w:szCs w:val="20"/>
              </w:rPr>
              <w:t xml:space="preserve"> </w:t>
            </w:r>
          </w:p>
        </w:tc>
        <w:tc>
          <w:tcPr>
            <w:tcW w:w="611" w:type="pct"/>
          </w:tcPr>
          <w:p w14:paraId="51CACA59" w14:textId="290DB6E9" w:rsidR="009B59B4" w:rsidRPr="009B59B4" w:rsidRDefault="00AD200A" w:rsidP="009B59B4">
            <w:pPr>
              <w:pStyle w:val="TableText0"/>
              <w:jc w:val="center"/>
              <w:rPr>
                <w:rFonts w:cs="Arial"/>
                <w:color w:val="000000"/>
                <w:szCs w:val="20"/>
              </w:rPr>
            </w:pPr>
            <w:r w:rsidRPr="00AD200A">
              <w:rPr>
                <w:rFonts w:cs="Arial"/>
                <w:color w:val="000000"/>
                <w:spacing w:val="98"/>
                <w:szCs w:val="20"/>
                <w:shd w:val="solid" w:color="000000" w:fill="000000"/>
                <w:fitText w:val="184" w:id="-1304780797"/>
                <w14:textFill>
                  <w14:solidFill>
                    <w14:srgbClr w14:val="000000">
                      <w14:alpha w14:val="100000"/>
                    </w14:srgbClr>
                  </w14:solidFill>
                </w14:textFill>
              </w:rPr>
              <w:t>|</w:t>
            </w:r>
            <w:r w:rsidRPr="00AD200A">
              <w:rPr>
                <w:rFonts w:cs="Arial"/>
                <w:color w:val="000000"/>
                <w:szCs w:val="20"/>
                <w:shd w:val="solid" w:color="000000" w:fill="000000"/>
                <w:fitText w:val="184" w:id="-1304780797"/>
                <w14:textFill>
                  <w14:solidFill>
                    <w14:srgbClr w14:val="000000">
                      <w14:alpha w14:val="100000"/>
                    </w14:srgbClr>
                  </w14:solidFill>
                </w14:textFill>
              </w:rPr>
              <w:t>|</w:t>
            </w:r>
            <w:r w:rsidR="003B2B2E">
              <w:rPr>
                <w:rFonts w:cs="Arial"/>
                <w:color w:val="000000"/>
                <w:szCs w:val="20"/>
                <w:vertAlign w:val="superscript"/>
              </w:rPr>
              <w:t>1</w:t>
            </w:r>
            <w:r w:rsidR="009B59B4" w:rsidRPr="00C935FE">
              <w:rPr>
                <w:rFonts w:cs="Arial"/>
                <w:color w:val="000000"/>
                <w:szCs w:val="20"/>
              </w:rPr>
              <w:t xml:space="preserve"> </w:t>
            </w:r>
          </w:p>
        </w:tc>
        <w:tc>
          <w:tcPr>
            <w:tcW w:w="611" w:type="pct"/>
          </w:tcPr>
          <w:p w14:paraId="6BC1A62D" w14:textId="712FE451" w:rsidR="009B59B4" w:rsidRPr="009B59B4" w:rsidRDefault="00AD200A" w:rsidP="009B59B4">
            <w:pPr>
              <w:pStyle w:val="TableText0"/>
              <w:jc w:val="center"/>
              <w:rPr>
                <w:rFonts w:cs="Arial"/>
                <w:color w:val="000000"/>
                <w:szCs w:val="20"/>
              </w:rPr>
            </w:pPr>
            <w:r w:rsidRPr="00AD200A">
              <w:rPr>
                <w:rFonts w:cs="Arial"/>
                <w:color w:val="000000"/>
                <w:spacing w:val="98"/>
                <w:szCs w:val="20"/>
                <w:shd w:val="solid" w:color="000000" w:fill="000000"/>
                <w:fitText w:val="184" w:id="-1304780796"/>
                <w14:textFill>
                  <w14:solidFill>
                    <w14:srgbClr w14:val="000000">
                      <w14:alpha w14:val="100000"/>
                    </w14:srgbClr>
                  </w14:solidFill>
                </w14:textFill>
              </w:rPr>
              <w:t>|</w:t>
            </w:r>
            <w:r w:rsidRPr="00AD200A">
              <w:rPr>
                <w:rFonts w:cs="Arial"/>
                <w:color w:val="000000"/>
                <w:szCs w:val="20"/>
                <w:shd w:val="solid" w:color="000000" w:fill="000000"/>
                <w:fitText w:val="184" w:id="-1304780796"/>
                <w14:textFill>
                  <w14:solidFill>
                    <w14:srgbClr w14:val="000000">
                      <w14:alpha w14:val="100000"/>
                    </w14:srgbClr>
                  </w14:solidFill>
                </w14:textFill>
              </w:rPr>
              <w:t>|</w:t>
            </w:r>
            <w:r w:rsidR="003B2B2E">
              <w:rPr>
                <w:rFonts w:cs="Arial"/>
                <w:color w:val="000000"/>
                <w:szCs w:val="20"/>
                <w:vertAlign w:val="superscript"/>
              </w:rPr>
              <w:t>1</w:t>
            </w:r>
            <w:r w:rsidR="009B59B4" w:rsidRPr="00C935FE">
              <w:rPr>
                <w:rFonts w:cs="Arial"/>
                <w:color w:val="000000"/>
                <w:szCs w:val="20"/>
              </w:rPr>
              <w:t xml:space="preserve"> </w:t>
            </w:r>
          </w:p>
        </w:tc>
        <w:tc>
          <w:tcPr>
            <w:tcW w:w="612" w:type="pct"/>
          </w:tcPr>
          <w:p w14:paraId="7F10F11F" w14:textId="0782A4E0" w:rsidR="009B59B4" w:rsidRPr="009B59B4" w:rsidRDefault="00AD200A" w:rsidP="009B59B4">
            <w:pPr>
              <w:pStyle w:val="TableText0"/>
              <w:jc w:val="center"/>
              <w:rPr>
                <w:rFonts w:cs="Arial"/>
                <w:color w:val="000000"/>
                <w:szCs w:val="20"/>
              </w:rPr>
            </w:pPr>
            <w:r w:rsidRPr="00AD200A">
              <w:rPr>
                <w:rFonts w:cs="Arial"/>
                <w:color w:val="000000"/>
                <w:spacing w:val="98"/>
                <w:szCs w:val="20"/>
                <w:shd w:val="solid" w:color="000000" w:fill="000000"/>
                <w:fitText w:val="184" w:id="-1304780795"/>
                <w14:textFill>
                  <w14:solidFill>
                    <w14:srgbClr w14:val="000000">
                      <w14:alpha w14:val="100000"/>
                    </w14:srgbClr>
                  </w14:solidFill>
                </w14:textFill>
              </w:rPr>
              <w:t>|</w:t>
            </w:r>
            <w:r w:rsidRPr="00AD200A">
              <w:rPr>
                <w:rFonts w:cs="Arial"/>
                <w:color w:val="000000"/>
                <w:szCs w:val="20"/>
                <w:shd w:val="solid" w:color="000000" w:fill="000000"/>
                <w:fitText w:val="184" w:id="-1304780795"/>
                <w14:textFill>
                  <w14:solidFill>
                    <w14:srgbClr w14:val="000000">
                      <w14:alpha w14:val="100000"/>
                    </w14:srgbClr>
                  </w14:solidFill>
                </w14:textFill>
              </w:rPr>
              <w:t>|</w:t>
            </w:r>
            <w:r w:rsidR="003B2B2E">
              <w:rPr>
                <w:rFonts w:cs="Arial"/>
                <w:color w:val="000000"/>
                <w:szCs w:val="20"/>
                <w:vertAlign w:val="superscript"/>
              </w:rPr>
              <w:t>1</w:t>
            </w:r>
          </w:p>
        </w:tc>
      </w:tr>
      <w:tr w:rsidR="009B59B4" w:rsidRPr="003639A6" w14:paraId="7624B00D" w14:textId="77777777" w:rsidTr="00C935FE">
        <w:tc>
          <w:tcPr>
            <w:tcW w:w="1333" w:type="pct"/>
          </w:tcPr>
          <w:p w14:paraId="424AA034" w14:textId="20337032" w:rsidR="009B59B4" w:rsidRPr="003639A6" w:rsidRDefault="009B59B4" w:rsidP="009B59B4">
            <w:pPr>
              <w:pStyle w:val="TableText0"/>
            </w:pPr>
            <w:r>
              <w:t>IV induction dose</w:t>
            </w:r>
          </w:p>
        </w:tc>
        <w:tc>
          <w:tcPr>
            <w:tcW w:w="611" w:type="pct"/>
          </w:tcPr>
          <w:p w14:paraId="43F0C57B" w14:textId="0611F452" w:rsidR="009B59B4" w:rsidRPr="003639A6" w:rsidRDefault="009B59B4" w:rsidP="009B59B4">
            <w:pPr>
              <w:pStyle w:val="TableText0"/>
              <w:jc w:val="center"/>
              <w:rPr>
                <w:color w:val="000000"/>
              </w:rPr>
            </w:pPr>
            <w:r w:rsidRPr="009075FE">
              <w:rPr>
                <w:rFonts w:cs="Arial"/>
                <w:color w:val="000000"/>
                <w:szCs w:val="20"/>
              </w:rPr>
              <w:t>-</w:t>
            </w:r>
            <w:r w:rsidR="00AD200A" w:rsidRPr="00AD200A">
              <w:rPr>
                <w:rFonts w:cs="Arial"/>
                <w:color w:val="000000"/>
                <w:spacing w:val="121"/>
                <w:szCs w:val="20"/>
                <w:shd w:val="solid" w:color="000000" w:fill="000000"/>
                <w:fitText w:val="207" w:id="-1304780794"/>
                <w14:textFill>
                  <w14:solidFill>
                    <w14:srgbClr w14:val="000000">
                      <w14:alpha w14:val="100000"/>
                    </w14:srgbClr>
                  </w14:solidFill>
                </w14:textFill>
              </w:rPr>
              <w:t>|</w:t>
            </w:r>
            <w:r w:rsidR="00AD200A" w:rsidRPr="00AD200A">
              <w:rPr>
                <w:rFonts w:cs="Arial"/>
                <w:color w:val="000000"/>
                <w:szCs w:val="20"/>
                <w:shd w:val="solid" w:color="000000" w:fill="000000"/>
                <w:fitText w:val="207" w:id="-1304780794"/>
                <w14:textFill>
                  <w14:solidFill>
                    <w14:srgbClr w14:val="000000">
                      <w14:alpha w14:val="100000"/>
                    </w14:srgbClr>
                  </w14:solidFill>
                </w14:textFill>
              </w:rPr>
              <w:t>|</w:t>
            </w:r>
            <w:r w:rsidR="003B2B2E">
              <w:rPr>
                <w:rFonts w:cs="Arial"/>
                <w:color w:val="000000"/>
                <w:szCs w:val="20"/>
                <w:vertAlign w:val="superscript"/>
              </w:rPr>
              <w:t>1</w:t>
            </w:r>
          </w:p>
        </w:tc>
        <w:tc>
          <w:tcPr>
            <w:tcW w:w="611" w:type="pct"/>
          </w:tcPr>
          <w:p w14:paraId="06D4CA51" w14:textId="5EDACDCA" w:rsidR="009B59B4" w:rsidRPr="003639A6" w:rsidRDefault="009B59B4" w:rsidP="009B59B4">
            <w:pPr>
              <w:pStyle w:val="TableText0"/>
              <w:jc w:val="center"/>
              <w:rPr>
                <w:color w:val="000000"/>
              </w:rPr>
            </w:pPr>
            <w:r w:rsidRPr="009075FE">
              <w:rPr>
                <w:rFonts w:cs="Arial"/>
                <w:color w:val="000000"/>
                <w:szCs w:val="20"/>
              </w:rPr>
              <w:t>-</w:t>
            </w:r>
            <w:r w:rsidR="00AD200A" w:rsidRPr="00AD200A">
              <w:rPr>
                <w:rFonts w:cs="Arial"/>
                <w:color w:val="000000"/>
                <w:spacing w:val="121"/>
                <w:szCs w:val="20"/>
                <w:shd w:val="solid" w:color="000000" w:fill="000000"/>
                <w:fitText w:val="207" w:id="-1304780793"/>
                <w14:textFill>
                  <w14:solidFill>
                    <w14:srgbClr w14:val="000000">
                      <w14:alpha w14:val="100000"/>
                    </w14:srgbClr>
                  </w14:solidFill>
                </w14:textFill>
              </w:rPr>
              <w:t>|</w:t>
            </w:r>
            <w:r w:rsidR="00AD200A" w:rsidRPr="00AD200A">
              <w:rPr>
                <w:rFonts w:cs="Arial"/>
                <w:color w:val="000000"/>
                <w:szCs w:val="20"/>
                <w:shd w:val="solid" w:color="000000" w:fill="000000"/>
                <w:fitText w:val="207" w:id="-1304780793"/>
                <w14:textFill>
                  <w14:solidFill>
                    <w14:srgbClr w14:val="000000">
                      <w14:alpha w14:val="100000"/>
                    </w14:srgbClr>
                  </w14:solidFill>
                </w14:textFill>
              </w:rPr>
              <w:t>|</w:t>
            </w:r>
            <w:r w:rsidR="003B2B2E">
              <w:rPr>
                <w:rFonts w:cs="Arial"/>
                <w:color w:val="000000"/>
                <w:szCs w:val="20"/>
                <w:vertAlign w:val="superscript"/>
              </w:rPr>
              <w:t>1</w:t>
            </w:r>
          </w:p>
        </w:tc>
        <w:tc>
          <w:tcPr>
            <w:tcW w:w="611" w:type="pct"/>
          </w:tcPr>
          <w:p w14:paraId="2C62359B" w14:textId="657D8F45" w:rsidR="009B59B4" w:rsidRPr="003639A6" w:rsidRDefault="009B59B4" w:rsidP="009B59B4">
            <w:pPr>
              <w:pStyle w:val="TableText0"/>
              <w:jc w:val="center"/>
              <w:rPr>
                <w:color w:val="000000"/>
              </w:rPr>
            </w:pPr>
            <w:r w:rsidRPr="009075FE">
              <w:rPr>
                <w:rFonts w:cs="Arial"/>
                <w:color w:val="000000"/>
                <w:szCs w:val="20"/>
              </w:rPr>
              <w:t>-</w:t>
            </w:r>
            <w:r w:rsidR="00AD200A" w:rsidRPr="00AD200A">
              <w:rPr>
                <w:rFonts w:cs="Arial"/>
                <w:color w:val="000000"/>
                <w:spacing w:val="121"/>
                <w:szCs w:val="20"/>
                <w:shd w:val="solid" w:color="000000" w:fill="000000"/>
                <w:fitText w:val="207" w:id="-1304780792"/>
                <w14:textFill>
                  <w14:solidFill>
                    <w14:srgbClr w14:val="000000">
                      <w14:alpha w14:val="100000"/>
                    </w14:srgbClr>
                  </w14:solidFill>
                </w14:textFill>
              </w:rPr>
              <w:t>|</w:t>
            </w:r>
            <w:r w:rsidR="00AD200A" w:rsidRPr="00AD200A">
              <w:rPr>
                <w:rFonts w:cs="Arial"/>
                <w:color w:val="000000"/>
                <w:szCs w:val="20"/>
                <w:shd w:val="solid" w:color="000000" w:fill="000000"/>
                <w:fitText w:val="207" w:id="-1304780792"/>
                <w14:textFill>
                  <w14:solidFill>
                    <w14:srgbClr w14:val="000000">
                      <w14:alpha w14:val="100000"/>
                    </w14:srgbClr>
                  </w14:solidFill>
                </w14:textFill>
              </w:rPr>
              <w:t>|</w:t>
            </w:r>
            <w:r w:rsidR="003B2B2E">
              <w:rPr>
                <w:rFonts w:cs="Arial"/>
                <w:color w:val="000000"/>
                <w:szCs w:val="20"/>
                <w:vertAlign w:val="superscript"/>
              </w:rPr>
              <w:t>1</w:t>
            </w:r>
          </w:p>
        </w:tc>
        <w:tc>
          <w:tcPr>
            <w:tcW w:w="611" w:type="pct"/>
          </w:tcPr>
          <w:p w14:paraId="4EAF4D48" w14:textId="193E5938" w:rsidR="009B59B4" w:rsidRPr="003639A6" w:rsidRDefault="009B59B4" w:rsidP="009B59B4">
            <w:pPr>
              <w:pStyle w:val="TableText0"/>
              <w:jc w:val="center"/>
              <w:rPr>
                <w:color w:val="000000"/>
              </w:rPr>
            </w:pPr>
            <w:r w:rsidRPr="009075FE">
              <w:rPr>
                <w:rFonts w:cs="Arial"/>
                <w:color w:val="000000"/>
                <w:szCs w:val="20"/>
              </w:rPr>
              <w:t>-</w:t>
            </w:r>
            <w:r w:rsidR="00AD200A" w:rsidRPr="00AD200A">
              <w:rPr>
                <w:rFonts w:cs="Arial"/>
                <w:color w:val="000000"/>
                <w:spacing w:val="121"/>
                <w:szCs w:val="20"/>
                <w:shd w:val="solid" w:color="000000" w:fill="000000"/>
                <w:fitText w:val="207" w:id="-1304780791"/>
                <w14:textFill>
                  <w14:solidFill>
                    <w14:srgbClr w14:val="000000">
                      <w14:alpha w14:val="100000"/>
                    </w14:srgbClr>
                  </w14:solidFill>
                </w14:textFill>
              </w:rPr>
              <w:t>|</w:t>
            </w:r>
            <w:r w:rsidR="00AD200A" w:rsidRPr="00AD200A">
              <w:rPr>
                <w:rFonts w:cs="Arial"/>
                <w:color w:val="000000"/>
                <w:szCs w:val="20"/>
                <w:shd w:val="solid" w:color="000000" w:fill="000000"/>
                <w:fitText w:val="207" w:id="-1304780791"/>
                <w14:textFill>
                  <w14:solidFill>
                    <w14:srgbClr w14:val="000000">
                      <w14:alpha w14:val="100000"/>
                    </w14:srgbClr>
                  </w14:solidFill>
                </w14:textFill>
              </w:rPr>
              <w:t>|</w:t>
            </w:r>
            <w:r w:rsidR="003B2B2E">
              <w:rPr>
                <w:rFonts w:cs="Arial"/>
                <w:color w:val="000000"/>
                <w:szCs w:val="20"/>
                <w:vertAlign w:val="superscript"/>
              </w:rPr>
              <w:t>1</w:t>
            </w:r>
          </w:p>
        </w:tc>
        <w:tc>
          <w:tcPr>
            <w:tcW w:w="611" w:type="pct"/>
          </w:tcPr>
          <w:p w14:paraId="3634920F" w14:textId="6C04B3D2" w:rsidR="009B59B4" w:rsidRPr="003639A6" w:rsidRDefault="009B59B4" w:rsidP="009B59B4">
            <w:pPr>
              <w:pStyle w:val="TableText0"/>
              <w:jc w:val="center"/>
              <w:rPr>
                <w:color w:val="000000"/>
              </w:rPr>
            </w:pPr>
            <w:r w:rsidRPr="009075FE">
              <w:rPr>
                <w:rFonts w:cs="Arial"/>
                <w:color w:val="000000"/>
                <w:szCs w:val="20"/>
              </w:rPr>
              <w:t>-</w:t>
            </w:r>
            <w:r w:rsidR="00AD200A" w:rsidRPr="00AD200A">
              <w:rPr>
                <w:rFonts w:cs="Arial"/>
                <w:color w:val="000000"/>
                <w:spacing w:val="121"/>
                <w:szCs w:val="20"/>
                <w:shd w:val="solid" w:color="000000" w:fill="000000"/>
                <w:fitText w:val="207" w:id="-1304780790"/>
                <w14:textFill>
                  <w14:solidFill>
                    <w14:srgbClr w14:val="000000">
                      <w14:alpha w14:val="100000"/>
                    </w14:srgbClr>
                  </w14:solidFill>
                </w14:textFill>
              </w:rPr>
              <w:t>|</w:t>
            </w:r>
            <w:r w:rsidR="00AD200A" w:rsidRPr="00AD200A">
              <w:rPr>
                <w:rFonts w:cs="Arial"/>
                <w:color w:val="000000"/>
                <w:szCs w:val="20"/>
                <w:shd w:val="solid" w:color="000000" w:fill="000000"/>
                <w:fitText w:val="207" w:id="-1304780790"/>
                <w14:textFill>
                  <w14:solidFill>
                    <w14:srgbClr w14:val="000000">
                      <w14:alpha w14:val="100000"/>
                    </w14:srgbClr>
                  </w14:solidFill>
                </w14:textFill>
              </w:rPr>
              <w:t>|</w:t>
            </w:r>
            <w:r w:rsidR="003B2B2E">
              <w:rPr>
                <w:rFonts w:cs="Arial"/>
                <w:color w:val="000000"/>
                <w:szCs w:val="20"/>
                <w:vertAlign w:val="superscript"/>
              </w:rPr>
              <w:t>1</w:t>
            </w:r>
          </w:p>
        </w:tc>
        <w:tc>
          <w:tcPr>
            <w:tcW w:w="612" w:type="pct"/>
          </w:tcPr>
          <w:p w14:paraId="19D40731" w14:textId="4204AE7C" w:rsidR="009B59B4" w:rsidRPr="003639A6" w:rsidRDefault="009B59B4" w:rsidP="009B59B4">
            <w:pPr>
              <w:pStyle w:val="TableText0"/>
              <w:jc w:val="center"/>
              <w:rPr>
                <w:color w:val="000000"/>
              </w:rPr>
            </w:pPr>
            <w:r w:rsidRPr="009075FE">
              <w:rPr>
                <w:rFonts w:cs="Arial"/>
                <w:color w:val="000000"/>
                <w:szCs w:val="20"/>
              </w:rPr>
              <w:t>-</w:t>
            </w:r>
            <w:r w:rsidR="00AD200A" w:rsidRPr="00AD200A">
              <w:rPr>
                <w:rFonts w:cs="Arial"/>
                <w:color w:val="000000"/>
                <w:spacing w:val="121"/>
                <w:szCs w:val="20"/>
                <w:shd w:val="solid" w:color="000000" w:fill="000000"/>
                <w:fitText w:val="207" w:id="-1304780789"/>
                <w14:textFill>
                  <w14:solidFill>
                    <w14:srgbClr w14:val="000000">
                      <w14:alpha w14:val="100000"/>
                    </w14:srgbClr>
                  </w14:solidFill>
                </w14:textFill>
              </w:rPr>
              <w:t>|</w:t>
            </w:r>
            <w:r w:rsidR="00AD200A" w:rsidRPr="00AD200A">
              <w:rPr>
                <w:rFonts w:cs="Arial"/>
                <w:color w:val="000000"/>
                <w:szCs w:val="20"/>
                <w:shd w:val="solid" w:color="000000" w:fill="000000"/>
                <w:fitText w:val="207" w:id="-1304780789"/>
                <w14:textFill>
                  <w14:solidFill>
                    <w14:srgbClr w14:val="000000">
                      <w14:alpha w14:val="100000"/>
                    </w14:srgbClr>
                  </w14:solidFill>
                </w14:textFill>
              </w:rPr>
              <w:t>|</w:t>
            </w:r>
            <w:r w:rsidR="003B2B2E">
              <w:rPr>
                <w:rFonts w:cs="Arial"/>
                <w:color w:val="000000"/>
                <w:szCs w:val="20"/>
                <w:vertAlign w:val="superscript"/>
              </w:rPr>
              <w:t>1</w:t>
            </w:r>
          </w:p>
        </w:tc>
      </w:tr>
      <w:tr w:rsidR="009B59B4" w:rsidRPr="00D1078F" w14:paraId="4EB641E7" w14:textId="77777777" w:rsidTr="00C935FE">
        <w:tc>
          <w:tcPr>
            <w:tcW w:w="5000" w:type="pct"/>
            <w:gridSpan w:val="7"/>
          </w:tcPr>
          <w:p w14:paraId="2605FC8C" w14:textId="7A9C3B3D" w:rsidR="009B59B4" w:rsidRPr="00D1078F" w:rsidRDefault="009B59B4" w:rsidP="009B59B4">
            <w:pPr>
              <w:pStyle w:val="In-tableHeading"/>
            </w:pPr>
            <w:r w:rsidRPr="00D1078F">
              <w:t xml:space="preserve">Estimated </w:t>
            </w:r>
            <w:r>
              <w:t>financial implications, cost to PBS/ RPBS less copayments</w:t>
            </w:r>
          </w:p>
        </w:tc>
      </w:tr>
      <w:tr w:rsidR="009B59B4" w:rsidRPr="003639A6" w14:paraId="35527265" w14:textId="77777777" w:rsidTr="00C935FE">
        <w:tc>
          <w:tcPr>
            <w:tcW w:w="1333" w:type="pct"/>
          </w:tcPr>
          <w:p w14:paraId="035680B5" w14:textId="3AE4F619" w:rsidR="009B59B4" w:rsidRDefault="009B59B4" w:rsidP="009B59B4">
            <w:pPr>
              <w:pStyle w:val="TableText0"/>
              <w:rPr>
                <w:sz w:val="19"/>
                <w:szCs w:val="19"/>
              </w:rPr>
            </w:pPr>
            <w:r>
              <w:t>SC loading dose</w:t>
            </w:r>
            <w:r w:rsidR="003B2B2E">
              <w:t xml:space="preserve"> ($)</w:t>
            </w:r>
          </w:p>
        </w:tc>
        <w:tc>
          <w:tcPr>
            <w:tcW w:w="611" w:type="pct"/>
          </w:tcPr>
          <w:p w14:paraId="28944080" w14:textId="07E9A8DA" w:rsidR="009B59B4" w:rsidRPr="00C617D0" w:rsidRDefault="00AD200A" w:rsidP="009B59B4">
            <w:pPr>
              <w:pStyle w:val="TableText0"/>
              <w:jc w:val="center"/>
              <w:rPr>
                <w:szCs w:val="20"/>
              </w:rPr>
            </w:pPr>
            <w:r w:rsidRPr="00AD200A">
              <w:rPr>
                <w:rFonts w:cs="Arial"/>
                <w:color w:val="000000"/>
                <w:spacing w:val="98"/>
                <w:szCs w:val="20"/>
                <w:shd w:val="solid" w:color="000000" w:fill="000000"/>
                <w:fitText w:val="184" w:id="-1304780788"/>
                <w14:textFill>
                  <w14:solidFill>
                    <w14:srgbClr w14:val="000000">
                      <w14:alpha w14:val="100000"/>
                    </w14:srgbClr>
                  </w14:solidFill>
                </w14:textFill>
              </w:rPr>
              <w:t>|</w:t>
            </w:r>
            <w:r w:rsidRPr="00AD200A">
              <w:rPr>
                <w:rFonts w:cs="Arial"/>
                <w:color w:val="000000"/>
                <w:szCs w:val="20"/>
                <w:shd w:val="solid" w:color="000000" w:fill="000000"/>
                <w:fitText w:val="184" w:id="-1304780788"/>
                <w14:textFill>
                  <w14:solidFill>
                    <w14:srgbClr w14:val="000000">
                      <w14:alpha w14:val="100000"/>
                    </w14:srgbClr>
                  </w14:solidFill>
                </w14:textFill>
              </w:rPr>
              <w:t>|</w:t>
            </w:r>
            <w:r w:rsidR="003B2B2E" w:rsidRPr="00C617D0">
              <w:rPr>
                <w:rFonts w:cs="Arial"/>
                <w:szCs w:val="20"/>
                <w:vertAlign w:val="superscript"/>
              </w:rPr>
              <w:t>2</w:t>
            </w:r>
          </w:p>
        </w:tc>
        <w:tc>
          <w:tcPr>
            <w:tcW w:w="611" w:type="pct"/>
          </w:tcPr>
          <w:p w14:paraId="5A7B3070" w14:textId="277354DB" w:rsidR="009B59B4" w:rsidRPr="00C617D0" w:rsidRDefault="00AD200A" w:rsidP="009B59B4">
            <w:pPr>
              <w:pStyle w:val="TableText0"/>
              <w:jc w:val="center"/>
              <w:rPr>
                <w:szCs w:val="20"/>
              </w:rPr>
            </w:pPr>
            <w:r w:rsidRPr="00AD200A">
              <w:rPr>
                <w:rFonts w:cs="Arial"/>
                <w:color w:val="000000"/>
                <w:spacing w:val="98"/>
                <w:szCs w:val="20"/>
                <w:shd w:val="solid" w:color="000000" w:fill="000000"/>
                <w:fitText w:val="184" w:id="-1304780787"/>
                <w14:textFill>
                  <w14:solidFill>
                    <w14:srgbClr w14:val="000000">
                      <w14:alpha w14:val="100000"/>
                    </w14:srgbClr>
                  </w14:solidFill>
                </w14:textFill>
              </w:rPr>
              <w:t>|</w:t>
            </w:r>
            <w:r w:rsidRPr="00AD200A">
              <w:rPr>
                <w:rFonts w:cs="Arial"/>
                <w:color w:val="000000"/>
                <w:szCs w:val="20"/>
                <w:shd w:val="solid" w:color="000000" w:fill="000000"/>
                <w:fitText w:val="184" w:id="-1304780787"/>
                <w14:textFill>
                  <w14:solidFill>
                    <w14:srgbClr w14:val="000000">
                      <w14:alpha w14:val="100000"/>
                    </w14:srgbClr>
                  </w14:solidFill>
                </w14:textFill>
              </w:rPr>
              <w:t>|</w:t>
            </w:r>
            <w:r w:rsidR="003B2B2E" w:rsidRPr="00C617D0">
              <w:rPr>
                <w:rFonts w:cs="Arial"/>
                <w:szCs w:val="20"/>
                <w:vertAlign w:val="superscript"/>
              </w:rPr>
              <w:t>2</w:t>
            </w:r>
          </w:p>
        </w:tc>
        <w:tc>
          <w:tcPr>
            <w:tcW w:w="611" w:type="pct"/>
          </w:tcPr>
          <w:p w14:paraId="42FE0C88" w14:textId="3F45904C" w:rsidR="009B59B4" w:rsidRPr="00C617D0" w:rsidRDefault="00AD200A" w:rsidP="009B59B4">
            <w:pPr>
              <w:pStyle w:val="TableText0"/>
              <w:jc w:val="center"/>
              <w:rPr>
                <w:szCs w:val="20"/>
              </w:rPr>
            </w:pPr>
            <w:r w:rsidRPr="00AD200A">
              <w:rPr>
                <w:rFonts w:cs="Arial"/>
                <w:color w:val="000000"/>
                <w:spacing w:val="98"/>
                <w:szCs w:val="20"/>
                <w:shd w:val="solid" w:color="000000" w:fill="000000"/>
                <w:fitText w:val="184" w:id="-1304780786"/>
                <w14:textFill>
                  <w14:solidFill>
                    <w14:srgbClr w14:val="000000">
                      <w14:alpha w14:val="100000"/>
                    </w14:srgbClr>
                  </w14:solidFill>
                </w14:textFill>
              </w:rPr>
              <w:t>|</w:t>
            </w:r>
            <w:r w:rsidRPr="00AD200A">
              <w:rPr>
                <w:rFonts w:cs="Arial"/>
                <w:color w:val="000000"/>
                <w:szCs w:val="20"/>
                <w:shd w:val="solid" w:color="000000" w:fill="000000"/>
                <w:fitText w:val="184" w:id="-1304780786"/>
                <w14:textFill>
                  <w14:solidFill>
                    <w14:srgbClr w14:val="000000">
                      <w14:alpha w14:val="100000"/>
                    </w14:srgbClr>
                  </w14:solidFill>
                </w14:textFill>
              </w:rPr>
              <w:t>|</w:t>
            </w:r>
            <w:r w:rsidR="003B2B2E" w:rsidRPr="00C617D0">
              <w:rPr>
                <w:rFonts w:cs="Arial"/>
                <w:szCs w:val="20"/>
                <w:vertAlign w:val="superscript"/>
              </w:rPr>
              <w:t>2</w:t>
            </w:r>
          </w:p>
        </w:tc>
        <w:tc>
          <w:tcPr>
            <w:tcW w:w="611" w:type="pct"/>
          </w:tcPr>
          <w:p w14:paraId="2733A110" w14:textId="7B70509B" w:rsidR="009B59B4" w:rsidRPr="00C617D0" w:rsidRDefault="00AD200A" w:rsidP="009B59B4">
            <w:pPr>
              <w:pStyle w:val="TableText0"/>
              <w:jc w:val="center"/>
              <w:rPr>
                <w:szCs w:val="20"/>
              </w:rPr>
            </w:pPr>
            <w:r w:rsidRPr="00AD200A">
              <w:rPr>
                <w:rFonts w:cs="Arial"/>
                <w:color w:val="000000"/>
                <w:spacing w:val="98"/>
                <w:szCs w:val="20"/>
                <w:shd w:val="solid" w:color="000000" w:fill="000000"/>
                <w:fitText w:val="184" w:id="-1304780785"/>
                <w14:textFill>
                  <w14:solidFill>
                    <w14:srgbClr w14:val="000000">
                      <w14:alpha w14:val="100000"/>
                    </w14:srgbClr>
                  </w14:solidFill>
                </w14:textFill>
              </w:rPr>
              <w:t>|</w:t>
            </w:r>
            <w:r w:rsidRPr="00AD200A">
              <w:rPr>
                <w:rFonts w:cs="Arial"/>
                <w:color w:val="000000"/>
                <w:szCs w:val="20"/>
                <w:shd w:val="solid" w:color="000000" w:fill="000000"/>
                <w:fitText w:val="184" w:id="-1304780785"/>
                <w14:textFill>
                  <w14:solidFill>
                    <w14:srgbClr w14:val="000000">
                      <w14:alpha w14:val="100000"/>
                    </w14:srgbClr>
                  </w14:solidFill>
                </w14:textFill>
              </w:rPr>
              <w:t>|</w:t>
            </w:r>
            <w:r w:rsidR="003B2B2E" w:rsidRPr="00C617D0">
              <w:rPr>
                <w:rFonts w:cs="Arial"/>
                <w:szCs w:val="20"/>
                <w:vertAlign w:val="superscript"/>
              </w:rPr>
              <w:t>2</w:t>
            </w:r>
          </w:p>
        </w:tc>
        <w:tc>
          <w:tcPr>
            <w:tcW w:w="611" w:type="pct"/>
          </w:tcPr>
          <w:p w14:paraId="02B6AC9F" w14:textId="50D323FE" w:rsidR="009B59B4" w:rsidRPr="00AD200A" w:rsidRDefault="00AD200A" w:rsidP="009B59B4">
            <w:pPr>
              <w:pStyle w:val="TableText0"/>
              <w:jc w:val="center"/>
              <w:rPr>
                <w:szCs w:val="20"/>
                <w:highlight w:val="darkGray"/>
              </w:rPr>
            </w:pPr>
            <w:r w:rsidRPr="00AD200A">
              <w:rPr>
                <w:rFonts w:cs="Arial"/>
                <w:color w:val="000000"/>
                <w:spacing w:val="98"/>
                <w:szCs w:val="20"/>
                <w:shd w:val="solid" w:color="000000" w:fill="000000"/>
                <w:fitText w:val="184" w:id="-1304780784"/>
                <w14:textFill>
                  <w14:solidFill>
                    <w14:srgbClr w14:val="000000">
                      <w14:alpha w14:val="100000"/>
                    </w14:srgbClr>
                  </w14:solidFill>
                </w14:textFill>
              </w:rPr>
              <w:t>|</w:t>
            </w:r>
            <w:r w:rsidRPr="00AD200A">
              <w:rPr>
                <w:rFonts w:cs="Arial"/>
                <w:color w:val="000000"/>
                <w:szCs w:val="20"/>
                <w:shd w:val="solid" w:color="000000" w:fill="000000"/>
                <w:fitText w:val="184" w:id="-1304780784"/>
                <w14:textFill>
                  <w14:solidFill>
                    <w14:srgbClr w14:val="000000">
                      <w14:alpha w14:val="100000"/>
                    </w14:srgbClr>
                  </w14:solidFill>
                </w14:textFill>
              </w:rPr>
              <w:t>|</w:t>
            </w:r>
            <w:r w:rsidR="003B2B2E" w:rsidRPr="00C617D0">
              <w:rPr>
                <w:rFonts w:cs="Arial"/>
                <w:szCs w:val="20"/>
                <w:vertAlign w:val="superscript"/>
              </w:rPr>
              <w:t>2</w:t>
            </w:r>
          </w:p>
        </w:tc>
        <w:tc>
          <w:tcPr>
            <w:tcW w:w="612" w:type="pct"/>
          </w:tcPr>
          <w:p w14:paraId="35090004" w14:textId="62CD2E64" w:rsidR="009B59B4" w:rsidRPr="00AD200A" w:rsidRDefault="00AD200A" w:rsidP="009B59B4">
            <w:pPr>
              <w:pStyle w:val="TableText0"/>
              <w:jc w:val="center"/>
              <w:rPr>
                <w:szCs w:val="20"/>
                <w:vertAlign w:val="superscript"/>
              </w:rPr>
            </w:pPr>
            <w:r w:rsidRPr="00AD200A">
              <w:rPr>
                <w:rFonts w:cs="Arial"/>
                <w:color w:val="000000"/>
                <w:spacing w:val="98"/>
                <w:szCs w:val="20"/>
                <w:shd w:val="solid" w:color="000000" w:fill="000000"/>
                <w:fitText w:val="184" w:id="-1304780800"/>
                <w14:textFill>
                  <w14:solidFill>
                    <w14:srgbClr w14:val="000000">
                      <w14:alpha w14:val="100000"/>
                    </w14:srgbClr>
                  </w14:solidFill>
                </w14:textFill>
              </w:rPr>
              <w:t>|</w:t>
            </w:r>
            <w:r w:rsidRPr="00AD200A">
              <w:rPr>
                <w:rFonts w:cs="Arial"/>
                <w:color w:val="000000"/>
                <w:szCs w:val="20"/>
                <w:shd w:val="solid" w:color="000000" w:fill="000000"/>
                <w:fitText w:val="184" w:id="-1304780800"/>
                <w14:textFill>
                  <w14:solidFill>
                    <w14:srgbClr w14:val="000000">
                      <w14:alpha w14:val="100000"/>
                    </w14:srgbClr>
                  </w14:solidFill>
                </w14:textFill>
              </w:rPr>
              <w:t>|</w:t>
            </w:r>
            <w:r w:rsidR="003B2B2E" w:rsidRPr="00C617D0">
              <w:rPr>
                <w:rFonts w:cs="Arial"/>
                <w:szCs w:val="20"/>
                <w:vertAlign w:val="superscript"/>
              </w:rPr>
              <w:t>2</w:t>
            </w:r>
          </w:p>
        </w:tc>
      </w:tr>
      <w:tr w:rsidR="009B59B4" w:rsidRPr="003639A6" w14:paraId="7E6AAE16" w14:textId="77777777" w:rsidTr="00C935FE">
        <w:tc>
          <w:tcPr>
            <w:tcW w:w="1333" w:type="pct"/>
          </w:tcPr>
          <w:p w14:paraId="410B19DA" w14:textId="1434E024" w:rsidR="009B59B4" w:rsidRDefault="009B59B4" w:rsidP="009B59B4">
            <w:pPr>
              <w:pStyle w:val="TableText0"/>
              <w:rPr>
                <w:sz w:val="19"/>
                <w:szCs w:val="19"/>
              </w:rPr>
            </w:pPr>
            <w:r>
              <w:t>IV induction dose</w:t>
            </w:r>
            <w:r w:rsidR="003B2B2E">
              <w:t xml:space="preserve"> ($)</w:t>
            </w:r>
          </w:p>
        </w:tc>
        <w:tc>
          <w:tcPr>
            <w:tcW w:w="611" w:type="pct"/>
          </w:tcPr>
          <w:p w14:paraId="61EB9F5A" w14:textId="36DBB1E5" w:rsidR="009B59B4" w:rsidRPr="00AD200A" w:rsidRDefault="00AD200A" w:rsidP="00C935FE">
            <w:pPr>
              <w:keepNext/>
              <w:jc w:val="center"/>
              <w:rPr>
                <w:rFonts w:ascii="Arial Narrow" w:hAnsi="Arial Narrow" w:cs="Arial"/>
                <w:sz w:val="20"/>
                <w:szCs w:val="20"/>
                <w:highlight w:val="darkGray"/>
              </w:rPr>
            </w:pPr>
            <w:r w:rsidRPr="00AD200A">
              <w:rPr>
                <w:rFonts w:ascii="Arial Narrow" w:hAnsi="Arial Narrow" w:cs="Arial"/>
                <w:color w:val="000000"/>
                <w:spacing w:val="98"/>
                <w:sz w:val="20"/>
                <w:szCs w:val="20"/>
                <w:shd w:val="solid" w:color="000000" w:fill="000000"/>
                <w:fitText w:val="184" w:id="-1304780799"/>
                <w14:textFill>
                  <w14:solidFill>
                    <w14:srgbClr w14:val="000000">
                      <w14:alpha w14:val="100000"/>
                    </w14:srgbClr>
                  </w14:solidFill>
                </w14:textFill>
              </w:rPr>
              <w:t>|</w:t>
            </w:r>
            <w:r w:rsidRPr="00AD200A">
              <w:rPr>
                <w:rFonts w:ascii="Arial Narrow" w:hAnsi="Arial Narrow" w:cs="Arial"/>
                <w:color w:val="000000"/>
                <w:sz w:val="20"/>
                <w:szCs w:val="20"/>
                <w:shd w:val="solid" w:color="000000" w:fill="000000"/>
                <w:fitText w:val="184" w:id="-1304780799"/>
                <w14:textFill>
                  <w14:solidFill>
                    <w14:srgbClr w14:val="000000">
                      <w14:alpha w14:val="100000"/>
                    </w14:srgbClr>
                  </w14:solidFill>
                </w14:textFill>
              </w:rPr>
              <w:t>|</w:t>
            </w:r>
            <w:r w:rsidR="003B2B2E" w:rsidRPr="00AD200A">
              <w:rPr>
                <w:rFonts w:ascii="Arial Narrow" w:hAnsi="Arial Narrow" w:cs="Arial"/>
                <w:sz w:val="20"/>
                <w:szCs w:val="20"/>
                <w:vertAlign w:val="superscript"/>
              </w:rPr>
              <w:t>3</w:t>
            </w:r>
          </w:p>
        </w:tc>
        <w:tc>
          <w:tcPr>
            <w:tcW w:w="611" w:type="pct"/>
          </w:tcPr>
          <w:p w14:paraId="274D33C3" w14:textId="04E2E8A1" w:rsidR="009B59B4" w:rsidRPr="00C617D0" w:rsidRDefault="00AD200A" w:rsidP="00C935FE">
            <w:pPr>
              <w:keepNext/>
              <w:jc w:val="center"/>
              <w:rPr>
                <w:rFonts w:ascii="Arial Narrow" w:hAnsi="Arial Narrow" w:cs="Arial"/>
                <w:sz w:val="20"/>
                <w:szCs w:val="20"/>
              </w:rPr>
            </w:pPr>
            <w:r w:rsidRPr="00AD200A">
              <w:rPr>
                <w:rFonts w:ascii="Arial Narrow" w:hAnsi="Arial Narrow" w:cs="Arial"/>
                <w:color w:val="000000"/>
                <w:spacing w:val="98"/>
                <w:sz w:val="20"/>
                <w:szCs w:val="20"/>
                <w:shd w:val="solid" w:color="000000" w:fill="000000"/>
                <w:fitText w:val="184" w:id="-1304780798"/>
                <w14:textFill>
                  <w14:solidFill>
                    <w14:srgbClr w14:val="000000">
                      <w14:alpha w14:val="100000"/>
                    </w14:srgbClr>
                  </w14:solidFill>
                </w14:textFill>
              </w:rPr>
              <w:t>|</w:t>
            </w:r>
            <w:r w:rsidRPr="00AD200A">
              <w:rPr>
                <w:rFonts w:ascii="Arial Narrow" w:hAnsi="Arial Narrow" w:cs="Arial"/>
                <w:color w:val="000000"/>
                <w:sz w:val="20"/>
                <w:szCs w:val="20"/>
                <w:shd w:val="solid" w:color="000000" w:fill="000000"/>
                <w:fitText w:val="184" w:id="-1304780798"/>
                <w14:textFill>
                  <w14:solidFill>
                    <w14:srgbClr w14:val="000000">
                      <w14:alpha w14:val="100000"/>
                    </w14:srgbClr>
                  </w14:solidFill>
                </w14:textFill>
              </w:rPr>
              <w:t>|</w:t>
            </w:r>
            <w:r w:rsidR="003B2B2E" w:rsidRPr="00AD200A">
              <w:rPr>
                <w:rFonts w:ascii="Arial Narrow" w:hAnsi="Arial Narrow" w:cs="Arial"/>
                <w:sz w:val="20"/>
                <w:szCs w:val="20"/>
                <w:vertAlign w:val="superscript"/>
              </w:rPr>
              <w:t>3</w:t>
            </w:r>
          </w:p>
        </w:tc>
        <w:tc>
          <w:tcPr>
            <w:tcW w:w="611" w:type="pct"/>
          </w:tcPr>
          <w:p w14:paraId="57C7812D" w14:textId="4920B350" w:rsidR="009B59B4" w:rsidRPr="00C617D0" w:rsidRDefault="00AD200A" w:rsidP="00C935FE">
            <w:pPr>
              <w:keepNext/>
              <w:jc w:val="center"/>
              <w:rPr>
                <w:rFonts w:ascii="Arial Narrow" w:hAnsi="Arial Narrow" w:cs="Arial"/>
                <w:sz w:val="20"/>
                <w:szCs w:val="20"/>
              </w:rPr>
            </w:pPr>
            <w:r w:rsidRPr="00AD200A">
              <w:rPr>
                <w:rFonts w:ascii="Arial Narrow" w:hAnsi="Arial Narrow" w:cs="Arial"/>
                <w:color w:val="000000"/>
                <w:spacing w:val="98"/>
                <w:sz w:val="20"/>
                <w:szCs w:val="20"/>
                <w:shd w:val="solid" w:color="000000" w:fill="000000"/>
                <w:fitText w:val="184" w:id="-1304780797"/>
                <w14:textFill>
                  <w14:solidFill>
                    <w14:srgbClr w14:val="000000">
                      <w14:alpha w14:val="100000"/>
                    </w14:srgbClr>
                  </w14:solidFill>
                </w14:textFill>
              </w:rPr>
              <w:t>|</w:t>
            </w:r>
            <w:r w:rsidRPr="00AD200A">
              <w:rPr>
                <w:rFonts w:ascii="Arial Narrow" w:hAnsi="Arial Narrow" w:cs="Arial"/>
                <w:color w:val="000000"/>
                <w:sz w:val="20"/>
                <w:szCs w:val="20"/>
                <w:shd w:val="solid" w:color="000000" w:fill="000000"/>
                <w:fitText w:val="184" w:id="-1304780797"/>
                <w14:textFill>
                  <w14:solidFill>
                    <w14:srgbClr w14:val="000000">
                      <w14:alpha w14:val="100000"/>
                    </w14:srgbClr>
                  </w14:solidFill>
                </w14:textFill>
              </w:rPr>
              <w:t>|</w:t>
            </w:r>
            <w:r w:rsidR="003B2B2E" w:rsidRPr="00AD200A">
              <w:rPr>
                <w:rFonts w:ascii="Arial Narrow" w:hAnsi="Arial Narrow" w:cs="Arial"/>
                <w:sz w:val="20"/>
                <w:szCs w:val="20"/>
                <w:vertAlign w:val="superscript"/>
              </w:rPr>
              <w:t>3</w:t>
            </w:r>
          </w:p>
        </w:tc>
        <w:tc>
          <w:tcPr>
            <w:tcW w:w="611" w:type="pct"/>
          </w:tcPr>
          <w:p w14:paraId="1BB3842D" w14:textId="67DA7C43" w:rsidR="009B59B4" w:rsidRPr="00C617D0" w:rsidRDefault="00AD200A" w:rsidP="00C935FE">
            <w:pPr>
              <w:keepNext/>
              <w:jc w:val="center"/>
              <w:rPr>
                <w:rFonts w:ascii="Arial Narrow" w:hAnsi="Arial Narrow" w:cs="Arial"/>
                <w:sz w:val="20"/>
                <w:szCs w:val="20"/>
              </w:rPr>
            </w:pPr>
            <w:r w:rsidRPr="00AD200A">
              <w:rPr>
                <w:rFonts w:ascii="Arial Narrow" w:hAnsi="Arial Narrow" w:cs="Arial"/>
                <w:color w:val="000000"/>
                <w:spacing w:val="98"/>
                <w:sz w:val="20"/>
                <w:szCs w:val="20"/>
                <w:shd w:val="solid" w:color="000000" w:fill="000000"/>
                <w:fitText w:val="184" w:id="-1304780796"/>
                <w14:textFill>
                  <w14:solidFill>
                    <w14:srgbClr w14:val="000000">
                      <w14:alpha w14:val="100000"/>
                    </w14:srgbClr>
                  </w14:solidFill>
                </w14:textFill>
              </w:rPr>
              <w:t>|</w:t>
            </w:r>
            <w:r w:rsidRPr="00AD200A">
              <w:rPr>
                <w:rFonts w:ascii="Arial Narrow" w:hAnsi="Arial Narrow" w:cs="Arial"/>
                <w:color w:val="000000"/>
                <w:sz w:val="20"/>
                <w:szCs w:val="20"/>
                <w:shd w:val="solid" w:color="000000" w:fill="000000"/>
                <w:fitText w:val="184" w:id="-1304780796"/>
                <w14:textFill>
                  <w14:solidFill>
                    <w14:srgbClr w14:val="000000">
                      <w14:alpha w14:val="100000"/>
                    </w14:srgbClr>
                  </w14:solidFill>
                </w14:textFill>
              </w:rPr>
              <w:t>|</w:t>
            </w:r>
            <w:r w:rsidR="003B2B2E" w:rsidRPr="00AD200A">
              <w:rPr>
                <w:rFonts w:ascii="Arial Narrow" w:hAnsi="Arial Narrow" w:cs="Arial"/>
                <w:sz w:val="20"/>
                <w:szCs w:val="20"/>
                <w:vertAlign w:val="superscript"/>
              </w:rPr>
              <w:t>3</w:t>
            </w:r>
          </w:p>
        </w:tc>
        <w:tc>
          <w:tcPr>
            <w:tcW w:w="611" w:type="pct"/>
          </w:tcPr>
          <w:p w14:paraId="50E26A3E" w14:textId="0490259A" w:rsidR="009B59B4" w:rsidRPr="00C617D0" w:rsidRDefault="00AD200A" w:rsidP="00C935FE">
            <w:pPr>
              <w:keepNext/>
              <w:jc w:val="center"/>
              <w:rPr>
                <w:rFonts w:ascii="Arial Narrow" w:hAnsi="Arial Narrow" w:cs="Arial"/>
                <w:sz w:val="20"/>
                <w:szCs w:val="20"/>
              </w:rPr>
            </w:pPr>
            <w:r w:rsidRPr="00AD200A">
              <w:rPr>
                <w:rFonts w:ascii="Arial Narrow" w:hAnsi="Arial Narrow" w:cs="Arial"/>
                <w:color w:val="000000"/>
                <w:spacing w:val="98"/>
                <w:sz w:val="20"/>
                <w:szCs w:val="20"/>
                <w:shd w:val="solid" w:color="000000" w:fill="000000"/>
                <w:fitText w:val="184" w:id="-1304780795"/>
                <w14:textFill>
                  <w14:solidFill>
                    <w14:srgbClr w14:val="000000">
                      <w14:alpha w14:val="100000"/>
                    </w14:srgbClr>
                  </w14:solidFill>
                </w14:textFill>
              </w:rPr>
              <w:t>|</w:t>
            </w:r>
            <w:r w:rsidRPr="00AD200A">
              <w:rPr>
                <w:rFonts w:ascii="Arial Narrow" w:hAnsi="Arial Narrow" w:cs="Arial"/>
                <w:color w:val="000000"/>
                <w:sz w:val="20"/>
                <w:szCs w:val="20"/>
                <w:shd w:val="solid" w:color="000000" w:fill="000000"/>
                <w:fitText w:val="184" w:id="-1304780795"/>
                <w14:textFill>
                  <w14:solidFill>
                    <w14:srgbClr w14:val="000000">
                      <w14:alpha w14:val="100000"/>
                    </w14:srgbClr>
                  </w14:solidFill>
                </w14:textFill>
              </w:rPr>
              <w:t>|</w:t>
            </w:r>
            <w:r w:rsidR="003B2B2E" w:rsidRPr="00AD200A">
              <w:rPr>
                <w:rFonts w:ascii="Arial Narrow" w:hAnsi="Arial Narrow" w:cs="Arial"/>
                <w:sz w:val="20"/>
                <w:szCs w:val="20"/>
                <w:vertAlign w:val="superscript"/>
              </w:rPr>
              <w:t>3</w:t>
            </w:r>
          </w:p>
        </w:tc>
        <w:tc>
          <w:tcPr>
            <w:tcW w:w="612" w:type="pct"/>
          </w:tcPr>
          <w:p w14:paraId="1912B9B2" w14:textId="0B61CFD9" w:rsidR="009B59B4" w:rsidRPr="00C617D0" w:rsidRDefault="00AD200A" w:rsidP="00C935FE">
            <w:pPr>
              <w:keepNext/>
              <w:jc w:val="center"/>
              <w:rPr>
                <w:rFonts w:ascii="Arial Narrow" w:hAnsi="Arial Narrow" w:cs="Arial"/>
                <w:sz w:val="20"/>
                <w:szCs w:val="20"/>
              </w:rPr>
            </w:pPr>
            <w:r w:rsidRPr="00AD200A">
              <w:rPr>
                <w:rFonts w:ascii="Arial Narrow" w:hAnsi="Arial Narrow" w:cs="Arial"/>
                <w:color w:val="000000"/>
                <w:spacing w:val="98"/>
                <w:sz w:val="20"/>
                <w:szCs w:val="20"/>
                <w:shd w:val="solid" w:color="000000" w:fill="000000"/>
                <w:fitText w:val="184" w:id="-1304780794"/>
                <w14:textFill>
                  <w14:solidFill>
                    <w14:srgbClr w14:val="000000">
                      <w14:alpha w14:val="100000"/>
                    </w14:srgbClr>
                  </w14:solidFill>
                </w14:textFill>
              </w:rPr>
              <w:t>|</w:t>
            </w:r>
            <w:r w:rsidRPr="00AD200A">
              <w:rPr>
                <w:rFonts w:ascii="Arial Narrow" w:hAnsi="Arial Narrow" w:cs="Arial"/>
                <w:color w:val="000000"/>
                <w:sz w:val="20"/>
                <w:szCs w:val="20"/>
                <w:shd w:val="solid" w:color="000000" w:fill="000000"/>
                <w:fitText w:val="184" w:id="-1304780794"/>
                <w14:textFill>
                  <w14:solidFill>
                    <w14:srgbClr w14:val="000000">
                      <w14:alpha w14:val="100000"/>
                    </w14:srgbClr>
                  </w14:solidFill>
                </w14:textFill>
              </w:rPr>
              <w:t>|</w:t>
            </w:r>
            <w:r w:rsidR="003B2B2E" w:rsidRPr="00AD200A">
              <w:rPr>
                <w:rFonts w:ascii="Arial Narrow" w:hAnsi="Arial Narrow" w:cs="Arial"/>
                <w:sz w:val="20"/>
                <w:szCs w:val="20"/>
                <w:vertAlign w:val="superscript"/>
              </w:rPr>
              <w:t>3</w:t>
            </w:r>
          </w:p>
        </w:tc>
      </w:tr>
      <w:tr w:rsidR="009B59B4" w:rsidRPr="00FC22AB" w14:paraId="271FB8ED" w14:textId="77777777" w:rsidTr="00C935FE">
        <w:tc>
          <w:tcPr>
            <w:tcW w:w="5000" w:type="pct"/>
            <w:gridSpan w:val="7"/>
          </w:tcPr>
          <w:p w14:paraId="7AD060D5" w14:textId="2387626E" w:rsidR="009B59B4" w:rsidRPr="00BC6DFD" w:rsidRDefault="009B59B4" w:rsidP="009B59B4">
            <w:pPr>
              <w:pStyle w:val="In-tableHeading"/>
            </w:pPr>
            <w:r w:rsidRPr="00BC6DFD">
              <w:t xml:space="preserve">Net financial implications </w:t>
            </w:r>
          </w:p>
        </w:tc>
      </w:tr>
      <w:tr w:rsidR="00C935FE" w:rsidRPr="003639A6" w14:paraId="12605B52" w14:textId="77777777" w:rsidTr="00C935FE">
        <w:tc>
          <w:tcPr>
            <w:tcW w:w="1333" w:type="pct"/>
          </w:tcPr>
          <w:p w14:paraId="07062528" w14:textId="2A112FC4" w:rsidR="00C935FE" w:rsidRDefault="00C935FE" w:rsidP="00C935FE">
            <w:pPr>
              <w:pStyle w:val="TableText0"/>
              <w:rPr>
                <w:sz w:val="19"/>
                <w:szCs w:val="19"/>
              </w:rPr>
            </w:pPr>
            <w:r>
              <w:rPr>
                <w:sz w:val="19"/>
                <w:szCs w:val="19"/>
              </w:rPr>
              <w:t>Net cost to PBS/RPBS</w:t>
            </w:r>
            <w:r w:rsidR="003B2B2E">
              <w:t xml:space="preserve"> ($)</w:t>
            </w:r>
          </w:p>
        </w:tc>
        <w:tc>
          <w:tcPr>
            <w:tcW w:w="611" w:type="pct"/>
          </w:tcPr>
          <w:p w14:paraId="11CC26D5" w14:textId="398267ED" w:rsidR="00C935FE" w:rsidRPr="00C617D0" w:rsidRDefault="00AD200A" w:rsidP="00C935FE">
            <w:pPr>
              <w:keepNext/>
              <w:jc w:val="center"/>
              <w:rPr>
                <w:rFonts w:ascii="Arial Narrow" w:hAnsi="Arial Narrow" w:cs="Arial"/>
                <w:sz w:val="20"/>
                <w:szCs w:val="20"/>
              </w:rPr>
            </w:pPr>
            <w:r w:rsidRPr="00AD200A">
              <w:rPr>
                <w:rFonts w:ascii="Arial Narrow" w:hAnsi="Arial Narrow" w:cs="Arial"/>
                <w:color w:val="000000"/>
                <w:spacing w:val="98"/>
                <w:sz w:val="20"/>
                <w:szCs w:val="20"/>
                <w:shd w:val="solid" w:color="000000" w:fill="000000"/>
                <w:fitText w:val="184" w:id="-1304780793"/>
                <w14:textFill>
                  <w14:solidFill>
                    <w14:srgbClr w14:val="000000">
                      <w14:alpha w14:val="100000"/>
                    </w14:srgbClr>
                  </w14:solidFill>
                </w14:textFill>
              </w:rPr>
              <w:t>|</w:t>
            </w:r>
            <w:r w:rsidRPr="00AD200A">
              <w:rPr>
                <w:rFonts w:ascii="Arial Narrow" w:hAnsi="Arial Narrow" w:cs="Arial"/>
                <w:color w:val="000000"/>
                <w:sz w:val="20"/>
                <w:szCs w:val="20"/>
                <w:shd w:val="solid" w:color="000000" w:fill="000000"/>
                <w:fitText w:val="184" w:id="-1304780793"/>
                <w14:textFill>
                  <w14:solidFill>
                    <w14:srgbClr w14:val="000000">
                      <w14:alpha w14:val="100000"/>
                    </w14:srgbClr>
                  </w14:solidFill>
                </w14:textFill>
              </w:rPr>
              <w:t>|</w:t>
            </w:r>
            <w:r w:rsidR="003B2B2E" w:rsidRPr="00AD200A">
              <w:rPr>
                <w:rFonts w:ascii="Arial Narrow" w:hAnsi="Arial Narrow" w:cs="Arial"/>
                <w:sz w:val="20"/>
                <w:szCs w:val="20"/>
                <w:vertAlign w:val="superscript"/>
              </w:rPr>
              <w:t>3</w:t>
            </w:r>
          </w:p>
        </w:tc>
        <w:tc>
          <w:tcPr>
            <w:tcW w:w="611" w:type="pct"/>
          </w:tcPr>
          <w:p w14:paraId="5FFA6ECD" w14:textId="3D1B84B9" w:rsidR="00C935FE" w:rsidRPr="00C617D0" w:rsidRDefault="00AD200A" w:rsidP="00C935FE">
            <w:pPr>
              <w:keepNext/>
              <w:jc w:val="center"/>
              <w:rPr>
                <w:rFonts w:ascii="Arial Narrow" w:hAnsi="Arial Narrow" w:cs="Arial"/>
                <w:sz w:val="20"/>
                <w:szCs w:val="20"/>
              </w:rPr>
            </w:pPr>
            <w:r w:rsidRPr="00AD200A">
              <w:rPr>
                <w:rFonts w:ascii="Arial Narrow" w:hAnsi="Arial Narrow" w:cs="Arial"/>
                <w:color w:val="000000"/>
                <w:spacing w:val="98"/>
                <w:sz w:val="20"/>
                <w:szCs w:val="20"/>
                <w:shd w:val="solid" w:color="000000" w:fill="000000"/>
                <w:fitText w:val="184" w:id="-1304780792"/>
                <w14:textFill>
                  <w14:solidFill>
                    <w14:srgbClr w14:val="000000">
                      <w14:alpha w14:val="100000"/>
                    </w14:srgbClr>
                  </w14:solidFill>
                </w14:textFill>
              </w:rPr>
              <w:t>|</w:t>
            </w:r>
            <w:r w:rsidRPr="00AD200A">
              <w:rPr>
                <w:rFonts w:ascii="Arial Narrow" w:hAnsi="Arial Narrow" w:cs="Arial"/>
                <w:color w:val="000000"/>
                <w:sz w:val="20"/>
                <w:szCs w:val="20"/>
                <w:shd w:val="solid" w:color="000000" w:fill="000000"/>
                <w:fitText w:val="184" w:id="-1304780792"/>
                <w14:textFill>
                  <w14:solidFill>
                    <w14:srgbClr w14:val="000000">
                      <w14:alpha w14:val="100000"/>
                    </w14:srgbClr>
                  </w14:solidFill>
                </w14:textFill>
              </w:rPr>
              <w:t>|</w:t>
            </w:r>
            <w:r w:rsidR="003B2B2E" w:rsidRPr="00AD200A">
              <w:rPr>
                <w:rFonts w:ascii="Arial Narrow" w:hAnsi="Arial Narrow" w:cs="Arial"/>
                <w:sz w:val="20"/>
                <w:szCs w:val="20"/>
                <w:vertAlign w:val="superscript"/>
              </w:rPr>
              <w:t>3</w:t>
            </w:r>
          </w:p>
        </w:tc>
        <w:tc>
          <w:tcPr>
            <w:tcW w:w="611" w:type="pct"/>
          </w:tcPr>
          <w:p w14:paraId="25799BDF" w14:textId="54C634AE" w:rsidR="00C935FE" w:rsidRPr="00C617D0" w:rsidRDefault="00AD200A" w:rsidP="00C935FE">
            <w:pPr>
              <w:keepNext/>
              <w:jc w:val="center"/>
              <w:rPr>
                <w:rFonts w:ascii="Arial Narrow" w:hAnsi="Arial Narrow" w:cs="Arial"/>
                <w:sz w:val="20"/>
                <w:szCs w:val="20"/>
              </w:rPr>
            </w:pPr>
            <w:r w:rsidRPr="00AD200A">
              <w:rPr>
                <w:rFonts w:ascii="Arial Narrow" w:hAnsi="Arial Narrow" w:cs="Arial"/>
                <w:color w:val="000000"/>
                <w:spacing w:val="98"/>
                <w:sz w:val="20"/>
                <w:szCs w:val="20"/>
                <w:shd w:val="solid" w:color="000000" w:fill="000000"/>
                <w:fitText w:val="184" w:id="-1304780791"/>
                <w14:textFill>
                  <w14:solidFill>
                    <w14:srgbClr w14:val="000000">
                      <w14:alpha w14:val="100000"/>
                    </w14:srgbClr>
                  </w14:solidFill>
                </w14:textFill>
              </w:rPr>
              <w:t>|</w:t>
            </w:r>
            <w:r w:rsidRPr="00AD200A">
              <w:rPr>
                <w:rFonts w:ascii="Arial Narrow" w:hAnsi="Arial Narrow" w:cs="Arial"/>
                <w:color w:val="000000"/>
                <w:sz w:val="20"/>
                <w:szCs w:val="20"/>
                <w:shd w:val="solid" w:color="000000" w:fill="000000"/>
                <w:fitText w:val="184" w:id="-1304780791"/>
                <w14:textFill>
                  <w14:solidFill>
                    <w14:srgbClr w14:val="000000">
                      <w14:alpha w14:val="100000"/>
                    </w14:srgbClr>
                  </w14:solidFill>
                </w14:textFill>
              </w:rPr>
              <w:t>|</w:t>
            </w:r>
            <w:r w:rsidR="003B2B2E" w:rsidRPr="00AD200A">
              <w:rPr>
                <w:rFonts w:ascii="Arial Narrow" w:hAnsi="Arial Narrow" w:cs="Arial"/>
                <w:sz w:val="20"/>
                <w:szCs w:val="20"/>
                <w:vertAlign w:val="superscript"/>
              </w:rPr>
              <w:t>3</w:t>
            </w:r>
          </w:p>
        </w:tc>
        <w:tc>
          <w:tcPr>
            <w:tcW w:w="611" w:type="pct"/>
          </w:tcPr>
          <w:p w14:paraId="455D74FB" w14:textId="34ACEB67" w:rsidR="00C935FE" w:rsidRPr="00C617D0" w:rsidRDefault="00AD200A" w:rsidP="00C935FE">
            <w:pPr>
              <w:keepNext/>
              <w:jc w:val="center"/>
              <w:rPr>
                <w:rFonts w:ascii="Arial Narrow" w:hAnsi="Arial Narrow" w:cs="Arial"/>
                <w:sz w:val="20"/>
                <w:szCs w:val="20"/>
              </w:rPr>
            </w:pPr>
            <w:r w:rsidRPr="00AD200A">
              <w:rPr>
                <w:rFonts w:ascii="Arial Narrow" w:hAnsi="Arial Narrow" w:cs="Arial"/>
                <w:color w:val="000000"/>
                <w:spacing w:val="98"/>
                <w:sz w:val="20"/>
                <w:szCs w:val="20"/>
                <w:shd w:val="solid" w:color="000000" w:fill="000000"/>
                <w:fitText w:val="184" w:id="-1304780790"/>
                <w14:textFill>
                  <w14:solidFill>
                    <w14:srgbClr w14:val="000000">
                      <w14:alpha w14:val="100000"/>
                    </w14:srgbClr>
                  </w14:solidFill>
                </w14:textFill>
              </w:rPr>
              <w:t>|</w:t>
            </w:r>
            <w:r w:rsidRPr="00AD200A">
              <w:rPr>
                <w:rFonts w:ascii="Arial Narrow" w:hAnsi="Arial Narrow" w:cs="Arial"/>
                <w:color w:val="000000"/>
                <w:sz w:val="20"/>
                <w:szCs w:val="20"/>
                <w:shd w:val="solid" w:color="000000" w:fill="000000"/>
                <w:fitText w:val="184" w:id="-1304780790"/>
                <w14:textFill>
                  <w14:solidFill>
                    <w14:srgbClr w14:val="000000">
                      <w14:alpha w14:val="100000"/>
                    </w14:srgbClr>
                  </w14:solidFill>
                </w14:textFill>
              </w:rPr>
              <w:t>|</w:t>
            </w:r>
            <w:r w:rsidR="003B2B2E" w:rsidRPr="00AD200A">
              <w:rPr>
                <w:rFonts w:ascii="Arial Narrow" w:hAnsi="Arial Narrow" w:cs="Arial"/>
                <w:sz w:val="20"/>
                <w:szCs w:val="20"/>
                <w:vertAlign w:val="superscript"/>
              </w:rPr>
              <w:t>3</w:t>
            </w:r>
          </w:p>
        </w:tc>
        <w:tc>
          <w:tcPr>
            <w:tcW w:w="611" w:type="pct"/>
          </w:tcPr>
          <w:p w14:paraId="2D5D9927" w14:textId="04C623A5" w:rsidR="00C935FE" w:rsidRPr="00C617D0" w:rsidRDefault="00AD200A" w:rsidP="00C935FE">
            <w:pPr>
              <w:keepNext/>
              <w:jc w:val="center"/>
              <w:rPr>
                <w:rFonts w:ascii="Arial Narrow" w:hAnsi="Arial Narrow" w:cs="Arial"/>
                <w:sz w:val="20"/>
                <w:szCs w:val="20"/>
              </w:rPr>
            </w:pPr>
            <w:r w:rsidRPr="00AD200A">
              <w:rPr>
                <w:rFonts w:ascii="Arial Narrow" w:hAnsi="Arial Narrow" w:cs="Arial"/>
                <w:color w:val="000000"/>
                <w:spacing w:val="98"/>
                <w:sz w:val="20"/>
                <w:szCs w:val="20"/>
                <w:shd w:val="solid" w:color="000000" w:fill="000000"/>
                <w:fitText w:val="184" w:id="-1304780789"/>
                <w14:textFill>
                  <w14:solidFill>
                    <w14:srgbClr w14:val="000000">
                      <w14:alpha w14:val="100000"/>
                    </w14:srgbClr>
                  </w14:solidFill>
                </w14:textFill>
              </w:rPr>
              <w:t>|</w:t>
            </w:r>
            <w:r w:rsidRPr="00AD200A">
              <w:rPr>
                <w:rFonts w:ascii="Arial Narrow" w:hAnsi="Arial Narrow" w:cs="Arial"/>
                <w:color w:val="000000"/>
                <w:sz w:val="20"/>
                <w:szCs w:val="20"/>
                <w:shd w:val="solid" w:color="000000" w:fill="000000"/>
                <w:fitText w:val="184" w:id="-1304780789"/>
                <w14:textFill>
                  <w14:solidFill>
                    <w14:srgbClr w14:val="000000">
                      <w14:alpha w14:val="100000"/>
                    </w14:srgbClr>
                  </w14:solidFill>
                </w14:textFill>
              </w:rPr>
              <w:t>|</w:t>
            </w:r>
            <w:r w:rsidR="003B2B2E" w:rsidRPr="00AD200A">
              <w:rPr>
                <w:rFonts w:ascii="Arial Narrow" w:hAnsi="Arial Narrow" w:cs="Arial"/>
                <w:sz w:val="20"/>
                <w:szCs w:val="20"/>
                <w:vertAlign w:val="superscript"/>
              </w:rPr>
              <w:t>3</w:t>
            </w:r>
          </w:p>
        </w:tc>
        <w:tc>
          <w:tcPr>
            <w:tcW w:w="612" w:type="pct"/>
          </w:tcPr>
          <w:p w14:paraId="7AC92A15" w14:textId="22F3D6BC" w:rsidR="00C935FE" w:rsidRPr="00C617D0" w:rsidRDefault="00AD200A" w:rsidP="00C935FE">
            <w:pPr>
              <w:keepNext/>
              <w:jc w:val="center"/>
              <w:rPr>
                <w:rFonts w:ascii="Arial Narrow" w:hAnsi="Arial Narrow" w:cs="Arial"/>
                <w:sz w:val="20"/>
                <w:szCs w:val="20"/>
              </w:rPr>
            </w:pPr>
            <w:r w:rsidRPr="00AD200A">
              <w:rPr>
                <w:rFonts w:ascii="Arial Narrow" w:hAnsi="Arial Narrow" w:cs="Arial"/>
                <w:color w:val="000000"/>
                <w:spacing w:val="98"/>
                <w:sz w:val="20"/>
                <w:szCs w:val="20"/>
                <w:shd w:val="solid" w:color="000000" w:fill="000000"/>
                <w:fitText w:val="184" w:id="-1304780788"/>
                <w14:textFill>
                  <w14:solidFill>
                    <w14:srgbClr w14:val="000000">
                      <w14:alpha w14:val="100000"/>
                    </w14:srgbClr>
                  </w14:solidFill>
                </w14:textFill>
              </w:rPr>
              <w:t>|</w:t>
            </w:r>
            <w:r w:rsidRPr="00AD200A">
              <w:rPr>
                <w:rFonts w:ascii="Arial Narrow" w:hAnsi="Arial Narrow" w:cs="Arial"/>
                <w:color w:val="000000"/>
                <w:sz w:val="20"/>
                <w:szCs w:val="20"/>
                <w:shd w:val="solid" w:color="000000" w:fill="000000"/>
                <w:fitText w:val="184" w:id="-1304780788"/>
                <w14:textFill>
                  <w14:solidFill>
                    <w14:srgbClr w14:val="000000">
                      <w14:alpha w14:val="100000"/>
                    </w14:srgbClr>
                  </w14:solidFill>
                </w14:textFill>
              </w:rPr>
              <w:t>|</w:t>
            </w:r>
            <w:r w:rsidR="003B2B2E" w:rsidRPr="00AD200A">
              <w:rPr>
                <w:rFonts w:ascii="Arial Narrow" w:hAnsi="Arial Narrow" w:cs="Arial"/>
                <w:sz w:val="20"/>
                <w:szCs w:val="20"/>
                <w:vertAlign w:val="superscript"/>
              </w:rPr>
              <w:t>3</w:t>
            </w:r>
          </w:p>
        </w:tc>
      </w:tr>
      <w:tr w:rsidR="00C935FE" w:rsidRPr="003639A6" w14:paraId="42014B09" w14:textId="77777777" w:rsidTr="00996FD1">
        <w:tc>
          <w:tcPr>
            <w:tcW w:w="1333" w:type="pct"/>
          </w:tcPr>
          <w:p w14:paraId="159C1DA7" w14:textId="0C03F172" w:rsidR="00C935FE" w:rsidRPr="003639A6" w:rsidRDefault="00C935FE" w:rsidP="00C935FE">
            <w:pPr>
              <w:pStyle w:val="TableText0"/>
              <w:rPr>
                <w:rFonts w:ascii="Times" w:hAnsi="Times"/>
              </w:rPr>
            </w:pPr>
            <w:r>
              <w:rPr>
                <w:sz w:val="19"/>
                <w:szCs w:val="19"/>
              </w:rPr>
              <w:t>Net cost to</w:t>
            </w:r>
            <w:r w:rsidRPr="003639A6">
              <w:rPr>
                <w:sz w:val="19"/>
                <w:szCs w:val="19"/>
              </w:rPr>
              <w:t xml:space="preserve"> MBS</w:t>
            </w:r>
            <w:r w:rsidR="003B2B2E">
              <w:t xml:space="preserve"> ($)</w:t>
            </w:r>
          </w:p>
        </w:tc>
        <w:tc>
          <w:tcPr>
            <w:tcW w:w="611" w:type="pct"/>
            <w:tcBorders>
              <w:top w:val="single" w:sz="4" w:space="0" w:color="auto"/>
              <w:left w:val="single" w:sz="4" w:space="0" w:color="auto"/>
              <w:bottom w:val="single" w:sz="4" w:space="0" w:color="auto"/>
              <w:right w:val="single" w:sz="4" w:space="0" w:color="auto"/>
            </w:tcBorders>
            <w:shd w:val="clear" w:color="000000" w:fill="F2F2F2"/>
            <w:vAlign w:val="center"/>
          </w:tcPr>
          <w:p w14:paraId="212A4060" w14:textId="6B82CFC4" w:rsidR="00C935FE" w:rsidRPr="001F151D" w:rsidRDefault="00AD200A" w:rsidP="00C935FE">
            <w:pPr>
              <w:pStyle w:val="TableText0"/>
              <w:jc w:val="center"/>
              <w:rPr>
                <w:szCs w:val="20"/>
              </w:rPr>
            </w:pPr>
            <w:r w:rsidRPr="00AD200A">
              <w:rPr>
                <w:color w:val="000000"/>
                <w:spacing w:val="98"/>
                <w:szCs w:val="20"/>
                <w:shd w:val="solid" w:color="000000" w:fill="000000"/>
                <w:fitText w:val="184" w:id="-1304780787"/>
                <w14:textFill>
                  <w14:solidFill>
                    <w14:srgbClr w14:val="000000">
                      <w14:alpha w14:val="100000"/>
                    </w14:srgbClr>
                  </w14:solidFill>
                </w14:textFill>
              </w:rPr>
              <w:t>|</w:t>
            </w:r>
            <w:r w:rsidRPr="00AD200A">
              <w:rPr>
                <w:color w:val="000000"/>
                <w:szCs w:val="20"/>
                <w:shd w:val="solid" w:color="000000" w:fill="000000"/>
                <w:fitText w:val="184" w:id="-1304780787"/>
                <w14:textFill>
                  <w14:solidFill>
                    <w14:srgbClr w14:val="000000">
                      <w14:alpha w14:val="100000"/>
                    </w14:srgbClr>
                  </w14:solidFill>
                </w14:textFill>
              </w:rPr>
              <w:t>|</w:t>
            </w:r>
            <w:r w:rsidR="003B2B2E" w:rsidRPr="00C617D0">
              <w:rPr>
                <w:rFonts w:cs="Arial"/>
                <w:szCs w:val="20"/>
                <w:vertAlign w:val="superscript"/>
              </w:rPr>
              <w:t>3</w:t>
            </w:r>
          </w:p>
        </w:tc>
        <w:tc>
          <w:tcPr>
            <w:tcW w:w="611" w:type="pct"/>
            <w:tcBorders>
              <w:top w:val="single" w:sz="4" w:space="0" w:color="auto"/>
              <w:left w:val="nil"/>
              <w:bottom w:val="single" w:sz="4" w:space="0" w:color="auto"/>
              <w:right w:val="single" w:sz="4" w:space="0" w:color="auto"/>
            </w:tcBorders>
            <w:shd w:val="clear" w:color="000000" w:fill="F2F2F2"/>
            <w:vAlign w:val="center"/>
          </w:tcPr>
          <w:p w14:paraId="6CF458E5" w14:textId="60C3EF0B" w:rsidR="00C935FE" w:rsidRPr="001F151D" w:rsidRDefault="00AD200A" w:rsidP="00C935FE">
            <w:pPr>
              <w:pStyle w:val="TableText0"/>
              <w:jc w:val="center"/>
              <w:rPr>
                <w:szCs w:val="20"/>
              </w:rPr>
            </w:pPr>
            <w:r w:rsidRPr="00AD200A">
              <w:rPr>
                <w:color w:val="000000"/>
                <w:spacing w:val="98"/>
                <w:szCs w:val="20"/>
                <w:shd w:val="solid" w:color="000000" w:fill="000000"/>
                <w:fitText w:val="184" w:id="-1304780786"/>
                <w14:textFill>
                  <w14:solidFill>
                    <w14:srgbClr w14:val="000000">
                      <w14:alpha w14:val="100000"/>
                    </w14:srgbClr>
                  </w14:solidFill>
                </w14:textFill>
              </w:rPr>
              <w:t>|</w:t>
            </w:r>
            <w:r w:rsidRPr="00AD200A">
              <w:rPr>
                <w:color w:val="000000"/>
                <w:szCs w:val="20"/>
                <w:shd w:val="solid" w:color="000000" w:fill="000000"/>
                <w:fitText w:val="184" w:id="-1304780786"/>
                <w14:textFill>
                  <w14:solidFill>
                    <w14:srgbClr w14:val="000000">
                      <w14:alpha w14:val="100000"/>
                    </w14:srgbClr>
                  </w14:solidFill>
                </w14:textFill>
              </w:rPr>
              <w:t>|</w:t>
            </w:r>
            <w:r w:rsidR="003B2B2E" w:rsidRPr="00C617D0">
              <w:rPr>
                <w:rFonts w:cs="Arial"/>
                <w:szCs w:val="20"/>
                <w:vertAlign w:val="superscript"/>
              </w:rPr>
              <w:t>3</w:t>
            </w:r>
          </w:p>
        </w:tc>
        <w:tc>
          <w:tcPr>
            <w:tcW w:w="611" w:type="pct"/>
            <w:tcBorders>
              <w:top w:val="single" w:sz="4" w:space="0" w:color="auto"/>
              <w:left w:val="nil"/>
              <w:bottom w:val="single" w:sz="4" w:space="0" w:color="auto"/>
              <w:right w:val="single" w:sz="4" w:space="0" w:color="auto"/>
            </w:tcBorders>
            <w:shd w:val="clear" w:color="000000" w:fill="F2F2F2"/>
            <w:vAlign w:val="center"/>
          </w:tcPr>
          <w:p w14:paraId="750347F8" w14:textId="10F35B40" w:rsidR="00C935FE" w:rsidRPr="001F151D" w:rsidRDefault="00AD200A" w:rsidP="00C935FE">
            <w:pPr>
              <w:pStyle w:val="TableText0"/>
              <w:jc w:val="center"/>
              <w:rPr>
                <w:szCs w:val="20"/>
              </w:rPr>
            </w:pPr>
            <w:r w:rsidRPr="00AD200A">
              <w:rPr>
                <w:color w:val="000000"/>
                <w:spacing w:val="98"/>
                <w:szCs w:val="20"/>
                <w:shd w:val="solid" w:color="000000" w:fill="000000"/>
                <w:fitText w:val="184" w:id="-1304780785"/>
                <w14:textFill>
                  <w14:solidFill>
                    <w14:srgbClr w14:val="000000">
                      <w14:alpha w14:val="100000"/>
                    </w14:srgbClr>
                  </w14:solidFill>
                </w14:textFill>
              </w:rPr>
              <w:t>|</w:t>
            </w:r>
            <w:r w:rsidRPr="00AD200A">
              <w:rPr>
                <w:color w:val="000000"/>
                <w:szCs w:val="20"/>
                <w:shd w:val="solid" w:color="000000" w:fill="000000"/>
                <w:fitText w:val="184" w:id="-1304780785"/>
                <w14:textFill>
                  <w14:solidFill>
                    <w14:srgbClr w14:val="000000">
                      <w14:alpha w14:val="100000"/>
                    </w14:srgbClr>
                  </w14:solidFill>
                </w14:textFill>
              </w:rPr>
              <w:t>|</w:t>
            </w:r>
            <w:r w:rsidR="003B2B2E" w:rsidRPr="00C617D0">
              <w:rPr>
                <w:rFonts w:cs="Arial"/>
                <w:szCs w:val="20"/>
                <w:vertAlign w:val="superscript"/>
              </w:rPr>
              <w:t>3</w:t>
            </w:r>
          </w:p>
        </w:tc>
        <w:tc>
          <w:tcPr>
            <w:tcW w:w="611" w:type="pct"/>
            <w:tcBorders>
              <w:top w:val="single" w:sz="4" w:space="0" w:color="auto"/>
              <w:left w:val="nil"/>
              <w:bottom w:val="single" w:sz="4" w:space="0" w:color="auto"/>
              <w:right w:val="single" w:sz="4" w:space="0" w:color="auto"/>
            </w:tcBorders>
            <w:shd w:val="clear" w:color="000000" w:fill="F2F2F2"/>
            <w:vAlign w:val="center"/>
          </w:tcPr>
          <w:p w14:paraId="19ECDBD3" w14:textId="5A368FBA" w:rsidR="00C935FE" w:rsidRPr="001F151D" w:rsidRDefault="00AD200A" w:rsidP="00C935FE">
            <w:pPr>
              <w:pStyle w:val="TableText0"/>
              <w:jc w:val="center"/>
              <w:rPr>
                <w:szCs w:val="20"/>
              </w:rPr>
            </w:pPr>
            <w:r w:rsidRPr="00AD200A">
              <w:rPr>
                <w:color w:val="000000"/>
                <w:spacing w:val="98"/>
                <w:szCs w:val="20"/>
                <w:shd w:val="solid" w:color="000000" w:fill="000000"/>
                <w:fitText w:val="184" w:id="-1304780784"/>
                <w14:textFill>
                  <w14:solidFill>
                    <w14:srgbClr w14:val="000000">
                      <w14:alpha w14:val="100000"/>
                    </w14:srgbClr>
                  </w14:solidFill>
                </w14:textFill>
              </w:rPr>
              <w:t>|</w:t>
            </w:r>
            <w:r w:rsidRPr="00AD200A">
              <w:rPr>
                <w:color w:val="000000"/>
                <w:szCs w:val="20"/>
                <w:shd w:val="solid" w:color="000000" w:fill="000000"/>
                <w:fitText w:val="184" w:id="-1304780784"/>
                <w14:textFill>
                  <w14:solidFill>
                    <w14:srgbClr w14:val="000000">
                      <w14:alpha w14:val="100000"/>
                    </w14:srgbClr>
                  </w14:solidFill>
                </w14:textFill>
              </w:rPr>
              <w:t>|</w:t>
            </w:r>
            <w:r w:rsidR="003B2B2E" w:rsidRPr="00C617D0">
              <w:rPr>
                <w:rFonts w:cs="Arial"/>
                <w:szCs w:val="20"/>
                <w:vertAlign w:val="superscript"/>
              </w:rPr>
              <w:t>3</w:t>
            </w:r>
          </w:p>
        </w:tc>
        <w:tc>
          <w:tcPr>
            <w:tcW w:w="611" w:type="pct"/>
            <w:tcBorders>
              <w:top w:val="single" w:sz="4" w:space="0" w:color="auto"/>
              <w:left w:val="nil"/>
              <w:bottom w:val="single" w:sz="4" w:space="0" w:color="auto"/>
              <w:right w:val="single" w:sz="4" w:space="0" w:color="auto"/>
            </w:tcBorders>
            <w:shd w:val="clear" w:color="000000" w:fill="F2F2F2"/>
            <w:vAlign w:val="center"/>
          </w:tcPr>
          <w:p w14:paraId="2EB9E254" w14:textId="06D6F5E0" w:rsidR="00C935FE" w:rsidRPr="001F151D" w:rsidRDefault="00AD200A" w:rsidP="00C935FE">
            <w:pPr>
              <w:pStyle w:val="TableText0"/>
              <w:jc w:val="center"/>
              <w:rPr>
                <w:szCs w:val="20"/>
              </w:rPr>
            </w:pPr>
            <w:r w:rsidRPr="00AD200A">
              <w:rPr>
                <w:color w:val="000000"/>
                <w:spacing w:val="98"/>
                <w:szCs w:val="20"/>
                <w:shd w:val="solid" w:color="000000" w:fill="000000"/>
                <w:fitText w:val="184" w:id="-1304780800"/>
                <w14:textFill>
                  <w14:solidFill>
                    <w14:srgbClr w14:val="000000">
                      <w14:alpha w14:val="100000"/>
                    </w14:srgbClr>
                  </w14:solidFill>
                </w14:textFill>
              </w:rPr>
              <w:t>|</w:t>
            </w:r>
            <w:r w:rsidRPr="00AD200A">
              <w:rPr>
                <w:color w:val="000000"/>
                <w:szCs w:val="20"/>
                <w:shd w:val="solid" w:color="000000" w:fill="000000"/>
                <w:fitText w:val="184" w:id="-1304780800"/>
                <w14:textFill>
                  <w14:solidFill>
                    <w14:srgbClr w14:val="000000">
                      <w14:alpha w14:val="100000"/>
                    </w14:srgbClr>
                  </w14:solidFill>
                </w14:textFill>
              </w:rPr>
              <w:t>|</w:t>
            </w:r>
            <w:r w:rsidR="003B2B2E" w:rsidRPr="00C617D0">
              <w:rPr>
                <w:rFonts w:cs="Arial"/>
                <w:szCs w:val="20"/>
                <w:vertAlign w:val="superscript"/>
              </w:rPr>
              <w:t>3</w:t>
            </w:r>
          </w:p>
        </w:tc>
        <w:tc>
          <w:tcPr>
            <w:tcW w:w="612" w:type="pct"/>
            <w:tcBorders>
              <w:top w:val="single" w:sz="4" w:space="0" w:color="auto"/>
              <w:left w:val="nil"/>
              <w:bottom w:val="single" w:sz="4" w:space="0" w:color="auto"/>
              <w:right w:val="single" w:sz="4" w:space="0" w:color="auto"/>
            </w:tcBorders>
            <w:shd w:val="clear" w:color="000000" w:fill="F2F2F2"/>
            <w:vAlign w:val="center"/>
          </w:tcPr>
          <w:p w14:paraId="2C2C7E98" w14:textId="70312796" w:rsidR="00C935FE" w:rsidRPr="001F151D" w:rsidRDefault="00AD200A" w:rsidP="00C935FE">
            <w:pPr>
              <w:pStyle w:val="TableText0"/>
              <w:jc w:val="center"/>
              <w:rPr>
                <w:szCs w:val="20"/>
              </w:rPr>
            </w:pPr>
            <w:r w:rsidRPr="00AD200A">
              <w:rPr>
                <w:color w:val="000000"/>
                <w:spacing w:val="98"/>
                <w:szCs w:val="20"/>
                <w:shd w:val="solid" w:color="000000" w:fill="000000"/>
                <w:fitText w:val="184" w:id="-1304780799"/>
                <w14:textFill>
                  <w14:solidFill>
                    <w14:srgbClr w14:val="000000">
                      <w14:alpha w14:val="100000"/>
                    </w14:srgbClr>
                  </w14:solidFill>
                </w14:textFill>
              </w:rPr>
              <w:t>|</w:t>
            </w:r>
            <w:r w:rsidRPr="00AD200A">
              <w:rPr>
                <w:color w:val="000000"/>
                <w:szCs w:val="20"/>
                <w:shd w:val="solid" w:color="000000" w:fill="000000"/>
                <w:fitText w:val="184" w:id="-1304780799"/>
                <w14:textFill>
                  <w14:solidFill>
                    <w14:srgbClr w14:val="000000">
                      <w14:alpha w14:val="100000"/>
                    </w14:srgbClr>
                  </w14:solidFill>
                </w14:textFill>
              </w:rPr>
              <w:t>|</w:t>
            </w:r>
            <w:r w:rsidR="003B2B2E" w:rsidRPr="00C617D0">
              <w:rPr>
                <w:rFonts w:cs="Arial"/>
                <w:szCs w:val="20"/>
                <w:vertAlign w:val="superscript"/>
              </w:rPr>
              <w:t>3</w:t>
            </w:r>
          </w:p>
        </w:tc>
      </w:tr>
      <w:tr w:rsidR="00C935FE" w:rsidRPr="003639A6" w14:paraId="2D60849F" w14:textId="77777777" w:rsidTr="00C935FE">
        <w:tc>
          <w:tcPr>
            <w:tcW w:w="1333" w:type="pct"/>
          </w:tcPr>
          <w:p w14:paraId="46A86C7D" w14:textId="70622C0C" w:rsidR="00C935FE" w:rsidRPr="003639A6" w:rsidRDefault="00C935FE" w:rsidP="00C935FE">
            <w:pPr>
              <w:pStyle w:val="TableText0"/>
              <w:rPr>
                <w:sz w:val="19"/>
                <w:szCs w:val="19"/>
              </w:rPr>
            </w:pPr>
            <w:r>
              <w:rPr>
                <w:sz w:val="19"/>
                <w:szCs w:val="19"/>
              </w:rPr>
              <w:t>Net cost to health budget</w:t>
            </w:r>
            <w:r w:rsidR="003B2B2E">
              <w:t xml:space="preserve"> ($)</w:t>
            </w:r>
          </w:p>
        </w:tc>
        <w:tc>
          <w:tcPr>
            <w:tcW w:w="611" w:type="pct"/>
            <w:vAlign w:val="center"/>
          </w:tcPr>
          <w:p w14:paraId="4656D78B" w14:textId="4EC4C70D" w:rsidR="00C935FE" w:rsidRPr="001F151D" w:rsidRDefault="00AD200A" w:rsidP="00C935FE">
            <w:pPr>
              <w:pStyle w:val="TableText0"/>
              <w:jc w:val="center"/>
              <w:rPr>
                <w:szCs w:val="20"/>
              </w:rPr>
            </w:pPr>
            <w:r w:rsidRPr="00AD200A">
              <w:rPr>
                <w:color w:val="000000"/>
                <w:spacing w:val="98"/>
                <w:szCs w:val="20"/>
                <w:shd w:val="solid" w:color="000000" w:fill="000000"/>
                <w:fitText w:val="184" w:id="-1304780798"/>
                <w14:textFill>
                  <w14:solidFill>
                    <w14:srgbClr w14:val="000000">
                      <w14:alpha w14:val="100000"/>
                    </w14:srgbClr>
                  </w14:solidFill>
                </w14:textFill>
              </w:rPr>
              <w:t>|</w:t>
            </w:r>
            <w:r w:rsidRPr="00AD200A">
              <w:rPr>
                <w:color w:val="000000"/>
                <w:szCs w:val="20"/>
                <w:shd w:val="solid" w:color="000000" w:fill="000000"/>
                <w:fitText w:val="184" w:id="-1304780798"/>
                <w14:textFill>
                  <w14:solidFill>
                    <w14:srgbClr w14:val="000000">
                      <w14:alpha w14:val="100000"/>
                    </w14:srgbClr>
                  </w14:solidFill>
                </w14:textFill>
              </w:rPr>
              <w:t>|</w:t>
            </w:r>
            <w:r w:rsidR="003B2B2E" w:rsidRPr="00C617D0">
              <w:rPr>
                <w:rFonts w:cs="Arial"/>
                <w:szCs w:val="20"/>
                <w:vertAlign w:val="superscript"/>
              </w:rPr>
              <w:t>3</w:t>
            </w:r>
          </w:p>
        </w:tc>
        <w:tc>
          <w:tcPr>
            <w:tcW w:w="611" w:type="pct"/>
            <w:vAlign w:val="center"/>
          </w:tcPr>
          <w:p w14:paraId="0C97CB10" w14:textId="1C76A97A" w:rsidR="00C935FE" w:rsidRPr="001F151D" w:rsidRDefault="00AD200A" w:rsidP="00C935FE">
            <w:pPr>
              <w:pStyle w:val="TableText0"/>
              <w:jc w:val="center"/>
              <w:rPr>
                <w:szCs w:val="20"/>
              </w:rPr>
            </w:pPr>
            <w:r w:rsidRPr="00AD200A">
              <w:rPr>
                <w:color w:val="000000"/>
                <w:spacing w:val="98"/>
                <w:szCs w:val="20"/>
                <w:shd w:val="solid" w:color="000000" w:fill="000000"/>
                <w:fitText w:val="184" w:id="-1304780797"/>
                <w14:textFill>
                  <w14:solidFill>
                    <w14:srgbClr w14:val="000000">
                      <w14:alpha w14:val="100000"/>
                    </w14:srgbClr>
                  </w14:solidFill>
                </w14:textFill>
              </w:rPr>
              <w:t>|</w:t>
            </w:r>
            <w:r w:rsidRPr="00AD200A">
              <w:rPr>
                <w:color w:val="000000"/>
                <w:szCs w:val="20"/>
                <w:shd w:val="solid" w:color="000000" w:fill="000000"/>
                <w:fitText w:val="184" w:id="-1304780797"/>
                <w14:textFill>
                  <w14:solidFill>
                    <w14:srgbClr w14:val="000000">
                      <w14:alpha w14:val="100000"/>
                    </w14:srgbClr>
                  </w14:solidFill>
                </w14:textFill>
              </w:rPr>
              <w:t>|</w:t>
            </w:r>
            <w:r w:rsidR="003B2B2E" w:rsidRPr="00C617D0">
              <w:rPr>
                <w:rFonts w:cs="Arial"/>
                <w:szCs w:val="20"/>
                <w:vertAlign w:val="superscript"/>
              </w:rPr>
              <w:t>3</w:t>
            </w:r>
          </w:p>
        </w:tc>
        <w:tc>
          <w:tcPr>
            <w:tcW w:w="611" w:type="pct"/>
            <w:vAlign w:val="center"/>
          </w:tcPr>
          <w:p w14:paraId="3655D6F1" w14:textId="6B4438B9" w:rsidR="00C935FE" w:rsidRPr="001F151D" w:rsidRDefault="00AD200A" w:rsidP="00C935FE">
            <w:pPr>
              <w:pStyle w:val="TableText0"/>
              <w:jc w:val="center"/>
              <w:rPr>
                <w:szCs w:val="20"/>
              </w:rPr>
            </w:pPr>
            <w:r w:rsidRPr="00AD200A">
              <w:rPr>
                <w:color w:val="000000"/>
                <w:spacing w:val="98"/>
                <w:szCs w:val="20"/>
                <w:shd w:val="solid" w:color="000000" w:fill="000000"/>
                <w:fitText w:val="184" w:id="-1304780796"/>
                <w14:textFill>
                  <w14:solidFill>
                    <w14:srgbClr w14:val="000000">
                      <w14:alpha w14:val="100000"/>
                    </w14:srgbClr>
                  </w14:solidFill>
                </w14:textFill>
              </w:rPr>
              <w:t>|</w:t>
            </w:r>
            <w:r w:rsidRPr="00AD200A">
              <w:rPr>
                <w:color w:val="000000"/>
                <w:szCs w:val="20"/>
                <w:shd w:val="solid" w:color="000000" w:fill="000000"/>
                <w:fitText w:val="184" w:id="-1304780796"/>
                <w14:textFill>
                  <w14:solidFill>
                    <w14:srgbClr w14:val="000000">
                      <w14:alpha w14:val="100000"/>
                    </w14:srgbClr>
                  </w14:solidFill>
                </w14:textFill>
              </w:rPr>
              <w:t>|</w:t>
            </w:r>
            <w:r w:rsidR="003B2B2E" w:rsidRPr="00C617D0">
              <w:rPr>
                <w:rFonts w:cs="Arial"/>
                <w:szCs w:val="20"/>
                <w:vertAlign w:val="superscript"/>
              </w:rPr>
              <w:t>3</w:t>
            </w:r>
          </w:p>
        </w:tc>
        <w:tc>
          <w:tcPr>
            <w:tcW w:w="611" w:type="pct"/>
            <w:vAlign w:val="center"/>
          </w:tcPr>
          <w:p w14:paraId="1623A2E3" w14:textId="5F6255F2" w:rsidR="00C935FE" w:rsidRPr="001F151D" w:rsidRDefault="00AD200A" w:rsidP="00C935FE">
            <w:pPr>
              <w:pStyle w:val="TableText0"/>
              <w:jc w:val="center"/>
              <w:rPr>
                <w:szCs w:val="20"/>
              </w:rPr>
            </w:pPr>
            <w:r w:rsidRPr="00AD200A">
              <w:rPr>
                <w:color w:val="000000"/>
                <w:spacing w:val="98"/>
                <w:szCs w:val="20"/>
                <w:shd w:val="solid" w:color="000000" w:fill="000000"/>
                <w:fitText w:val="184" w:id="-1304780795"/>
                <w14:textFill>
                  <w14:solidFill>
                    <w14:srgbClr w14:val="000000">
                      <w14:alpha w14:val="100000"/>
                    </w14:srgbClr>
                  </w14:solidFill>
                </w14:textFill>
              </w:rPr>
              <w:t>|</w:t>
            </w:r>
            <w:r w:rsidRPr="00AD200A">
              <w:rPr>
                <w:color w:val="000000"/>
                <w:szCs w:val="20"/>
                <w:shd w:val="solid" w:color="000000" w:fill="000000"/>
                <w:fitText w:val="184" w:id="-1304780795"/>
                <w14:textFill>
                  <w14:solidFill>
                    <w14:srgbClr w14:val="000000">
                      <w14:alpha w14:val="100000"/>
                    </w14:srgbClr>
                  </w14:solidFill>
                </w14:textFill>
              </w:rPr>
              <w:t>|</w:t>
            </w:r>
            <w:r w:rsidR="003B2B2E" w:rsidRPr="00C617D0">
              <w:rPr>
                <w:rFonts w:cs="Arial"/>
                <w:szCs w:val="20"/>
                <w:vertAlign w:val="superscript"/>
              </w:rPr>
              <w:t>3</w:t>
            </w:r>
          </w:p>
        </w:tc>
        <w:tc>
          <w:tcPr>
            <w:tcW w:w="611" w:type="pct"/>
            <w:vAlign w:val="center"/>
          </w:tcPr>
          <w:p w14:paraId="702C8EF1" w14:textId="308260E0" w:rsidR="00C935FE" w:rsidRPr="001F151D" w:rsidRDefault="00AD200A" w:rsidP="00C935FE">
            <w:pPr>
              <w:pStyle w:val="TableText0"/>
              <w:jc w:val="center"/>
              <w:rPr>
                <w:szCs w:val="20"/>
              </w:rPr>
            </w:pPr>
            <w:r w:rsidRPr="00AD200A">
              <w:rPr>
                <w:color w:val="000000"/>
                <w:spacing w:val="98"/>
                <w:szCs w:val="20"/>
                <w:shd w:val="solid" w:color="000000" w:fill="000000"/>
                <w:fitText w:val="184" w:id="-1304780794"/>
                <w14:textFill>
                  <w14:solidFill>
                    <w14:srgbClr w14:val="000000">
                      <w14:alpha w14:val="100000"/>
                    </w14:srgbClr>
                  </w14:solidFill>
                </w14:textFill>
              </w:rPr>
              <w:t>|</w:t>
            </w:r>
            <w:r w:rsidRPr="00AD200A">
              <w:rPr>
                <w:color w:val="000000"/>
                <w:szCs w:val="20"/>
                <w:shd w:val="solid" w:color="000000" w:fill="000000"/>
                <w:fitText w:val="184" w:id="-1304780794"/>
                <w14:textFill>
                  <w14:solidFill>
                    <w14:srgbClr w14:val="000000">
                      <w14:alpha w14:val="100000"/>
                    </w14:srgbClr>
                  </w14:solidFill>
                </w14:textFill>
              </w:rPr>
              <w:t>|</w:t>
            </w:r>
            <w:r w:rsidR="003B2B2E" w:rsidRPr="00C617D0">
              <w:rPr>
                <w:rFonts w:cs="Arial"/>
                <w:szCs w:val="20"/>
                <w:vertAlign w:val="superscript"/>
              </w:rPr>
              <w:t>3</w:t>
            </w:r>
          </w:p>
        </w:tc>
        <w:tc>
          <w:tcPr>
            <w:tcW w:w="612" w:type="pct"/>
            <w:vAlign w:val="center"/>
          </w:tcPr>
          <w:p w14:paraId="7874A164" w14:textId="1747EFC4" w:rsidR="00C935FE" w:rsidRPr="001F151D" w:rsidRDefault="00AD200A" w:rsidP="00C935FE">
            <w:pPr>
              <w:pStyle w:val="TableText0"/>
              <w:jc w:val="center"/>
              <w:rPr>
                <w:szCs w:val="20"/>
              </w:rPr>
            </w:pPr>
            <w:r w:rsidRPr="00AD200A">
              <w:rPr>
                <w:color w:val="000000"/>
                <w:spacing w:val="98"/>
                <w:szCs w:val="20"/>
                <w:shd w:val="solid" w:color="000000" w:fill="000000"/>
                <w:fitText w:val="184" w:id="-1304780793"/>
                <w14:textFill>
                  <w14:solidFill>
                    <w14:srgbClr w14:val="000000">
                      <w14:alpha w14:val="100000"/>
                    </w14:srgbClr>
                  </w14:solidFill>
                </w14:textFill>
              </w:rPr>
              <w:t>|</w:t>
            </w:r>
            <w:r w:rsidRPr="00AD200A">
              <w:rPr>
                <w:color w:val="000000"/>
                <w:szCs w:val="20"/>
                <w:shd w:val="solid" w:color="000000" w:fill="000000"/>
                <w:fitText w:val="184" w:id="-1304780793"/>
                <w14:textFill>
                  <w14:solidFill>
                    <w14:srgbClr w14:val="000000">
                      <w14:alpha w14:val="100000"/>
                    </w14:srgbClr>
                  </w14:solidFill>
                </w14:textFill>
              </w:rPr>
              <w:t>|</w:t>
            </w:r>
            <w:r w:rsidR="003B2B2E" w:rsidRPr="00C617D0">
              <w:rPr>
                <w:rFonts w:cs="Arial"/>
                <w:szCs w:val="20"/>
                <w:vertAlign w:val="superscript"/>
              </w:rPr>
              <w:t>3</w:t>
            </w:r>
          </w:p>
        </w:tc>
      </w:tr>
    </w:tbl>
    <w:p w14:paraId="3C2F760F" w14:textId="77777777" w:rsidR="003B2B2E" w:rsidRPr="009A6D58" w:rsidRDefault="003B2B2E" w:rsidP="003B2B2E">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58A21402" w14:textId="77777777" w:rsidR="003B2B2E" w:rsidRPr="003B2B2E" w:rsidRDefault="003B2B2E" w:rsidP="003B2B2E">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3B2B2E">
        <w:rPr>
          <w:rFonts w:ascii="Arial Narrow" w:hAnsi="Arial Narrow" w:cs="Arial"/>
          <w:i/>
          <w:sz w:val="18"/>
          <w:szCs w:val="18"/>
        </w:rPr>
        <w:t>&lt; 500</w:t>
      </w:r>
    </w:p>
    <w:p w14:paraId="7FD74424" w14:textId="0086CC49" w:rsidR="003B2B2E" w:rsidRPr="009A6D58" w:rsidRDefault="003B2B2E" w:rsidP="003B2B2E">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3B2B2E">
        <w:rPr>
          <w:rFonts w:ascii="Arial Narrow" w:hAnsi="Arial Narrow" w:cs="Arial"/>
          <w:i/>
          <w:sz w:val="18"/>
          <w:szCs w:val="18"/>
        </w:rPr>
        <w:t>$0 to &lt; $10 million</w:t>
      </w:r>
    </w:p>
    <w:p w14:paraId="4A4A0496" w14:textId="419E6B5E" w:rsidR="008756AA" w:rsidRPr="00AD200A" w:rsidRDefault="003B2B2E" w:rsidP="00AD200A">
      <w:pPr>
        <w:spacing w:after="120"/>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net cost saving</w:t>
      </w:r>
    </w:p>
    <w:p w14:paraId="0107F481" w14:textId="3C28D96D" w:rsidR="00AC26FF" w:rsidRPr="00401F8B" w:rsidRDefault="007612A7" w:rsidP="00AC26FF">
      <w:pPr>
        <w:pStyle w:val="3Bodytext"/>
      </w:pPr>
      <w:r>
        <w:t xml:space="preserve">The </w:t>
      </w:r>
      <w:r w:rsidR="00E719A4" w:rsidRPr="00401F8B">
        <w:t xml:space="preserve">submission estimated the listing of IFX SC loading doses on the PBS/ RPBS would be cost saving. </w:t>
      </w:r>
      <w:r w:rsidR="00B90289" w:rsidRPr="00401F8B">
        <w:t>This assumes</w:t>
      </w:r>
      <w:r w:rsidR="00FF7BCD" w:rsidRPr="00401F8B">
        <w:t xml:space="preserve"> only</w:t>
      </w:r>
      <w:r w:rsidR="00B90289" w:rsidRPr="00401F8B">
        <w:t xml:space="preserve"> substitution of IFX IV</w:t>
      </w:r>
      <w:r w:rsidR="0032322E" w:rsidRPr="00401F8B">
        <w:t xml:space="preserve"> induction doses</w:t>
      </w:r>
      <w:r w:rsidR="00B90289" w:rsidRPr="00401F8B">
        <w:t>.</w:t>
      </w:r>
      <w:r w:rsidR="00E719A4" w:rsidRPr="00401F8B">
        <w:t xml:space="preserve"> </w:t>
      </w:r>
    </w:p>
    <w:p w14:paraId="51483FE6" w14:textId="0F51C86B" w:rsidR="00E719A4" w:rsidRDefault="00E719A4" w:rsidP="003B48FF">
      <w:pPr>
        <w:pStyle w:val="3Bodytext"/>
      </w:pPr>
      <w:r w:rsidRPr="00401F8B">
        <w:t xml:space="preserve">The submission also </w:t>
      </w:r>
      <w:r w:rsidR="009F3E59" w:rsidRPr="00401F8B">
        <w:t>provided an estimate of the financial consequences of all IFX SC use in maintenance (across all indications) being dispensed using different supply chain costs which flow from the proposed change to the EMP to reflect the supply chain cost savings. The Secretariat note</w:t>
      </w:r>
      <w:r w:rsidR="00CB7B92" w:rsidRPr="00401F8B">
        <w:t>d</w:t>
      </w:r>
      <w:r w:rsidR="009F3E59" w:rsidRPr="00401F8B">
        <w:t xml:space="preserve"> the net cost of this was zero as the DPMQ for continuing scripts remained unchanged (</w:t>
      </w:r>
      <w:r w:rsidR="0076423E" w:rsidRPr="00401F8B">
        <w:t>$758.</w:t>
      </w:r>
      <w:r w:rsidR="00860836" w:rsidRPr="00401F8B">
        <w:t>5</w:t>
      </w:r>
      <w:r w:rsidR="00860836">
        <w:t>8</w:t>
      </w:r>
      <w:r w:rsidR="0076423E" w:rsidRPr="00401F8B">
        <w:t xml:space="preserve">, </w:t>
      </w:r>
      <w:r w:rsidR="009F3E59" w:rsidRPr="00401F8B">
        <w:t xml:space="preserve">see </w:t>
      </w:r>
      <w:r w:rsidR="009F3E59" w:rsidRPr="00401F8B">
        <w:fldChar w:fldCharType="begin"/>
      </w:r>
      <w:r w:rsidR="009F3E59" w:rsidRPr="00401F8B">
        <w:instrText xml:space="preserve"> REF _Ref115353520 \h  \* MERGEFORMAT </w:instrText>
      </w:r>
      <w:r w:rsidR="009F3E59" w:rsidRPr="00401F8B">
        <w:fldChar w:fldCharType="separate"/>
      </w:r>
      <w:r w:rsidR="007C2102" w:rsidRPr="007C2102">
        <w:t xml:space="preserve">Table </w:t>
      </w:r>
      <w:r w:rsidR="009F3E59" w:rsidRPr="00401F8B">
        <w:fldChar w:fldCharType="end"/>
      </w:r>
      <w:r w:rsidR="009F3E59" w:rsidRPr="00401F8B">
        <w:t>).</w:t>
      </w:r>
    </w:p>
    <w:p w14:paraId="1430C25F" w14:textId="314FA50C" w:rsidR="003B48FF" w:rsidRPr="00401F8B" w:rsidRDefault="003B48FF" w:rsidP="003B48FF">
      <w:pPr>
        <w:ind w:firstLine="709"/>
      </w:pPr>
      <w:r w:rsidRPr="00C33D30">
        <w:rPr>
          <w:rFonts w:asciiTheme="minorHAnsi" w:hAnsiTheme="minorHAnsi"/>
          <w:i/>
        </w:rPr>
        <w:t xml:space="preserve">For more detail on PBAC’s view, see section </w:t>
      </w:r>
      <w:r>
        <w:rPr>
          <w:rFonts w:asciiTheme="minorHAnsi" w:hAnsiTheme="minorHAnsi"/>
          <w:i/>
        </w:rPr>
        <w:t>6</w:t>
      </w:r>
      <w:r w:rsidRPr="00C33D30">
        <w:rPr>
          <w:rFonts w:asciiTheme="minorHAnsi" w:hAnsiTheme="minorHAnsi"/>
          <w:i/>
        </w:rPr>
        <w:t xml:space="preserve"> PBAC outcome.</w:t>
      </w:r>
    </w:p>
    <w:p w14:paraId="0301D851" w14:textId="77777777" w:rsidR="00F25F54" w:rsidRPr="00F25F54" w:rsidRDefault="00F25F54" w:rsidP="00F25F54">
      <w:pPr>
        <w:pStyle w:val="Heading1"/>
        <w:keepLines/>
        <w:numPr>
          <w:ilvl w:val="0"/>
          <w:numId w:val="2"/>
        </w:numPr>
        <w:spacing w:before="240"/>
        <w:ind w:left="709" w:hanging="709"/>
        <w:rPr>
          <w:sz w:val="32"/>
          <w:szCs w:val="32"/>
        </w:rPr>
      </w:pPr>
      <w:bookmarkStart w:id="18" w:name="_Hlk76381249"/>
      <w:bookmarkStart w:id="19" w:name="_Hlk76377955"/>
      <w:r w:rsidRPr="00F25F54">
        <w:rPr>
          <w:sz w:val="32"/>
          <w:szCs w:val="32"/>
        </w:rPr>
        <w:t>PBAC Outcome</w:t>
      </w:r>
    </w:p>
    <w:p w14:paraId="659B7E24" w14:textId="07D50036" w:rsidR="00F25F54" w:rsidRPr="00CE42B4" w:rsidRDefault="00F25F54" w:rsidP="00F25F54">
      <w:pPr>
        <w:widowControl w:val="0"/>
        <w:numPr>
          <w:ilvl w:val="1"/>
          <w:numId w:val="2"/>
        </w:numPr>
        <w:spacing w:after="120"/>
        <w:rPr>
          <w:rFonts w:asciiTheme="minorHAnsi" w:hAnsiTheme="minorHAnsi" w:cs="Arial"/>
          <w:snapToGrid w:val="0"/>
          <w:lang w:val="en-GB"/>
        </w:rPr>
      </w:pPr>
      <w:r w:rsidRPr="00CE42B4">
        <w:rPr>
          <w:rFonts w:asciiTheme="minorHAnsi" w:hAnsiTheme="minorHAnsi" w:cs="Arial"/>
          <w:snapToGrid w:val="0"/>
          <w:lang w:val="en-GB"/>
        </w:rPr>
        <w:t xml:space="preserve">The PBAC recommended </w:t>
      </w:r>
      <w:r w:rsidR="006923F5" w:rsidRPr="006923F5">
        <w:rPr>
          <w:rFonts w:asciiTheme="minorHAnsi" w:hAnsiTheme="minorHAnsi" w:cs="Arial"/>
          <w:snapToGrid w:val="0"/>
          <w:lang w:val="en-GB"/>
        </w:rPr>
        <w:t>a new Authority Required</w:t>
      </w:r>
      <w:r w:rsidR="00120FE3">
        <w:rPr>
          <w:rFonts w:asciiTheme="minorHAnsi" w:hAnsiTheme="minorHAnsi" w:cs="Arial"/>
          <w:snapToGrid w:val="0"/>
          <w:lang w:val="en-GB"/>
        </w:rPr>
        <w:t xml:space="preserve"> listing that provides </w:t>
      </w:r>
      <w:r w:rsidR="00A67ED4">
        <w:rPr>
          <w:rFonts w:asciiTheme="minorHAnsi" w:hAnsiTheme="minorHAnsi" w:cs="Arial"/>
          <w:snapToGrid w:val="0"/>
          <w:lang w:val="en-GB"/>
        </w:rPr>
        <w:t>loading</w:t>
      </w:r>
      <w:r w:rsidR="00A67ED4" w:rsidRPr="006923F5">
        <w:rPr>
          <w:rFonts w:asciiTheme="minorHAnsi" w:hAnsiTheme="minorHAnsi" w:cs="Arial"/>
          <w:snapToGrid w:val="0"/>
          <w:lang w:val="en-GB"/>
        </w:rPr>
        <w:t xml:space="preserve"> </w:t>
      </w:r>
      <w:r w:rsidR="006923F5" w:rsidRPr="006923F5">
        <w:rPr>
          <w:rFonts w:asciiTheme="minorHAnsi" w:hAnsiTheme="minorHAnsi" w:cs="Arial"/>
          <w:snapToGrid w:val="0"/>
          <w:lang w:val="en-GB"/>
        </w:rPr>
        <w:t>dos</w:t>
      </w:r>
      <w:r w:rsidR="00A67ED4">
        <w:rPr>
          <w:rFonts w:asciiTheme="minorHAnsi" w:hAnsiTheme="minorHAnsi" w:cs="Arial"/>
          <w:snapToGrid w:val="0"/>
          <w:lang w:val="en-GB"/>
        </w:rPr>
        <w:t>e</w:t>
      </w:r>
      <w:r w:rsidR="00120FE3">
        <w:rPr>
          <w:rFonts w:asciiTheme="minorHAnsi" w:hAnsiTheme="minorHAnsi" w:cs="Arial"/>
          <w:snapToGrid w:val="0"/>
          <w:lang w:val="en-GB"/>
        </w:rPr>
        <w:t>s</w:t>
      </w:r>
      <w:r w:rsidR="006923F5" w:rsidRPr="006923F5">
        <w:rPr>
          <w:rFonts w:asciiTheme="minorHAnsi" w:hAnsiTheme="minorHAnsi" w:cs="Arial"/>
          <w:snapToGrid w:val="0"/>
          <w:lang w:val="en-GB"/>
        </w:rPr>
        <w:t xml:space="preserve"> for infliximab (Remsima® SC) for the treatment of severe active rheumatoid arthritis (RA) whereby 120 mg is given subcutaneously at weeks 0, 1, 2, 3 and 4 (herein referred to as IFX SC loading doses), and then every 2 weeks thereafter</w:t>
      </w:r>
      <w:r w:rsidRPr="00CE42B4">
        <w:rPr>
          <w:rFonts w:asciiTheme="minorHAnsi" w:hAnsiTheme="minorHAnsi" w:cs="Arial"/>
          <w:snapToGrid w:val="0"/>
          <w:lang w:val="en-GB"/>
        </w:rPr>
        <w:t>.</w:t>
      </w:r>
    </w:p>
    <w:p w14:paraId="340408F7" w14:textId="5BC0146E" w:rsidR="00095DCF" w:rsidRDefault="00095DCF" w:rsidP="00095DCF">
      <w:pPr>
        <w:pStyle w:val="3Bodytext"/>
        <w:rPr>
          <w:i/>
        </w:rPr>
      </w:pPr>
      <w:r w:rsidRPr="000B44C3">
        <w:t>The</w:t>
      </w:r>
      <w:r>
        <w:t xml:space="preserve"> PBAC accepted</w:t>
      </w:r>
      <w:r w:rsidRPr="000B44C3">
        <w:t xml:space="preserve"> </w:t>
      </w:r>
      <w:r w:rsidRPr="00401F8B">
        <w:t>infliximab IV induction as the main comparator</w:t>
      </w:r>
      <w:r>
        <w:t xml:space="preserve">, though noted that </w:t>
      </w:r>
      <w:r w:rsidRPr="00401F8B">
        <w:t>without the requirement of IFX IV induction doses</w:t>
      </w:r>
      <w:r w:rsidR="00705A6B">
        <w:t>, IFX SC may replace any of the currently listed alternative therapies</w:t>
      </w:r>
      <w:r w:rsidR="004079F9">
        <w:t xml:space="preserve"> (as outlined in paragraph </w:t>
      </w:r>
      <w:r w:rsidR="004079F9">
        <w:fldChar w:fldCharType="begin"/>
      </w:r>
      <w:r w:rsidR="004079F9">
        <w:instrText xml:space="preserve"> REF _Ref119478749 \r \h </w:instrText>
      </w:r>
      <w:r w:rsidR="004079F9">
        <w:fldChar w:fldCharType="separate"/>
      </w:r>
      <w:r w:rsidR="007C2102">
        <w:t>4.3</w:t>
      </w:r>
      <w:r w:rsidR="004079F9">
        <w:fldChar w:fldCharType="end"/>
      </w:r>
      <w:r w:rsidR="004079F9">
        <w:t>)</w:t>
      </w:r>
      <w:r w:rsidR="00705A6B">
        <w:t>.</w:t>
      </w:r>
      <w:r w:rsidRPr="0094107A">
        <w:rPr>
          <w:i/>
        </w:rPr>
        <w:t xml:space="preserve"> </w:t>
      </w:r>
    </w:p>
    <w:p w14:paraId="0E8E0AB8" w14:textId="4F83B422" w:rsidR="00DB618E" w:rsidRPr="00437392" w:rsidRDefault="00DB618E" w:rsidP="00DB618E">
      <w:pPr>
        <w:pStyle w:val="3Bodytext"/>
        <w:rPr>
          <w:rFonts w:eastAsia="Times New Roman" w:cs="Arial"/>
          <w:snapToGrid w:val="0"/>
          <w:szCs w:val="24"/>
          <w:lang w:val="en-GB"/>
        </w:rPr>
      </w:pPr>
      <w:r>
        <w:rPr>
          <w:rFonts w:eastAsia="Times New Roman" w:cs="Arial"/>
          <w:snapToGrid w:val="0"/>
          <w:szCs w:val="24"/>
          <w:lang w:val="en-GB"/>
        </w:rPr>
        <w:t xml:space="preserve">The PBAC noted </w:t>
      </w:r>
      <w:r w:rsidRPr="00437392">
        <w:rPr>
          <w:rFonts w:eastAsia="Times New Roman" w:cs="Arial"/>
          <w:snapToGrid w:val="0"/>
          <w:szCs w:val="24"/>
          <w:lang w:val="en-GB"/>
        </w:rPr>
        <w:t xml:space="preserve">the TGA </w:t>
      </w:r>
      <w:r>
        <w:rPr>
          <w:rFonts w:eastAsia="Times New Roman" w:cs="Arial"/>
          <w:snapToGrid w:val="0"/>
          <w:szCs w:val="24"/>
          <w:lang w:val="en-GB"/>
        </w:rPr>
        <w:t>approval to administer</w:t>
      </w:r>
      <w:r w:rsidRPr="00437392">
        <w:rPr>
          <w:rFonts w:eastAsia="Times New Roman" w:cs="Arial"/>
          <w:snapToGrid w:val="0"/>
          <w:szCs w:val="24"/>
          <w:lang w:val="en-GB"/>
        </w:rPr>
        <w:t xml:space="preserve"> IFX SC without </w:t>
      </w:r>
      <w:r>
        <w:rPr>
          <w:rFonts w:eastAsia="Times New Roman" w:cs="Arial"/>
          <w:snapToGrid w:val="0"/>
          <w:szCs w:val="24"/>
          <w:lang w:val="en-GB"/>
        </w:rPr>
        <w:t xml:space="preserve">IFX </w:t>
      </w:r>
      <w:r w:rsidRPr="00437392">
        <w:rPr>
          <w:rFonts w:eastAsia="Times New Roman" w:cs="Arial"/>
          <w:snapToGrid w:val="0"/>
          <w:szCs w:val="24"/>
          <w:lang w:val="en-GB"/>
        </w:rPr>
        <w:t>IV induction</w:t>
      </w:r>
      <w:r>
        <w:rPr>
          <w:rFonts w:eastAsia="Times New Roman" w:cs="Arial"/>
          <w:snapToGrid w:val="0"/>
          <w:szCs w:val="24"/>
          <w:lang w:val="en-GB"/>
        </w:rPr>
        <w:t xml:space="preserve"> </w:t>
      </w:r>
      <w:r w:rsidR="007C4C37">
        <w:rPr>
          <w:rFonts w:eastAsia="Times New Roman" w:cs="Arial"/>
          <w:snapToGrid w:val="0"/>
          <w:szCs w:val="24"/>
          <w:lang w:val="en-GB"/>
        </w:rPr>
        <w:t xml:space="preserve">for RA </w:t>
      </w:r>
      <w:r>
        <w:rPr>
          <w:rFonts w:eastAsia="Times New Roman" w:cs="Arial"/>
          <w:snapToGrid w:val="0"/>
          <w:szCs w:val="24"/>
          <w:lang w:val="en-GB"/>
        </w:rPr>
        <w:t xml:space="preserve">based on similar infliximab exposures over 14 weeks and </w:t>
      </w:r>
      <w:r w:rsidRPr="00437392">
        <w:rPr>
          <w:rFonts w:eastAsia="Times New Roman" w:cs="Arial"/>
          <w:snapToGrid w:val="0"/>
          <w:szCs w:val="24"/>
          <w:lang w:val="en-GB"/>
        </w:rPr>
        <w:t xml:space="preserve">considered that the claim of non-inferior comparative effectiveness and safety was </w:t>
      </w:r>
      <w:r>
        <w:rPr>
          <w:rFonts w:eastAsia="Times New Roman" w:cs="Arial"/>
          <w:snapToGrid w:val="0"/>
          <w:szCs w:val="24"/>
          <w:lang w:val="en-GB"/>
        </w:rPr>
        <w:t xml:space="preserve">likely to be </w:t>
      </w:r>
      <w:r w:rsidRPr="00437392">
        <w:rPr>
          <w:rFonts w:eastAsia="Times New Roman" w:cs="Arial"/>
          <w:snapToGrid w:val="0"/>
          <w:szCs w:val="24"/>
          <w:lang w:val="en-GB"/>
        </w:rPr>
        <w:t>reasonable.</w:t>
      </w:r>
      <w:r>
        <w:rPr>
          <w:rFonts w:eastAsia="Times New Roman" w:cs="Arial"/>
          <w:snapToGrid w:val="0"/>
          <w:szCs w:val="24"/>
          <w:lang w:val="en-GB"/>
        </w:rPr>
        <w:t xml:space="preserve"> The PBAC noted no clinical data was provided to support IFX SC providing a significant improvement in efficacy or reduction in toxicity over any of the alternative therapies. </w:t>
      </w:r>
    </w:p>
    <w:p w14:paraId="7462FF92" w14:textId="6D427303" w:rsidR="00705A6B" w:rsidRPr="00705A6B" w:rsidRDefault="00095DCF" w:rsidP="00705A6B">
      <w:pPr>
        <w:pStyle w:val="3Bodytext"/>
        <w:rPr>
          <w:iCs/>
        </w:rPr>
      </w:pPr>
      <w:r w:rsidRPr="00095DCF">
        <w:t>The PBAC recommended</w:t>
      </w:r>
      <w:r>
        <w:t xml:space="preserve"> listing</w:t>
      </w:r>
      <w:r w:rsidRPr="00095DCF">
        <w:t xml:space="preserve"> on a cost minimisation basis with the lowest cost alternative treatment, calculated over 2 years at the </w:t>
      </w:r>
      <w:r w:rsidR="00A07459">
        <w:t>ex-manufacturer price</w:t>
      </w:r>
      <w:r w:rsidRPr="00095DCF">
        <w:t xml:space="preserve"> (consistent with the established approach for bDMDs).</w:t>
      </w:r>
      <w:r w:rsidR="00705A6B">
        <w:t xml:space="preserve"> </w:t>
      </w:r>
      <w:r w:rsidR="00705A6B" w:rsidRPr="00705A6B">
        <w:rPr>
          <w:iCs/>
        </w:rPr>
        <w:t xml:space="preserve">The PBAC considered the equi-effective doses of </w:t>
      </w:r>
      <w:r w:rsidR="00705A6B">
        <w:rPr>
          <w:iCs/>
        </w:rPr>
        <w:t xml:space="preserve">IFX SC </w:t>
      </w:r>
      <w:r w:rsidR="00705A6B" w:rsidRPr="00705A6B">
        <w:rPr>
          <w:iCs/>
        </w:rPr>
        <w:t>and the alternative therapies could be derived with reference to the therapeutic relativity sheets and relevant Product Information documents</w:t>
      </w:r>
      <w:r w:rsidR="00705A6B">
        <w:rPr>
          <w:iCs/>
        </w:rPr>
        <w:t xml:space="preserve">. </w:t>
      </w:r>
    </w:p>
    <w:p w14:paraId="2C722D19" w14:textId="25A24708" w:rsidR="00F25F54" w:rsidRPr="00CE42B4" w:rsidRDefault="003D7465" w:rsidP="003D7465">
      <w:pPr>
        <w:pStyle w:val="3Bodytext"/>
        <w:rPr>
          <w:lang w:val="en-GB"/>
        </w:rPr>
      </w:pPr>
      <w:r>
        <w:rPr>
          <w:rFonts w:cs="Arial"/>
          <w:snapToGrid w:val="0"/>
          <w:lang w:val="en-GB"/>
        </w:rPr>
        <w:t xml:space="preserve">The </w:t>
      </w:r>
      <w:r w:rsidRPr="003D7465">
        <w:t>PBAC</w:t>
      </w:r>
      <w:r>
        <w:rPr>
          <w:rFonts w:cs="Arial"/>
          <w:snapToGrid w:val="0"/>
          <w:lang w:val="en-GB"/>
        </w:rPr>
        <w:t xml:space="preserve"> recommended listing with a maximum quantity of 3 with 3 repeats</w:t>
      </w:r>
      <w:r w:rsidR="00A07459">
        <w:rPr>
          <w:rFonts w:cs="Arial"/>
          <w:snapToGrid w:val="0"/>
          <w:lang w:val="en-GB"/>
        </w:rPr>
        <w:t>, which will provide 20 weeks of initial treatment</w:t>
      </w:r>
      <w:r>
        <w:rPr>
          <w:rFonts w:cs="Arial"/>
          <w:snapToGrid w:val="0"/>
          <w:lang w:val="en-GB"/>
        </w:rPr>
        <w:t xml:space="preserve">. </w:t>
      </w:r>
    </w:p>
    <w:p w14:paraId="3A64E7FC" w14:textId="0C56E515" w:rsidR="00F25F54" w:rsidRPr="00CE42B4" w:rsidRDefault="00705A6B" w:rsidP="00120FE3">
      <w:pPr>
        <w:pStyle w:val="3Bodytext"/>
      </w:pPr>
      <w:r>
        <w:t xml:space="preserve">The PBAC noted that, with a recommendation to list on the basis of cost minimisation to the lowest cost alternative, </w:t>
      </w:r>
      <w:r w:rsidRPr="00860836">
        <w:t xml:space="preserve">the listing of </w:t>
      </w:r>
      <w:r>
        <w:t>IFX SC loading doses</w:t>
      </w:r>
      <w:r w:rsidRPr="00860836">
        <w:t xml:space="preserve"> would likely be cost neutral to the PBS or result in a modest net save as it will predominantly replace therapies that are either of equivalent cost or more expensive.</w:t>
      </w:r>
    </w:p>
    <w:p w14:paraId="45064378" w14:textId="4B2AD3CE" w:rsidR="00F25F54" w:rsidRDefault="00036511" w:rsidP="00F25F54">
      <w:pPr>
        <w:widowControl w:val="0"/>
        <w:numPr>
          <w:ilvl w:val="1"/>
          <w:numId w:val="2"/>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recommended flow-ons to the </w:t>
      </w:r>
      <w:r w:rsidR="002E53CB">
        <w:rPr>
          <w:rFonts w:asciiTheme="minorHAnsi" w:hAnsiTheme="minorHAnsi" w:cs="Arial"/>
          <w:bCs/>
          <w:snapToGrid w:val="0"/>
          <w:lang w:val="en-GB"/>
        </w:rPr>
        <w:t>existing infliximab SC balance of supply listing</w:t>
      </w:r>
      <w:r w:rsidR="00F25F54" w:rsidRPr="00525B39">
        <w:rPr>
          <w:rFonts w:asciiTheme="minorHAnsi" w:hAnsiTheme="minorHAnsi" w:cs="Arial"/>
          <w:bCs/>
          <w:snapToGrid w:val="0"/>
          <w:lang w:val="en-GB"/>
        </w:rPr>
        <w:t xml:space="preserve"> </w:t>
      </w:r>
      <w:r w:rsidR="002E53CB">
        <w:rPr>
          <w:rFonts w:asciiTheme="minorHAnsi" w:hAnsiTheme="minorHAnsi" w:cs="Arial"/>
          <w:bCs/>
          <w:snapToGrid w:val="0"/>
          <w:lang w:val="en-GB"/>
        </w:rPr>
        <w:t xml:space="preserve">to ensure patients initiating via the SC loading doses are </w:t>
      </w:r>
      <w:r w:rsidR="009E166E">
        <w:rPr>
          <w:rFonts w:asciiTheme="minorHAnsi" w:hAnsiTheme="minorHAnsi" w:cs="Arial"/>
          <w:bCs/>
          <w:snapToGrid w:val="0"/>
          <w:lang w:val="en-GB"/>
        </w:rPr>
        <w:t>eligible</w:t>
      </w:r>
      <w:r w:rsidR="002E53CB">
        <w:rPr>
          <w:rFonts w:asciiTheme="minorHAnsi" w:hAnsiTheme="minorHAnsi" w:cs="Arial"/>
          <w:bCs/>
          <w:snapToGrid w:val="0"/>
          <w:lang w:val="en-GB"/>
        </w:rPr>
        <w:t xml:space="preserve">. </w:t>
      </w:r>
    </w:p>
    <w:p w14:paraId="41635D19" w14:textId="4848AA10" w:rsidR="002E53CB" w:rsidRDefault="002E53CB" w:rsidP="00F25F54">
      <w:pPr>
        <w:widowControl w:val="0"/>
        <w:numPr>
          <w:ilvl w:val="1"/>
          <w:numId w:val="2"/>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recommended that infliximab subcutaneous listings with maximum quantity of 3 with 3 repeats </w:t>
      </w:r>
      <w:r w:rsidR="00F31E27">
        <w:rPr>
          <w:rFonts w:asciiTheme="minorHAnsi" w:hAnsiTheme="minorHAnsi" w:cs="Arial"/>
          <w:bCs/>
          <w:snapToGrid w:val="0"/>
          <w:lang w:val="en-GB"/>
        </w:rPr>
        <w:t xml:space="preserve">for rheumatoid arthritis </w:t>
      </w:r>
      <w:r>
        <w:rPr>
          <w:rFonts w:asciiTheme="minorHAnsi" w:hAnsiTheme="minorHAnsi" w:cs="Arial"/>
          <w:bCs/>
          <w:snapToGrid w:val="0"/>
          <w:lang w:val="en-GB"/>
        </w:rPr>
        <w:t xml:space="preserve">should be exempt from the Early Supply Rule because </w:t>
      </w:r>
      <w:r w:rsidRPr="002E53CB">
        <w:rPr>
          <w:rFonts w:asciiTheme="minorHAnsi" w:hAnsiTheme="minorHAnsi" w:cs="Arial"/>
          <w:bCs/>
          <w:snapToGrid w:val="0"/>
          <w:lang w:val="en-GB"/>
        </w:rPr>
        <w:t>the proposed maximum quantity is not sufficient for one months’ treatment</w:t>
      </w:r>
      <w:r>
        <w:rPr>
          <w:rFonts w:asciiTheme="minorHAnsi" w:hAnsiTheme="minorHAnsi" w:cs="Arial"/>
          <w:bCs/>
          <w:snapToGrid w:val="0"/>
          <w:lang w:val="en-GB"/>
        </w:rPr>
        <w:t>.</w:t>
      </w:r>
    </w:p>
    <w:p w14:paraId="04FC0389" w14:textId="1A7B55A0" w:rsidR="00F25F54" w:rsidRPr="00095DCF" w:rsidRDefault="00F25F54" w:rsidP="00095DCF">
      <w:pPr>
        <w:widowControl w:val="0"/>
        <w:numPr>
          <w:ilvl w:val="1"/>
          <w:numId w:val="2"/>
        </w:numPr>
        <w:spacing w:after="120"/>
        <w:rPr>
          <w:rFonts w:asciiTheme="minorHAnsi" w:hAnsiTheme="minorHAnsi"/>
          <w:b/>
          <w:bCs/>
          <w:lang w:val="en-GB"/>
        </w:rPr>
      </w:pPr>
      <w:r w:rsidRPr="00D121C5">
        <w:rPr>
          <w:rFonts w:asciiTheme="minorHAnsi" w:hAnsiTheme="minorHAnsi" w:cstheme="minorHAnsi"/>
          <w:lang w:val="en-GB"/>
        </w:rPr>
        <w:t xml:space="preserve">The PBAC noted that its recommendation was on a cost-minimisation basis and advised that, because </w:t>
      </w:r>
      <w:r w:rsidR="00095DCF">
        <w:rPr>
          <w:rFonts w:asciiTheme="minorHAnsi" w:hAnsiTheme="minorHAnsi" w:cstheme="minorHAnsi"/>
          <w:lang w:val="en-GB"/>
        </w:rPr>
        <w:t xml:space="preserve">infliximab SC </w:t>
      </w:r>
      <w:r w:rsidR="00897948">
        <w:rPr>
          <w:rFonts w:asciiTheme="minorHAnsi" w:hAnsiTheme="minorHAnsi" w:cstheme="minorHAnsi"/>
          <w:lang w:val="en-GB"/>
        </w:rPr>
        <w:t xml:space="preserve">(with </w:t>
      </w:r>
      <w:r w:rsidR="00095DCF">
        <w:rPr>
          <w:rFonts w:asciiTheme="minorHAnsi" w:hAnsiTheme="minorHAnsi" w:cstheme="minorHAnsi"/>
          <w:lang w:val="en-GB"/>
        </w:rPr>
        <w:t>loading dose</w:t>
      </w:r>
      <w:r w:rsidR="00B64DCB">
        <w:rPr>
          <w:rFonts w:asciiTheme="minorHAnsi" w:hAnsiTheme="minorHAnsi" w:cstheme="minorHAnsi"/>
          <w:lang w:val="en-GB"/>
        </w:rPr>
        <w:t>s</w:t>
      </w:r>
      <w:r w:rsidR="00897948">
        <w:rPr>
          <w:rFonts w:asciiTheme="minorHAnsi" w:hAnsiTheme="minorHAnsi" w:cstheme="minorHAnsi"/>
          <w:lang w:val="en-GB"/>
        </w:rPr>
        <w:t>)</w:t>
      </w:r>
      <w:r w:rsidR="00B64DCB">
        <w:rPr>
          <w:rFonts w:asciiTheme="minorHAnsi" w:hAnsiTheme="minorHAnsi" w:cstheme="minorHAnsi"/>
          <w:lang w:val="en-GB"/>
        </w:rPr>
        <w:t xml:space="preserve"> </w:t>
      </w:r>
      <w:r w:rsidR="00897948">
        <w:rPr>
          <w:rFonts w:asciiTheme="minorHAnsi" w:hAnsiTheme="minorHAnsi" w:cstheme="minorHAnsi"/>
          <w:lang w:val="en-GB"/>
        </w:rPr>
        <w:t xml:space="preserve">is </w:t>
      </w:r>
      <w:r w:rsidRPr="00D121C5">
        <w:rPr>
          <w:rFonts w:asciiTheme="minorHAnsi" w:hAnsiTheme="minorHAnsi" w:cstheme="minorHAnsi"/>
          <w:lang w:val="en-GB"/>
        </w:rPr>
        <w:t xml:space="preserve">not expected to provide a </w:t>
      </w:r>
      <w:r w:rsidRPr="00095DCF">
        <w:rPr>
          <w:rFonts w:asciiTheme="minorHAnsi" w:hAnsiTheme="minorHAnsi" w:cs="Arial"/>
          <w:snapToGrid w:val="0"/>
          <w:lang w:val="en-GB"/>
        </w:rPr>
        <w:t>substantial</w:t>
      </w:r>
      <w:r w:rsidRPr="00D121C5">
        <w:rPr>
          <w:rFonts w:asciiTheme="minorHAnsi" w:hAnsiTheme="minorHAnsi"/>
          <w:bCs/>
          <w:lang w:val="en-GB"/>
        </w:rPr>
        <w:t xml:space="preserve"> and</w:t>
      </w:r>
      <w:r w:rsidRPr="00531A05">
        <w:rPr>
          <w:rFonts w:asciiTheme="minorHAnsi" w:hAnsiTheme="minorHAnsi"/>
          <w:bCs/>
          <w:lang w:val="en-GB"/>
        </w:rPr>
        <w:t xml:space="preserve"> clinically relevant improvement in efficacy, or reduction of toxicity, over </w:t>
      </w:r>
      <w:r w:rsidR="00897948">
        <w:rPr>
          <w:rFonts w:asciiTheme="minorHAnsi" w:hAnsiTheme="minorHAnsi"/>
          <w:bCs/>
          <w:lang w:val="en-GB"/>
        </w:rPr>
        <w:t>the alternative therapies</w:t>
      </w:r>
      <w:r w:rsidRPr="00531A05">
        <w:rPr>
          <w:rFonts w:asciiTheme="minorHAnsi" w:hAnsiTheme="minorHAnsi"/>
          <w:bCs/>
          <w:lang w:val="en-GB"/>
        </w:rPr>
        <w:t>, or not expected to address a high and urgent unmet clinical need given the presence of alternative therap</w:t>
      </w:r>
      <w:r w:rsidR="00AB36F7">
        <w:rPr>
          <w:rFonts w:asciiTheme="minorHAnsi" w:hAnsiTheme="minorHAnsi"/>
          <w:bCs/>
          <w:lang w:val="en-GB"/>
        </w:rPr>
        <w:t>ies</w:t>
      </w:r>
      <w:r w:rsidRPr="00531A05">
        <w:rPr>
          <w:rFonts w:asciiTheme="minorHAnsi" w:hAnsiTheme="minorHAnsi"/>
          <w:bCs/>
          <w:lang w:val="en-GB"/>
        </w:rPr>
        <w:t xml:space="preserve">, the criteria prescribed by the </w:t>
      </w:r>
      <w:r w:rsidRPr="007A5703">
        <w:rPr>
          <w:rFonts w:asciiTheme="minorHAnsi" w:hAnsiTheme="minorHAnsi"/>
          <w:bCs/>
          <w:i/>
          <w:lang w:val="en-GB"/>
        </w:rPr>
        <w:t>National Health (Pharmaceuticals and Vaccines – Cost Recovery) Regulations 20</w:t>
      </w:r>
      <w:r>
        <w:rPr>
          <w:rFonts w:asciiTheme="minorHAnsi" w:hAnsiTheme="minorHAnsi"/>
          <w:bCs/>
          <w:i/>
          <w:lang w:val="en-GB"/>
        </w:rPr>
        <w:t>22</w:t>
      </w:r>
      <w:r w:rsidRPr="00531A05">
        <w:rPr>
          <w:rFonts w:asciiTheme="minorHAnsi" w:hAnsiTheme="minorHAnsi"/>
          <w:bCs/>
          <w:lang w:val="en-GB"/>
        </w:rPr>
        <w:t xml:space="preserve"> for Pricing Pathway A were not met.</w:t>
      </w:r>
    </w:p>
    <w:p w14:paraId="42A1FCE8" w14:textId="67C474CD" w:rsidR="00F25F54" w:rsidRPr="00095DCF" w:rsidRDefault="00F25F54" w:rsidP="00095DCF">
      <w:pPr>
        <w:widowControl w:val="0"/>
        <w:numPr>
          <w:ilvl w:val="1"/>
          <w:numId w:val="2"/>
        </w:numPr>
        <w:spacing w:after="120"/>
        <w:rPr>
          <w:rFonts w:asciiTheme="minorHAnsi" w:hAnsiTheme="minorHAnsi" w:cs="Arial"/>
          <w:bCs/>
          <w:i/>
          <w:snapToGrid w:val="0"/>
          <w:lang w:val="en-GB"/>
        </w:rPr>
      </w:pPr>
      <w:r w:rsidRPr="00525B39">
        <w:rPr>
          <w:rFonts w:asciiTheme="minorHAnsi" w:hAnsiTheme="minorHAnsi" w:cs="Arial"/>
          <w:bCs/>
          <w:snapToGrid w:val="0"/>
          <w:lang w:val="en-GB"/>
        </w:rPr>
        <w:t>The PBAC noted that this submission is not eligible for an Independent Review</w:t>
      </w:r>
      <w:r w:rsidR="00095DCF">
        <w:rPr>
          <w:rFonts w:asciiTheme="minorHAnsi" w:hAnsiTheme="minorHAnsi" w:cs="Arial"/>
          <w:bCs/>
          <w:snapToGrid w:val="0"/>
          <w:lang w:val="en-GB"/>
        </w:rPr>
        <w:t xml:space="preserve"> as it received a positive recommendation</w:t>
      </w:r>
    </w:p>
    <w:p w14:paraId="77240EEA" w14:textId="77777777" w:rsidR="00F25F54" w:rsidRPr="00525B39" w:rsidRDefault="00F25F54" w:rsidP="00F25F54">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D5D30CD" w14:textId="5FC3ECF1" w:rsidR="00F25F54" w:rsidRPr="00525B39" w:rsidRDefault="00F25F54" w:rsidP="00F25F54">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3B2603D0" w14:textId="77777777" w:rsidR="00F25F54" w:rsidRPr="00525B39" w:rsidRDefault="00F25F54" w:rsidP="00F25F54">
      <w:pPr>
        <w:widowControl w:val="0"/>
        <w:rPr>
          <w:rFonts w:asciiTheme="minorHAnsi" w:hAnsiTheme="minorHAnsi" w:cs="Arial"/>
          <w:b/>
          <w:bCs/>
          <w:snapToGrid w:val="0"/>
        </w:rPr>
      </w:pPr>
    </w:p>
    <w:bookmarkEnd w:id="18"/>
    <w:p w14:paraId="3A54DD78" w14:textId="77777777" w:rsidR="00F25F54" w:rsidRPr="00F25F54" w:rsidRDefault="00F25F54" w:rsidP="00F25F54">
      <w:pPr>
        <w:pStyle w:val="Heading1"/>
        <w:keepLines/>
        <w:numPr>
          <w:ilvl w:val="0"/>
          <w:numId w:val="2"/>
        </w:numPr>
        <w:spacing w:before="240"/>
        <w:ind w:left="709" w:hanging="709"/>
        <w:rPr>
          <w:sz w:val="32"/>
          <w:szCs w:val="32"/>
        </w:rPr>
      </w:pPr>
      <w:r w:rsidRPr="00F25F54">
        <w:rPr>
          <w:sz w:val="32"/>
          <w:szCs w:val="32"/>
        </w:rPr>
        <w:t>Recommended listing</w:t>
      </w:r>
    </w:p>
    <w:p w14:paraId="75016281" w14:textId="7A344B6A" w:rsidR="00B64DCB" w:rsidRPr="00B64DCB" w:rsidRDefault="00F25F54" w:rsidP="00B64DCB">
      <w:pPr>
        <w:widowControl w:val="0"/>
        <w:numPr>
          <w:ilvl w:val="1"/>
          <w:numId w:val="2"/>
        </w:numPr>
        <w:spacing w:after="120"/>
        <w:contextualSpacing/>
        <w:rPr>
          <w:rFonts w:asciiTheme="minorHAnsi" w:hAnsiTheme="minorHAnsi" w:cs="Arial"/>
          <w:b/>
          <w:bCs/>
          <w:snapToGrid w:val="0"/>
        </w:rPr>
      </w:pPr>
      <w:r w:rsidRPr="00F25F54">
        <w:rPr>
          <w:rFonts w:asciiTheme="minorHAnsi" w:hAnsiTheme="minorHAnsi" w:cs="Arial"/>
          <w:bCs/>
          <w:snapToGrid w:val="0"/>
        </w:rPr>
        <w:t>A</w:t>
      </w:r>
      <w:r w:rsidR="00B64DCB">
        <w:rPr>
          <w:rFonts w:asciiTheme="minorHAnsi" w:hAnsiTheme="minorHAnsi" w:cs="Arial"/>
          <w:bCs/>
          <w:snapToGrid w:val="0"/>
        </w:rPr>
        <w:t>d</w:t>
      </w:r>
      <w:r w:rsidRPr="00F25F54">
        <w:rPr>
          <w:rFonts w:asciiTheme="minorHAnsi" w:hAnsiTheme="minorHAnsi" w:cs="Arial"/>
          <w:bCs/>
          <w:snapToGrid w:val="0"/>
        </w:rPr>
        <w:t>d new item:</w:t>
      </w:r>
      <w:bookmarkEnd w:id="19"/>
    </w:p>
    <w:p w14:paraId="067E2BD2" w14:textId="433E2276" w:rsidR="005B0927" w:rsidRPr="00663754" w:rsidRDefault="005B0927" w:rsidP="00B64DCB">
      <w:pPr>
        <w:rPr>
          <w:rFonts w:asciiTheme="minorHAnsi" w:hAnsiTheme="minorHAnsi" w:cs="Arial"/>
          <w:b/>
          <w:snapToGrid w:val="0"/>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567"/>
        <w:gridCol w:w="2976"/>
        <w:gridCol w:w="993"/>
        <w:gridCol w:w="850"/>
        <w:gridCol w:w="851"/>
        <w:gridCol w:w="708"/>
        <w:gridCol w:w="1701"/>
      </w:tblGrid>
      <w:tr w:rsidR="005B0927" w:rsidRPr="009A610D" w14:paraId="072F0DF3" w14:textId="77777777" w:rsidTr="003C69E3">
        <w:trPr>
          <w:cantSplit/>
          <w:trHeight w:val="471"/>
        </w:trPr>
        <w:tc>
          <w:tcPr>
            <w:tcW w:w="3964" w:type="dxa"/>
            <w:gridSpan w:val="3"/>
          </w:tcPr>
          <w:p w14:paraId="3163BB1B" w14:textId="77777777" w:rsidR="005B0927" w:rsidRPr="008266E7" w:rsidRDefault="005B0927" w:rsidP="00AD2329">
            <w:pPr>
              <w:keepNext/>
              <w:ind w:left="-57"/>
              <w:rPr>
                <w:rFonts w:ascii="Arial Narrow" w:hAnsi="Arial Narrow" w:cs="Arial"/>
                <w:b/>
                <w:bCs/>
                <w:sz w:val="20"/>
                <w:szCs w:val="20"/>
              </w:rPr>
            </w:pPr>
            <w:r w:rsidRPr="008266E7">
              <w:rPr>
                <w:rFonts w:ascii="Arial Narrow" w:hAnsi="Arial Narrow" w:cs="Arial"/>
                <w:b/>
                <w:bCs/>
                <w:sz w:val="20"/>
                <w:szCs w:val="20"/>
              </w:rPr>
              <w:t>MEDICINAL PRODUCT</w:t>
            </w:r>
          </w:p>
          <w:p w14:paraId="5A0DCDE7" w14:textId="77777777" w:rsidR="005B0927" w:rsidRPr="008266E7" w:rsidRDefault="005B0927" w:rsidP="00AD2329">
            <w:pPr>
              <w:keepNext/>
              <w:ind w:left="-57"/>
              <w:rPr>
                <w:rFonts w:ascii="Arial Narrow" w:hAnsi="Arial Narrow" w:cs="Arial"/>
                <w:b/>
                <w:sz w:val="20"/>
                <w:szCs w:val="20"/>
              </w:rPr>
            </w:pPr>
            <w:r w:rsidRPr="008266E7">
              <w:rPr>
                <w:rFonts w:ascii="Arial Narrow" w:hAnsi="Arial Narrow" w:cs="Arial"/>
                <w:b/>
                <w:bCs/>
                <w:sz w:val="20"/>
                <w:szCs w:val="20"/>
              </w:rPr>
              <w:t>medicinal product pack</w:t>
            </w:r>
          </w:p>
        </w:tc>
        <w:tc>
          <w:tcPr>
            <w:tcW w:w="993" w:type="dxa"/>
          </w:tcPr>
          <w:p w14:paraId="5EA1019D" w14:textId="77777777" w:rsidR="005B0927" w:rsidRPr="008266E7" w:rsidRDefault="005B0927" w:rsidP="00AD2329">
            <w:pPr>
              <w:keepNext/>
              <w:ind w:left="-108"/>
              <w:jc w:val="center"/>
              <w:rPr>
                <w:rFonts w:ascii="Arial Narrow" w:hAnsi="Arial Narrow" w:cs="Arial"/>
                <w:b/>
                <w:sz w:val="20"/>
                <w:szCs w:val="20"/>
              </w:rPr>
            </w:pPr>
            <w:r w:rsidRPr="008266E7">
              <w:rPr>
                <w:rFonts w:ascii="Arial Narrow" w:hAnsi="Arial Narrow" w:cs="Arial"/>
                <w:b/>
                <w:sz w:val="20"/>
                <w:szCs w:val="20"/>
              </w:rPr>
              <w:t>PBS item code</w:t>
            </w:r>
          </w:p>
        </w:tc>
        <w:tc>
          <w:tcPr>
            <w:tcW w:w="850" w:type="dxa"/>
          </w:tcPr>
          <w:p w14:paraId="61C7D70C" w14:textId="77777777" w:rsidR="005B0927" w:rsidRPr="008266E7" w:rsidRDefault="005B0927" w:rsidP="00AD2329">
            <w:pPr>
              <w:keepNext/>
              <w:ind w:left="-108"/>
              <w:jc w:val="center"/>
              <w:rPr>
                <w:rFonts w:ascii="Arial Narrow" w:hAnsi="Arial Narrow" w:cs="Arial"/>
                <w:b/>
                <w:sz w:val="20"/>
                <w:szCs w:val="20"/>
              </w:rPr>
            </w:pPr>
            <w:r w:rsidRPr="008266E7">
              <w:rPr>
                <w:rFonts w:ascii="Arial Narrow" w:hAnsi="Arial Narrow" w:cs="Arial"/>
                <w:b/>
                <w:sz w:val="20"/>
                <w:szCs w:val="20"/>
              </w:rPr>
              <w:t>Max. qty packs</w:t>
            </w:r>
          </w:p>
        </w:tc>
        <w:tc>
          <w:tcPr>
            <w:tcW w:w="851" w:type="dxa"/>
          </w:tcPr>
          <w:p w14:paraId="4A91E098" w14:textId="77777777" w:rsidR="005B0927" w:rsidRPr="008266E7" w:rsidRDefault="005B0927" w:rsidP="00AD2329">
            <w:pPr>
              <w:keepNext/>
              <w:ind w:left="-108"/>
              <w:jc w:val="center"/>
              <w:rPr>
                <w:rFonts w:ascii="Arial Narrow" w:hAnsi="Arial Narrow" w:cs="Arial"/>
                <w:b/>
                <w:sz w:val="20"/>
                <w:szCs w:val="20"/>
              </w:rPr>
            </w:pPr>
            <w:r w:rsidRPr="008266E7">
              <w:rPr>
                <w:rFonts w:ascii="Arial Narrow" w:hAnsi="Arial Narrow" w:cs="Arial"/>
                <w:b/>
                <w:sz w:val="20"/>
                <w:szCs w:val="20"/>
              </w:rPr>
              <w:t>Max. qty units</w:t>
            </w:r>
          </w:p>
        </w:tc>
        <w:tc>
          <w:tcPr>
            <w:tcW w:w="708" w:type="dxa"/>
          </w:tcPr>
          <w:p w14:paraId="5961FD03" w14:textId="77777777" w:rsidR="005B0927" w:rsidRPr="008266E7" w:rsidRDefault="005B0927" w:rsidP="00AD2329">
            <w:pPr>
              <w:keepNext/>
              <w:ind w:left="-108"/>
              <w:jc w:val="center"/>
              <w:rPr>
                <w:rFonts w:ascii="Arial Narrow" w:hAnsi="Arial Narrow" w:cs="Arial"/>
                <w:b/>
                <w:sz w:val="20"/>
                <w:szCs w:val="20"/>
              </w:rPr>
            </w:pPr>
            <w:r w:rsidRPr="008266E7">
              <w:rPr>
                <w:rFonts w:ascii="Arial Narrow" w:hAnsi="Arial Narrow" w:cs="Arial"/>
                <w:b/>
                <w:sz w:val="20"/>
                <w:szCs w:val="20"/>
              </w:rPr>
              <w:t>№.of</w:t>
            </w:r>
          </w:p>
          <w:p w14:paraId="1F34351B" w14:textId="77777777" w:rsidR="005B0927" w:rsidRPr="008266E7" w:rsidRDefault="005B0927" w:rsidP="00AD2329">
            <w:pPr>
              <w:keepNext/>
              <w:ind w:left="-108"/>
              <w:jc w:val="center"/>
              <w:rPr>
                <w:rFonts w:ascii="Arial Narrow" w:hAnsi="Arial Narrow" w:cs="Arial"/>
                <w:b/>
                <w:sz w:val="20"/>
                <w:szCs w:val="20"/>
              </w:rPr>
            </w:pPr>
            <w:r w:rsidRPr="008266E7">
              <w:rPr>
                <w:rFonts w:ascii="Arial Narrow" w:hAnsi="Arial Narrow" w:cs="Arial"/>
                <w:b/>
                <w:sz w:val="20"/>
                <w:szCs w:val="20"/>
              </w:rPr>
              <w:t>Rpts</w:t>
            </w:r>
          </w:p>
        </w:tc>
        <w:tc>
          <w:tcPr>
            <w:tcW w:w="1701" w:type="dxa"/>
          </w:tcPr>
          <w:p w14:paraId="30E61E8E" w14:textId="77777777" w:rsidR="005B0927" w:rsidRPr="008266E7" w:rsidRDefault="005B0927" w:rsidP="00AD2329">
            <w:pPr>
              <w:keepNext/>
              <w:rPr>
                <w:rFonts w:ascii="Arial Narrow" w:hAnsi="Arial Narrow" w:cs="Arial"/>
                <w:b/>
                <w:sz w:val="20"/>
                <w:szCs w:val="20"/>
                <w:lang w:val="fr-FR"/>
              </w:rPr>
            </w:pPr>
            <w:r w:rsidRPr="008266E7">
              <w:rPr>
                <w:rFonts w:ascii="Arial Narrow" w:hAnsi="Arial Narrow" w:cs="Arial"/>
                <w:b/>
                <w:sz w:val="20"/>
                <w:szCs w:val="20"/>
              </w:rPr>
              <w:t>Available brands</w:t>
            </w:r>
          </w:p>
        </w:tc>
      </w:tr>
      <w:tr w:rsidR="005B0927" w:rsidRPr="001A5667" w14:paraId="577DD6F1" w14:textId="77777777" w:rsidTr="00AD2329">
        <w:trPr>
          <w:cantSplit/>
          <w:trHeight w:val="224"/>
        </w:trPr>
        <w:tc>
          <w:tcPr>
            <w:tcW w:w="9067" w:type="dxa"/>
            <w:gridSpan w:val="8"/>
          </w:tcPr>
          <w:p w14:paraId="3336C705" w14:textId="77777777" w:rsidR="005B0927" w:rsidRPr="008266E7" w:rsidRDefault="005B0927" w:rsidP="00AD2329">
            <w:pPr>
              <w:keepNext/>
              <w:ind w:left="-57"/>
              <w:rPr>
                <w:rFonts w:ascii="Arial Narrow" w:hAnsi="Arial Narrow" w:cs="Arial"/>
                <w:sz w:val="20"/>
                <w:szCs w:val="20"/>
              </w:rPr>
            </w:pPr>
            <w:r w:rsidRPr="008266E7">
              <w:rPr>
                <w:rFonts w:ascii="Arial Narrow" w:hAnsi="Arial Narrow" w:cs="Arial"/>
                <w:sz w:val="20"/>
                <w:szCs w:val="20"/>
              </w:rPr>
              <w:t>INFLIXIMAB</w:t>
            </w:r>
          </w:p>
        </w:tc>
      </w:tr>
      <w:tr w:rsidR="005B0927" w:rsidRPr="009A610D" w14:paraId="749F2A42" w14:textId="77777777" w:rsidTr="003C69E3">
        <w:trPr>
          <w:cantSplit/>
          <w:trHeight w:val="376"/>
        </w:trPr>
        <w:tc>
          <w:tcPr>
            <w:tcW w:w="3964" w:type="dxa"/>
            <w:gridSpan w:val="3"/>
            <w:vAlign w:val="center"/>
          </w:tcPr>
          <w:p w14:paraId="11ABCA5F" w14:textId="77777777" w:rsidR="005B0927" w:rsidRPr="008266E7" w:rsidRDefault="005B0927" w:rsidP="00AD2329">
            <w:pPr>
              <w:keepNext/>
              <w:ind w:left="-57"/>
              <w:jc w:val="left"/>
              <w:rPr>
                <w:rFonts w:ascii="Arial Narrow" w:hAnsi="Arial Narrow" w:cs="Arial"/>
                <w:sz w:val="20"/>
                <w:szCs w:val="20"/>
              </w:rPr>
            </w:pPr>
            <w:r w:rsidRPr="008266E7">
              <w:rPr>
                <w:rFonts w:ascii="Arial Narrow" w:hAnsi="Arial Narrow" w:cs="Arial"/>
                <w:sz w:val="20"/>
                <w:szCs w:val="20"/>
              </w:rPr>
              <w:t>infliximab 120 mg/mL injection, 1 mL syringe</w:t>
            </w:r>
          </w:p>
        </w:tc>
        <w:tc>
          <w:tcPr>
            <w:tcW w:w="993" w:type="dxa"/>
            <w:vAlign w:val="center"/>
          </w:tcPr>
          <w:p w14:paraId="067F6ACB" w14:textId="77777777" w:rsidR="005B0927" w:rsidRPr="008266E7" w:rsidRDefault="005B0927" w:rsidP="00AD2329">
            <w:pPr>
              <w:keepNext/>
              <w:jc w:val="center"/>
              <w:rPr>
                <w:rFonts w:ascii="Arial Narrow" w:hAnsi="Arial Narrow" w:cs="Arial"/>
                <w:sz w:val="20"/>
                <w:szCs w:val="20"/>
              </w:rPr>
            </w:pPr>
            <w:r w:rsidRPr="008266E7">
              <w:rPr>
                <w:rFonts w:ascii="Arial Narrow" w:hAnsi="Arial Narrow" w:cs="Arial"/>
                <w:sz w:val="20"/>
                <w:szCs w:val="20"/>
              </w:rPr>
              <w:t>NEW</w:t>
            </w:r>
          </w:p>
        </w:tc>
        <w:tc>
          <w:tcPr>
            <w:tcW w:w="850" w:type="dxa"/>
            <w:vAlign w:val="center"/>
          </w:tcPr>
          <w:p w14:paraId="61309DC6" w14:textId="2E50E6CF" w:rsidR="005B0927" w:rsidRPr="008266E7" w:rsidRDefault="00471E63" w:rsidP="00AD2329">
            <w:pPr>
              <w:keepNext/>
              <w:jc w:val="center"/>
              <w:rPr>
                <w:rFonts w:ascii="Arial Narrow" w:hAnsi="Arial Narrow" w:cs="Arial"/>
                <w:sz w:val="20"/>
                <w:szCs w:val="20"/>
              </w:rPr>
            </w:pPr>
            <w:r>
              <w:rPr>
                <w:rFonts w:ascii="Arial Narrow" w:hAnsi="Arial Narrow" w:cs="Arial"/>
                <w:sz w:val="20"/>
                <w:szCs w:val="20"/>
              </w:rPr>
              <w:t>3</w:t>
            </w:r>
          </w:p>
        </w:tc>
        <w:tc>
          <w:tcPr>
            <w:tcW w:w="851" w:type="dxa"/>
            <w:vAlign w:val="center"/>
          </w:tcPr>
          <w:p w14:paraId="21219F54" w14:textId="70B358BB" w:rsidR="005B0927" w:rsidRPr="008266E7" w:rsidRDefault="00FE00E8" w:rsidP="00AD2329">
            <w:pPr>
              <w:keepNext/>
              <w:jc w:val="center"/>
              <w:rPr>
                <w:rFonts w:ascii="Arial Narrow" w:hAnsi="Arial Narrow" w:cs="Arial"/>
                <w:sz w:val="20"/>
                <w:szCs w:val="20"/>
              </w:rPr>
            </w:pPr>
            <w:r>
              <w:rPr>
                <w:rFonts w:ascii="Arial Narrow" w:hAnsi="Arial Narrow" w:cs="Arial"/>
                <w:sz w:val="20"/>
                <w:szCs w:val="20"/>
              </w:rPr>
              <w:t>3</w:t>
            </w:r>
          </w:p>
        </w:tc>
        <w:tc>
          <w:tcPr>
            <w:tcW w:w="708" w:type="dxa"/>
            <w:vAlign w:val="center"/>
          </w:tcPr>
          <w:p w14:paraId="21EA30A9" w14:textId="77777777" w:rsidR="005B0927" w:rsidRPr="008266E7" w:rsidRDefault="005B0927" w:rsidP="00AD2329">
            <w:pPr>
              <w:keepNext/>
              <w:jc w:val="center"/>
              <w:rPr>
                <w:rFonts w:ascii="Arial Narrow" w:hAnsi="Arial Narrow" w:cs="Arial"/>
                <w:sz w:val="20"/>
                <w:szCs w:val="20"/>
              </w:rPr>
            </w:pPr>
            <w:r>
              <w:rPr>
                <w:rFonts w:ascii="Arial Narrow" w:hAnsi="Arial Narrow" w:cs="Arial"/>
                <w:sz w:val="20"/>
                <w:szCs w:val="20"/>
              </w:rPr>
              <w:t>3</w:t>
            </w:r>
          </w:p>
        </w:tc>
        <w:tc>
          <w:tcPr>
            <w:tcW w:w="1701" w:type="dxa"/>
            <w:vAlign w:val="center"/>
          </w:tcPr>
          <w:p w14:paraId="30598063" w14:textId="77777777" w:rsidR="005B0927" w:rsidRPr="008266E7" w:rsidRDefault="005B0927" w:rsidP="00AD2329">
            <w:pPr>
              <w:keepNext/>
              <w:jc w:val="left"/>
              <w:rPr>
                <w:rFonts w:ascii="Arial Narrow" w:hAnsi="Arial Narrow" w:cs="Arial"/>
                <w:sz w:val="20"/>
                <w:szCs w:val="20"/>
              </w:rPr>
            </w:pPr>
            <w:r w:rsidRPr="008266E7">
              <w:rPr>
                <w:rFonts w:ascii="Arial Narrow" w:hAnsi="Arial Narrow" w:cs="Arial"/>
                <w:sz w:val="20"/>
                <w:szCs w:val="20"/>
              </w:rPr>
              <w:t>Remsima SC</w:t>
            </w:r>
          </w:p>
        </w:tc>
      </w:tr>
      <w:tr w:rsidR="005B0927" w14:paraId="3D37AEFF" w14:textId="77777777" w:rsidTr="003C69E3">
        <w:trPr>
          <w:cantSplit/>
          <w:trHeight w:val="347"/>
        </w:trPr>
        <w:tc>
          <w:tcPr>
            <w:tcW w:w="3964" w:type="dxa"/>
            <w:gridSpan w:val="3"/>
            <w:vAlign w:val="center"/>
          </w:tcPr>
          <w:p w14:paraId="19250D15" w14:textId="77777777" w:rsidR="005B0927" w:rsidRPr="008266E7" w:rsidRDefault="005B0927" w:rsidP="00AD2329">
            <w:pPr>
              <w:keepNext/>
              <w:ind w:left="-57"/>
              <w:jc w:val="left"/>
              <w:rPr>
                <w:rFonts w:ascii="Arial Narrow" w:hAnsi="Arial Narrow" w:cs="Arial"/>
                <w:sz w:val="20"/>
                <w:szCs w:val="20"/>
              </w:rPr>
            </w:pPr>
            <w:r w:rsidRPr="008266E7">
              <w:rPr>
                <w:rFonts w:ascii="Arial Narrow" w:hAnsi="Arial Narrow" w:cs="Arial"/>
                <w:sz w:val="20"/>
                <w:szCs w:val="20"/>
              </w:rPr>
              <w:t>infliximab 120 mg/mL injection, 1 mL pen device</w:t>
            </w:r>
          </w:p>
        </w:tc>
        <w:tc>
          <w:tcPr>
            <w:tcW w:w="993" w:type="dxa"/>
            <w:vAlign w:val="center"/>
          </w:tcPr>
          <w:p w14:paraId="3D738FB5" w14:textId="77777777" w:rsidR="005B0927" w:rsidRPr="008266E7" w:rsidRDefault="005B0927" w:rsidP="00AD2329">
            <w:pPr>
              <w:keepNext/>
              <w:jc w:val="center"/>
              <w:rPr>
                <w:rFonts w:ascii="Arial Narrow" w:hAnsi="Arial Narrow" w:cs="Arial"/>
                <w:sz w:val="20"/>
                <w:szCs w:val="20"/>
              </w:rPr>
            </w:pPr>
            <w:r w:rsidRPr="008266E7">
              <w:rPr>
                <w:rFonts w:ascii="Arial Narrow" w:hAnsi="Arial Narrow" w:cs="Arial"/>
                <w:sz w:val="20"/>
                <w:szCs w:val="20"/>
              </w:rPr>
              <w:t>NEW</w:t>
            </w:r>
          </w:p>
        </w:tc>
        <w:tc>
          <w:tcPr>
            <w:tcW w:w="850" w:type="dxa"/>
            <w:vAlign w:val="center"/>
          </w:tcPr>
          <w:p w14:paraId="155CEB9F" w14:textId="2B5FED5B" w:rsidR="005B0927" w:rsidRPr="008266E7" w:rsidRDefault="00471E63" w:rsidP="00AD2329">
            <w:pPr>
              <w:keepNext/>
              <w:jc w:val="center"/>
              <w:rPr>
                <w:rFonts w:ascii="Arial Narrow" w:hAnsi="Arial Narrow" w:cs="Arial"/>
                <w:sz w:val="20"/>
                <w:szCs w:val="20"/>
              </w:rPr>
            </w:pPr>
            <w:r>
              <w:rPr>
                <w:rFonts w:ascii="Arial Narrow" w:hAnsi="Arial Narrow" w:cs="Arial"/>
                <w:sz w:val="20"/>
                <w:szCs w:val="20"/>
              </w:rPr>
              <w:t>3</w:t>
            </w:r>
          </w:p>
        </w:tc>
        <w:tc>
          <w:tcPr>
            <w:tcW w:w="851" w:type="dxa"/>
            <w:vAlign w:val="center"/>
          </w:tcPr>
          <w:p w14:paraId="28C7F693" w14:textId="1A21736F" w:rsidR="005B0927" w:rsidRPr="008266E7" w:rsidRDefault="00FE00E8" w:rsidP="00AD2329">
            <w:pPr>
              <w:keepNext/>
              <w:jc w:val="center"/>
              <w:rPr>
                <w:rFonts w:ascii="Arial Narrow" w:hAnsi="Arial Narrow" w:cs="Arial"/>
                <w:sz w:val="20"/>
                <w:szCs w:val="20"/>
              </w:rPr>
            </w:pPr>
            <w:r>
              <w:rPr>
                <w:rFonts w:ascii="Arial Narrow" w:hAnsi="Arial Narrow" w:cs="Arial"/>
                <w:sz w:val="20"/>
                <w:szCs w:val="20"/>
              </w:rPr>
              <w:t>3</w:t>
            </w:r>
          </w:p>
        </w:tc>
        <w:tc>
          <w:tcPr>
            <w:tcW w:w="708" w:type="dxa"/>
            <w:vAlign w:val="center"/>
          </w:tcPr>
          <w:p w14:paraId="1A4B27A4" w14:textId="77777777" w:rsidR="005B0927" w:rsidRPr="008266E7" w:rsidRDefault="005B0927" w:rsidP="00AD2329">
            <w:pPr>
              <w:keepNext/>
              <w:jc w:val="center"/>
              <w:rPr>
                <w:rFonts w:ascii="Arial Narrow" w:hAnsi="Arial Narrow" w:cs="Arial"/>
                <w:sz w:val="20"/>
                <w:szCs w:val="20"/>
              </w:rPr>
            </w:pPr>
            <w:r>
              <w:rPr>
                <w:rFonts w:ascii="Arial Narrow" w:hAnsi="Arial Narrow" w:cs="Arial"/>
                <w:sz w:val="20"/>
                <w:szCs w:val="20"/>
              </w:rPr>
              <w:t>3</w:t>
            </w:r>
          </w:p>
        </w:tc>
        <w:tc>
          <w:tcPr>
            <w:tcW w:w="1701" w:type="dxa"/>
            <w:vAlign w:val="center"/>
          </w:tcPr>
          <w:p w14:paraId="503C87EF" w14:textId="77777777" w:rsidR="005B0927" w:rsidRPr="008266E7" w:rsidRDefault="005B0927" w:rsidP="00AD2329">
            <w:pPr>
              <w:keepNext/>
              <w:jc w:val="left"/>
              <w:rPr>
                <w:rFonts w:ascii="Arial Narrow" w:hAnsi="Arial Narrow" w:cs="Arial"/>
                <w:sz w:val="20"/>
                <w:szCs w:val="20"/>
              </w:rPr>
            </w:pPr>
            <w:r w:rsidRPr="008266E7">
              <w:rPr>
                <w:rFonts w:ascii="Arial Narrow" w:hAnsi="Arial Narrow" w:cs="Arial"/>
                <w:sz w:val="20"/>
                <w:szCs w:val="20"/>
              </w:rPr>
              <w:t>Remsima SC</w:t>
            </w:r>
          </w:p>
        </w:tc>
      </w:tr>
      <w:tr w:rsidR="005B0927" w:rsidRPr="00320925" w14:paraId="1BC6B5E0" w14:textId="77777777" w:rsidTr="00AD2329">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0D0BE116" w14:textId="77777777" w:rsidR="005B0927" w:rsidRPr="008266E7" w:rsidRDefault="005B0927" w:rsidP="00AD2329">
            <w:pPr>
              <w:rPr>
                <w:rFonts w:ascii="Arial Narrow" w:hAnsi="Arial Narrow" w:cs="Arial"/>
                <w:sz w:val="20"/>
                <w:szCs w:val="20"/>
              </w:rPr>
            </w:pPr>
          </w:p>
        </w:tc>
      </w:tr>
      <w:tr w:rsidR="005B0927" w:rsidRPr="0020649C" w14:paraId="6B56B8B6" w14:textId="77777777" w:rsidTr="00AD2329">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313C24A6" w14:textId="77777777" w:rsidR="005B0927" w:rsidRPr="008266E7" w:rsidRDefault="005B0927" w:rsidP="00AD2329">
            <w:pPr>
              <w:rPr>
                <w:rFonts w:ascii="Arial Narrow" w:hAnsi="Arial Narrow" w:cs="Arial"/>
                <w:b/>
                <w:sz w:val="20"/>
                <w:szCs w:val="20"/>
              </w:rPr>
            </w:pPr>
            <w:r w:rsidRPr="008266E7">
              <w:rPr>
                <w:rFonts w:ascii="Arial Narrow" w:hAnsi="Arial Narrow"/>
                <w:b/>
                <w:sz w:val="20"/>
                <w:szCs w:val="20"/>
              </w:rPr>
              <w:t>Restriction Summary [new] / Treatment of Concept: [new]</w:t>
            </w:r>
          </w:p>
        </w:tc>
      </w:tr>
      <w:tr w:rsidR="005B0927" w:rsidRPr="00120A12" w14:paraId="1695C23F"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Merge w:val="restart"/>
            <w:tcBorders>
              <w:top w:val="single" w:sz="4" w:space="0" w:color="auto"/>
              <w:left w:val="single" w:sz="4" w:space="0" w:color="auto"/>
              <w:right w:val="single" w:sz="4" w:space="0" w:color="auto"/>
            </w:tcBorders>
          </w:tcPr>
          <w:p w14:paraId="78F91819" w14:textId="77777777" w:rsidR="005B0927" w:rsidRPr="00997498" w:rsidRDefault="005B0927" w:rsidP="00AD2329">
            <w:pPr>
              <w:jc w:val="center"/>
              <w:rPr>
                <w:rFonts w:ascii="Arial Narrow" w:hAnsi="Arial Narrow" w:cs="Arial"/>
                <w:b/>
                <w:sz w:val="20"/>
                <w:szCs w:val="20"/>
              </w:rPr>
            </w:pPr>
            <w:r w:rsidRPr="008266E7">
              <w:rPr>
                <w:rFonts w:ascii="Arial Narrow" w:hAnsi="Arial Narrow" w:cs="Arial"/>
                <w:b/>
                <w:sz w:val="20"/>
                <w:szCs w:val="20"/>
              </w:rPr>
              <w:t>Concept ID</w:t>
            </w:r>
          </w:p>
          <w:p w14:paraId="071E6C33" w14:textId="77777777" w:rsidR="005B0927" w:rsidRPr="00997498" w:rsidRDefault="005B0927" w:rsidP="00AD2329">
            <w:pPr>
              <w:jc w:val="center"/>
              <w:rPr>
                <w:rFonts w:ascii="Arial Narrow" w:hAnsi="Arial Narrow" w:cs="Arial"/>
                <w:sz w:val="20"/>
                <w:szCs w:val="20"/>
              </w:rPr>
            </w:pPr>
            <w:r w:rsidRPr="008266E7">
              <w:rPr>
                <w:rFonts w:ascii="Arial Narrow" w:hAnsi="Arial Narrow" w:cs="Arial"/>
                <w:sz w:val="20"/>
                <w:szCs w:val="20"/>
              </w:rPr>
              <w:t>(for internal Dept. use)</w:t>
            </w:r>
          </w:p>
        </w:tc>
        <w:tc>
          <w:tcPr>
            <w:tcW w:w="8079" w:type="dxa"/>
            <w:gridSpan w:val="6"/>
            <w:tcBorders>
              <w:top w:val="single" w:sz="4" w:space="0" w:color="auto"/>
              <w:left w:val="single" w:sz="4" w:space="0" w:color="auto"/>
              <w:bottom w:val="single" w:sz="4" w:space="0" w:color="auto"/>
              <w:right w:val="single" w:sz="4" w:space="0" w:color="auto"/>
            </w:tcBorders>
          </w:tcPr>
          <w:p w14:paraId="35299068" w14:textId="77777777" w:rsidR="005B0927" w:rsidRPr="008266E7" w:rsidRDefault="005B0927" w:rsidP="00AD2329">
            <w:pPr>
              <w:rPr>
                <w:rFonts w:ascii="Arial Narrow" w:hAnsi="Arial Narrow" w:cs="Arial"/>
                <w:sz w:val="20"/>
                <w:szCs w:val="20"/>
              </w:rPr>
            </w:pPr>
            <w:r w:rsidRPr="008266E7">
              <w:rPr>
                <w:rFonts w:ascii="Arial Narrow" w:hAnsi="Arial Narrow" w:cs="Arial"/>
                <w:b/>
                <w:sz w:val="20"/>
                <w:szCs w:val="20"/>
              </w:rPr>
              <w:t xml:space="preserve">Category / Program:   </w:t>
            </w:r>
            <w:r w:rsidRPr="008266E7">
              <w:rPr>
                <w:rFonts w:ascii="Arial Narrow" w:hAnsi="Arial Narrow" w:cs="Arial"/>
                <w:sz w:val="20"/>
                <w:szCs w:val="20"/>
              </w:rPr>
              <w:t>GENERAL – General Schedule (Code GE)</w:t>
            </w:r>
            <w:r w:rsidRPr="008266E7">
              <w:rPr>
                <w:rFonts w:ascii="Arial Narrow" w:hAnsi="Arial Narrow" w:cs="Arial"/>
                <w:color w:val="FF0000"/>
                <w:sz w:val="20"/>
                <w:szCs w:val="20"/>
              </w:rPr>
              <w:t xml:space="preserve"> </w:t>
            </w:r>
          </w:p>
        </w:tc>
      </w:tr>
      <w:tr w:rsidR="005B0927" w:rsidRPr="00772067" w14:paraId="1C4A28CE" w14:textId="77777777" w:rsidTr="00AD2329">
        <w:tblPrEx>
          <w:tblCellMar>
            <w:top w:w="15" w:type="dxa"/>
            <w:left w:w="15" w:type="dxa"/>
            <w:bottom w:w="15" w:type="dxa"/>
            <w:right w:w="15" w:type="dxa"/>
          </w:tblCellMar>
          <w:tblLook w:val="04A0" w:firstRow="1" w:lastRow="0" w:firstColumn="1" w:lastColumn="0" w:noHBand="0" w:noVBand="1"/>
        </w:tblPrEx>
        <w:trPr>
          <w:trHeight w:val="240"/>
        </w:trPr>
        <w:tc>
          <w:tcPr>
            <w:tcW w:w="988" w:type="dxa"/>
            <w:gridSpan w:val="2"/>
            <w:vMerge/>
            <w:tcBorders>
              <w:left w:val="single" w:sz="4" w:space="0" w:color="auto"/>
              <w:right w:val="single" w:sz="4" w:space="0" w:color="auto"/>
            </w:tcBorders>
          </w:tcPr>
          <w:p w14:paraId="0A49A3E9" w14:textId="77777777" w:rsidR="005B0927" w:rsidRPr="008266E7" w:rsidRDefault="005B0927" w:rsidP="00AD2329">
            <w:pPr>
              <w:rPr>
                <w:rFonts w:ascii="Arial Narrow" w:hAnsi="Arial Narrow" w:cs="Arial"/>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4621DDE3" w14:textId="77777777" w:rsidR="005B0927" w:rsidRPr="008266E7" w:rsidRDefault="005B0927" w:rsidP="00AD2329">
            <w:pPr>
              <w:rPr>
                <w:rFonts w:ascii="Arial Narrow" w:hAnsi="Arial Narrow" w:cs="Arial"/>
                <w:b/>
                <w:sz w:val="20"/>
                <w:szCs w:val="20"/>
              </w:rPr>
            </w:pPr>
            <w:r w:rsidRPr="008266E7">
              <w:rPr>
                <w:rFonts w:ascii="Arial Narrow" w:hAnsi="Arial Narrow" w:cs="Arial"/>
                <w:b/>
                <w:sz w:val="20"/>
                <w:szCs w:val="20"/>
              </w:rPr>
              <w:t xml:space="preserve">Prescriber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C2102">
              <w:rPr>
                <w:rFonts w:ascii="Arial Narrow" w:hAnsi="Arial Narrow" w:cs="Arial"/>
                <w:sz w:val="20"/>
                <w:szCs w:val="20"/>
              </w:rPr>
            </w:r>
            <w:r w:rsidR="007C2102">
              <w:rPr>
                <w:rFonts w:ascii="Arial Narrow" w:hAnsi="Arial Narrow" w:cs="Arial"/>
                <w:sz w:val="20"/>
                <w:szCs w:val="20"/>
              </w:rPr>
              <w:fldChar w:fldCharType="separate"/>
            </w:r>
            <w:r>
              <w:rPr>
                <w:rFonts w:ascii="Arial Narrow" w:hAnsi="Arial Narrow" w:cs="Arial"/>
                <w:sz w:val="20"/>
                <w:szCs w:val="20"/>
              </w:rPr>
              <w:fldChar w:fldCharType="end"/>
            </w:r>
            <w:r w:rsidRPr="008266E7">
              <w:rPr>
                <w:rFonts w:ascii="Arial Narrow" w:hAnsi="Arial Narrow" w:cs="Arial"/>
                <w:sz w:val="20"/>
                <w:szCs w:val="20"/>
              </w:rPr>
              <w:t xml:space="preserve">Medical </w:t>
            </w:r>
            <w:r>
              <w:rPr>
                <w:rFonts w:ascii="Arial Narrow" w:hAnsi="Arial Narrow" w:cs="Arial"/>
                <w:sz w:val="20"/>
                <w:szCs w:val="20"/>
              </w:rPr>
              <w:t>Practitioners</w:t>
            </w:r>
          </w:p>
        </w:tc>
      </w:tr>
      <w:tr w:rsidR="005B0927" w:rsidRPr="00677540" w14:paraId="2195342E"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Merge/>
            <w:tcBorders>
              <w:left w:val="single" w:sz="4" w:space="0" w:color="auto"/>
              <w:bottom w:val="single" w:sz="4" w:space="0" w:color="auto"/>
              <w:right w:val="single" w:sz="4" w:space="0" w:color="auto"/>
            </w:tcBorders>
          </w:tcPr>
          <w:p w14:paraId="640C2A6B" w14:textId="77777777" w:rsidR="005B0927" w:rsidRPr="008266E7" w:rsidRDefault="005B0927" w:rsidP="00AD2329">
            <w:pPr>
              <w:rPr>
                <w:rFonts w:ascii="Arial Narrow" w:hAnsi="Arial Narrow" w:cs="Arial"/>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41C444EE" w14:textId="77777777" w:rsidR="005B0927" w:rsidRPr="008266E7" w:rsidRDefault="005B0927" w:rsidP="00AD2329">
            <w:pPr>
              <w:rPr>
                <w:rFonts w:ascii="Arial Narrow" w:eastAsia="Calibri" w:hAnsi="Arial Narrow" w:cs="Arial"/>
                <w:color w:val="FF00FF"/>
                <w:sz w:val="20"/>
                <w:szCs w:val="20"/>
              </w:rPr>
            </w:pPr>
            <w:r w:rsidRPr="008266E7">
              <w:rPr>
                <w:rFonts w:ascii="Arial Narrow" w:hAnsi="Arial Narrow" w:cs="Arial"/>
                <w:b/>
                <w:sz w:val="20"/>
                <w:szCs w:val="20"/>
              </w:rPr>
              <w:t xml:space="preserve">Restriction type: </w:t>
            </w:r>
            <w:r w:rsidRPr="008266E7">
              <w:rPr>
                <w:rFonts w:ascii="Arial Narrow" w:eastAsia="Calibri" w:hAnsi="Arial Narrow" w:cs="Arial"/>
                <w:color w:val="FF0000"/>
                <w:sz w:val="20"/>
                <w:szCs w:val="20"/>
              </w:rPr>
              <w:t xml:space="preserve"> </w:t>
            </w:r>
            <w:r>
              <w:rPr>
                <w:rFonts w:ascii="Arial Narrow" w:eastAsia="Calibri" w:hAnsi="Arial Narrow" w:cs="Arial"/>
                <w:sz w:val="20"/>
                <w:szCs w:val="20"/>
              </w:rPr>
              <w:fldChar w:fldCharType="begin">
                <w:ffData>
                  <w:name w:val="Check3"/>
                  <w:enabled/>
                  <w:calcOnExit w:val="0"/>
                  <w:checkBox>
                    <w:sizeAuto/>
                    <w:default w:val="1"/>
                  </w:checkBox>
                </w:ffData>
              </w:fldChar>
            </w:r>
            <w:r>
              <w:rPr>
                <w:rFonts w:ascii="Arial Narrow" w:eastAsia="Calibri" w:hAnsi="Arial Narrow" w:cs="Arial"/>
                <w:sz w:val="20"/>
                <w:szCs w:val="20"/>
              </w:rPr>
              <w:instrText xml:space="preserve"> FORMCHECKBOX </w:instrText>
            </w:r>
            <w:r w:rsidR="007C2102">
              <w:rPr>
                <w:rFonts w:ascii="Arial Narrow" w:eastAsia="Calibri" w:hAnsi="Arial Narrow" w:cs="Arial"/>
                <w:sz w:val="20"/>
                <w:szCs w:val="20"/>
              </w:rPr>
            </w:r>
            <w:r w:rsidR="007C2102">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8266E7">
              <w:rPr>
                <w:rFonts w:ascii="Arial Narrow" w:eastAsia="Calibri" w:hAnsi="Arial Narrow" w:cs="Arial"/>
                <w:sz w:val="20"/>
                <w:szCs w:val="20"/>
              </w:rPr>
              <w:t>Authority Required (</w:t>
            </w:r>
            <w:r>
              <w:rPr>
                <w:rFonts w:ascii="Arial Narrow" w:eastAsia="Calibri" w:hAnsi="Arial Narrow" w:cs="Arial"/>
                <w:sz w:val="20"/>
                <w:szCs w:val="20"/>
              </w:rPr>
              <w:t>in writing only via post/HPOS upload</w:t>
            </w:r>
            <w:r w:rsidRPr="008266E7">
              <w:rPr>
                <w:rFonts w:ascii="Arial Narrow" w:eastAsia="Calibri" w:hAnsi="Arial Narrow" w:cs="Arial"/>
                <w:sz w:val="20"/>
                <w:szCs w:val="20"/>
              </w:rPr>
              <w:t>)</w:t>
            </w:r>
            <w:r>
              <w:rPr>
                <w:rFonts w:ascii="Arial Narrow" w:eastAsia="Calibri" w:hAnsi="Arial Narrow" w:cs="Arial"/>
                <w:sz w:val="20"/>
                <w:szCs w:val="20"/>
              </w:rPr>
              <w:t>:</w:t>
            </w:r>
            <w:r w:rsidRPr="008266E7">
              <w:rPr>
                <w:rFonts w:ascii="Arial Narrow" w:eastAsia="Calibri" w:hAnsi="Arial Narrow" w:cs="Arial"/>
                <w:sz w:val="20"/>
                <w:szCs w:val="20"/>
              </w:rPr>
              <w:t xml:space="preserve"> </w:t>
            </w:r>
          </w:p>
        </w:tc>
      </w:tr>
      <w:tr w:rsidR="005B0927" w:rsidRPr="00120A12" w14:paraId="29C41438" w14:textId="77777777" w:rsidTr="00AD2329">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val="restart"/>
            <w:tcBorders>
              <w:left w:val="single" w:sz="4" w:space="0" w:color="auto"/>
              <w:right w:val="single" w:sz="4" w:space="0" w:color="auto"/>
            </w:tcBorders>
            <w:textDirection w:val="btLr"/>
          </w:tcPr>
          <w:p w14:paraId="73FF9AC1" w14:textId="04B7F720" w:rsidR="005B0927" w:rsidRPr="008266E7" w:rsidRDefault="005B0927" w:rsidP="00AD2329">
            <w:pPr>
              <w:spacing w:line="0" w:lineRule="atLeast"/>
              <w:ind w:left="57" w:right="57"/>
              <w:jc w:val="center"/>
              <w:rPr>
                <w:rFonts w:ascii="Arial Narrow" w:hAnsi="Arial Narrow" w:cs="Arial"/>
                <w:sz w:val="20"/>
                <w:szCs w:val="20"/>
              </w:rPr>
            </w:pPr>
          </w:p>
        </w:tc>
        <w:tc>
          <w:tcPr>
            <w:tcW w:w="567" w:type="dxa"/>
            <w:vAlign w:val="center"/>
          </w:tcPr>
          <w:p w14:paraId="2FE0DA59" w14:textId="4A283CF9" w:rsidR="005B0927" w:rsidRPr="00280B3C" w:rsidRDefault="005B0927" w:rsidP="00AD2329">
            <w:pPr>
              <w:jc w:val="center"/>
              <w:rPr>
                <w:rFonts w:ascii="Arial Narrow" w:hAnsi="Arial Narrow"/>
                <w:sz w:val="20"/>
                <w:szCs w:val="20"/>
              </w:rPr>
            </w:pPr>
          </w:p>
        </w:tc>
        <w:tc>
          <w:tcPr>
            <w:tcW w:w="8079" w:type="dxa"/>
            <w:gridSpan w:val="6"/>
            <w:vAlign w:val="center"/>
          </w:tcPr>
          <w:p w14:paraId="6025421A" w14:textId="77777777" w:rsidR="005B0927" w:rsidRDefault="005B0927" w:rsidP="00AD2329">
            <w:pPr>
              <w:rPr>
                <w:rFonts w:ascii="Arial Narrow" w:hAnsi="Arial Narrow"/>
                <w:b/>
                <w:bCs/>
                <w:sz w:val="20"/>
                <w:szCs w:val="20"/>
              </w:rPr>
            </w:pPr>
            <w:r w:rsidRPr="00280B3C">
              <w:rPr>
                <w:rFonts w:ascii="Arial Narrow" w:hAnsi="Arial Narrow"/>
                <w:b/>
                <w:bCs/>
                <w:sz w:val="20"/>
                <w:szCs w:val="20"/>
              </w:rPr>
              <w:t>Administrative Advice</w:t>
            </w:r>
            <w:r>
              <w:rPr>
                <w:rFonts w:ascii="Arial Narrow" w:hAnsi="Arial Narrow"/>
                <w:b/>
                <w:bCs/>
                <w:sz w:val="20"/>
                <w:szCs w:val="20"/>
              </w:rPr>
              <w:t>:</w:t>
            </w:r>
          </w:p>
          <w:p w14:paraId="1065BB03" w14:textId="7D62BBD1" w:rsidR="005B0927" w:rsidRPr="00280B3C" w:rsidRDefault="00524A0F" w:rsidP="00AD2329">
            <w:pPr>
              <w:rPr>
                <w:rFonts w:ascii="Arial Narrow" w:hAnsi="Arial Narrow"/>
                <w:sz w:val="20"/>
                <w:szCs w:val="20"/>
              </w:rPr>
            </w:pPr>
            <w:r w:rsidRPr="00524A0F">
              <w:rPr>
                <w:rFonts w:ascii="Arial Narrow" w:hAnsi="Arial Narrow"/>
                <w:sz w:val="20"/>
                <w:szCs w:val="20"/>
              </w:rPr>
              <w:t>PBS AUTHORITY APPLICATIONS FOR SEVERE ACTIVE RHEUMATOID ARTHRITIS</w:t>
            </w:r>
            <w:r w:rsidR="005B0927">
              <w:rPr>
                <w:rFonts w:ascii="Arial Narrow" w:hAnsi="Arial Narrow"/>
                <w:sz w:val="20"/>
                <w:szCs w:val="20"/>
              </w:rPr>
              <w:t>…</w:t>
            </w:r>
          </w:p>
        </w:tc>
      </w:tr>
      <w:tr w:rsidR="005B0927" w:rsidRPr="00120A12" w14:paraId="6A17B3ED" w14:textId="77777777" w:rsidTr="00AD2329">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62486FAC" w14:textId="77777777" w:rsidR="005B0927" w:rsidRDefault="005B0927" w:rsidP="00AD2329">
            <w:pPr>
              <w:spacing w:line="0" w:lineRule="atLeast"/>
              <w:ind w:left="57" w:right="57"/>
              <w:jc w:val="center"/>
              <w:rPr>
                <w:rFonts w:ascii="Arial Narrow" w:hAnsi="Arial Narrow" w:cs="Arial"/>
                <w:sz w:val="20"/>
                <w:szCs w:val="20"/>
              </w:rPr>
            </w:pPr>
          </w:p>
        </w:tc>
        <w:tc>
          <w:tcPr>
            <w:tcW w:w="567" w:type="dxa"/>
            <w:vAlign w:val="center"/>
          </w:tcPr>
          <w:p w14:paraId="0FF116B1" w14:textId="209031DC" w:rsidR="005B0927" w:rsidRPr="00EC291E" w:rsidRDefault="005B0927" w:rsidP="00AD2329">
            <w:pPr>
              <w:jc w:val="center"/>
              <w:rPr>
                <w:rFonts w:ascii="Arial Narrow" w:hAnsi="Arial Narrow"/>
                <w:sz w:val="20"/>
                <w:szCs w:val="20"/>
              </w:rPr>
            </w:pPr>
          </w:p>
        </w:tc>
        <w:tc>
          <w:tcPr>
            <w:tcW w:w="8079" w:type="dxa"/>
            <w:gridSpan w:val="6"/>
            <w:vAlign w:val="center"/>
          </w:tcPr>
          <w:p w14:paraId="2F004BC9" w14:textId="77777777" w:rsidR="005B0927" w:rsidRPr="00EC291E" w:rsidRDefault="005B0927" w:rsidP="00AD2329">
            <w:pPr>
              <w:rPr>
                <w:rFonts w:ascii="Arial Narrow" w:hAnsi="Arial Narrow"/>
                <w:b/>
                <w:bCs/>
                <w:sz w:val="20"/>
                <w:szCs w:val="20"/>
              </w:rPr>
            </w:pPr>
            <w:r w:rsidRPr="00366940">
              <w:rPr>
                <w:rFonts w:ascii="Arial Narrow" w:hAnsi="Arial Narrow"/>
                <w:b/>
                <w:bCs/>
                <w:sz w:val="20"/>
                <w:szCs w:val="20"/>
              </w:rPr>
              <w:t>Administrative Advice:</w:t>
            </w:r>
          </w:p>
          <w:p w14:paraId="39681C6F" w14:textId="22982AD8" w:rsidR="005B0927" w:rsidRPr="00EC291E" w:rsidRDefault="00B16D12" w:rsidP="00AD2329">
            <w:pPr>
              <w:rPr>
                <w:rFonts w:ascii="Arial Narrow" w:hAnsi="Arial Narrow"/>
                <w:b/>
                <w:bCs/>
                <w:sz w:val="20"/>
                <w:szCs w:val="20"/>
              </w:rPr>
            </w:pPr>
            <w:r w:rsidRPr="00B16D12">
              <w:rPr>
                <w:rFonts w:ascii="Arial Narrow" w:hAnsi="Arial Narrow"/>
                <w:i/>
                <w:iCs/>
                <w:sz w:val="20"/>
                <w:szCs w:val="20"/>
              </w:rPr>
              <w:t xml:space="preserve">The patient will require two supplies to complete their loading doses. The first supply will provide for the </w:t>
            </w:r>
            <w:r w:rsidR="00BB1ACF">
              <w:rPr>
                <w:rFonts w:ascii="Arial Narrow" w:hAnsi="Arial Narrow"/>
                <w:i/>
                <w:iCs/>
                <w:sz w:val="20"/>
                <w:szCs w:val="20"/>
              </w:rPr>
              <w:t xml:space="preserve">loading </w:t>
            </w:r>
            <w:r w:rsidRPr="00B16D12">
              <w:rPr>
                <w:rFonts w:ascii="Arial Narrow" w:hAnsi="Arial Narrow"/>
                <w:i/>
                <w:iCs/>
                <w:sz w:val="20"/>
                <w:szCs w:val="20"/>
              </w:rPr>
              <w:t>doses at weeks 0, 1 and 2, and the second supply will provide for the remaining loading doses at weeks 3 and 4, as well as the first fortnightly dose at week 6.</w:t>
            </w:r>
          </w:p>
        </w:tc>
      </w:tr>
      <w:tr w:rsidR="005B0927" w:rsidRPr="00120A12" w14:paraId="52048433" w14:textId="77777777" w:rsidTr="00AD2329">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2A5E70A1" w14:textId="77777777" w:rsidR="005B0927" w:rsidRDefault="005B0927" w:rsidP="00AD2329">
            <w:pPr>
              <w:spacing w:line="0" w:lineRule="atLeast"/>
              <w:ind w:left="57" w:right="57"/>
              <w:jc w:val="center"/>
              <w:rPr>
                <w:rFonts w:ascii="Arial Narrow" w:hAnsi="Arial Narrow" w:cs="Arial"/>
                <w:sz w:val="20"/>
                <w:szCs w:val="20"/>
              </w:rPr>
            </w:pPr>
          </w:p>
        </w:tc>
        <w:tc>
          <w:tcPr>
            <w:tcW w:w="567" w:type="dxa"/>
            <w:vAlign w:val="center"/>
          </w:tcPr>
          <w:p w14:paraId="041388B0" w14:textId="56D59758" w:rsidR="005B0927" w:rsidRPr="00EC291E" w:rsidRDefault="005B0927" w:rsidP="00AD2329">
            <w:pPr>
              <w:jc w:val="center"/>
              <w:rPr>
                <w:rFonts w:ascii="Arial Narrow" w:hAnsi="Arial Narrow"/>
                <w:sz w:val="20"/>
                <w:szCs w:val="20"/>
              </w:rPr>
            </w:pPr>
          </w:p>
        </w:tc>
        <w:tc>
          <w:tcPr>
            <w:tcW w:w="8079" w:type="dxa"/>
            <w:gridSpan w:val="6"/>
            <w:vAlign w:val="center"/>
          </w:tcPr>
          <w:p w14:paraId="7C6F8440" w14:textId="77777777" w:rsidR="005B0927" w:rsidRPr="00C703E4" w:rsidRDefault="005B0927" w:rsidP="00AD2329">
            <w:pPr>
              <w:rPr>
                <w:rFonts w:ascii="Arial Narrow" w:hAnsi="Arial Narrow"/>
                <w:b/>
                <w:bCs/>
                <w:sz w:val="20"/>
                <w:szCs w:val="20"/>
              </w:rPr>
            </w:pPr>
            <w:r w:rsidRPr="00C703E4">
              <w:rPr>
                <w:rFonts w:ascii="Arial Narrow" w:hAnsi="Arial Narrow"/>
                <w:b/>
                <w:bCs/>
                <w:sz w:val="20"/>
                <w:szCs w:val="20"/>
              </w:rPr>
              <w:t>Administrative Advice:</w:t>
            </w:r>
          </w:p>
          <w:p w14:paraId="5D3193EB" w14:textId="77777777" w:rsidR="005B0927" w:rsidRPr="004847DE" w:rsidRDefault="005B0927" w:rsidP="00AD2329">
            <w:pPr>
              <w:rPr>
                <w:rFonts w:ascii="Arial Narrow" w:hAnsi="Arial Narrow"/>
                <w:sz w:val="20"/>
                <w:szCs w:val="20"/>
              </w:rPr>
            </w:pPr>
            <w:r w:rsidRPr="004847DE">
              <w:rPr>
                <w:rFonts w:ascii="Arial Narrow" w:hAnsi="Arial Narrow"/>
                <w:sz w:val="20"/>
                <w:szCs w:val="20"/>
              </w:rPr>
              <w:t>The application should indicate which formulation e.g. pre-filled pen or pre-filled syringe to ensure appropriate item is approved.</w:t>
            </w:r>
          </w:p>
        </w:tc>
      </w:tr>
      <w:tr w:rsidR="005B0927" w:rsidRPr="00120A12" w14:paraId="3E64B807" w14:textId="77777777" w:rsidTr="00AD2329">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12506C9A" w14:textId="77777777" w:rsidR="005B0927" w:rsidRDefault="005B0927" w:rsidP="00AD2329">
            <w:pPr>
              <w:spacing w:line="0" w:lineRule="atLeast"/>
              <w:ind w:left="57" w:right="57"/>
              <w:jc w:val="center"/>
              <w:rPr>
                <w:rFonts w:ascii="Arial Narrow" w:hAnsi="Arial Narrow" w:cs="Arial"/>
                <w:sz w:val="20"/>
                <w:szCs w:val="20"/>
              </w:rPr>
            </w:pPr>
          </w:p>
        </w:tc>
        <w:tc>
          <w:tcPr>
            <w:tcW w:w="567" w:type="dxa"/>
            <w:vAlign w:val="center"/>
          </w:tcPr>
          <w:p w14:paraId="3262FBC8" w14:textId="5B1BDD50" w:rsidR="005B0927" w:rsidRPr="00C703E4" w:rsidRDefault="005B0927" w:rsidP="00AD2329">
            <w:pPr>
              <w:jc w:val="center"/>
              <w:rPr>
                <w:rFonts w:ascii="Arial Narrow" w:hAnsi="Arial Narrow"/>
                <w:sz w:val="20"/>
                <w:szCs w:val="20"/>
              </w:rPr>
            </w:pPr>
          </w:p>
        </w:tc>
        <w:tc>
          <w:tcPr>
            <w:tcW w:w="8079" w:type="dxa"/>
            <w:gridSpan w:val="6"/>
            <w:vAlign w:val="center"/>
          </w:tcPr>
          <w:p w14:paraId="1A61E51A" w14:textId="77777777" w:rsidR="005B0927" w:rsidRDefault="005B0927" w:rsidP="00AD2329">
            <w:pPr>
              <w:rPr>
                <w:rFonts w:ascii="Arial Narrow" w:hAnsi="Arial Narrow"/>
                <w:b/>
                <w:bCs/>
                <w:sz w:val="20"/>
                <w:szCs w:val="20"/>
              </w:rPr>
            </w:pPr>
            <w:r w:rsidRPr="00C703E4">
              <w:rPr>
                <w:rFonts w:ascii="Arial Narrow" w:hAnsi="Arial Narrow"/>
                <w:b/>
                <w:bCs/>
                <w:sz w:val="20"/>
                <w:szCs w:val="20"/>
              </w:rPr>
              <w:t>Administrative Advice:</w:t>
            </w:r>
          </w:p>
          <w:p w14:paraId="389EC7D3" w14:textId="77777777" w:rsidR="005B0927" w:rsidRPr="00183032" w:rsidRDefault="005B0927" w:rsidP="00AD2329">
            <w:pPr>
              <w:rPr>
                <w:rFonts w:ascii="Arial Narrow" w:hAnsi="Arial Narrow"/>
                <w:sz w:val="20"/>
                <w:szCs w:val="20"/>
              </w:rPr>
            </w:pPr>
            <w:r w:rsidRPr="00183032">
              <w:rPr>
                <w:rFonts w:ascii="Arial Narrow" w:hAnsi="Arial Narrow"/>
                <w:sz w:val="20"/>
                <w:szCs w:val="20"/>
              </w:rPr>
              <w:t>No increase in the maximum quantity or number of units may be authorised.</w:t>
            </w:r>
          </w:p>
        </w:tc>
      </w:tr>
      <w:tr w:rsidR="005B0927" w:rsidRPr="00120A12" w14:paraId="38BB7BF8" w14:textId="77777777" w:rsidTr="00AD2329">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38F4BE3C" w14:textId="77777777" w:rsidR="005B0927" w:rsidRDefault="005B0927" w:rsidP="00AD2329">
            <w:pPr>
              <w:spacing w:line="0" w:lineRule="atLeast"/>
              <w:ind w:left="57" w:right="57"/>
              <w:jc w:val="center"/>
              <w:rPr>
                <w:rFonts w:ascii="Arial Narrow" w:hAnsi="Arial Narrow" w:cs="Arial"/>
                <w:sz w:val="20"/>
                <w:szCs w:val="20"/>
              </w:rPr>
            </w:pPr>
          </w:p>
        </w:tc>
        <w:tc>
          <w:tcPr>
            <w:tcW w:w="567" w:type="dxa"/>
            <w:vAlign w:val="center"/>
          </w:tcPr>
          <w:p w14:paraId="2032C789" w14:textId="570637CD" w:rsidR="005B0927" w:rsidRPr="00C703E4" w:rsidRDefault="005B0927" w:rsidP="00AD2329">
            <w:pPr>
              <w:jc w:val="center"/>
              <w:rPr>
                <w:rFonts w:ascii="Arial Narrow" w:hAnsi="Arial Narrow"/>
                <w:sz w:val="20"/>
                <w:szCs w:val="20"/>
              </w:rPr>
            </w:pPr>
          </w:p>
        </w:tc>
        <w:tc>
          <w:tcPr>
            <w:tcW w:w="8079" w:type="dxa"/>
            <w:gridSpan w:val="6"/>
            <w:vAlign w:val="center"/>
          </w:tcPr>
          <w:p w14:paraId="571D8E09" w14:textId="77777777" w:rsidR="005B0927" w:rsidRPr="00183032" w:rsidRDefault="005B0927" w:rsidP="00AD2329">
            <w:pPr>
              <w:rPr>
                <w:rFonts w:ascii="Arial Narrow" w:hAnsi="Arial Narrow"/>
                <w:b/>
                <w:bCs/>
                <w:sz w:val="20"/>
                <w:szCs w:val="20"/>
              </w:rPr>
            </w:pPr>
            <w:r w:rsidRPr="00C703E4">
              <w:rPr>
                <w:rFonts w:ascii="Arial Narrow" w:hAnsi="Arial Narrow"/>
                <w:b/>
                <w:bCs/>
                <w:sz w:val="20"/>
                <w:szCs w:val="20"/>
              </w:rPr>
              <w:t>Administrative Advice:</w:t>
            </w:r>
          </w:p>
          <w:p w14:paraId="23DEE31C" w14:textId="77777777" w:rsidR="005B0927" w:rsidRPr="00183032" w:rsidRDefault="005B0927" w:rsidP="00AD2329">
            <w:pPr>
              <w:rPr>
                <w:rFonts w:ascii="Arial Narrow" w:hAnsi="Arial Narrow"/>
                <w:sz w:val="20"/>
                <w:szCs w:val="20"/>
              </w:rPr>
            </w:pPr>
            <w:r w:rsidRPr="00183032">
              <w:rPr>
                <w:rFonts w:ascii="Arial Narrow" w:hAnsi="Arial Narrow"/>
                <w:sz w:val="20"/>
                <w:szCs w:val="20"/>
              </w:rPr>
              <w:t>No increase in the maximum number of repeats may be authorised.</w:t>
            </w:r>
          </w:p>
        </w:tc>
      </w:tr>
      <w:tr w:rsidR="005B0927" w:rsidRPr="00120A12" w14:paraId="50A7E193" w14:textId="77777777" w:rsidTr="00AD2329">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0B8FA7EC" w14:textId="77777777" w:rsidR="005B0927" w:rsidRDefault="005B0927" w:rsidP="00AD2329">
            <w:pPr>
              <w:spacing w:line="0" w:lineRule="atLeast"/>
              <w:ind w:left="57" w:right="57"/>
              <w:jc w:val="center"/>
              <w:rPr>
                <w:rFonts w:ascii="Arial Narrow" w:hAnsi="Arial Narrow" w:cs="Arial"/>
                <w:sz w:val="20"/>
                <w:szCs w:val="20"/>
              </w:rPr>
            </w:pPr>
          </w:p>
        </w:tc>
        <w:tc>
          <w:tcPr>
            <w:tcW w:w="567" w:type="dxa"/>
            <w:vAlign w:val="center"/>
          </w:tcPr>
          <w:p w14:paraId="2129BF82" w14:textId="2497A956" w:rsidR="005B0927" w:rsidRDefault="005B0927" w:rsidP="00AD2329">
            <w:pPr>
              <w:jc w:val="center"/>
              <w:rPr>
                <w:rFonts w:ascii="Arial Narrow" w:hAnsi="Arial Narrow"/>
                <w:sz w:val="20"/>
                <w:szCs w:val="20"/>
              </w:rPr>
            </w:pPr>
          </w:p>
        </w:tc>
        <w:tc>
          <w:tcPr>
            <w:tcW w:w="8079" w:type="dxa"/>
            <w:gridSpan w:val="6"/>
            <w:vAlign w:val="center"/>
          </w:tcPr>
          <w:p w14:paraId="59A4AF99" w14:textId="77777777" w:rsidR="005B0927" w:rsidRPr="00280B3C" w:rsidRDefault="005B0927" w:rsidP="00AD2329">
            <w:pPr>
              <w:rPr>
                <w:rFonts w:ascii="Arial Narrow" w:hAnsi="Arial Narrow"/>
                <w:b/>
                <w:bCs/>
                <w:sz w:val="20"/>
                <w:szCs w:val="20"/>
              </w:rPr>
            </w:pPr>
            <w:r w:rsidRPr="00280B3C">
              <w:rPr>
                <w:rFonts w:ascii="Arial Narrow" w:hAnsi="Arial Narrow"/>
                <w:b/>
                <w:bCs/>
                <w:sz w:val="20"/>
                <w:szCs w:val="20"/>
              </w:rPr>
              <w:t>Administrative Advice:</w:t>
            </w:r>
          </w:p>
          <w:p w14:paraId="1DF16477" w14:textId="77777777" w:rsidR="005B0927" w:rsidRPr="00C703E4" w:rsidRDefault="005B0927" w:rsidP="00AD2329">
            <w:pPr>
              <w:rPr>
                <w:rFonts w:ascii="Arial Narrow" w:hAnsi="Arial Narrow"/>
                <w:b/>
                <w:bCs/>
                <w:sz w:val="20"/>
                <w:szCs w:val="20"/>
              </w:rPr>
            </w:pPr>
            <w:r w:rsidRPr="00280B3C">
              <w:rPr>
                <w:rFonts w:ascii="Arial Narrow" w:hAnsi="Arial Narrow"/>
                <w:sz w:val="20"/>
                <w:szCs w:val="20"/>
              </w:rPr>
              <w:t>The Services Australia website (www.servicesaustralia.gov.au) has details of the toxicities, including severity, which will be accepted where one is claimed.</w:t>
            </w:r>
          </w:p>
        </w:tc>
      </w:tr>
      <w:tr w:rsidR="005B0927" w:rsidRPr="00120A12" w14:paraId="24DDFCC3" w14:textId="77777777" w:rsidTr="00AD2329">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5385B505" w14:textId="77777777" w:rsidR="005B0927" w:rsidRDefault="005B0927" w:rsidP="00AD2329">
            <w:pPr>
              <w:spacing w:line="0" w:lineRule="atLeast"/>
              <w:ind w:left="57" w:right="57"/>
              <w:jc w:val="center"/>
              <w:rPr>
                <w:rFonts w:ascii="Arial Narrow" w:hAnsi="Arial Narrow" w:cs="Arial"/>
                <w:sz w:val="20"/>
                <w:szCs w:val="20"/>
              </w:rPr>
            </w:pPr>
          </w:p>
        </w:tc>
        <w:tc>
          <w:tcPr>
            <w:tcW w:w="567" w:type="dxa"/>
            <w:vAlign w:val="center"/>
          </w:tcPr>
          <w:p w14:paraId="4B7E5AE1" w14:textId="6948175D" w:rsidR="005B0927" w:rsidRDefault="005B0927" w:rsidP="00AD2329">
            <w:pPr>
              <w:jc w:val="center"/>
              <w:rPr>
                <w:rFonts w:ascii="Arial Narrow" w:hAnsi="Arial Narrow"/>
                <w:sz w:val="20"/>
                <w:szCs w:val="20"/>
              </w:rPr>
            </w:pPr>
          </w:p>
        </w:tc>
        <w:tc>
          <w:tcPr>
            <w:tcW w:w="8079" w:type="dxa"/>
            <w:gridSpan w:val="6"/>
            <w:vAlign w:val="center"/>
          </w:tcPr>
          <w:p w14:paraId="49715051" w14:textId="77777777" w:rsidR="005B0927" w:rsidRPr="00280B3C" w:rsidRDefault="005B0927" w:rsidP="00AD2329">
            <w:pPr>
              <w:rPr>
                <w:rFonts w:ascii="Arial Narrow" w:hAnsi="Arial Narrow"/>
                <w:b/>
                <w:bCs/>
                <w:sz w:val="20"/>
                <w:szCs w:val="20"/>
              </w:rPr>
            </w:pPr>
            <w:r w:rsidRPr="00280B3C">
              <w:rPr>
                <w:rFonts w:ascii="Arial Narrow" w:hAnsi="Arial Narrow"/>
                <w:b/>
                <w:bCs/>
                <w:sz w:val="20"/>
                <w:szCs w:val="20"/>
              </w:rPr>
              <w:t>Administrative Advice:</w:t>
            </w:r>
          </w:p>
          <w:p w14:paraId="1B230074" w14:textId="77777777" w:rsidR="005B0927" w:rsidRPr="00EC291E" w:rsidRDefault="005B0927" w:rsidP="00AD2329">
            <w:pPr>
              <w:rPr>
                <w:rFonts w:ascii="Arial Narrow" w:hAnsi="Arial Narrow"/>
                <w:sz w:val="20"/>
                <w:szCs w:val="20"/>
              </w:rPr>
            </w:pPr>
            <w:r w:rsidRPr="00EC291E">
              <w:rPr>
                <w:rFonts w:ascii="Arial Narrow" w:hAnsi="Arial Narrow"/>
                <w:sz w:val="20"/>
                <w:szCs w:val="20"/>
              </w:rPr>
              <w:t>Any queries concerning the arrangements to prescribe may be directed to Services Australia on 1800 700 270 (hours of operation 8 a.m. to 5 p.m. Monday to Friday).</w:t>
            </w:r>
          </w:p>
          <w:p w14:paraId="28D5317E" w14:textId="77777777" w:rsidR="005B0927" w:rsidRPr="00EC291E" w:rsidRDefault="005B0927" w:rsidP="00AD2329">
            <w:pPr>
              <w:rPr>
                <w:rFonts w:ascii="Arial Narrow" w:hAnsi="Arial Narrow"/>
                <w:sz w:val="20"/>
                <w:szCs w:val="20"/>
              </w:rPr>
            </w:pPr>
            <w:r w:rsidRPr="00EC291E">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15D86FF7" w14:textId="77777777" w:rsidR="005B0927" w:rsidRPr="00EC291E" w:rsidRDefault="005B0927" w:rsidP="00AD2329">
            <w:pPr>
              <w:rPr>
                <w:rFonts w:ascii="Arial Narrow" w:hAnsi="Arial Narrow"/>
                <w:sz w:val="20"/>
                <w:szCs w:val="20"/>
              </w:rPr>
            </w:pPr>
            <w:r w:rsidRPr="00EC291E">
              <w:rPr>
                <w:rFonts w:ascii="Arial Narrow" w:hAnsi="Arial Narrow"/>
                <w:sz w:val="20"/>
                <w:szCs w:val="20"/>
              </w:rPr>
              <w:t>Applications for authority to prescribe should be submitted online using the form upload facility in Health Professional Online Services (HPOS) at www.servicesaustralia.gov.au/hpos</w:t>
            </w:r>
          </w:p>
          <w:p w14:paraId="2B4C0B42" w14:textId="77777777" w:rsidR="005B0927" w:rsidRPr="00EC291E" w:rsidRDefault="005B0927" w:rsidP="00AD2329">
            <w:pPr>
              <w:rPr>
                <w:rFonts w:ascii="Arial Narrow" w:hAnsi="Arial Narrow"/>
                <w:sz w:val="20"/>
                <w:szCs w:val="20"/>
              </w:rPr>
            </w:pPr>
            <w:r w:rsidRPr="00EC291E">
              <w:rPr>
                <w:rFonts w:ascii="Arial Narrow" w:hAnsi="Arial Narrow"/>
                <w:sz w:val="20"/>
                <w:szCs w:val="20"/>
              </w:rPr>
              <w:t>Or mailed to:</w:t>
            </w:r>
          </w:p>
          <w:p w14:paraId="1F58A31E" w14:textId="77777777" w:rsidR="005B0927" w:rsidRPr="00EC291E" w:rsidRDefault="005B0927" w:rsidP="00AD2329">
            <w:pPr>
              <w:rPr>
                <w:rFonts w:ascii="Arial Narrow" w:hAnsi="Arial Narrow"/>
                <w:sz w:val="20"/>
                <w:szCs w:val="20"/>
              </w:rPr>
            </w:pPr>
            <w:r w:rsidRPr="00EC291E">
              <w:rPr>
                <w:rFonts w:ascii="Arial Narrow" w:hAnsi="Arial Narrow"/>
                <w:sz w:val="20"/>
                <w:szCs w:val="20"/>
              </w:rPr>
              <w:t>Services Australia</w:t>
            </w:r>
          </w:p>
          <w:p w14:paraId="26767BF5" w14:textId="77777777" w:rsidR="005B0927" w:rsidRPr="00EC291E" w:rsidRDefault="005B0927" w:rsidP="00AD2329">
            <w:pPr>
              <w:rPr>
                <w:rFonts w:ascii="Arial Narrow" w:hAnsi="Arial Narrow"/>
                <w:sz w:val="20"/>
                <w:szCs w:val="20"/>
              </w:rPr>
            </w:pPr>
            <w:r w:rsidRPr="00EC291E">
              <w:rPr>
                <w:rFonts w:ascii="Arial Narrow" w:hAnsi="Arial Narrow"/>
                <w:sz w:val="20"/>
                <w:szCs w:val="20"/>
              </w:rPr>
              <w:t>Complex Drugs</w:t>
            </w:r>
          </w:p>
          <w:p w14:paraId="2A7E397A" w14:textId="77777777" w:rsidR="005B0927" w:rsidRPr="00EC291E" w:rsidRDefault="005B0927" w:rsidP="00AD2329">
            <w:pPr>
              <w:rPr>
                <w:rFonts w:ascii="Arial Narrow" w:hAnsi="Arial Narrow"/>
                <w:sz w:val="20"/>
                <w:szCs w:val="20"/>
              </w:rPr>
            </w:pPr>
            <w:r w:rsidRPr="00EC291E">
              <w:rPr>
                <w:rFonts w:ascii="Arial Narrow" w:hAnsi="Arial Narrow"/>
                <w:sz w:val="20"/>
                <w:szCs w:val="20"/>
              </w:rPr>
              <w:t>Reply Paid 9826</w:t>
            </w:r>
          </w:p>
          <w:p w14:paraId="476FBE22" w14:textId="77777777" w:rsidR="005B0927" w:rsidRPr="00C703E4" w:rsidRDefault="005B0927" w:rsidP="00AD2329">
            <w:pPr>
              <w:rPr>
                <w:rFonts w:ascii="Arial Narrow" w:hAnsi="Arial Narrow"/>
                <w:b/>
                <w:bCs/>
                <w:sz w:val="20"/>
                <w:szCs w:val="20"/>
              </w:rPr>
            </w:pPr>
            <w:r w:rsidRPr="00EC291E">
              <w:rPr>
                <w:rFonts w:ascii="Arial Narrow" w:hAnsi="Arial Narrow"/>
                <w:sz w:val="20"/>
                <w:szCs w:val="20"/>
              </w:rPr>
              <w:t>HOBART TAS 7001</w:t>
            </w:r>
          </w:p>
        </w:tc>
      </w:tr>
      <w:tr w:rsidR="005B0927" w:rsidRPr="00120A12" w14:paraId="1DFB7914"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3369995" w14:textId="77777777" w:rsidR="005B0927" w:rsidRPr="00280B3C" w:rsidRDefault="005B0927" w:rsidP="00AD2329">
            <w:pPr>
              <w:jc w:val="center"/>
              <w:rPr>
                <w:rFonts w:ascii="Arial Narrow" w:hAnsi="Arial Narrow"/>
                <w:sz w:val="20"/>
                <w:szCs w:val="20"/>
              </w:rPr>
            </w:pPr>
          </w:p>
        </w:tc>
        <w:tc>
          <w:tcPr>
            <w:tcW w:w="8079" w:type="dxa"/>
            <w:gridSpan w:val="6"/>
            <w:vAlign w:val="center"/>
          </w:tcPr>
          <w:p w14:paraId="10AED3AE" w14:textId="77777777" w:rsidR="005B0927" w:rsidRPr="00915C05" w:rsidRDefault="005B0927" w:rsidP="00AD2329">
            <w:pPr>
              <w:rPr>
                <w:rFonts w:ascii="Arial Narrow" w:hAnsi="Arial Narrow"/>
                <w:b/>
                <w:bCs/>
                <w:sz w:val="20"/>
                <w:szCs w:val="20"/>
              </w:rPr>
            </w:pPr>
          </w:p>
        </w:tc>
      </w:tr>
      <w:tr w:rsidR="005B0927" w:rsidRPr="00120A12" w14:paraId="77277EDB" w14:textId="77777777" w:rsidTr="003C69E3">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360B6F3" w14:textId="0DB543CC" w:rsidR="005B0927" w:rsidRPr="00280B3C" w:rsidRDefault="005B0927" w:rsidP="00AD2329">
            <w:pPr>
              <w:jc w:val="center"/>
              <w:rPr>
                <w:rFonts w:ascii="Arial Narrow" w:hAnsi="Arial Narrow"/>
                <w:sz w:val="20"/>
                <w:szCs w:val="20"/>
              </w:rPr>
            </w:pPr>
          </w:p>
        </w:tc>
        <w:tc>
          <w:tcPr>
            <w:tcW w:w="8079" w:type="dxa"/>
            <w:gridSpan w:val="6"/>
            <w:vAlign w:val="center"/>
            <w:hideMark/>
          </w:tcPr>
          <w:p w14:paraId="40577B71" w14:textId="77777777" w:rsidR="005B0927" w:rsidRPr="00915C05" w:rsidRDefault="005B0927" w:rsidP="00AD2329">
            <w:pPr>
              <w:rPr>
                <w:rFonts w:ascii="Arial Narrow" w:hAnsi="Arial Narrow"/>
                <w:sz w:val="20"/>
                <w:szCs w:val="20"/>
              </w:rPr>
            </w:pPr>
            <w:r w:rsidRPr="00915C05">
              <w:rPr>
                <w:rFonts w:ascii="Arial Narrow" w:hAnsi="Arial Narrow"/>
                <w:b/>
                <w:bCs/>
                <w:sz w:val="20"/>
                <w:szCs w:val="20"/>
              </w:rPr>
              <w:t>Indication:</w:t>
            </w:r>
            <w:r w:rsidRPr="00915C05">
              <w:rPr>
                <w:rFonts w:ascii="Arial Narrow" w:hAnsi="Arial Narrow"/>
                <w:sz w:val="20"/>
                <w:szCs w:val="20"/>
              </w:rPr>
              <w:t xml:space="preserve"> Severe active rheumatoid arthritis</w:t>
            </w:r>
          </w:p>
        </w:tc>
      </w:tr>
      <w:tr w:rsidR="005B0927" w:rsidRPr="00B90897" w14:paraId="3344B5C8" w14:textId="77777777" w:rsidTr="003C69E3">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413A8B79" w14:textId="77777777" w:rsidR="005B0927" w:rsidRPr="00280B3C" w:rsidRDefault="005B0927" w:rsidP="00AD2329">
            <w:pPr>
              <w:jc w:val="center"/>
              <w:rPr>
                <w:rFonts w:ascii="Arial Narrow" w:hAnsi="Arial Narrow"/>
                <w:sz w:val="20"/>
                <w:szCs w:val="20"/>
              </w:rPr>
            </w:pPr>
          </w:p>
        </w:tc>
        <w:tc>
          <w:tcPr>
            <w:tcW w:w="8079" w:type="dxa"/>
            <w:gridSpan w:val="6"/>
            <w:vAlign w:val="center"/>
            <w:hideMark/>
          </w:tcPr>
          <w:p w14:paraId="7E057ACB" w14:textId="77777777" w:rsidR="005B0927" w:rsidRPr="00915C05" w:rsidRDefault="005B0927" w:rsidP="00AD2329">
            <w:pPr>
              <w:rPr>
                <w:rFonts w:ascii="Arial Narrow" w:hAnsi="Arial Narrow"/>
                <w:sz w:val="20"/>
                <w:szCs w:val="20"/>
              </w:rPr>
            </w:pPr>
            <w:r w:rsidRPr="00915C05">
              <w:rPr>
                <w:rFonts w:ascii="Arial Narrow" w:hAnsi="Arial Narrow"/>
                <w:b/>
                <w:bCs/>
                <w:sz w:val="20"/>
                <w:szCs w:val="20"/>
              </w:rPr>
              <w:t>Treatment Phase:</w:t>
            </w:r>
            <w:r w:rsidRPr="00915C05">
              <w:rPr>
                <w:rFonts w:ascii="Arial Narrow" w:hAnsi="Arial Narrow"/>
                <w:sz w:val="20"/>
                <w:szCs w:val="20"/>
              </w:rPr>
              <w:t xml:space="preserve"> </w:t>
            </w:r>
            <w:r w:rsidRPr="00183032">
              <w:rPr>
                <w:rFonts w:ascii="Arial Narrow" w:hAnsi="Arial Narrow"/>
                <w:i/>
                <w:iCs/>
                <w:sz w:val="20"/>
                <w:szCs w:val="20"/>
              </w:rPr>
              <w:t>Initial treatment with the subcutaneous form – Initial</w:t>
            </w:r>
            <w:r>
              <w:rPr>
                <w:rFonts w:ascii="Arial Narrow" w:hAnsi="Arial Narrow"/>
                <w:sz w:val="20"/>
                <w:szCs w:val="20"/>
              </w:rPr>
              <w:t xml:space="preserve"> </w:t>
            </w:r>
            <w:r w:rsidRPr="00915C05">
              <w:rPr>
                <w:rFonts w:ascii="Arial Narrow" w:hAnsi="Arial Narrow"/>
                <w:sz w:val="20"/>
                <w:szCs w:val="20"/>
              </w:rPr>
              <w:t>1 (new patient)</w:t>
            </w:r>
          </w:p>
        </w:tc>
      </w:tr>
      <w:tr w:rsidR="005B0927" w:rsidRPr="00B90897" w14:paraId="7342772C"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DFE9331" w14:textId="7DF6A9FE" w:rsidR="005B0927" w:rsidRPr="00280B3C" w:rsidRDefault="005B0927" w:rsidP="00AD2329">
            <w:pPr>
              <w:jc w:val="center"/>
              <w:rPr>
                <w:rFonts w:ascii="Arial Narrow" w:hAnsi="Arial Narrow"/>
                <w:sz w:val="20"/>
                <w:szCs w:val="20"/>
              </w:rPr>
            </w:pPr>
          </w:p>
        </w:tc>
        <w:tc>
          <w:tcPr>
            <w:tcW w:w="8079" w:type="dxa"/>
            <w:gridSpan w:val="6"/>
            <w:vAlign w:val="center"/>
          </w:tcPr>
          <w:p w14:paraId="5A61C153" w14:textId="77777777" w:rsidR="005B0927" w:rsidRPr="00296682" w:rsidRDefault="005B0927" w:rsidP="00AD2329">
            <w:pPr>
              <w:rPr>
                <w:rFonts w:ascii="Arial Narrow" w:hAnsi="Arial Narrow"/>
                <w:b/>
                <w:bCs/>
                <w:sz w:val="20"/>
                <w:szCs w:val="20"/>
              </w:rPr>
            </w:pPr>
            <w:r w:rsidRPr="00296682">
              <w:rPr>
                <w:rFonts w:ascii="Arial Narrow" w:hAnsi="Arial Narrow"/>
                <w:b/>
                <w:bCs/>
                <w:sz w:val="20"/>
                <w:szCs w:val="20"/>
              </w:rPr>
              <w:t>Treatment criteria:</w:t>
            </w:r>
          </w:p>
        </w:tc>
      </w:tr>
      <w:tr w:rsidR="005B0927" w:rsidRPr="00B90897" w14:paraId="0AB31A1B"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7E2D403" w14:textId="7AE48103" w:rsidR="005B0927" w:rsidRPr="00280B3C" w:rsidRDefault="005B0927" w:rsidP="00AD2329">
            <w:pPr>
              <w:jc w:val="center"/>
              <w:rPr>
                <w:rFonts w:ascii="Arial Narrow" w:hAnsi="Arial Narrow"/>
                <w:sz w:val="20"/>
                <w:szCs w:val="20"/>
              </w:rPr>
            </w:pPr>
          </w:p>
        </w:tc>
        <w:tc>
          <w:tcPr>
            <w:tcW w:w="8079" w:type="dxa"/>
            <w:gridSpan w:val="6"/>
            <w:vAlign w:val="center"/>
          </w:tcPr>
          <w:p w14:paraId="33EC48D6" w14:textId="77777777" w:rsidR="005B0927" w:rsidRPr="00296682" w:rsidRDefault="005B0927" w:rsidP="00AD2329">
            <w:pPr>
              <w:autoSpaceDE w:val="0"/>
              <w:autoSpaceDN w:val="0"/>
              <w:adjustRightInd w:val="0"/>
              <w:rPr>
                <w:rFonts w:ascii="Arial Narrow" w:hAnsi="Arial Narrow" w:cs="Arial Narrow"/>
                <w:iCs/>
                <w:sz w:val="20"/>
                <w:szCs w:val="20"/>
              </w:rPr>
            </w:pPr>
            <w:r w:rsidRPr="00296682">
              <w:rPr>
                <w:rFonts w:ascii="Arial Narrow" w:hAnsi="Arial Narrow" w:cs="Arial Narrow"/>
                <w:iCs/>
                <w:sz w:val="20"/>
                <w:szCs w:val="20"/>
              </w:rPr>
              <w:t>Must be treated by a rheumatologist; or</w:t>
            </w:r>
          </w:p>
        </w:tc>
      </w:tr>
      <w:tr w:rsidR="005B0927" w:rsidRPr="00B90897" w14:paraId="31B74727"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13FD218D" w14:textId="2B364727" w:rsidR="005B0927" w:rsidRPr="00280B3C" w:rsidRDefault="005B0927" w:rsidP="00AD2329">
            <w:pPr>
              <w:jc w:val="center"/>
              <w:rPr>
                <w:rFonts w:ascii="Arial Narrow" w:hAnsi="Arial Narrow"/>
                <w:sz w:val="20"/>
                <w:szCs w:val="20"/>
              </w:rPr>
            </w:pPr>
          </w:p>
        </w:tc>
        <w:tc>
          <w:tcPr>
            <w:tcW w:w="8079" w:type="dxa"/>
            <w:gridSpan w:val="6"/>
            <w:vAlign w:val="center"/>
          </w:tcPr>
          <w:p w14:paraId="70FCEA59" w14:textId="77777777" w:rsidR="005B0927" w:rsidRPr="00296682" w:rsidRDefault="005B0927" w:rsidP="00AD2329">
            <w:pPr>
              <w:rPr>
                <w:rFonts w:ascii="Arial Narrow" w:hAnsi="Arial Narrow"/>
                <w:sz w:val="20"/>
                <w:szCs w:val="20"/>
              </w:rPr>
            </w:pPr>
            <w:r w:rsidRPr="00296682">
              <w:rPr>
                <w:rFonts w:ascii="Arial Narrow" w:hAnsi="Arial Narrow"/>
                <w:sz w:val="20"/>
                <w:szCs w:val="20"/>
              </w:rPr>
              <w:t>Must be treated by a clinical immunologist with expertise in the management of rheumatoid arthritis</w:t>
            </w:r>
          </w:p>
        </w:tc>
      </w:tr>
      <w:tr w:rsidR="005B0927" w:rsidRPr="00B90897" w14:paraId="61F5B91F"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F316F85" w14:textId="77777777" w:rsidR="005B0927" w:rsidRPr="00280B3C" w:rsidRDefault="005B0927" w:rsidP="00AD2329">
            <w:pPr>
              <w:jc w:val="center"/>
              <w:rPr>
                <w:rFonts w:ascii="Arial Narrow" w:hAnsi="Arial Narrow"/>
                <w:sz w:val="20"/>
                <w:szCs w:val="20"/>
              </w:rPr>
            </w:pPr>
          </w:p>
        </w:tc>
        <w:tc>
          <w:tcPr>
            <w:tcW w:w="8079" w:type="dxa"/>
            <w:gridSpan w:val="6"/>
            <w:vAlign w:val="center"/>
          </w:tcPr>
          <w:p w14:paraId="06901EAE" w14:textId="77777777" w:rsidR="005B0927" w:rsidRPr="00296682" w:rsidRDefault="005B0927" w:rsidP="00AD2329">
            <w:pPr>
              <w:rPr>
                <w:rFonts w:ascii="Arial Narrow" w:hAnsi="Arial Narrow"/>
                <w:b/>
                <w:bCs/>
                <w:sz w:val="20"/>
                <w:szCs w:val="20"/>
              </w:rPr>
            </w:pPr>
          </w:p>
        </w:tc>
      </w:tr>
      <w:tr w:rsidR="005B0927" w:rsidRPr="00120A12" w14:paraId="676F1CB2"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2ACBD825" w14:textId="5C546EC5" w:rsidR="005B0927" w:rsidRPr="00280B3C" w:rsidRDefault="005B0927" w:rsidP="00AD2329">
            <w:pPr>
              <w:jc w:val="center"/>
              <w:rPr>
                <w:rFonts w:ascii="Arial Narrow" w:hAnsi="Arial Narrow"/>
                <w:sz w:val="20"/>
                <w:szCs w:val="20"/>
              </w:rPr>
            </w:pPr>
          </w:p>
        </w:tc>
        <w:tc>
          <w:tcPr>
            <w:tcW w:w="8079" w:type="dxa"/>
            <w:gridSpan w:val="6"/>
            <w:vAlign w:val="center"/>
            <w:hideMark/>
          </w:tcPr>
          <w:p w14:paraId="692FBCE9" w14:textId="77777777" w:rsidR="005B0927" w:rsidRPr="00296682" w:rsidRDefault="005B0927" w:rsidP="00AD2329">
            <w:pPr>
              <w:rPr>
                <w:rFonts w:ascii="Arial Narrow" w:hAnsi="Arial Narrow"/>
                <w:sz w:val="20"/>
                <w:szCs w:val="20"/>
              </w:rPr>
            </w:pPr>
            <w:r w:rsidRPr="00296682">
              <w:rPr>
                <w:rFonts w:ascii="Arial Narrow" w:hAnsi="Arial Narrow"/>
                <w:b/>
                <w:bCs/>
                <w:sz w:val="20"/>
                <w:szCs w:val="20"/>
              </w:rPr>
              <w:t>Clinical criteria:</w:t>
            </w:r>
          </w:p>
        </w:tc>
      </w:tr>
      <w:tr w:rsidR="005B0927" w:rsidRPr="00720161" w14:paraId="20047F13"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2CACC1A4" w14:textId="2E2A5FF9" w:rsidR="005B0927" w:rsidRPr="00280B3C" w:rsidRDefault="005B0927" w:rsidP="00AD2329">
            <w:pPr>
              <w:jc w:val="center"/>
              <w:rPr>
                <w:rFonts w:ascii="Arial Narrow" w:hAnsi="Arial Narrow"/>
                <w:sz w:val="20"/>
                <w:szCs w:val="20"/>
              </w:rPr>
            </w:pPr>
          </w:p>
        </w:tc>
        <w:tc>
          <w:tcPr>
            <w:tcW w:w="8079" w:type="dxa"/>
            <w:gridSpan w:val="6"/>
            <w:vAlign w:val="center"/>
            <w:hideMark/>
          </w:tcPr>
          <w:p w14:paraId="7A8D7668" w14:textId="77777777" w:rsidR="005B0927" w:rsidRPr="00296682" w:rsidRDefault="005B0927" w:rsidP="00AD2329">
            <w:pPr>
              <w:rPr>
                <w:rFonts w:ascii="Arial Narrow" w:hAnsi="Arial Narrow"/>
                <w:sz w:val="20"/>
                <w:szCs w:val="20"/>
              </w:rPr>
            </w:pPr>
            <w:r w:rsidRPr="009A4B37">
              <w:rPr>
                <w:rFonts w:ascii="Arial Narrow" w:hAnsi="Arial Narrow"/>
                <w:sz w:val="20"/>
                <w:szCs w:val="20"/>
              </w:rPr>
              <w:t>Patient must not have received PBS-subsidised treatment with a biological medicine for this condition</w:t>
            </w:r>
          </w:p>
        </w:tc>
      </w:tr>
      <w:tr w:rsidR="005B0927" w:rsidRPr="00120A12" w14:paraId="2FF9276C"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78BC927" w14:textId="77777777" w:rsidR="005B0927" w:rsidRPr="00280B3C" w:rsidRDefault="005B0927" w:rsidP="00AD2329">
            <w:pPr>
              <w:jc w:val="center"/>
              <w:rPr>
                <w:rFonts w:ascii="Arial Narrow" w:hAnsi="Arial Narrow"/>
                <w:sz w:val="20"/>
                <w:szCs w:val="20"/>
              </w:rPr>
            </w:pPr>
          </w:p>
        </w:tc>
        <w:tc>
          <w:tcPr>
            <w:tcW w:w="8079" w:type="dxa"/>
            <w:gridSpan w:val="6"/>
            <w:vAlign w:val="center"/>
            <w:hideMark/>
          </w:tcPr>
          <w:p w14:paraId="78B0C16B" w14:textId="77777777" w:rsidR="005B0927" w:rsidRPr="00296682" w:rsidRDefault="005B0927" w:rsidP="00AD2329">
            <w:pPr>
              <w:rPr>
                <w:rFonts w:ascii="Arial Narrow" w:hAnsi="Arial Narrow"/>
                <w:sz w:val="20"/>
                <w:szCs w:val="20"/>
              </w:rPr>
            </w:pPr>
            <w:r w:rsidRPr="00296682">
              <w:rPr>
                <w:rFonts w:ascii="Arial Narrow" w:hAnsi="Arial Narrow"/>
                <w:b/>
                <w:bCs/>
                <w:sz w:val="20"/>
                <w:szCs w:val="20"/>
              </w:rPr>
              <w:t>AND</w:t>
            </w:r>
          </w:p>
        </w:tc>
      </w:tr>
      <w:tr w:rsidR="005B0927" w:rsidRPr="00120A12" w14:paraId="5B16DF83"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046A3653" w14:textId="2AB09638" w:rsidR="005B0927" w:rsidRPr="00280B3C" w:rsidRDefault="005B0927" w:rsidP="00AD2329">
            <w:pPr>
              <w:jc w:val="center"/>
              <w:rPr>
                <w:rFonts w:ascii="Arial Narrow" w:hAnsi="Arial Narrow"/>
                <w:sz w:val="20"/>
                <w:szCs w:val="20"/>
              </w:rPr>
            </w:pPr>
          </w:p>
        </w:tc>
        <w:tc>
          <w:tcPr>
            <w:tcW w:w="8079" w:type="dxa"/>
            <w:gridSpan w:val="6"/>
            <w:vAlign w:val="center"/>
            <w:hideMark/>
          </w:tcPr>
          <w:p w14:paraId="79B2CAB1" w14:textId="77777777" w:rsidR="005B0927" w:rsidRPr="00296682" w:rsidRDefault="005B0927" w:rsidP="00AD2329">
            <w:pPr>
              <w:rPr>
                <w:rFonts w:ascii="Arial Narrow" w:hAnsi="Arial Narrow"/>
                <w:sz w:val="20"/>
                <w:szCs w:val="20"/>
              </w:rPr>
            </w:pPr>
            <w:r w:rsidRPr="00296682">
              <w:rPr>
                <w:rFonts w:ascii="Arial Narrow" w:hAnsi="Arial Narrow"/>
                <w:b/>
                <w:bCs/>
                <w:sz w:val="20"/>
                <w:szCs w:val="20"/>
              </w:rPr>
              <w:t>Clinical criteria:</w:t>
            </w:r>
          </w:p>
        </w:tc>
      </w:tr>
      <w:tr w:rsidR="005B0927" w:rsidRPr="00120A12" w14:paraId="14185FAE"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17897E22" w14:textId="537FB61D" w:rsidR="005B0927" w:rsidRPr="00280B3C" w:rsidRDefault="005B0927" w:rsidP="00AD2329">
            <w:pPr>
              <w:jc w:val="center"/>
              <w:rPr>
                <w:rFonts w:ascii="Arial Narrow" w:hAnsi="Arial Narrow"/>
                <w:sz w:val="20"/>
                <w:szCs w:val="20"/>
              </w:rPr>
            </w:pPr>
          </w:p>
        </w:tc>
        <w:tc>
          <w:tcPr>
            <w:tcW w:w="8079" w:type="dxa"/>
            <w:gridSpan w:val="6"/>
            <w:vAlign w:val="center"/>
            <w:hideMark/>
          </w:tcPr>
          <w:p w14:paraId="10B89427" w14:textId="77777777" w:rsidR="005B0927" w:rsidRPr="00296682" w:rsidRDefault="005B0927" w:rsidP="00AD2329">
            <w:pPr>
              <w:rPr>
                <w:rFonts w:ascii="Arial Narrow" w:hAnsi="Arial Narrow"/>
                <w:sz w:val="20"/>
                <w:szCs w:val="20"/>
              </w:rPr>
            </w:pPr>
            <w:r w:rsidRPr="008E46DF">
              <w:rPr>
                <w:rFonts w:ascii="Arial Narrow" w:hAnsi="Arial Narrow"/>
                <w:sz w:val="20"/>
                <w:szCs w:val="20"/>
              </w:rP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each of at least 2 DMARDs, one of which must be methotrexate at a dose of at least 20 mg weekly and one of which must be: (i) hydroxychloroquine at a dose of at least 200 mg daily; or (ii) leflunomide at a dose of at least 10 mg daily; or (iii) sulfasalazine at a dose of at least 2 g daily ; or</w:t>
            </w:r>
          </w:p>
        </w:tc>
      </w:tr>
      <w:tr w:rsidR="005B0927" w:rsidRPr="00120A12" w14:paraId="5BA9BD37"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061B62F1" w14:textId="657A5338" w:rsidR="005B0927" w:rsidRPr="00296682" w:rsidRDefault="005B0927" w:rsidP="00AD2329">
            <w:pPr>
              <w:jc w:val="center"/>
              <w:rPr>
                <w:rFonts w:ascii="Arial Narrow" w:hAnsi="Arial Narrow"/>
                <w:sz w:val="20"/>
                <w:szCs w:val="20"/>
              </w:rPr>
            </w:pPr>
          </w:p>
        </w:tc>
        <w:tc>
          <w:tcPr>
            <w:tcW w:w="8079" w:type="dxa"/>
            <w:gridSpan w:val="6"/>
            <w:vAlign w:val="center"/>
          </w:tcPr>
          <w:p w14:paraId="63AF6B06" w14:textId="77777777" w:rsidR="005B0927" w:rsidRPr="00296682" w:rsidRDefault="005B0927" w:rsidP="00AD2329">
            <w:pPr>
              <w:rPr>
                <w:rFonts w:ascii="Arial Narrow" w:hAnsi="Arial Narrow"/>
                <w:sz w:val="20"/>
                <w:szCs w:val="20"/>
              </w:rPr>
            </w:pPr>
            <w:r w:rsidRPr="008E46DF">
              <w:rPr>
                <w:rFonts w:ascii="Arial Narrow" w:hAnsi="Arial Narrow"/>
                <w:sz w:val="20"/>
                <w:szCs w:val="20"/>
              </w:rP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 or cannot be tolerated at a 20 mg weekly dose, must include at least 3 months continuous treatment with each of at least 2 of the following DMARDs: (i) hydroxychloroquine at a dose of at least 200 mg daily; and/or (ii) leflunomide at a dose of at least 10 mg daily; and/or (iii) sulfasalazine at a dose of at least 2 g daily; or</w:t>
            </w:r>
          </w:p>
        </w:tc>
      </w:tr>
      <w:tr w:rsidR="005B0927" w:rsidRPr="00120A12" w14:paraId="22FA806A"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19CCC05F" w14:textId="20D77FA2" w:rsidR="005B0927" w:rsidRPr="00296682" w:rsidRDefault="005B0927" w:rsidP="00AD2329">
            <w:pPr>
              <w:jc w:val="center"/>
              <w:rPr>
                <w:rFonts w:ascii="Arial Narrow" w:hAnsi="Arial Narrow"/>
                <w:sz w:val="20"/>
                <w:szCs w:val="20"/>
              </w:rPr>
            </w:pPr>
          </w:p>
        </w:tc>
        <w:tc>
          <w:tcPr>
            <w:tcW w:w="8079" w:type="dxa"/>
            <w:gridSpan w:val="6"/>
            <w:vAlign w:val="center"/>
          </w:tcPr>
          <w:p w14:paraId="5EFCCABC" w14:textId="77777777" w:rsidR="005B0927" w:rsidRPr="008E46DF" w:rsidRDefault="005B0927" w:rsidP="00AD2329">
            <w:pPr>
              <w:autoSpaceDE w:val="0"/>
              <w:autoSpaceDN w:val="0"/>
              <w:adjustRightInd w:val="0"/>
              <w:rPr>
                <w:rFonts w:ascii="Arial Narrow" w:hAnsi="Arial Narrow" w:cs="Arial Narrow"/>
                <w:sz w:val="20"/>
                <w:szCs w:val="20"/>
              </w:rPr>
            </w:pPr>
            <w:r w:rsidRPr="008E46DF">
              <w:rPr>
                <w:rFonts w:ascii="Arial Narrow" w:hAnsi="Arial Narrow" w:cs="Arial Narrow"/>
                <w:sz w:val="20"/>
                <w:szCs w:val="20"/>
              </w:rPr>
              <w:t>Patient must have failed, in the 24 months immediately prior to the date of the application, to achieve an adequate response to a trial of at least 3 months of continuous treatment with a DMARD where 2 of: (i) hydroxychloroquine, (ii) leflunomide, (iii) sulfasalazine, are either contraindicated according to the relevant TGA-approved Product Information or cannot be tolerated at the doses specified above in addition to having a contraindication or intolerance to methotrexate: the remaining tolerated DMARD must be trialled at a minimum dose as mentioned above; or</w:t>
            </w:r>
          </w:p>
        </w:tc>
      </w:tr>
      <w:tr w:rsidR="005B0927" w:rsidRPr="003D201F" w14:paraId="4BDB1E0E"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F1D2E7B" w14:textId="06484019" w:rsidR="005B0927" w:rsidRPr="00296682" w:rsidRDefault="005B0927" w:rsidP="00AD2329">
            <w:pPr>
              <w:jc w:val="center"/>
              <w:rPr>
                <w:rFonts w:ascii="Arial Narrow" w:hAnsi="Arial Narrow"/>
                <w:sz w:val="20"/>
                <w:szCs w:val="20"/>
              </w:rPr>
            </w:pPr>
          </w:p>
        </w:tc>
        <w:tc>
          <w:tcPr>
            <w:tcW w:w="8079" w:type="dxa"/>
            <w:gridSpan w:val="6"/>
            <w:vAlign w:val="center"/>
          </w:tcPr>
          <w:p w14:paraId="1D8D2BEE" w14:textId="77777777" w:rsidR="005B0927" w:rsidRPr="008E46DF" w:rsidRDefault="005B0927" w:rsidP="00AD2329">
            <w:pPr>
              <w:autoSpaceDE w:val="0"/>
              <w:autoSpaceDN w:val="0"/>
              <w:adjustRightInd w:val="0"/>
              <w:rPr>
                <w:rFonts w:ascii="Arial Narrow" w:hAnsi="Arial Narrow" w:cs="Arial Narrow"/>
                <w:sz w:val="20"/>
                <w:szCs w:val="20"/>
              </w:rPr>
            </w:pPr>
            <w:r w:rsidRPr="008E46DF">
              <w:rPr>
                <w:rFonts w:ascii="Arial Narrow" w:hAnsi="Arial Narrow" w:cs="Arial Narrow"/>
                <w:sz w:val="20"/>
                <w:szCs w:val="20"/>
              </w:rPr>
              <w:t>Patient must have a contraindication/severe intolerance to each of: (i) methotrexate, (ii) hydroxychloroquine, (iii) leflunomide, (iv) sulfasalazine; in such cases, provide details for each of the contraindications/severe intolerances claimed in the authority application</w:t>
            </w:r>
          </w:p>
        </w:tc>
      </w:tr>
      <w:tr w:rsidR="005B0927" w14:paraId="52A225E9"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01CDBB3" w14:textId="77777777" w:rsidR="005B0927" w:rsidRPr="00296682" w:rsidRDefault="005B0927" w:rsidP="00AD2329">
            <w:pPr>
              <w:jc w:val="center"/>
              <w:rPr>
                <w:rFonts w:ascii="Arial Narrow" w:hAnsi="Arial Narrow"/>
                <w:sz w:val="20"/>
                <w:szCs w:val="20"/>
              </w:rPr>
            </w:pPr>
          </w:p>
        </w:tc>
        <w:tc>
          <w:tcPr>
            <w:tcW w:w="8079" w:type="dxa"/>
            <w:gridSpan w:val="6"/>
            <w:vAlign w:val="center"/>
          </w:tcPr>
          <w:p w14:paraId="5E2528FC" w14:textId="77777777" w:rsidR="005B0927" w:rsidRPr="009A4B37" w:rsidRDefault="005B0927" w:rsidP="00AD2329">
            <w:pPr>
              <w:rPr>
                <w:rFonts w:ascii="Arial Narrow" w:hAnsi="Arial Narrow"/>
                <w:b/>
                <w:bCs/>
                <w:sz w:val="20"/>
                <w:szCs w:val="20"/>
              </w:rPr>
            </w:pPr>
            <w:r>
              <w:rPr>
                <w:rFonts w:ascii="Arial Narrow" w:hAnsi="Arial Narrow"/>
                <w:b/>
                <w:bCs/>
                <w:sz w:val="20"/>
                <w:szCs w:val="20"/>
              </w:rPr>
              <w:t>AND</w:t>
            </w:r>
          </w:p>
        </w:tc>
      </w:tr>
      <w:tr w:rsidR="005B0927" w14:paraId="2C3C7FF4"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19537BC" w14:textId="1CCFB52F" w:rsidR="005B0927" w:rsidRDefault="005B0927" w:rsidP="00AD2329">
            <w:pPr>
              <w:jc w:val="center"/>
              <w:rPr>
                <w:rFonts w:ascii="Arial Narrow" w:hAnsi="Arial Narrow"/>
                <w:sz w:val="20"/>
                <w:szCs w:val="20"/>
              </w:rPr>
            </w:pPr>
          </w:p>
        </w:tc>
        <w:tc>
          <w:tcPr>
            <w:tcW w:w="8079" w:type="dxa"/>
            <w:gridSpan w:val="6"/>
            <w:vAlign w:val="center"/>
          </w:tcPr>
          <w:p w14:paraId="4487E3D7" w14:textId="77777777" w:rsidR="005B0927" w:rsidRDefault="005B0927" w:rsidP="00AD2329">
            <w:pPr>
              <w:rPr>
                <w:rFonts w:ascii="Arial Narrow" w:hAnsi="Arial Narrow"/>
                <w:b/>
                <w:bCs/>
                <w:sz w:val="20"/>
                <w:szCs w:val="20"/>
              </w:rPr>
            </w:pPr>
            <w:r w:rsidRPr="00296682">
              <w:rPr>
                <w:rFonts w:ascii="Arial Narrow" w:hAnsi="Arial Narrow"/>
                <w:b/>
                <w:bCs/>
                <w:sz w:val="20"/>
                <w:szCs w:val="20"/>
              </w:rPr>
              <w:t>Clinical criteria:</w:t>
            </w:r>
          </w:p>
        </w:tc>
      </w:tr>
      <w:tr w:rsidR="005B0927" w14:paraId="2A095FFF"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28058D1B" w14:textId="67668518" w:rsidR="005B0927" w:rsidRDefault="005B0927" w:rsidP="00AD2329">
            <w:pPr>
              <w:jc w:val="center"/>
              <w:rPr>
                <w:rFonts w:ascii="Arial Narrow" w:hAnsi="Arial Narrow"/>
                <w:sz w:val="20"/>
                <w:szCs w:val="20"/>
              </w:rPr>
            </w:pPr>
          </w:p>
        </w:tc>
        <w:tc>
          <w:tcPr>
            <w:tcW w:w="8079" w:type="dxa"/>
            <w:gridSpan w:val="6"/>
            <w:vAlign w:val="center"/>
          </w:tcPr>
          <w:p w14:paraId="78031A00" w14:textId="77777777" w:rsidR="005B0927" w:rsidRPr="008E46DF" w:rsidRDefault="005B0927" w:rsidP="00AD2329">
            <w:pPr>
              <w:rPr>
                <w:rFonts w:ascii="Arial Narrow" w:hAnsi="Arial Narrow"/>
                <w:sz w:val="20"/>
                <w:szCs w:val="20"/>
              </w:rPr>
            </w:pPr>
            <w:r w:rsidRPr="008E46DF">
              <w:rPr>
                <w:rFonts w:ascii="Arial Narrow" w:hAnsi="Arial Narrow"/>
                <w:sz w:val="20"/>
                <w:szCs w:val="20"/>
              </w:rPr>
              <w:t>The treatment must be given concomitantly with methotrexate at a dose of at least 7.5 mg weekly</w:t>
            </w:r>
          </w:p>
        </w:tc>
      </w:tr>
      <w:tr w:rsidR="005B0927" w14:paraId="7900F557"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44B485FD" w14:textId="77777777" w:rsidR="005B0927" w:rsidRPr="00296682" w:rsidRDefault="005B0927" w:rsidP="00AD2329">
            <w:pPr>
              <w:jc w:val="center"/>
              <w:rPr>
                <w:rFonts w:ascii="Arial Narrow" w:hAnsi="Arial Narrow"/>
                <w:sz w:val="20"/>
                <w:szCs w:val="20"/>
              </w:rPr>
            </w:pPr>
          </w:p>
        </w:tc>
        <w:tc>
          <w:tcPr>
            <w:tcW w:w="8079" w:type="dxa"/>
            <w:gridSpan w:val="6"/>
            <w:vAlign w:val="center"/>
          </w:tcPr>
          <w:p w14:paraId="5C851845" w14:textId="77777777" w:rsidR="005B0927" w:rsidRDefault="005B0927" w:rsidP="00AD2329">
            <w:pPr>
              <w:rPr>
                <w:rFonts w:ascii="Arial Narrow" w:hAnsi="Arial Narrow"/>
                <w:b/>
                <w:bCs/>
                <w:sz w:val="20"/>
                <w:szCs w:val="20"/>
              </w:rPr>
            </w:pPr>
          </w:p>
        </w:tc>
      </w:tr>
      <w:tr w:rsidR="005B0927" w:rsidRPr="00120A12" w14:paraId="63DB09CA"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4D1087C" w14:textId="630CCC53" w:rsidR="005B0927" w:rsidRPr="00296682" w:rsidRDefault="005B0927" w:rsidP="00AD2329">
            <w:pPr>
              <w:jc w:val="center"/>
              <w:rPr>
                <w:rFonts w:ascii="Arial Narrow" w:hAnsi="Arial Narrow"/>
                <w:sz w:val="20"/>
                <w:szCs w:val="20"/>
              </w:rPr>
            </w:pPr>
          </w:p>
        </w:tc>
        <w:tc>
          <w:tcPr>
            <w:tcW w:w="8079" w:type="dxa"/>
            <w:gridSpan w:val="6"/>
            <w:vAlign w:val="center"/>
            <w:hideMark/>
          </w:tcPr>
          <w:p w14:paraId="523F5CE1" w14:textId="77777777" w:rsidR="005B0927" w:rsidRPr="00296682" w:rsidRDefault="005B0927" w:rsidP="00AD2329">
            <w:pPr>
              <w:rPr>
                <w:rFonts w:ascii="Arial Narrow" w:hAnsi="Arial Narrow"/>
                <w:sz w:val="20"/>
                <w:szCs w:val="20"/>
              </w:rPr>
            </w:pPr>
            <w:r w:rsidRPr="00296682">
              <w:rPr>
                <w:rFonts w:ascii="Arial Narrow" w:hAnsi="Arial Narrow"/>
                <w:b/>
                <w:bCs/>
                <w:sz w:val="20"/>
                <w:szCs w:val="20"/>
              </w:rPr>
              <w:t>Population criteria:</w:t>
            </w:r>
          </w:p>
        </w:tc>
      </w:tr>
      <w:tr w:rsidR="005B0927" w:rsidRPr="00120A12" w14:paraId="6A22E08A"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513735B" w14:textId="7D07677D" w:rsidR="005B0927" w:rsidRPr="00296682" w:rsidRDefault="005B0927" w:rsidP="00AD2329">
            <w:pPr>
              <w:jc w:val="center"/>
              <w:rPr>
                <w:rFonts w:ascii="Arial Narrow" w:hAnsi="Arial Narrow"/>
                <w:sz w:val="20"/>
                <w:szCs w:val="20"/>
              </w:rPr>
            </w:pPr>
          </w:p>
        </w:tc>
        <w:tc>
          <w:tcPr>
            <w:tcW w:w="8079" w:type="dxa"/>
            <w:gridSpan w:val="6"/>
            <w:vAlign w:val="center"/>
            <w:hideMark/>
          </w:tcPr>
          <w:p w14:paraId="363D5642" w14:textId="77777777" w:rsidR="005B0927" w:rsidRPr="00296682" w:rsidRDefault="005B0927" w:rsidP="00AD2329">
            <w:pPr>
              <w:rPr>
                <w:rFonts w:ascii="Arial Narrow" w:hAnsi="Arial Narrow"/>
                <w:sz w:val="20"/>
                <w:szCs w:val="20"/>
              </w:rPr>
            </w:pPr>
            <w:r>
              <w:rPr>
                <w:rFonts w:ascii="Arial Narrow" w:hAnsi="Arial Narrow"/>
                <w:sz w:val="20"/>
                <w:szCs w:val="20"/>
              </w:rPr>
              <w:t>Patient must be at least 18 years of age</w:t>
            </w:r>
          </w:p>
        </w:tc>
      </w:tr>
      <w:tr w:rsidR="005B0927" w:rsidRPr="00120A12" w14:paraId="665864E0"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70D01AC" w14:textId="77777777" w:rsidR="005B0927" w:rsidRDefault="005B0927" w:rsidP="00AD2329">
            <w:pPr>
              <w:jc w:val="center"/>
              <w:rPr>
                <w:rFonts w:ascii="Arial Narrow" w:hAnsi="Arial Narrow"/>
                <w:sz w:val="20"/>
                <w:szCs w:val="20"/>
              </w:rPr>
            </w:pPr>
          </w:p>
        </w:tc>
        <w:tc>
          <w:tcPr>
            <w:tcW w:w="8079" w:type="dxa"/>
            <w:gridSpan w:val="6"/>
            <w:vAlign w:val="center"/>
          </w:tcPr>
          <w:p w14:paraId="290600C6" w14:textId="77777777" w:rsidR="005B0927" w:rsidRDefault="005B0927" w:rsidP="00AD2329">
            <w:pPr>
              <w:rPr>
                <w:rFonts w:ascii="Arial Narrow" w:hAnsi="Arial Narrow"/>
                <w:sz w:val="20"/>
                <w:szCs w:val="20"/>
              </w:rPr>
            </w:pPr>
          </w:p>
        </w:tc>
      </w:tr>
      <w:tr w:rsidR="005B0927" w14:paraId="48197F54"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822C103" w14:textId="201A105C" w:rsidR="005B0927" w:rsidRPr="00296682" w:rsidRDefault="005B0927" w:rsidP="00AD2329">
            <w:pPr>
              <w:jc w:val="center"/>
              <w:rPr>
                <w:rFonts w:ascii="Arial Narrow" w:hAnsi="Arial Narrow"/>
                <w:sz w:val="20"/>
                <w:szCs w:val="20"/>
              </w:rPr>
            </w:pPr>
          </w:p>
        </w:tc>
        <w:tc>
          <w:tcPr>
            <w:tcW w:w="8079" w:type="dxa"/>
            <w:gridSpan w:val="6"/>
            <w:vAlign w:val="center"/>
          </w:tcPr>
          <w:p w14:paraId="18536F8D"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53EB376F" w14:textId="77777777" w:rsidR="005B0927" w:rsidRPr="00053EF7" w:rsidRDefault="005B0927" w:rsidP="00AD2329">
            <w:pPr>
              <w:rPr>
                <w:rFonts w:ascii="Arial Narrow" w:hAnsi="Arial Narrow"/>
                <w:sz w:val="20"/>
                <w:szCs w:val="20"/>
              </w:rPr>
            </w:pPr>
            <w:r>
              <w:rPr>
                <w:rFonts w:ascii="Arial Narrow" w:hAnsi="Arial Narrow"/>
                <w:sz w:val="20"/>
                <w:szCs w:val="20"/>
              </w:rPr>
              <w:t>I</w:t>
            </w:r>
            <w:r w:rsidRPr="00053EF7">
              <w:rPr>
                <w:rFonts w:ascii="Arial Narrow" w:hAnsi="Arial Narrow"/>
                <w:sz w:val="20"/>
                <w:szCs w:val="20"/>
              </w:rPr>
              <w:t>f methotrexate is contraindicated according to the TGA-approved product information or cannot be tolerated at a 20 mg weekly dose,</w:t>
            </w:r>
            <w:r>
              <w:rPr>
                <w:rFonts w:ascii="Arial Narrow" w:hAnsi="Arial Narrow"/>
                <w:sz w:val="20"/>
                <w:szCs w:val="20"/>
              </w:rPr>
              <w:t xml:space="preserve"> </w:t>
            </w:r>
            <w:r w:rsidRPr="00053EF7">
              <w:rPr>
                <w:rFonts w:ascii="Arial Narrow" w:hAnsi="Arial Narrow"/>
                <w:sz w:val="20"/>
                <w:szCs w:val="20"/>
              </w:rPr>
              <w:t>the application must include details of the contraindication or intolerance including severity to methotrexate. The maximum tolerated dose of methotrexate must be documented in the application, if applicable.</w:t>
            </w:r>
          </w:p>
          <w:p w14:paraId="01BA748B" w14:textId="77777777" w:rsidR="005B0927" w:rsidRPr="00053EF7" w:rsidRDefault="005B0927" w:rsidP="00AD2329">
            <w:pPr>
              <w:rPr>
                <w:rFonts w:ascii="Arial Narrow" w:hAnsi="Arial Narrow"/>
                <w:sz w:val="20"/>
                <w:szCs w:val="20"/>
              </w:rPr>
            </w:pPr>
            <w:r w:rsidRPr="00053EF7">
              <w:rPr>
                <w:rFonts w:ascii="Arial Narrow" w:hAnsi="Arial Narrow"/>
                <w:sz w:val="20"/>
                <w:szCs w:val="20"/>
              </w:rPr>
              <w:t>The application must include details of the DMARDs trialled, their doses and duration of treatment, and all relevant contraindications and/or intolerances including severity.</w:t>
            </w:r>
          </w:p>
          <w:p w14:paraId="6915BC74" w14:textId="77777777" w:rsidR="005B0927" w:rsidRPr="00053EF7" w:rsidRDefault="005B0927" w:rsidP="00AD2329">
            <w:pPr>
              <w:rPr>
                <w:rFonts w:ascii="Arial Narrow" w:hAnsi="Arial Narrow"/>
                <w:sz w:val="20"/>
                <w:szCs w:val="20"/>
              </w:rPr>
            </w:pPr>
            <w:r w:rsidRPr="00053EF7">
              <w:rPr>
                <w:rFonts w:ascii="Arial Narrow" w:hAnsi="Arial Narrow"/>
                <w:sz w:val="20"/>
                <w:szCs w:val="20"/>
              </w:rPr>
              <w:t>The requirement to trial at least 2 DMARDs for periods of at least 3 months each can be met using single agents sequentially or by using one or more combinations of DMARDs.</w:t>
            </w:r>
          </w:p>
          <w:p w14:paraId="01EBA4AF" w14:textId="77777777" w:rsidR="005B0927" w:rsidRPr="00296682" w:rsidRDefault="005B0927" w:rsidP="00AD2329">
            <w:pPr>
              <w:rPr>
                <w:rFonts w:ascii="Arial Narrow" w:hAnsi="Arial Narrow"/>
                <w:sz w:val="20"/>
                <w:szCs w:val="20"/>
              </w:rPr>
            </w:pPr>
            <w:r w:rsidRPr="00053EF7">
              <w:rPr>
                <w:rFonts w:ascii="Arial Narrow" w:hAnsi="Arial Narrow"/>
                <w:sz w:val="20"/>
                <w:szCs w:val="20"/>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p>
        </w:tc>
      </w:tr>
      <w:tr w:rsidR="005B0927" w14:paraId="0C8E107C"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15368460" w14:textId="22F26D45" w:rsidR="005B0927" w:rsidRPr="00296682" w:rsidRDefault="005B0927" w:rsidP="00AD2329">
            <w:pPr>
              <w:jc w:val="center"/>
              <w:rPr>
                <w:rFonts w:ascii="Arial Narrow" w:hAnsi="Arial Narrow"/>
                <w:sz w:val="20"/>
                <w:szCs w:val="20"/>
              </w:rPr>
            </w:pPr>
          </w:p>
        </w:tc>
        <w:tc>
          <w:tcPr>
            <w:tcW w:w="8079" w:type="dxa"/>
            <w:gridSpan w:val="6"/>
            <w:vAlign w:val="center"/>
          </w:tcPr>
          <w:p w14:paraId="67810C99"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5CCD2C7C" w14:textId="77777777" w:rsidR="005B0927" w:rsidRPr="00053EF7" w:rsidRDefault="005B0927" w:rsidP="00AD2329">
            <w:pPr>
              <w:rPr>
                <w:rFonts w:ascii="Arial Narrow" w:hAnsi="Arial Narrow"/>
                <w:sz w:val="20"/>
                <w:szCs w:val="20"/>
              </w:rPr>
            </w:pPr>
            <w:r w:rsidRPr="00053EF7">
              <w:rPr>
                <w:rFonts w:ascii="Arial Narrow" w:hAnsi="Arial Narrow"/>
                <w:sz w:val="20"/>
                <w:szCs w:val="20"/>
              </w:rPr>
              <w:t>The following criteria indicate failure to achieve an adequate response and must be demonstrated in all patients at the time of the initial application:</w:t>
            </w:r>
          </w:p>
          <w:p w14:paraId="46308842" w14:textId="77777777" w:rsidR="005B0927" w:rsidRPr="00053EF7" w:rsidRDefault="005B0927" w:rsidP="00AD2329">
            <w:pPr>
              <w:rPr>
                <w:rFonts w:ascii="Arial Narrow" w:hAnsi="Arial Narrow"/>
                <w:sz w:val="20"/>
                <w:szCs w:val="20"/>
              </w:rPr>
            </w:pPr>
            <w:r w:rsidRPr="00053EF7">
              <w:rPr>
                <w:rFonts w:ascii="Arial Narrow" w:hAnsi="Arial Narrow"/>
                <w:sz w:val="20"/>
                <w:szCs w:val="20"/>
              </w:rPr>
              <w:t>an elevated erythrocyte sedimentation rate (ESR) greater than 25 mm per hour or a C-reactive protein (CRP) level greater than 15 mg per L; AND either</w:t>
            </w:r>
          </w:p>
          <w:p w14:paraId="4EE82571" w14:textId="77777777" w:rsidR="005B0927" w:rsidRPr="00053EF7" w:rsidRDefault="005B0927" w:rsidP="00AD2329">
            <w:pPr>
              <w:rPr>
                <w:rFonts w:ascii="Arial Narrow" w:hAnsi="Arial Narrow"/>
                <w:sz w:val="20"/>
                <w:szCs w:val="20"/>
              </w:rPr>
            </w:pPr>
            <w:r w:rsidRPr="00053EF7">
              <w:rPr>
                <w:rFonts w:ascii="Arial Narrow" w:hAnsi="Arial Narrow"/>
                <w:sz w:val="20"/>
                <w:szCs w:val="20"/>
              </w:rPr>
              <w:t>(a) a total active joint count of at least 20 active (swollen and tender) joints; or</w:t>
            </w:r>
          </w:p>
          <w:p w14:paraId="3AF1353F" w14:textId="77777777" w:rsidR="005B0927" w:rsidRPr="00053EF7" w:rsidRDefault="005B0927" w:rsidP="00AD2329">
            <w:pPr>
              <w:rPr>
                <w:rFonts w:ascii="Arial Narrow" w:hAnsi="Arial Narrow"/>
                <w:sz w:val="20"/>
                <w:szCs w:val="20"/>
              </w:rPr>
            </w:pPr>
            <w:r w:rsidRPr="00053EF7">
              <w:rPr>
                <w:rFonts w:ascii="Arial Narrow" w:hAnsi="Arial Narrow"/>
                <w:sz w:val="20"/>
                <w:szCs w:val="20"/>
              </w:rPr>
              <w:t>(b) at least 4 active joints from the following list of major joints:</w:t>
            </w:r>
          </w:p>
          <w:p w14:paraId="52947984" w14:textId="77777777" w:rsidR="005B0927" w:rsidRPr="00053EF7" w:rsidRDefault="005B0927" w:rsidP="00AD2329">
            <w:pPr>
              <w:rPr>
                <w:rFonts w:ascii="Arial Narrow" w:hAnsi="Arial Narrow"/>
                <w:sz w:val="20"/>
                <w:szCs w:val="20"/>
              </w:rPr>
            </w:pPr>
            <w:r w:rsidRPr="00053EF7">
              <w:rPr>
                <w:rFonts w:ascii="Arial Narrow" w:hAnsi="Arial Narrow"/>
                <w:sz w:val="20"/>
                <w:szCs w:val="20"/>
              </w:rPr>
              <w:t>(i) elbow, wrist, knee and/or ankle (assessed as swollen and tender); and/or</w:t>
            </w:r>
          </w:p>
          <w:p w14:paraId="2506AFAC" w14:textId="77777777" w:rsidR="005B0927" w:rsidRPr="00053EF7" w:rsidRDefault="005B0927" w:rsidP="00AD2329">
            <w:pPr>
              <w:rPr>
                <w:rFonts w:ascii="Arial Narrow" w:hAnsi="Arial Narrow"/>
                <w:sz w:val="20"/>
                <w:szCs w:val="20"/>
              </w:rPr>
            </w:pPr>
            <w:r w:rsidRPr="00053EF7">
              <w:rPr>
                <w:rFonts w:ascii="Arial Narrow" w:hAnsi="Arial Narrow"/>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5B0927" w14:paraId="68CB67E0"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411B24F6" w14:textId="4956AD5C" w:rsidR="005B0927" w:rsidRPr="00296682" w:rsidRDefault="005B0927" w:rsidP="00AD2329">
            <w:pPr>
              <w:jc w:val="center"/>
              <w:rPr>
                <w:rFonts w:ascii="Arial Narrow" w:hAnsi="Arial Narrow"/>
                <w:sz w:val="20"/>
                <w:szCs w:val="20"/>
              </w:rPr>
            </w:pPr>
          </w:p>
        </w:tc>
        <w:tc>
          <w:tcPr>
            <w:tcW w:w="8079" w:type="dxa"/>
            <w:gridSpan w:val="6"/>
            <w:vAlign w:val="center"/>
          </w:tcPr>
          <w:p w14:paraId="4965C8E2"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60D865EF" w14:textId="77777777" w:rsidR="005B0927" w:rsidRPr="00296682" w:rsidRDefault="005B0927" w:rsidP="00AD2329">
            <w:pPr>
              <w:rPr>
                <w:rFonts w:ascii="Arial Narrow" w:hAnsi="Arial Narrow"/>
                <w:sz w:val="20"/>
                <w:szCs w:val="20"/>
              </w:rPr>
            </w:pPr>
            <w:r w:rsidRPr="00053EF7">
              <w:rPr>
                <w:rFonts w:ascii="Arial Narrow" w:hAnsi="Arial Narrow"/>
                <w:sz w:val="20"/>
                <w:szCs w:val="20"/>
              </w:rPr>
              <w:t>The joint count and ESR and/or CRP must be determined at the completion of the 6 month intensive DMARD trial, but prior to ceasing DMARD therapy. All measures must be no more than one month old at the time of initial application.</w:t>
            </w:r>
          </w:p>
        </w:tc>
      </w:tr>
      <w:tr w:rsidR="005B0927" w14:paraId="72E4ABA1"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E5CE559" w14:textId="1D456C3B" w:rsidR="005B0927" w:rsidRDefault="005B0927" w:rsidP="00AD2329">
            <w:pPr>
              <w:jc w:val="center"/>
              <w:rPr>
                <w:rFonts w:ascii="Arial Narrow" w:hAnsi="Arial Narrow"/>
                <w:sz w:val="20"/>
                <w:szCs w:val="20"/>
              </w:rPr>
            </w:pPr>
          </w:p>
        </w:tc>
        <w:tc>
          <w:tcPr>
            <w:tcW w:w="8079" w:type="dxa"/>
            <w:gridSpan w:val="6"/>
            <w:vAlign w:val="center"/>
          </w:tcPr>
          <w:p w14:paraId="2CD77388"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6077E6F8" w14:textId="77777777" w:rsidR="005B0927" w:rsidRPr="00296682" w:rsidRDefault="005B0927" w:rsidP="00AD2329">
            <w:pPr>
              <w:rPr>
                <w:rFonts w:ascii="Arial Narrow" w:hAnsi="Arial Narrow"/>
                <w:sz w:val="20"/>
                <w:szCs w:val="20"/>
              </w:rPr>
            </w:pPr>
            <w:r w:rsidRPr="00053EF7">
              <w:rPr>
                <w:rFonts w:ascii="Arial Narrow" w:hAnsi="Arial Narrow"/>
                <w:sz w:val="20"/>
                <w:szCs w:val="20"/>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tc>
      </w:tr>
      <w:tr w:rsidR="005B0927" w14:paraId="50CD9546"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49994323" w14:textId="0B55C3B1" w:rsidR="005B0927" w:rsidRDefault="005B0927" w:rsidP="00AD2329">
            <w:pPr>
              <w:jc w:val="center"/>
              <w:rPr>
                <w:rFonts w:ascii="Arial Narrow" w:hAnsi="Arial Narrow"/>
                <w:sz w:val="20"/>
                <w:szCs w:val="20"/>
              </w:rPr>
            </w:pPr>
          </w:p>
        </w:tc>
        <w:tc>
          <w:tcPr>
            <w:tcW w:w="8079" w:type="dxa"/>
            <w:gridSpan w:val="6"/>
            <w:vAlign w:val="center"/>
          </w:tcPr>
          <w:p w14:paraId="17B1751A"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0DE622B1" w14:textId="77777777" w:rsidR="005B0927" w:rsidRPr="00296682" w:rsidRDefault="005B0927" w:rsidP="00AD2329">
            <w:pPr>
              <w:rPr>
                <w:rFonts w:ascii="Arial Narrow" w:hAnsi="Arial Narrow"/>
                <w:sz w:val="20"/>
                <w:szCs w:val="20"/>
              </w:rPr>
            </w:pPr>
            <w:r w:rsidRPr="00053EF7">
              <w:rPr>
                <w:rFonts w:ascii="Arial Narrow" w:hAnsi="Arial Narrow"/>
                <w:sz w:val="20"/>
                <w:szCs w:val="20"/>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tc>
      </w:tr>
      <w:tr w:rsidR="005B0927" w14:paraId="134679F9"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9E48860" w14:textId="74410FE0" w:rsidR="005B0927" w:rsidRDefault="005B0927" w:rsidP="00AD2329">
            <w:pPr>
              <w:jc w:val="center"/>
              <w:rPr>
                <w:rFonts w:ascii="Arial Narrow" w:hAnsi="Arial Narrow"/>
                <w:sz w:val="20"/>
                <w:szCs w:val="20"/>
              </w:rPr>
            </w:pPr>
          </w:p>
        </w:tc>
        <w:tc>
          <w:tcPr>
            <w:tcW w:w="8079" w:type="dxa"/>
            <w:gridSpan w:val="6"/>
            <w:vAlign w:val="center"/>
          </w:tcPr>
          <w:p w14:paraId="4F50C4EF"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689FDA9D" w14:textId="77777777" w:rsidR="005B0927" w:rsidRPr="00053EF7" w:rsidRDefault="005B0927" w:rsidP="00AD2329">
            <w:pPr>
              <w:rPr>
                <w:rFonts w:ascii="Arial Narrow" w:hAnsi="Arial Narrow"/>
                <w:sz w:val="20"/>
                <w:szCs w:val="20"/>
              </w:rPr>
            </w:pPr>
            <w:r w:rsidRPr="00053EF7">
              <w:rPr>
                <w:rFonts w:ascii="Arial Narrow" w:hAnsi="Arial Narrow"/>
                <w:sz w:val="20"/>
                <w:szCs w:val="20"/>
              </w:rPr>
              <w:t>The authority application must be made in writing and must include:</w:t>
            </w:r>
          </w:p>
          <w:p w14:paraId="6EF58FC0" w14:textId="3FB24CFB" w:rsidR="00471E63" w:rsidRPr="00471E63" w:rsidRDefault="00471E63" w:rsidP="00471E63">
            <w:pPr>
              <w:rPr>
                <w:rFonts w:ascii="Arial Narrow" w:hAnsi="Arial Narrow"/>
                <w:sz w:val="20"/>
                <w:szCs w:val="20"/>
              </w:rPr>
            </w:pPr>
            <w:r w:rsidRPr="00471E63">
              <w:rPr>
                <w:rFonts w:ascii="Arial Narrow" w:hAnsi="Arial Narrow"/>
                <w:sz w:val="20"/>
                <w:szCs w:val="20"/>
              </w:rPr>
              <w:t>(a) a completed authority prescription form(s); and</w:t>
            </w:r>
          </w:p>
          <w:p w14:paraId="32B98C41" w14:textId="330F248A" w:rsidR="005B0927" w:rsidRPr="00296682" w:rsidRDefault="00471E63">
            <w:pPr>
              <w:rPr>
                <w:rFonts w:ascii="Arial Narrow" w:hAnsi="Arial Narrow"/>
                <w:sz w:val="20"/>
                <w:szCs w:val="20"/>
              </w:rPr>
            </w:pPr>
            <w:r w:rsidRPr="00471E63">
              <w:rPr>
                <w:rFonts w:ascii="Arial Narrow" w:hAnsi="Arial Narrow"/>
                <w:sz w:val="20"/>
                <w:szCs w:val="20"/>
              </w:rPr>
              <w:t>(b) a completed authority application form relevant to the indication and treatment phase (the latest version is located on the website specified in the Administrative Advice).</w:t>
            </w:r>
            <w:r w:rsidRPr="00471E63" w:rsidDel="00471E63">
              <w:rPr>
                <w:rFonts w:ascii="Arial Narrow" w:hAnsi="Arial Narrow"/>
                <w:sz w:val="20"/>
                <w:szCs w:val="20"/>
              </w:rPr>
              <w:t xml:space="preserve"> </w:t>
            </w:r>
          </w:p>
        </w:tc>
      </w:tr>
      <w:tr w:rsidR="005B0927" w14:paraId="7E756D80"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11C20F90" w14:textId="7F0AF583" w:rsidR="005B0927" w:rsidRDefault="005B0927" w:rsidP="00AD2329">
            <w:pPr>
              <w:jc w:val="center"/>
              <w:rPr>
                <w:rFonts w:ascii="Arial Narrow" w:hAnsi="Arial Narrow"/>
                <w:sz w:val="20"/>
                <w:szCs w:val="20"/>
              </w:rPr>
            </w:pPr>
          </w:p>
        </w:tc>
        <w:tc>
          <w:tcPr>
            <w:tcW w:w="8079" w:type="dxa"/>
            <w:gridSpan w:val="6"/>
            <w:vAlign w:val="center"/>
          </w:tcPr>
          <w:p w14:paraId="5CDBD370"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784B5E81" w14:textId="77777777" w:rsidR="005B0927" w:rsidRPr="00296682" w:rsidRDefault="005B0927" w:rsidP="00AD2329">
            <w:pPr>
              <w:rPr>
                <w:rFonts w:ascii="Arial Narrow" w:hAnsi="Arial Narrow"/>
                <w:sz w:val="20"/>
                <w:szCs w:val="20"/>
              </w:rPr>
            </w:pPr>
            <w:r w:rsidRPr="00053EF7">
              <w:rPr>
                <w:rFonts w:ascii="Arial Narrow" w:hAnsi="Arial Narrow"/>
                <w:sz w:val="20"/>
                <w:szCs w:val="20"/>
              </w:rPr>
              <w:t xml:space="preserve">An assessment of a patient's response to this initial course of treatment must be conducted following a minimum of 12 weeks of treatment and </w:t>
            </w:r>
            <w:r w:rsidRPr="00A9467B">
              <w:rPr>
                <w:rFonts w:ascii="Arial Narrow" w:hAnsi="Arial Narrow"/>
                <w:sz w:val="20"/>
                <w:szCs w:val="20"/>
              </w:rPr>
              <w:t>no later than 4 weeks from</w:t>
            </w:r>
            <w:r w:rsidRPr="00053EF7">
              <w:rPr>
                <w:rFonts w:ascii="Arial Narrow" w:hAnsi="Arial Narrow"/>
                <w:sz w:val="20"/>
                <w:szCs w:val="20"/>
              </w:rPr>
              <w:t xml:space="preserve"> the cessation of that treatment course. If the response assessment is not conducted within these timeframes, the patient will be deemed to have failed this course of treatment.</w:t>
            </w:r>
          </w:p>
        </w:tc>
      </w:tr>
      <w:tr w:rsidR="005B0927" w14:paraId="6A8B42F4"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9F6C467" w14:textId="6279AD94" w:rsidR="005B0927" w:rsidRDefault="005B0927" w:rsidP="00AD2329">
            <w:pPr>
              <w:jc w:val="center"/>
              <w:rPr>
                <w:rFonts w:ascii="Arial Narrow" w:hAnsi="Arial Narrow"/>
                <w:sz w:val="20"/>
                <w:szCs w:val="20"/>
              </w:rPr>
            </w:pPr>
          </w:p>
        </w:tc>
        <w:tc>
          <w:tcPr>
            <w:tcW w:w="8079" w:type="dxa"/>
            <w:gridSpan w:val="6"/>
            <w:vAlign w:val="center"/>
          </w:tcPr>
          <w:p w14:paraId="0AD99BD5"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593BE9F5" w14:textId="77777777" w:rsidR="005B0927" w:rsidRPr="00296682" w:rsidRDefault="005B0927" w:rsidP="00AD2329">
            <w:pPr>
              <w:rPr>
                <w:rFonts w:ascii="Arial Narrow" w:hAnsi="Arial Narrow"/>
                <w:sz w:val="20"/>
                <w:szCs w:val="20"/>
              </w:rPr>
            </w:pPr>
            <w:r w:rsidRPr="00053EF7">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5B0927" w14:paraId="0D98659F"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B947A81" w14:textId="710504DE" w:rsidR="005B0927" w:rsidRDefault="005B0927" w:rsidP="00AD2329">
            <w:pPr>
              <w:jc w:val="center"/>
              <w:rPr>
                <w:rFonts w:ascii="Arial Narrow" w:hAnsi="Arial Narrow"/>
                <w:sz w:val="20"/>
                <w:szCs w:val="20"/>
              </w:rPr>
            </w:pPr>
          </w:p>
        </w:tc>
        <w:tc>
          <w:tcPr>
            <w:tcW w:w="8079" w:type="dxa"/>
            <w:gridSpan w:val="6"/>
            <w:vAlign w:val="center"/>
          </w:tcPr>
          <w:p w14:paraId="0A2CAE56"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6F28DC4D" w14:textId="77777777" w:rsidR="005B0927" w:rsidRPr="00296682" w:rsidRDefault="005B0927" w:rsidP="00AD2329">
            <w:pPr>
              <w:rPr>
                <w:rFonts w:ascii="Arial Narrow" w:hAnsi="Arial Narrow"/>
                <w:sz w:val="20"/>
                <w:szCs w:val="20"/>
              </w:rPr>
            </w:pPr>
            <w:r w:rsidRPr="00053EF7">
              <w:rPr>
                <w:rFonts w:ascii="Arial Narrow" w:hAnsi="Arial Narrow"/>
                <w:sz w:val="20"/>
                <w:szCs w:val="20"/>
              </w:rPr>
              <w:t>If a patient fails to demonstrate a response to treatment with this drug under this restriction they will not be eligible to receive further PBS-subsidised treatment with this drug for this condition.</w:t>
            </w:r>
          </w:p>
        </w:tc>
      </w:tr>
      <w:tr w:rsidR="005B0927" w14:paraId="7337985E"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2A7F2AC1" w14:textId="77777777" w:rsidR="005B0927" w:rsidRDefault="005B0927" w:rsidP="00AD2329">
            <w:pPr>
              <w:jc w:val="center"/>
              <w:rPr>
                <w:rFonts w:ascii="Arial Narrow" w:hAnsi="Arial Narrow"/>
                <w:sz w:val="20"/>
                <w:szCs w:val="20"/>
              </w:rPr>
            </w:pPr>
          </w:p>
        </w:tc>
        <w:tc>
          <w:tcPr>
            <w:tcW w:w="8079" w:type="dxa"/>
            <w:gridSpan w:val="6"/>
            <w:vAlign w:val="center"/>
          </w:tcPr>
          <w:p w14:paraId="3D3D4973" w14:textId="77777777" w:rsidR="005B0927" w:rsidRPr="00296682" w:rsidRDefault="005B0927" w:rsidP="00AD2329">
            <w:pPr>
              <w:rPr>
                <w:rFonts w:ascii="Arial Narrow" w:hAnsi="Arial Narrow"/>
                <w:sz w:val="20"/>
                <w:szCs w:val="20"/>
              </w:rPr>
            </w:pPr>
          </w:p>
        </w:tc>
      </w:tr>
      <w:tr w:rsidR="005B0927" w14:paraId="5F453035" w14:textId="77777777" w:rsidTr="00AD2329">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36DD34F3" w14:textId="77777777" w:rsidR="005B0927" w:rsidRPr="00296682" w:rsidRDefault="005B0927" w:rsidP="00AD2329">
            <w:pPr>
              <w:rPr>
                <w:rFonts w:ascii="Arial Narrow" w:hAnsi="Arial Narrow"/>
                <w:b/>
                <w:bCs/>
                <w:sz w:val="20"/>
                <w:szCs w:val="20"/>
              </w:rPr>
            </w:pPr>
            <w:r w:rsidRPr="00296682">
              <w:rPr>
                <w:rFonts w:ascii="Arial Narrow" w:hAnsi="Arial Narrow"/>
                <w:b/>
                <w:bCs/>
                <w:sz w:val="20"/>
                <w:szCs w:val="20"/>
              </w:rPr>
              <w:t xml:space="preserve">Restriction Summary [new] / Treatment of Concept: [new] </w:t>
            </w:r>
          </w:p>
        </w:tc>
      </w:tr>
      <w:tr w:rsidR="005B0927" w:rsidRPr="00120A12" w14:paraId="698BDCE9"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Merge w:val="restart"/>
          </w:tcPr>
          <w:p w14:paraId="7C574A9A" w14:textId="77777777" w:rsidR="005B0927" w:rsidRPr="00997498" w:rsidRDefault="005B0927" w:rsidP="00AD2329">
            <w:pPr>
              <w:jc w:val="center"/>
              <w:rPr>
                <w:rFonts w:ascii="Arial Narrow" w:hAnsi="Arial Narrow" w:cs="Arial"/>
                <w:b/>
                <w:sz w:val="20"/>
                <w:szCs w:val="20"/>
              </w:rPr>
            </w:pPr>
            <w:r w:rsidRPr="008266E7">
              <w:rPr>
                <w:rFonts w:ascii="Arial Narrow" w:hAnsi="Arial Narrow" w:cs="Arial"/>
                <w:b/>
                <w:sz w:val="20"/>
                <w:szCs w:val="20"/>
              </w:rPr>
              <w:t>Concept ID</w:t>
            </w:r>
          </w:p>
          <w:p w14:paraId="3BD5DE9F" w14:textId="77777777" w:rsidR="005B0927" w:rsidRPr="00280B3C" w:rsidRDefault="005B0927" w:rsidP="00AD2329">
            <w:pPr>
              <w:jc w:val="center"/>
              <w:rPr>
                <w:rFonts w:ascii="Arial Narrow" w:hAnsi="Arial Narrow"/>
                <w:sz w:val="20"/>
                <w:szCs w:val="20"/>
              </w:rPr>
            </w:pPr>
            <w:r w:rsidRPr="008266E7">
              <w:rPr>
                <w:rFonts w:ascii="Arial Narrow" w:hAnsi="Arial Narrow" w:cs="Arial"/>
                <w:sz w:val="20"/>
                <w:szCs w:val="20"/>
              </w:rPr>
              <w:t>(for internal Dept. use)</w:t>
            </w:r>
          </w:p>
        </w:tc>
        <w:tc>
          <w:tcPr>
            <w:tcW w:w="8079" w:type="dxa"/>
            <w:gridSpan w:val="6"/>
          </w:tcPr>
          <w:p w14:paraId="16CA4A2A" w14:textId="77777777" w:rsidR="005B0927" w:rsidRPr="00296682" w:rsidRDefault="005B0927" w:rsidP="00AD2329">
            <w:pPr>
              <w:rPr>
                <w:rFonts w:ascii="Arial Narrow" w:hAnsi="Arial Narrow"/>
                <w:b/>
                <w:bCs/>
                <w:sz w:val="20"/>
                <w:szCs w:val="20"/>
              </w:rPr>
            </w:pPr>
            <w:r w:rsidRPr="008266E7">
              <w:rPr>
                <w:rFonts w:ascii="Arial Narrow" w:hAnsi="Arial Narrow" w:cs="Arial"/>
                <w:b/>
                <w:sz w:val="20"/>
                <w:szCs w:val="20"/>
              </w:rPr>
              <w:t xml:space="preserve">Category / Program:   </w:t>
            </w:r>
            <w:r w:rsidRPr="008266E7">
              <w:rPr>
                <w:rFonts w:ascii="Arial Narrow" w:hAnsi="Arial Narrow" w:cs="Arial"/>
                <w:sz w:val="20"/>
                <w:szCs w:val="20"/>
              </w:rPr>
              <w:t>GENERAL – General Schedule (Code GE)</w:t>
            </w:r>
            <w:r w:rsidRPr="008266E7">
              <w:rPr>
                <w:rFonts w:ascii="Arial Narrow" w:hAnsi="Arial Narrow" w:cs="Arial"/>
                <w:color w:val="FF0000"/>
                <w:sz w:val="20"/>
                <w:szCs w:val="20"/>
              </w:rPr>
              <w:t xml:space="preserve"> </w:t>
            </w:r>
          </w:p>
        </w:tc>
      </w:tr>
      <w:tr w:rsidR="005B0927" w:rsidRPr="00120A12" w14:paraId="103B84EF"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Merge/>
          </w:tcPr>
          <w:p w14:paraId="35A6C491" w14:textId="77777777" w:rsidR="005B0927" w:rsidRPr="00280B3C" w:rsidRDefault="005B0927" w:rsidP="00AD2329">
            <w:pPr>
              <w:jc w:val="center"/>
              <w:rPr>
                <w:rFonts w:ascii="Arial Narrow" w:hAnsi="Arial Narrow"/>
                <w:sz w:val="20"/>
                <w:szCs w:val="20"/>
              </w:rPr>
            </w:pPr>
          </w:p>
        </w:tc>
        <w:tc>
          <w:tcPr>
            <w:tcW w:w="8079" w:type="dxa"/>
            <w:gridSpan w:val="6"/>
          </w:tcPr>
          <w:p w14:paraId="59CFB40F" w14:textId="77777777" w:rsidR="005B0927" w:rsidRPr="00296682" w:rsidRDefault="005B0927" w:rsidP="00AD2329">
            <w:pPr>
              <w:rPr>
                <w:rFonts w:ascii="Arial Narrow" w:hAnsi="Arial Narrow"/>
                <w:b/>
                <w:bCs/>
                <w:sz w:val="20"/>
                <w:szCs w:val="20"/>
              </w:rPr>
            </w:pPr>
            <w:r w:rsidRPr="008266E7">
              <w:rPr>
                <w:rFonts w:ascii="Arial Narrow" w:hAnsi="Arial Narrow" w:cs="Arial"/>
                <w:b/>
                <w:sz w:val="20"/>
                <w:szCs w:val="20"/>
              </w:rPr>
              <w:t xml:space="preserve">Prescriber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C2102">
              <w:rPr>
                <w:rFonts w:ascii="Arial Narrow" w:hAnsi="Arial Narrow" w:cs="Arial"/>
                <w:sz w:val="20"/>
                <w:szCs w:val="20"/>
              </w:rPr>
            </w:r>
            <w:r w:rsidR="007C2102">
              <w:rPr>
                <w:rFonts w:ascii="Arial Narrow" w:hAnsi="Arial Narrow" w:cs="Arial"/>
                <w:sz w:val="20"/>
                <w:szCs w:val="20"/>
              </w:rPr>
              <w:fldChar w:fldCharType="separate"/>
            </w:r>
            <w:r>
              <w:rPr>
                <w:rFonts w:ascii="Arial Narrow" w:hAnsi="Arial Narrow" w:cs="Arial"/>
                <w:sz w:val="20"/>
                <w:szCs w:val="20"/>
              </w:rPr>
              <w:fldChar w:fldCharType="end"/>
            </w:r>
            <w:r w:rsidRPr="008266E7">
              <w:rPr>
                <w:rFonts w:ascii="Arial Narrow" w:hAnsi="Arial Narrow" w:cs="Arial"/>
                <w:sz w:val="20"/>
                <w:szCs w:val="20"/>
              </w:rPr>
              <w:t xml:space="preserve">Medical </w:t>
            </w:r>
            <w:r>
              <w:rPr>
                <w:rFonts w:ascii="Arial Narrow" w:hAnsi="Arial Narrow" w:cs="Arial"/>
                <w:sz w:val="20"/>
                <w:szCs w:val="20"/>
              </w:rPr>
              <w:t>Practitioners</w:t>
            </w:r>
          </w:p>
        </w:tc>
      </w:tr>
      <w:tr w:rsidR="005B0927" w:rsidRPr="00120A12" w14:paraId="2D9E72BB"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Merge/>
          </w:tcPr>
          <w:p w14:paraId="5667845D" w14:textId="77777777" w:rsidR="005B0927" w:rsidRPr="00280B3C" w:rsidRDefault="005B0927" w:rsidP="00AD2329">
            <w:pPr>
              <w:jc w:val="center"/>
              <w:rPr>
                <w:rFonts w:ascii="Arial Narrow" w:hAnsi="Arial Narrow"/>
                <w:sz w:val="20"/>
                <w:szCs w:val="20"/>
              </w:rPr>
            </w:pPr>
          </w:p>
        </w:tc>
        <w:tc>
          <w:tcPr>
            <w:tcW w:w="8079" w:type="dxa"/>
            <w:gridSpan w:val="6"/>
          </w:tcPr>
          <w:p w14:paraId="5C4DBED2" w14:textId="77777777" w:rsidR="005B0927" w:rsidRPr="00296682" w:rsidRDefault="005B0927" w:rsidP="00AD2329">
            <w:pPr>
              <w:rPr>
                <w:rFonts w:ascii="Arial Narrow" w:hAnsi="Arial Narrow"/>
                <w:b/>
                <w:bCs/>
                <w:sz w:val="20"/>
                <w:szCs w:val="20"/>
              </w:rPr>
            </w:pPr>
            <w:r w:rsidRPr="008266E7">
              <w:rPr>
                <w:rFonts w:ascii="Arial Narrow" w:hAnsi="Arial Narrow" w:cs="Arial"/>
                <w:b/>
                <w:sz w:val="20"/>
                <w:szCs w:val="20"/>
              </w:rPr>
              <w:t xml:space="preserve">Restriction type: </w:t>
            </w:r>
            <w:r w:rsidRPr="008266E7">
              <w:rPr>
                <w:rFonts w:ascii="Arial Narrow" w:eastAsia="Calibri" w:hAnsi="Arial Narrow" w:cs="Arial"/>
                <w:color w:val="FF0000"/>
                <w:sz w:val="20"/>
                <w:szCs w:val="20"/>
              </w:rPr>
              <w:t xml:space="preserve"> </w:t>
            </w:r>
            <w:r>
              <w:rPr>
                <w:rFonts w:ascii="Arial Narrow" w:eastAsia="Calibri" w:hAnsi="Arial Narrow" w:cs="Arial"/>
                <w:sz w:val="20"/>
                <w:szCs w:val="20"/>
              </w:rPr>
              <w:fldChar w:fldCharType="begin">
                <w:ffData>
                  <w:name w:val="Check3"/>
                  <w:enabled/>
                  <w:calcOnExit w:val="0"/>
                  <w:checkBox>
                    <w:sizeAuto/>
                    <w:default w:val="1"/>
                  </w:checkBox>
                </w:ffData>
              </w:fldChar>
            </w:r>
            <w:r>
              <w:rPr>
                <w:rFonts w:ascii="Arial Narrow" w:eastAsia="Calibri" w:hAnsi="Arial Narrow" w:cs="Arial"/>
                <w:sz w:val="20"/>
                <w:szCs w:val="20"/>
              </w:rPr>
              <w:instrText xml:space="preserve"> FORMCHECKBOX </w:instrText>
            </w:r>
            <w:r w:rsidR="007C2102">
              <w:rPr>
                <w:rFonts w:ascii="Arial Narrow" w:eastAsia="Calibri" w:hAnsi="Arial Narrow" w:cs="Arial"/>
                <w:sz w:val="20"/>
                <w:szCs w:val="20"/>
              </w:rPr>
            </w:r>
            <w:r w:rsidR="007C2102">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8266E7">
              <w:rPr>
                <w:rFonts w:ascii="Arial Narrow" w:eastAsia="Calibri" w:hAnsi="Arial Narrow" w:cs="Arial"/>
                <w:sz w:val="20"/>
                <w:szCs w:val="20"/>
              </w:rPr>
              <w:t>Authority Required (</w:t>
            </w:r>
            <w:r>
              <w:rPr>
                <w:rFonts w:ascii="Arial Narrow" w:eastAsia="Calibri" w:hAnsi="Arial Narrow" w:cs="Arial"/>
                <w:sz w:val="20"/>
                <w:szCs w:val="20"/>
              </w:rPr>
              <w:t>in writing only via post/HPOS upload</w:t>
            </w:r>
            <w:r w:rsidRPr="008266E7">
              <w:rPr>
                <w:rFonts w:ascii="Arial Narrow" w:eastAsia="Calibri" w:hAnsi="Arial Narrow" w:cs="Arial"/>
                <w:sz w:val="20"/>
                <w:szCs w:val="20"/>
              </w:rPr>
              <w:t>)</w:t>
            </w:r>
            <w:r>
              <w:rPr>
                <w:rFonts w:ascii="Arial Narrow" w:eastAsia="Calibri" w:hAnsi="Arial Narrow" w:cs="Arial"/>
                <w:sz w:val="20"/>
                <w:szCs w:val="20"/>
              </w:rPr>
              <w:t>:</w:t>
            </w:r>
          </w:p>
        </w:tc>
      </w:tr>
      <w:tr w:rsidR="005B0927" w:rsidRPr="00120A12" w14:paraId="3124F43A"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tcPr>
          <w:p w14:paraId="32A42DC0" w14:textId="77777777" w:rsidR="005B0927" w:rsidRPr="00280B3C" w:rsidRDefault="005B0927" w:rsidP="00AD2329">
            <w:pPr>
              <w:jc w:val="center"/>
              <w:rPr>
                <w:rFonts w:ascii="Arial Narrow" w:hAnsi="Arial Narrow"/>
                <w:sz w:val="20"/>
                <w:szCs w:val="20"/>
              </w:rPr>
            </w:pPr>
          </w:p>
        </w:tc>
        <w:tc>
          <w:tcPr>
            <w:tcW w:w="8079" w:type="dxa"/>
            <w:gridSpan w:val="6"/>
          </w:tcPr>
          <w:p w14:paraId="5F7BF2F8" w14:textId="77777777" w:rsidR="005B0927" w:rsidRPr="008266E7" w:rsidRDefault="005B0927" w:rsidP="00AD2329">
            <w:pPr>
              <w:rPr>
                <w:rFonts w:ascii="Arial Narrow" w:hAnsi="Arial Narrow" w:cs="Arial"/>
                <w:b/>
                <w:sz w:val="20"/>
                <w:szCs w:val="20"/>
              </w:rPr>
            </w:pPr>
          </w:p>
        </w:tc>
      </w:tr>
      <w:tr w:rsidR="005B0927" w:rsidRPr="00120A12" w14:paraId="0ACFEA61"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1BA30A1" w14:textId="793F6CF9" w:rsidR="005B0927" w:rsidRPr="00296682" w:rsidRDefault="005B0927" w:rsidP="00AD2329">
            <w:pPr>
              <w:jc w:val="center"/>
              <w:rPr>
                <w:rFonts w:ascii="Arial Narrow" w:hAnsi="Arial Narrow"/>
                <w:sz w:val="20"/>
                <w:szCs w:val="20"/>
              </w:rPr>
            </w:pPr>
          </w:p>
        </w:tc>
        <w:tc>
          <w:tcPr>
            <w:tcW w:w="8079" w:type="dxa"/>
            <w:gridSpan w:val="6"/>
            <w:vAlign w:val="center"/>
          </w:tcPr>
          <w:p w14:paraId="0EE88F58" w14:textId="77777777" w:rsidR="005B0927" w:rsidRPr="00296682" w:rsidRDefault="005B0927" w:rsidP="00AD2329">
            <w:pPr>
              <w:rPr>
                <w:rFonts w:ascii="Arial Narrow" w:hAnsi="Arial Narrow"/>
                <w:sz w:val="20"/>
                <w:szCs w:val="20"/>
              </w:rPr>
            </w:pPr>
            <w:r w:rsidRPr="00296682">
              <w:rPr>
                <w:rFonts w:ascii="Arial Narrow" w:hAnsi="Arial Narrow"/>
                <w:b/>
                <w:bCs/>
                <w:sz w:val="20"/>
                <w:szCs w:val="20"/>
              </w:rPr>
              <w:t>Indication:</w:t>
            </w:r>
            <w:r w:rsidRPr="00296682">
              <w:rPr>
                <w:rFonts w:ascii="Arial Narrow" w:hAnsi="Arial Narrow"/>
                <w:sz w:val="20"/>
                <w:szCs w:val="20"/>
              </w:rPr>
              <w:t xml:space="preserve"> </w:t>
            </w:r>
            <w:r>
              <w:rPr>
                <w:rFonts w:ascii="Arial Narrow" w:hAnsi="Arial Narrow"/>
                <w:sz w:val="20"/>
                <w:szCs w:val="20"/>
              </w:rPr>
              <w:t>Severe active rheumatoid arthritis</w:t>
            </w:r>
          </w:p>
        </w:tc>
      </w:tr>
      <w:tr w:rsidR="005B0927" w:rsidRPr="00B90897" w14:paraId="7106D1C3"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55F42AF" w14:textId="77777777" w:rsidR="005B0927" w:rsidRPr="00296682" w:rsidRDefault="005B0927" w:rsidP="00AD2329">
            <w:pPr>
              <w:jc w:val="center"/>
              <w:rPr>
                <w:rFonts w:ascii="Arial Narrow" w:hAnsi="Arial Narrow"/>
                <w:sz w:val="20"/>
                <w:szCs w:val="20"/>
              </w:rPr>
            </w:pPr>
          </w:p>
        </w:tc>
        <w:tc>
          <w:tcPr>
            <w:tcW w:w="8079" w:type="dxa"/>
            <w:gridSpan w:val="6"/>
            <w:vAlign w:val="center"/>
          </w:tcPr>
          <w:p w14:paraId="128E1D4D" w14:textId="77777777" w:rsidR="005B0927" w:rsidRPr="00296682" w:rsidRDefault="005B0927" w:rsidP="00AD2329">
            <w:pPr>
              <w:rPr>
                <w:rFonts w:ascii="Arial Narrow" w:hAnsi="Arial Narrow"/>
                <w:sz w:val="20"/>
                <w:szCs w:val="20"/>
              </w:rPr>
            </w:pPr>
            <w:r w:rsidRPr="00296682">
              <w:rPr>
                <w:rFonts w:ascii="Arial Narrow" w:hAnsi="Arial Narrow"/>
                <w:b/>
                <w:bCs/>
                <w:sz w:val="20"/>
                <w:szCs w:val="20"/>
              </w:rPr>
              <w:t xml:space="preserve">Treatment </w:t>
            </w:r>
            <w:r w:rsidRPr="00915C05">
              <w:rPr>
                <w:rFonts w:ascii="Arial Narrow" w:hAnsi="Arial Narrow"/>
                <w:b/>
                <w:bCs/>
                <w:sz w:val="20"/>
                <w:szCs w:val="20"/>
              </w:rPr>
              <w:t>Phase:</w:t>
            </w:r>
            <w:r w:rsidRPr="00915C05">
              <w:rPr>
                <w:rFonts w:ascii="Arial Narrow" w:hAnsi="Arial Narrow"/>
                <w:sz w:val="20"/>
                <w:szCs w:val="20"/>
              </w:rPr>
              <w:t xml:space="preserve"> </w:t>
            </w:r>
            <w:r w:rsidRPr="0001561E">
              <w:rPr>
                <w:rFonts w:ascii="Arial Narrow" w:hAnsi="Arial Narrow"/>
                <w:i/>
                <w:iCs/>
                <w:sz w:val="20"/>
                <w:szCs w:val="20"/>
              </w:rPr>
              <w:t xml:space="preserve">Initial treatment with the subcutaneous form – </w:t>
            </w:r>
            <w:r w:rsidRPr="00915C05">
              <w:rPr>
                <w:rFonts w:ascii="Arial Narrow" w:hAnsi="Arial Narrow"/>
                <w:sz w:val="20"/>
                <w:szCs w:val="20"/>
              </w:rPr>
              <w:t>Initial 2 (change or recommencement of treatment after a break in biological medicine of less than 24 months)</w:t>
            </w:r>
            <w:r w:rsidRPr="00296682">
              <w:rPr>
                <w:rFonts w:ascii="Arial Narrow" w:hAnsi="Arial Narrow"/>
                <w:sz w:val="20"/>
                <w:szCs w:val="20"/>
              </w:rPr>
              <w:t xml:space="preserve">  </w:t>
            </w:r>
          </w:p>
        </w:tc>
      </w:tr>
      <w:tr w:rsidR="005B0927" w:rsidRPr="00B90897" w14:paraId="3D282256"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2DAA07EC" w14:textId="77777777" w:rsidR="005B0927" w:rsidRPr="00296682" w:rsidRDefault="005B0927" w:rsidP="00AD2329">
            <w:pPr>
              <w:jc w:val="center"/>
              <w:rPr>
                <w:rFonts w:ascii="Arial Narrow" w:hAnsi="Arial Narrow"/>
                <w:sz w:val="20"/>
                <w:szCs w:val="20"/>
              </w:rPr>
            </w:pPr>
          </w:p>
        </w:tc>
        <w:tc>
          <w:tcPr>
            <w:tcW w:w="8079" w:type="dxa"/>
            <w:gridSpan w:val="6"/>
            <w:vAlign w:val="center"/>
          </w:tcPr>
          <w:p w14:paraId="6EFEB9BB" w14:textId="77777777" w:rsidR="005B0927" w:rsidRPr="00296682" w:rsidRDefault="005B0927" w:rsidP="00AD2329">
            <w:pPr>
              <w:rPr>
                <w:rFonts w:ascii="Arial Narrow" w:hAnsi="Arial Narrow"/>
                <w:b/>
                <w:bCs/>
                <w:sz w:val="20"/>
                <w:szCs w:val="20"/>
              </w:rPr>
            </w:pPr>
          </w:p>
        </w:tc>
      </w:tr>
      <w:tr w:rsidR="005B0927" w:rsidRPr="00B90897" w14:paraId="1457082C"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47BA0A32" w14:textId="11448B3D" w:rsidR="005B0927" w:rsidRPr="00296682" w:rsidRDefault="005B0927" w:rsidP="00AD2329">
            <w:pPr>
              <w:jc w:val="center"/>
              <w:rPr>
                <w:rFonts w:ascii="Arial Narrow" w:hAnsi="Arial Narrow"/>
                <w:sz w:val="20"/>
                <w:szCs w:val="20"/>
              </w:rPr>
            </w:pPr>
          </w:p>
        </w:tc>
        <w:tc>
          <w:tcPr>
            <w:tcW w:w="8079" w:type="dxa"/>
            <w:gridSpan w:val="6"/>
            <w:vAlign w:val="center"/>
          </w:tcPr>
          <w:p w14:paraId="4725E88B" w14:textId="77777777" w:rsidR="005B0927" w:rsidRPr="00296682" w:rsidRDefault="005B0927" w:rsidP="00AD2329">
            <w:pPr>
              <w:rPr>
                <w:rFonts w:ascii="Arial Narrow" w:hAnsi="Arial Narrow"/>
                <w:b/>
                <w:bCs/>
                <w:sz w:val="20"/>
                <w:szCs w:val="20"/>
              </w:rPr>
            </w:pPr>
            <w:r w:rsidRPr="00296682">
              <w:rPr>
                <w:rFonts w:ascii="Arial Narrow" w:hAnsi="Arial Narrow"/>
                <w:b/>
                <w:bCs/>
                <w:sz w:val="20"/>
                <w:szCs w:val="20"/>
              </w:rPr>
              <w:t>Treatment criteria:</w:t>
            </w:r>
          </w:p>
        </w:tc>
      </w:tr>
      <w:tr w:rsidR="005B0927" w:rsidRPr="00B90897" w14:paraId="4E27CB8A"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9E13422" w14:textId="0D9E6387" w:rsidR="005B0927" w:rsidRPr="00296682" w:rsidRDefault="005B0927" w:rsidP="00AD2329">
            <w:pPr>
              <w:jc w:val="center"/>
              <w:rPr>
                <w:rFonts w:ascii="Arial Narrow" w:hAnsi="Arial Narrow"/>
                <w:sz w:val="20"/>
                <w:szCs w:val="20"/>
              </w:rPr>
            </w:pPr>
          </w:p>
        </w:tc>
        <w:tc>
          <w:tcPr>
            <w:tcW w:w="8079" w:type="dxa"/>
            <w:gridSpan w:val="6"/>
            <w:vAlign w:val="center"/>
          </w:tcPr>
          <w:p w14:paraId="7F99E65F" w14:textId="77777777" w:rsidR="005B0927" w:rsidRPr="00296682" w:rsidRDefault="005B0927" w:rsidP="00AD2329">
            <w:pPr>
              <w:rPr>
                <w:rFonts w:ascii="Arial Narrow" w:hAnsi="Arial Narrow"/>
                <w:b/>
                <w:bCs/>
                <w:sz w:val="20"/>
                <w:szCs w:val="20"/>
              </w:rPr>
            </w:pPr>
            <w:r w:rsidRPr="00296682">
              <w:rPr>
                <w:rFonts w:ascii="Arial Narrow" w:hAnsi="Arial Narrow" w:cs="Arial Narrow"/>
                <w:iCs/>
                <w:sz w:val="20"/>
                <w:szCs w:val="20"/>
              </w:rPr>
              <w:t>Must be treated by a rheumatologist; or</w:t>
            </w:r>
          </w:p>
        </w:tc>
      </w:tr>
      <w:tr w:rsidR="005B0927" w:rsidRPr="00B90897" w14:paraId="1CFC6F30"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7B83EE1" w14:textId="105CE6A5" w:rsidR="005B0927" w:rsidRPr="00296682" w:rsidRDefault="005B0927" w:rsidP="00AD2329">
            <w:pPr>
              <w:jc w:val="center"/>
              <w:rPr>
                <w:rFonts w:ascii="Arial Narrow" w:hAnsi="Arial Narrow"/>
                <w:sz w:val="20"/>
                <w:szCs w:val="20"/>
              </w:rPr>
            </w:pPr>
          </w:p>
        </w:tc>
        <w:tc>
          <w:tcPr>
            <w:tcW w:w="8079" w:type="dxa"/>
            <w:gridSpan w:val="6"/>
            <w:vAlign w:val="center"/>
          </w:tcPr>
          <w:p w14:paraId="22511E19" w14:textId="77777777" w:rsidR="005B0927" w:rsidRPr="00296682" w:rsidRDefault="005B0927" w:rsidP="00AD2329">
            <w:pPr>
              <w:rPr>
                <w:rFonts w:ascii="Arial Narrow" w:hAnsi="Arial Narrow"/>
                <w:b/>
                <w:bCs/>
                <w:sz w:val="20"/>
                <w:szCs w:val="20"/>
              </w:rPr>
            </w:pPr>
            <w:r w:rsidRPr="00296682">
              <w:rPr>
                <w:rFonts w:ascii="Arial Narrow" w:hAnsi="Arial Narrow"/>
                <w:sz w:val="20"/>
                <w:szCs w:val="20"/>
              </w:rPr>
              <w:t>Must be treated by a clinical immunologist with expertise in the management of rheumatoid arthritis</w:t>
            </w:r>
          </w:p>
        </w:tc>
      </w:tr>
      <w:tr w:rsidR="005B0927" w:rsidRPr="00B90897" w14:paraId="222E4BA1"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1B425091" w14:textId="77777777" w:rsidR="005B0927" w:rsidRPr="00296682" w:rsidRDefault="005B0927" w:rsidP="00AD2329">
            <w:pPr>
              <w:jc w:val="center"/>
              <w:rPr>
                <w:rFonts w:ascii="Arial Narrow" w:hAnsi="Arial Narrow"/>
                <w:sz w:val="20"/>
                <w:szCs w:val="20"/>
              </w:rPr>
            </w:pPr>
          </w:p>
        </w:tc>
        <w:tc>
          <w:tcPr>
            <w:tcW w:w="8079" w:type="dxa"/>
            <w:gridSpan w:val="6"/>
            <w:vAlign w:val="center"/>
          </w:tcPr>
          <w:p w14:paraId="5A199321" w14:textId="77777777" w:rsidR="005B0927" w:rsidRPr="00296682" w:rsidRDefault="005B0927" w:rsidP="00AD2329">
            <w:pPr>
              <w:rPr>
                <w:rFonts w:ascii="Arial Narrow" w:hAnsi="Arial Narrow"/>
                <w:b/>
                <w:bCs/>
                <w:sz w:val="20"/>
                <w:szCs w:val="20"/>
              </w:rPr>
            </w:pPr>
            <w:r w:rsidRPr="00296682">
              <w:rPr>
                <w:rFonts w:ascii="Arial Narrow" w:hAnsi="Arial Narrow"/>
                <w:b/>
                <w:bCs/>
                <w:sz w:val="20"/>
                <w:szCs w:val="20"/>
              </w:rPr>
              <w:t>AND</w:t>
            </w:r>
          </w:p>
        </w:tc>
      </w:tr>
      <w:tr w:rsidR="005B0927" w:rsidRPr="00B90897" w14:paraId="31318CDC"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51835E1" w14:textId="57090F0C" w:rsidR="005B0927" w:rsidRPr="00296682" w:rsidRDefault="005B0927" w:rsidP="00AD2329">
            <w:pPr>
              <w:jc w:val="center"/>
              <w:rPr>
                <w:rFonts w:ascii="Arial Narrow" w:hAnsi="Arial Narrow"/>
                <w:sz w:val="20"/>
                <w:szCs w:val="20"/>
              </w:rPr>
            </w:pPr>
          </w:p>
        </w:tc>
        <w:tc>
          <w:tcPr>
            <w:tcW w:w="8079" w:type="dxa"/>
            <w:gridSpan w:val="6"/>
            <w:vAlign w:val="center"/>
          </w:tcPr>
          <w:p w14:paraId="6CD7E322" w14:textId="77777777" w:rsidR="005B0927" w:rsidRPr="00296682" w:rsidRDefault="005B0927" w:rsidP="00AD2329">
            <w:pPr>
              <w:rPr>
                <w:rFonts w:ascii="Arial Narrow" w:hAnsi="Arial Narrow"/>
                <w:b/>
                <w:bCs/>
                <w:sz w:val="20"/>
                <w:szCs w:val="20"/>
              </w:rPr>
            </w:pPr>
            <w:r w:rsidRPr="00296682">
              <w:rPr>
                <w:rFonts w:ascii="Arial Narrow" w:hAnsi="Arial Narrow"/>
                <w:b/>
                <w:bCs/>
                <w:sz w:val="20"/>
                <w:szCs w:val="20"/>
              </w:rPr>
              <w:t>Clinical criteria:</w:t>
            </w:r>
          </w:p>
        </w:tc>
      </w:tr>
      <w:tr w:rsidR="005B0927" w:rsidRPr="00B90897" w14:paraId="75E11BF6"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4F590FD" w14:textId="119327AA" w:rsidR="005B0927" w:rsidRPr="00296682" w:rsidRDefault="005B0927" w:rsidP="00AD2329">
            <w:pPr>
              <w:jc w:val="center"/>
              <w:rPr>
                <w:rFonts w:ascii="Arial Narrow" w:hAnsi="Arial Narrow"/>
                <w:sz w:val="20"/>
                <w:szCs w:val="20"/>
              </w:rPr>
            </w:pPr>
          </w:p>
        </w:tc>
        <w:tc>
          <w:tcPr>
            <w:tcW w:w="8079" w:type="dxa"/>
            <w:gridSpan w:val="6"/>
            <w:vAlign w:val="center"/>
          </w:tcPr>
          <w:p w14:paraId="6BC8152C" w14:textId="77777777" w:rsidR="005B0927" w:rsidRPr="00296682" w:rsidRDefault="005B0927" w:rsidP="00AD2329">
            <w:pPr>
              <w:rPr>
                <w:rFonts w:ascii="Arial Narrow" w:hAnsi="Arial Narrow"/>
                <w:b/>
                <w:bCs/>
                <w:sz w:val="20"/>
                <w:szCs w:val="20"/>
              </w:rPr>
            </w:pPr>
            <w:r w:rsidRPr="00053EF7">
              <w:rPr>
                <w:rFonts w:ascii="Arial Narrow" w:hAnsi="Arial Narrow"/>
                <w:sz w:val="20"/>
                <w:szCs w:val="20"/>
              </w:rPr>
              <w:t>Patient must have received prior PBS-subsidised treatment with a biological medicine for this condition</w:t>
            </w:r>
          </w:p>
        </w:tc>
      </w:tr>
      <w:tr w:rsidR="005B0927" w:rsidRPr="00B90897" w14:paraId="62D7F438"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7FAAA9F" w14:textId="77777777" w:rsidR="005B0927" w:rsidRPr="00280B3C" w:rsidRDefault="005B0927" w:rsidP="00AD2329">
            <w:pPr>
              <w:jc w:val="center"/>
              <w:rPr>
                <w:rFonts w:ascii="Arial Narrow" w:hAnsi="Arial Narrow"/>
                <w:sz w:val="20"/>
                <w:szCs w:val="20"/>
              </w:rPr>
            </w:pPr>
          </w:p>
        </w:tc>
        <w:tc>
          <w:tcPr>
            <w:tcW w:w="8079" w:type="dxa"/>
            <w:gridSpan w:val="6"/>
            <w:vAlign w:val="center"/>
          </w:tcPr>
          <w:p w14:paraId="46707226" w14:textId="77777777" w:rsidR="005B0927" w:rsidRPr="00053EF7" w:rsidRDefault="005B0927" w:rsidP="00AD2329">
            <w:pPr>
              <w:rPr>
                <w:rFonts w:ascii="Arial Narrow" w:hAnsi="Arial Narrow"/>
                <w:sz w:val="20"/>
                <w:szCs w:val="20"/>
              </w:rPr>
            </w:pPr>
            <w:r w:rsidRPr="00296682">
              <w:rPr>
                <w:rFonts w:ascii="Arial Narrow" w:hAnsi="Arial Narrow"/>
                <w:b/>
                <w:bCs/>
                <w:sz w:val="20"/>
                <w:szCs w:val="20"/>
              </w:rPr>
              <w:t>AND</w:t>
            </w:r>
          </w:p>
        </w:tc>
      </w:tr>
      <w:tr w:rsidR="005B0927" w:rsidRPr="00B90897" w14:paraId="70A2FBF8"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11C0EF13" w14:textId="5565523D" w:rsidR="005B0927" w:rsidRPr="00A9467B" w:rsidRDefault="005B0927" w:rsidP="00AD2329">
            <w:pPr>
              <w:jc w:val="center"/>
              <w:rPr>
                <w:rFonts w:ascii="Arial Narrow" w:hAnsi="Arial Narrow"/>
                <w:sz w:val="20"/>
                <w:szCs w:val="20"/>
              </w:rPr>
            </w:pPr>
          </w:p>
        </w:tc>
        <w:tc>
          <w:tcPr>
            <w:tcW w:w="8079" w:type="dxa"/>
            <w:gridSpan w:val="6"/>
            <w:vAlign w:val="center"/>
          </w:tcPr>
          <w:p w14:paraId="31A06081" w14:textId="77777777" w:rsidR="005B0927" w:rsidRPr="00A9467B" w:rsidRDefault="005B0927" w:rsidP="00AD2329">
            <w:pPr>
              <w:rPr>
                <w:rFonts w:ascii="Arial Narrow" w:hAnsi="Arial Narrow"/>
                <w:sz w:val="20"/>
                <w:szCs w:val="20"/>
              </w:rPr>
            </w:pPr>
            <w:r w:rsidRPr="00A9467B">
              <w:rPr>
                <w:rFonts w:ascii="Arial Narrow" w:hAnsi="Arial Narrow"/>
                <w:b/>
                <w:bCs/>
                <w:sz w:val="20"/>
                <w:szCs w:val="20"/>
              </w:rPr>
              <w:t>Clinical criteria:</w:t>
            </w:r>
          </w:p>
        </w:tc>
      </w:tr>
      <w:tr w:rsidR="005B0927" w:rsidRPr="00B90897" w14:paraId="42AED26D"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7A94165" w14:textId="2B10D1D1" w:rsidR="005B0927" w:rsidRPr="00A9467B" w:rsidRDefault="005B0927" w:rsidP="00AD2329">
            <w:pPr>
              <w:jc w:val="center"/>
              <w:rPr>
                <w:rFonts w:ascii="Arial Narrow" w:hAnsi="Arial Narrow"/>
                <w:sz w:val="20"/>
                <w:szCs w:val="20"/>
              </w:rPr>
            </w:pPr>
          </w:p>
        </w:tc>
        <w:tc>
          <w:tcPr>
            <w:tcW w:w="8079" w:type="dxa"/>
            <w:gridSpan w:val="6"/>
            <w:vAlign w:val="center"/>
          </w:tcPr>
          <w:p w14:paraId="733E9389" w14:textId="77777777" w:rsidR="005B0927" w:rsidRPr="00A9467B" w:rsidRDefault="005B0927" w:rsidP="00AD2329">
            <w:pPr>
              <w:rPr>
                <w:rFonts w:ascii="Arial Narrow" w:hAnsi="Arial Narrow"/>
                <w:sz w:val="20"/>
                <w:szCs w:val="20"/>
              </w:rPr>
            </w:pPr>
            <w:r w:rsidRPr="00A9467B">
              <w:rPr>
                <w:rFonts w:ascii="Arial Narrow" w:hAnsi="Arial Narrow"/>
                <w:sz w:val="20"/>
                <w:szCs w:val="20"/>
              </w:rPr>
              <w:t>Patient must not have failed to respond to previous PBS-subsidised treatment with this drug for this condition</w:t>
            </w:r>
          </w:p>
        </w:tc>
      </w:tr>
      <w:tr w:rsidR="005B0927" w:rsidRPr="00B90897" w14:paraId="657EE4FD"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47CB698D" w14:textId="77777777" w:rsidR="005B0927" w:rsidRPr="00280B3C" w:rsidRDefault="005B0927" w:rsidP="00AD2329">
            <w:pPr>
              <w:jc w:val="center"/>
              <w:rPr>
                <w:rFonts w:ascii="Arial Narrow" w:hAnsi="Arial Narrow"/>
                <w:sz w:val="20"/>
                <w:szCs w:val="20"/>
              </w:rPr>
            </w:pPr>
          </w:p>
        </w:tc>
        <w:tc>
          <w:tcPr>
            <w:tcW w:w="8079" w:type="dxa"/>
            <w:gridSpan w:val="6"/>
            <w:vAlign w:val="center"/>
          </w:tcPr>
          <w:p w14:paraId="619D2AC6" w14:textId="77777777" w:rsidR="005B0927" w:rsidRPr="00053EF7" w:rsidRDefault="005B0927" w:rsidP="00AD2329">
            <w:pPr>
              <w:rPr>
                <w:rFonts w:ascii="Arial Narrow" w:hAnsi="Arial Narrow"/>
                <w:sz w:val="20"/>
                <w:szCs w:val="20"/>
              </w:rPr>
            </w:pPr>
            <w:r w:rsidRPr="00296682">
              <w:rPr>
                <w:rFonts w:ascii="Arial Narrow" w:hAnsi="Arial Narrow"/>
                <w:b/>
                <w:bCs/>
                <w:sz w:val="20"/>
                <w:szCs w:val="20"/>
              </w:rPr>
              <w:t>AND</w:t>
            </w:r>
          </w:p>
        </w:tc>
      </w:tr>
      <w:tr w:rsidR="005B0927" w:rsidRPr="00B90897" w14:paraId="475A3987"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023AFCD" w14:textId="3F4E08BB" w:rsidR="005B0927" w:rsidRPr="00280B3C" w:rsidRDefault="005B0927" w:rsidP="00AD2329">
            <w:pPr>
              <w:jc w:val="center"/>
              <w:rPr>
                <w:rFonts w:ascii="Arial Narrow" w:hAnsi="Arial Narrow"/>
                <w:sz w:val="20"/>
                <w:szCs w:val="20"/>
              </w:rPr>
            </w:pPr>
          </w:p>
        </w:tc>
        <w:tc>
          <w:tcPr>
            <w:tcW w:w="8079" w:type="dxa"/>
            <w:gridSpan w:val="6"/>
            <w:vAlign w:val="center"/>
          </w:tcPr>
          <w:p w14:paraId="041C28EA" w14:textId="77777777" w:rsidR="005B0927" w:rsidRPr="00053EF7" w:rsidRDefault="005B0927" w:rsidP="00AD2329">
            <w:pPr>
              <w:rPr>
                <w:rFonts w:ascii="Arial Narrow" w:hAnsi="Arial Narrow"/>
                <w:sz w:val="20"/>
                <w:szCs w:val="20"/>
              </w:rPr>
            </w:pPr>
            <w:r w:rsidRPr="00296682">
              <w:rPr>
                <w:rFonts w:ascii="Arial Narrow" w:hAnsi="Arial Narrow"/>
                <w:b/>
                <w:bCs/>
                <w:sz w:val="20"/>
                <w:szCs w:val="20"/>
              </w:rPr>
              <w:t>Clinical criteria:</w:t>
            </w:r>
          </w:p>
        </w:tc>
      </w:tr>
      <w:tr w:rsidR="005B0927" w:rsidRPr="00B90897" w14:paraId="5E7A56B8"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B5DC370" w14:textId="2FB1C48D" w:rsidR="005B0927" w:rsidRPr="00280B3C" w:rsidRDefault="005B0927" w:rsidP="00AD2329">
            <w:pPr>
              <w:jc w:val="center"/>
              <w:rPr>
                <w:rFonts w:ascii="Arial Narrow" w:hAnsi="Arial Narrow"/>
                <w:sz w:val="20"/>
                <w:szCs w:val="20"/>
              </w:rPr>
            </w:pPr>
          </w:p>
        </w:tc>
        <w:tc>
          <w:tcPr>
            <w:tcW w:w="8079" w:type="dxa"/>
            <w:gridSpan w:val="6"/>
            <w:vAlign w:val="center"/>
          </w:tcPr>
          <w:p w14:paraId="071F7FE6" w14:textId="77777777" w:rsidR="005B0927" w:rsidRPr="00053EF7" w:rsidRDefault="005B0927" w:rsidP="00AD2329">
            <w:pPr>
              <w:rPr>
                <w:rFonts w:ascii="Arial Narrow" w:hAnsi="Arial Narrow"/>
                <w:sz w:val="20"/>
                <w:szCs w:val="20"/>
              </w:rPr>
            </w:pPr>
            <w:r w:rsidRPr="00037FFC">
              <w:rPr>
                <w:rFonts w:ascii="Arial Narrow" w:hAnsi="Arial Narrow"/>
                <w:sz w:val="20"/>
                <w:szCs w:val="20"/>
              </w:rPr>
              <w:t>Patient must not have already failed, or ceased to respond to, PBS-subsidised biological medicine treatment for this condition 5 times</w:t>
            </w:r>
          </w:p>
        </w:tc>
      </w:tr>
      <w:tr w:rsidR="005B0927" w:rsidRPr="00B90897" w14:paraId="6AB35946"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165DCB94" w14:textId="77777777" w:rsidR="005B0927" w:rsidRPr="00296682" w:rsidRDefault="005B0927" w:rsidP="00AD2329">
            <w:pPr>
              <w:jc w:val="center"/>
              <w:rPr>
                <w:rFonts w:ascii="Arial Narrow" w:hAnsi="Arial Narrow"/>
                <w:sz w:val="20"/>
                <w:szCs w:val="20"/>
              </w:rPr>
            </w:pPr>
          </w:p>
        </w:tc>
        <w:tc>
          <w:tcPr>
            <w:tcW w:w="8079" w:type="dxa"/>
            <w:gridSpan w:val="6"/>
            <w:vAlign w:val="center"/>
          </w:tcPr>
          <w:p w14:paraId="2757B479" w14:textId="77777777" w:rsidR="005B0927" w:rsidRPr="00296682" w:rsidRDefault="005B0927" w:rsidP="00AD2329">
            <w:pPr>
              <w:rPr>
                <w:rFonts w:ascii="Arial Narrow" w:hAnsi="Arial Narrow"/>
                <w:b/>
                <w:bCs/>
                <w:sz w:val="20"/>
                <w:szCs w:val="20"/>
              </w:rPr>
            </w:pPr>
            <w:r>
              <w:rPr>
                <w:rFonts w:ascii="Arial Narrow" w:hAnsi="Arial Narrow"/>
                <w:b/>
                <w:bCs/>
                <w:sz w:val="20"/>
                <w:szCs w:val="20"/>
              </w:rPr>
              <w:t>AND</w:t>
            </w:r>
          </w:p>
        </w:tc>
      </w:tr>
      <w:tr w:rsidR="005B0927" w:rsidRPr="00B90897" w14:paraId="74BA3917"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D74D207" w14:textId="51CE2E29" w:rsidR="005B0927" w:rsidRPr="00296682" w:rsidRDefault="005B0927" w:rsidP="00AD2329">
            <w:pPr>
              <w:jc w:val="center"/>
              <w:rPr>
                <w:rFonts w:ascii="Arial Narrow" w:hAnsi="Arial Narrow"/>
                <w:sz w:val="20"/>
                <w:szCs w:val="20"/>
              </w:rPr>
            </w:pPr>
          </w:p>
        </w:tc>
        <w:tc>
          <w:tcPr>
            <w:tcW w:w="8079" w:type="dxa"/>
            <w:gridSpan w:val="6"/>
            <w:vAlign w:val="center"/>
          </w:tcPr>
          <w:p w14:paraId="05AA6390" w14:textId="77777777" w:rsidR="005B0927" w:rsidRPr="00296682" w:rsidRDefault="005B0927" w:rsidP="00AD2329">
            <w:pPr>
              <w:rPr>
                <w:rFonts w:ascii="Arial Narrow" w:hAnsi="Arial Narrow"/>
                <w:b/>
                <w:bCs/>
                <w:sz w:val="20"/>
                <w:szCs w:val="20"/>
              </w:rPr>
            </w:pPr>
            <w:r w:rsidRPr="00296682">
              <w:rPr>
                <w:rFonts w:ascii="Arial Narrow" w:hAnsi="Arial Narrow"/>
                <w:b/>
                <w:bCs/>
                <w:sz w:val="20"/>
                <w:szCs w:val="20"/>
              </w:rPr>
              <w:t>Clinical criteria:</w:t>
            </w:r>
          </w:p>
        </w:tc>
      </w:tr>
      <w:tr w:rsidR="005B0927" w:rsidRPr="00B90897" w14:paraId="5CBA35E0"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272D26E3" w14:textId="6DCDCC09" w:rsidR="005B0927" w:rsidRPr="00296682" w:rsidRDefault="005B0927" w:rsidP="00AD2329">
            <w:pPr>
              <w:jc w:val="center"/>
              <w:rPr>
                <w:rFonts w:ascii="Arial Narrow" w:hAnsi="Arial Narrow"/>
                <w:sz w:val="20"/>
                <w:szCs w:val="20"/>
              </w:rPr>
            </w:pPr>
          </w:p>
        </w:tc>
        <w:tc>
          <w:tcPr>
            <w:tcW w:w="8079" w:type="dxa"/>
            <w:gridSpan w:val="6"/>
            <w:vAlign w:val="center"/>
          </w:tcPr>
          <w:p w14:paraId="0A398BF0" w14:textId="77777777" w:rsidR="005B0927" w:rsidRPr="00296682" w:rsidRDefault="005B0927" w:rsidP="00AD2329">
            <w:pPr>
              <w:rPr>
                <w:rFonts w:ascii="Arial Narrow" w:hAnsi="Arial Narrow"/>
                <w:b/>
                <w:bCs/>
                <w:sz w:val="20"/>
                <w:szCs w:val="20"/>
              </w:rPr>
            </w:pPr>
            <w:r w:rsidRPr="008E46DF">
              <w:rPr>
                <w:rFonts w:ascii="Arial Narrow" w:hAnsi="Arial Narrow"/>
                <w:sz w:val="20"/>
                <w:szCs w:val="20"/>
              </w:rPr>
              <w:t>The treatment must be given concomitantly with methotrexate at a dose of at least 7.5 mg weekly</w:t>
            </w:r>
          </w:p>
        </w:tc>
      </w:tr>
      <w:tr w:rsidR="005B0927" w:rsidRPr="00B90897" w14:paraId="7F11ECF8"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EB1BB59" w14:textId="77777777" w:rsidR="005B0927" w:rsidRPr="00296682" w:rsidRDefault="005B0927" w:rsidP="00AD2329">
            <w:pPr>
              <w:jc w:val="center"/>
              <w:rPr>
                <w:rFonts w:ascii="Arial Narrow" w:hAnsi="Arial Narrow"/>
                <w:sz w:val="20"/>
                <w:szCs w:val="20"/>
              </w:rPr>
            </w:pPr>
          </w:p>
        </w:tc>
        <w:tc>
          <w:tcPr>
            <w:tcW w:w="8079" w:type="dxa"/>
            <w:gridSpan w:val="6"/>
            <w:vAlign w:val="center"/>
          </w:tcPr>
          <w:p w14:paraId="336D3188" w14:textId="77777777" w:rsidR="005B0927" w:rsidRPr="00296682" w:rsidRDefault="005B0927" w:rsidP="00AD2329">
            <w:pPr>
              <w:rPr>
                <w:rFonts w:ascii="Arial Narrow" w:hAnsi="Arial Narrow"/>
                <w:b/>
                <w:bCs/>
                <w:sz w:val="20"/>
                <w:szCs w:val="20"/>
              </w:rPr>
            </w:pPr>
          </w:p>
        </w:tc>
      </w:tr>
      <w:tr w:rsidR="005B0927" w:rsidRPr="00B90897" w14:paraId="776952D6"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DBCD9A1" w14:textId="0B1959C0" w:rsidR="005B0927" w:rsidRPr="00296682" w:rsidRDefault="005B0927" w:rsidP="00AD2329">
            <w:pPr>
              <w:jc w:val="center"/>
              <w:rPr>
                <w:rFonts w:ascii="Arial Narrow" w:hAnsi="Arial Narrow"/>
                <w:sz w:val="20"/>
                <w:szCs w:val="20"/>
              </w:rPr>
            </w:pPr>
          </w:p>
        </w:tc>
        <w:tc>
          <w:tcPr>
            <w:tcW w:w="8079" w:type="dxa"/>
            <w:gridSpan w:val="6"/>
            <w:vAlign w:val="center"/>
          </w:tcPr>
          <w:p w14:paraId="00F5F94B" w14:textId="77777777" w:rsidR="005B0927" w:rsidRPr="00296682" w:rsidRDefault="005B0927" w:rsidP="00AD2329">
            <w:pPr>
              <w:rPr>
                <w:rFonts w:ascii="Arial Narrow" w:hAnsi="Arial Narrow"/>
                <w:b/>
                <w:bCs/>
                <w:sz w:val="20"/>
                <w:szCs w:val="20"/>
              </w:rPr>
            </w:pPr>
            <w:r w:rsidRPr="00296682">
              <w:rPr>
                <w:rFonts w:ascii="Arial Narrow" w:hAnsi="Arial Narrow"/>
                <w:b/>
                <w:bCs/>
                <w:sz w:val="20"/>
                <w:szCs w:val="20"/>
              </w:rPr>
              <w:t>Population criteria:</w:t>
            </w:r>
          </w:p>
        </w:tc>
      </w:tr>
      <w:tr w:rsidR="005B0927" w:rsidRPr="00B90897" w14:paraId="48CB7933"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1E9BDC79" w14:textId="6694E48D" w:rsidR="005B0927" w:rsidRPr="00296682" w:rsidRDefault="005B0927" w:rsidP="00AD2329">
            <w:pPr>
              <w:jc w:val="center"/>
              <w:rPr>
                <w:rFonts w:ascii="Arial Narrow" w:hAnsi="Arial Narrow"/>
                <w:sz w:val="20"/>
                <w:szCs w:val="20"/>
              </w:rPr>
            </w:pPr>
          </w:p>
        </w:tc>
        <w:tc>
          <w:tcPr>
            <w:tcW w:w="8079" w:type="dxa"/>
            <w:gridSpan w:val="6"/>
            <w:vAlign w:val="center"/>
          </w:tcPr>
          <w:p w14:paraId="5C65CF38" w14:textId="77777777" w:rsidR="005B0927" w:rsidRPr="00296682" w:rsidRDefault="005B0927" w:rsidP="00AD2329">
            <w:pPr>
              <w:rPr>
                <w:rFonts w:ascii="Arial Narrow" w:hAnsi="Arial Narrow"/>
                <w:b/>
                <w:bCs/>
                <w:sz w:val="20"/>
                <w:szCs w:val="20"/>
              </w:rPr>
            </w:pPr>
            <w:r>
              <w:rPr>
                <w:rFonts w:ascii="Arial Narrow" w:hAnsi="Arial Narrow"/>
                <w:sz w:val="20"/>
                <w:szCs w:val="20"/>
              </w:rPr>
              <w:t>Patient must be at least 18 years of age</w:t>
            </w:r>
          </w:p>
        </w:tc>
      </w:tr>
      <w:tr w:rsidR="005B0927" w:rsidRPr="00B90897" w14:paraId="1135AF38"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40F57BE9" w14:textId="77777777" w:rsidR="005B0927" w:rsidRDefault="005B0927" w:rsidP="00AD2329">
            <w:pPr>
              <w:jc w:val="center"/>
              <w:rPr>
                <w:rFonts w:ascii="Arial Narrow" w:hAnsi="Arial Narrow"/>
                <w:sz w:val="20"/>
                <w:szCs w:val="20"/>
              </w:rPr>
            </w:pPr>
          </w:p>
        </w:tc>
        <w:tc>
          <w:tcPr>
            <w:tcW w:w="8079" w:type="dxa"/>
            <w:gridSpan w:val="6"/>
            <w:vAlign w:val="center"/>
          </w:tcPr>
          <w:p w14:paraId="249F6014" w14:textId="77777777" w:rsidR="005B0927" w:rsidRDefault="005B0927" w:rsidP="00AD2329">
            <w:pPr>
              <w:rPr>
                <w:rFonts w:ascii="Arial Narrow" w:hAnsi="Arial Narrow"/>
                <w:sz w:val="20"/>
                <w:szCs w:val="20"/>
              </w:rPr>
            </w:pPr>
          </w:p>
        </w:tc>
      </w:tr>
      <w:tr w:rsidR="005B0927" w:rsidRPr="00B90897" w14:paraId="68EEF319"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38FA38D" w14:textId="7910F233" w:rsidR="005B0927" w:rsidRPr="00296682" w:rsidRDefault="005B0927" w:rsidP="00AD2329">
            <w:pPr>
              <w:jc w:val="center"/>
              <w:rPr>
                <w:rFonts w:ascii="Arial Narrow" w:hAnsi="Arial Narrow"/>
                <w:sz w:val="20"/>
                <w:szCs w:val="20"/>
              </w:rPr>
            </w:pPr>
          </w:p>
        </w:tc>
        <w:tc>
          <w:tcPr>
            <w:tcW w:w="8079" w:type="dxa"/>
            <w:gridSpan w:val="6"/>
            <w:vAlign w:val="center"/>
          </w:tcPr>
          <w:p w14:paraId="48823881"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46BE965D" w14:textId="77777777" w:rsidR="005B0927" w:rsidRPr="00037FFC" w:rsidRDefault="005B0927" w:rsidP="00AD2329">
            <w:pPr>
              <w:rPr>
                <w:rFonts w:ascii="Arial Narrow" w:hAnsi="Arial Narrow"/>
                <w:sz w:val="20"/>
                <w:szCs w:val="20"/>
              </w:rPr>
            </w:pPr>
            <w:r w:rsidRPr="00037FFC">
              <w:rPr>
                <w:rFonts w:ascii="Arial Narrow" w:hAnsi="Arial Narrow"/>
                <w:sz w:val="20"/>
                <w:szCs w:val="20"/>
              </w:rPr>
              <w:t>An adequate response to treatment is defined as:</w:t>
            </w:r>
          </w:p>
          <w:p w14:paraId="189B3E09" w14:textId="77777777" w:rsidR="005B0927" w:rsidRPr="00037FFC" w:rsidRDefault="005B0927" w:rsidP="00AD2329">
            <w:pPr>
              <w:rPr>
                <w:rFonts w:ascii="Arial Narrow" w:hAnsi="Arial Narrow"/>
                <w:sz w:val="20"/>
                <w:szCs w:val="20"/>
              </w:rPr>
            </w:pPr>
            <w:r w:rsidRPr="00037FFC">
              <w:rPr>
                <w:rFonts w:ascii="Arial Narrow" w:hAnsi="Arial Narrow"/>
                <w:sz w:val="20"/>
                <w:szCs w:val="20"/>
              </w:rPr>
              <w:t>an ESR no greater than 25 mm per hour or a CRP level no greater than 15 mg per L or either marker reduced by at least 20% from baseline;</w:t>
            </w:r>
          </w:p>
          <w:p w14:paraId="16A7A75A" w14:textId="77777777" w:rsidR="005B0927" w:rsidRPr="00037FFC" w:rsidRDefault="005B0927" w:rsidP="00AD2329">
            <w:pPr>
              <w:rPr>
                <w:rFonts w:ascii="Arial Narrow" w:hAnsi="Arial Narrow"/>
                <w:sz w:val="20"/>
                <w:szCs w:val="20"/>
              </w:rPr>
            </w:pPr>
            <w:r w:rsidRPr="00037FFC">
              <w:rPr>
                <w:rFonts w:ascii="Arial Narrow" w:hAnsi="Arial Narrow"/>
                <w:sz w:val="20"/>
                <w:szCs w:val="20"/>
              </w:rPr>
              <w:t>AND either of the following:</w:t>
            </w:r>
          </w:p>
          <w:p w14:paraId="38CBF77F" w14:textId="77777777" w:rsidR="005B0927" w:rsidRPr="00037FFC" w:rsidRDefault="005B0927" w:rsidP="00AD2329">
            <w:pPr>
              <w:rPr>
                <w:rFonts w:ascii="Arial Narrow" w:hAnsi="Arial Narrow"/>
                <w:sz w:val="20"/>
                <w:szCs w:val="20"/>
              </w:rPr>
            </w:pPr>
            <w:r w:rsidRPr="00037FFC">
              <w:rPr>
                <w:rFonts w:ascii="Arial Narrow" w:hAnsi="Arial Narrow"/>
                <w:sz w:val="20"/>
                <w:szCs w:val="20"/>
              </w:rPr>
              <w:t>(a) a reduction in the total active (swollen and tender) joint count by at least 50% from baseline, where baseline is at least 20 active joints; or</w:t>
            </w:r>
          </w:p>
          <w:p w14:paraId="03E287C6" w14:textId="77777777" w:rsidR="005B0927" w:rsidRPr="00037FFC" w:rsidRDefault="005B0927" w:rsidP="00AD2329">
            <w:pPr>
              <w:rPr>
                <w:rFonts w:ascii="Arial Narrow" w:hAnsi="Arial Narrow"/>
                <w:sz w:val="20"/>
                <w:szCs w:val="20"/>
              </w:rPr>
            </w:pPr>
            <w:r w:rsidRPr="00037FFC">
              <w:rPr>
                <w:rFonts w:ascii="Arial Narrow" w:hAnsi="Arial Narrow"/>
                <w:sz w:val="20"/>
                <w:szCs w:val="20"/>
              </w:rPr>
              <w:t>(b) a reduction in the number of the following active joints, from at least 4, by at least 50%:</w:t>
            </w:r>
          </w:p>
          <w:p w14:paraId="247F7918" w14:textId="77777777" w:rsidR="005B0927" w:rsidRPr="00037FFC" w:rsidRDefault="005B0927" w:rsidP="00AD2329">
            <w:pPr>
              <w:rPr>
                <w:rFonts w:ascii="Arial Narrow" w:hAnsi="Arial Narrow"/>
                <w:sz w:val="20"/>
                <w:szCs w:val="20"/>
              </w:rPr>
            </w:pPr>
            <w:r w:rsidRPr="00037FFC">
              <w:rPr>
                <w:rFonts w:ascii="Arial Narrow" w:hAnsi="Arial Narrow"/>
                <w:sz w:val="20"/>
                <w:szCs w:val="20"/>
              </w:rPr>
              <w:t>(i) elbow, wrist, knee and/or ankle (assessed as swollen and tender); and/or</w:t>
            </w:r>
          </w:p>
          <w:p w14:paraId="4955501B" w14:textId="77777777" w:rsidR="005B0927" w:rsidRPr="00296682" w:rsidRDefault="005B0927" w:rsidP="00AD2329">
            <w:pPr>
              <w:rPr>
                <w:rFonts w:ascii="Arial Narrow" w:hAnsi="Arial Narrow"/>
                <w:b/>
                <w:bCs/>
                <w:sz w:val="20"/>
                <w:szCs w:val="20"/>
              </w:rPr>
            </w:pPr>
            <w:r w:rsidRPr="00037FFC">
              <w:rPr>
                <w:rFonts w:ascii="Arial Narrow" w:hAnsi="Arial Narrow"/>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5B0927" w:rsidRPr="00B90897" w14:paraId="26A40AAD"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1F0F760" w14:textId="1A288DD5" w:rsidR="005B0927" w:rsidRPr="00A9467B" w:rsidRDefault="005B0927" w:rsidP="00AD2329">
            <w:pPr>
              <w:jc w:val="center"/>
              <w:rPr>
                <w:rFonts w:ascii="Arial Narrow" w:hAnsi="Arial Narrow"/>
                <w:sz w:val="20"/>
                <w:szCs w:val="20"/>
              </w:rPr>
            </w:pPr>
          </w:p>
        </w:tc>
        <w:tc>
          <w:tcPr>
            <w:tcW w:w="8079" w:type="dxa"/>
            <w:gridSpan w:val="6"/>
            <w:vAlign w:val="center"/>
          </w:tcPr>
          <w:p w14:paraId="044EE9EE" w14:textId="77777777" w:rsidR="005B0927" w:rsidRPr="00A9467B" w:rsidRDefault="005B0927" w:rsidP="00AD2329">
            <w:pPr>
              <w:rPr>
                <w:rFonts w:ascii="Arial Narrow" w:hAnsi="Arial Narrow"/>
                <w:b/>
                <w:bCs/>
                <w:sz w:val="20"/>
                <w:szCs w:val="20"/>
              </w:rPr>
            </w:pPr>
            <w:r w:rsidRPr="00A9467B">
              <w:rPr>
                <w:rFonts w:ascii="Arial Narrow" w:hAnsi="Arial Narrow"/>
                <w:b/>
                <w:bCs/>
                <w:sz w:val="20"/>
                <w:szCs w:val="20"/>
              </w:rPr>
              <w:t>Prescribing Instructions:</w:t>
            </w:r>
          </w:p>
          <w:p w14:paraId="627110F2" w14:textId="77777777" w:rsidR="005B0927" w:rsidRPr="00A9467B" w:rsidRDefault="005B0927" w:rsidP="00AD2329">
            <w:pPr>
              <w:rPr>
                <w:rFonts w:ascii="Arial Narrow" w:hAnsi="Arial Narrow"/>
                <w:b/>
                <w:bCs/>
                <w:sz w:val="20"/>
                <w:szCs w:val="20"/>
              </w:rPr>
            </w:pPr>
            <w:r w:rsidRPr="00A9467B">
              <w:rPr>
                <w:rFonts w:ascii="Arial Narrow" w:hAnsi="Arial Narrow"/>
                <w:sz w:val="20"/>
                <w:szCs w:val="20"/>
              </w:rP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p>
        </w:tc>
      </w:tr>
      <w:tr w:rsidR="005B0927" w:rsidRPr="00B90897" w14:paraId="4FF9AC91"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E3A64DD" w14:textId="20D5EF3C" w:rsidR="005B0927" w:rsidRPr="00A9467B" w:rsidRDefault="005B0927" w:rsidP="00AD2329">
            <w:pPr>
              <w:jc w:val="center"/>
              <w:rPr>
                <w:rFonts w:ascii="Arial Narrow" w:hAnsi="Arial Narrow"/>
                <w:sz w:val="20"/>
                <w:szCs w:val="20"/>
              </w:rPr>
            </w:pPr>
          </w:p>
        </w:tc>
        <w:tc>
          <w:tcPr>
            <w:tcW w:w="8079" w:type="dxa"/>
            <w:gridSpan w:val="6"/>
            <w:vAlign w:val="center"/>
          </w:tcPr>
          <w:p w14:paraId="213C6035" w14:textId="77777777" w:rsidR="005B0927" w:rsidRPr="00A9467B" w:rsidRDefault="005B0927" w:rsidP="00AD2329">
            <w:pPr>
              <w:rPr>
                <w:rFonts w:ascii="Arial Narrow" w:hAnsi="Arial Narrow"/>
                <w:b/>
                <w:bCs/>
                <w:sz w:val="20"/>
                <w:szCs w:val="20"/>
              </w:rPr>
            </w:pPr>
            <w:r w:rsidRPr="00A9467B">
              <w:rPr>
                <w:rFonts w:ascii="Arial Narrow" w:hAnsi="Arial Narrow"/>
                <w:b/>
                <w:bCs/>
                <w:sz w:val="20"/>
                <w:szCs w:val="20"/>
              </w:rPr>
              <w:t>Prescribing Instructions:</w:t>
            </w:r>
          </w:p>
          <w:p w14:paraId="244396B7" w14:textId="77777777" w:rsidR="005B0927" w:rsidRPr="00A9467B" w:rsidRDefault="005B0927" w:rsidP="00AD2329">
            <w:pPr>
              <w:rPr>
                <w:rFonts w:ascii="Arial Narrow" w:hAnsi="Arial Narrow"/>
                <w:b/>
                <w:bCs/>
                <w:sz w:val="20"/>
                <w:szCs w:val="20"/>
              </w:rPr>
            </w:pPr>
            <w:r w:rsidRPr="00A9467B">
              <w:rPr>
                <w:rFonts w:ascii="Arial Narrow" w:hAnsi="Arial Narrow"/>
                <w:sz w:val="20"/>
                <w:szCs w:val="20"/>
              </w:rPr>
              <w:t>Where the most recent course of PBS-subsidised treatment with this drug was approved under either of the Initial 1, Initial 2, Initial 3, first or subsequent continuing treatment restrictions, it is recommended that an assessment of a patient's response is conducted following a minimum of 12 weeks of therapy and no later than 4 weeks from the completion of the most recent course of treatment.</w:t>
            </w:r>
          </w:p>
        </w:tc>
      </w:tr>
      <w:tr w:rsidR="005B0927" w:rsidRPr="00B90897" w14:paraId="174FE3AD"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85E1875" w14:textId="4A4795E1" w:rsidR="005B0927" w:rsidRPr="00296682" w:rsidRDefault="005B0927" w:rsidP="00AD2329">
            <w:pPr>
              <w:jc w:val="center"/>
              <w:rPr>
                <w:rFonts w:ascii="Arial Narrow" w:hAnsi="Arial Narrow"/>
                <w:sz w:val="20"/>
                <w:szCs w:val="20"/>
              </w:rPr>
            </w:pPr>
          </w:p>
        </w:tc>
        <w:tc>
          <w:tcPr>
            <w:tcW w:w="8079" w:type="dxa"/>
            <w:gridSpan w:val="6"/>
            <w:vAlign w:val="center"/>
          </w:tcPr>
          <w:p w14:paraId="0CDD1BEB"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1984D0ED" w14:textId="77777777" w:rsidR="005B0927" w:rsidRPr="00296682" w:rsidRDefault="005B0927" w:rsidP="00AD2329">
            <w:pPr>
              <w:rPr>
                <w:rFonts w:ascii="Arial Narrow" w:hAnsi="Arial Narrow"/>
                <w:b/>
                <w:bCs/>
                <w:sz w:val="20"/>
                <w:szCs w:val="20"/>
              </w:rPr>
            </w:pPr>
            <w:r w:rsidRPr="00294C00">
              <w:rPr>
                <w:rFonts w:ascii="Arial Narrow" w:hAnsi="Arial Narrow"/>
                <w:sz w:val="20"/>
                <w:szCs w:val="20"/>
              </w:rPr>
              <w:t>An assessment of a patient's response to this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w:t>
            </w:r>
          </w:p>
        </w:tc>
      </w:tr>
      <w:tr w:rsidR="005B0927" w:rsidRPr="00B90897" w14:paraId="7B3DDE14"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EDE1393" w14:textId="374DC4B6" w:rsidR="005B0927" w:rsidRPr="00296682" w:rsidRDefault="005B0927" w:rsidP="00AD2329">
            <w:pPr>
              <w:jc w:val="center"/>
              <w:rPr>
                <w:rFonts w:ascii="Arial Narrow" w:hAnsi="Arial Narrow"/>
                <w:sz w:val="20"/>
                <w:szCs w:val="20"/>
              </w:rPr>
            </w:pPr>
          </w:p>
        </w:tc>
        <w:tc>
          <w:tcPr>
            <w:tcW w:w="8079" w:type="dxa"/>
            <w:gridSpan w:val="6"/>
            <w:vAlign w:val="center"/>
          </w:tcPr>
          <w:p w14:paraId="58A1E34A"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55997582" w14:textId="77777777" w:rsidR="005B0927" w:rsidRPr="00296682" w:rsidRDefault="005B0927" w:rsidP="00AD2329">
            <w:pPr>
              <w:rPr>
                <w:rFonts w:ascii="Arial Narrow" w:hAnsi="Arial Narrow"/>
                <w:b/>
                <w:bCs/>
                <w:sz w:val="20"/>
                <w:szCs w:val="20"/>
              </w:rPr>
            </w:pPr>
            <w:r w:rsidRPr="00294C00">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7136AD" w:rsidRPr="00B90897" w14:paraId="2DECE7CE"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0F7DAE03" w14:textId="3D804A24" w:rsidR="007136AD" w:rsidRPr="00296682" w:rsidRDefault="007136AD" w:rsidP="007136AD">
            <w:pPr>
              <w:jc w:val="center"/>
              <w:rPr>
                <w:rFonts w:ascii="Arial Narrow" w:hAnsi="Arial Narrow"/>
                <w:sz w:val="20"/>
                <w:szCs w:val="20"/>
              </w:rPr>
            </w:pPr>
          </w:p>
        </w:tc>
        <w:tc>
          <w:tcPr>
            <w:tcW w:w="8079" w:type="dxa"/>
            <w:gridSpan w:val="6"/>
            <w:vAlign w:val="center"/>
          </w:tcPr>
          <w:p w14:paraId="4A62E54B" w14:textId="77777777" w:rsidR="007136AD" w:rsidRPr="00053EF7" w:rsidRDefault="007136AD" w:rsidP="007136AD">
            <w:pPr>
              <w:rPr>
                <w:rFonts w:ascii="Arial Narrow" w:hAnsi="Arial Narrow"/>
                <w:b/>
                <w:bCs/>
                <w:sz w:val="20"/>
                <w:szCs w:val="20"/>
              </w:rPr>
            </w:pPr>
            <w:r w:rsidRPr="00053EF7">
              <w:rPr>
                <w:rFonts w:ascii="Arial Narrow" w:hAnsi="Arial Narrow"/>
                <w:b/>
                <w:bCs/>
                <w:sz w:val="20"/>
                <w:szCs w:val="20"/>
              </w:rPr>
              <w:t>Prescribing Instructions:</w:t>
            </w:r>
          </w:p>
          <w:p w14:paraId="4F033B32" w14:textId="77777777" w:rsidR="007136AD" w:rsidRPr="00053EF7" w:rsidRDefault="007136AD" w:rsidP="007136AD">
            <w:pPr>
              <w:rPr>
                <w:rFonts w:ascii="Arial Narrow" w:hAnsi="Arial Narrow"/>
                <w:sz w:val="20"/>
                <w:szCs w:val="20"/>
              </w:rPr>
            </w:pPr>
            <w:r w:rsidRPr="00053EF7">
              <w:rPr>
                <w:rFonts w:ascii="Arial Narrow" w:hAnsi="Arial Narrow"/>
                <w:sz w:val="20"/>
                <w:szCs w:val="20"/>
              </w:rPr>
              <w:t>The authority application must be made in writing and must include:</w:t>
            </w:r>
          </w:p>
          <w:p w14:paraId="4A02DBE8" w14:textId="77777777" w:rsidR="007136AD" w:rsidRPr="00471E63" w:rsidRDefault="007136AD" w:rsidP="007136AD">
            <w:pPr>
              <w:rPr>
                <w:rFonts w:ascii="Arial Narrow" w:hAnsi="Arial Narrow"/>
                <w:sz w:val="20"/>
                <w:szCs w:val="20"/>
              </w:rPr>
            </w:pPr>
            <w:r w:rsidRPr="00471E63">
              <w:rPr>
                <w:rFonts w:ascii="Arial Narrow" w:hAnsi="Arial Narrow"/>
                <w:sz w:val="20"/>
                <w:szCs w:val="20"/>
              </w:rPr>
              <w:t>(a) a completed authority prescription form(s); and</w:t>
            </w:r>
          </w:p>
          <w:p w14:paraId="7567E5EF" w14:textId="1A8E5AA1" w:rsidR="007136AD" w:rsidRPr="00296682" w:rsidRDefault="007136AD" w:rsidP="007136AD">
            <w:pPr>
              <w:rPr>
                <w:rFonts w:ascii="Arial Narrow" w:hAnsi="Arial Narrow"/>
                <w:b/>
                <w:bCs/>
                <w:sz w:val="20"/>
                <w:szCs w:val="20"/>
              </w:rPr>
            </w:pPr>
            <w:r w:rsidRPr="00471E63">
              <w:rPr>
                <w:rFonts w:ascii="Arial Narrow" w:hAnsi="Arial Narrow"/>
                <w:sz w:val="20"/>
                <w:szCs w:val="20"/>
              </w:rPr>
              <w:t>(b) a completed authority application form relevant to the indication and treatment phase (the latest version is located on the website specified in the Administrative Advice).</w:t>
            </w:r>
            <w:r w:rsidRPr="00471E63" w:rsidDel="00471E63">
              <w:rPr>
                <w:rFonts w:ascii="Arial Narrow" w:hAnsi="Arial Narrow"/>
                <w:sz w:val="20"/>
                <w:szCs w:val="20"/>
              </w:rPr>
              <w:t xml:space="preserve"> </w:t>
            </w:r>
          </w:p>
        </w:tc>
      </w:tr>
      <w:tr w:rsidR="005B0927" w:rsidRPr="00B90897" w14:paraId="5A69A477"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485858D" w14:textId="7DA9209D" w:rsidR="005B0927" w:rsidRDefault="005B0927" w:rsidP="00AD2329">
            <w:pPr>
              <w:jc w:val="center"/>
              <w:rPr>
                <w:rFonts w:ascii="Arial Narrow" w:hAnsi="Arial Narrow"/>
                <w:sz w:val="20"/>
                <w:szCs w:val="20"/>
              </w:rPr>
            </w:pPr>
          </w:p>
        </w:tc>
        <w:tc>
          <w:tcPr>
            <w:tcW w:w="8079" w:type="dxa"/>
            <w:gridSpan w:val="6"/>
            <w:vAlign w:val="center"/>
          </w:tcPr>
          <w:p w14:paraId="41616982"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511980A9" w14:textId="77777777" w:rsidR="005B0927" w:rsidRPr="00053EF7" w:rsidRDefault="005B0927" w:rsidP="00AD2329">
            <w:pPr>
              <w:rPr>
                <w:rFonts w:ascii="Arial Narrow" w:hAnsi="Arial Narrow"/>
                <w:b/>
                <w:bCs/>
                <w:sz w:val="20"/>
                <w:szCs w:val="20"/>
              </w:rPr>
            </w:pPr>
            <w:r w:rsidRPr="00053EF7">
              <w:rPr>
                <w:rFonts w:ascii="Arial Narrow" w:hAnsi="Arial Narrow"/>
                <w:sz w:val="20"/>
                <w:szCs w:val="20"/>
              </w:rPr>
              <w:t>If a patient fails to demonstrate a response to treatment with this drug under this restriction, they will not be eligible to receive further PBS-subsidised treatment with this drug for this condition.</w:t>
            </w:r>
          </w:p>
        </w:tc>
      </w:tr>
      <w:tr w:rsidR="005B0927" w:rsidRPr="00B90897" w14:paraId="534B7282"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21D7579A" w14:textId="5C55298F" w:rsidR="005B0927" w:rsidRDefault="005B0927" w:rsidP="00AD2329">
            <w:pPr>
              <w:jc w:val="center"/>
              <w:rPr>
                <w:rFonts w:ascii="Arial Narrow" w:hAnsi="Arial Narrow"/>
                <w:sz w:val="20"/>
                <w:szCs w:val="20"/>
              </w:rPr>
            </w:pPr>
          </w:p>
        </w:tc>
        <w:tc>
          <w:tcPr>
            <w:tcW w:w="8079" w:type="dxa"/>
            <w:gridSpan w:val="6"/>
            <w:vAlign w:val="center"/>
          </w:tcPr>
          <w:p w14:paraId="5D4877C6"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4027D60C" w14:textId="77777777" w:rsidR="005B0927" w:rsidRPr="00294C00" w:rsidRDefault="005B0927" w:rsidP="00AD2329">
            <w:pPr>
              <w:rPr>
                <w:rFonts w:ascii="Arial Narrow" w:hAnsi="Arial Narrow"/>
                <w:sz w:val="20"/>
                <w:szCs w:val="20"/>
              </w:rPr>
            </w:pPr>
            <w:r w:rsidRPr="00294C00">
              <w:rPr>
                <w:rFonts w:ascii="Arial Narrow" w:hAnsi="Arial Narrow"/>
                <w:sz w:val="20"/>
                <w:szCs w:val="20"/>
              </w:rPr>
              <w:t>A patient who has demonstrated a response to a course of rituximab must have a PBS-subsidised biological therapy treatment-free period of at least 22 weeks, immediately following the second infusion, before swapping to an alternate biological medicine.</w:t>
            </w:r>
          </w:p>
        </w:tc>
      </w:tr>
      <w:tr w:rsidR="005B0927" w:rsidRPr="00B90897" w14:paraId="4CE6DF53" w14:textId="77777777" w:rsidTr="00AD2329">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6C95E108" w14:textId="77777777" w:rsidR="005B0927" w:rsidRPr="00053EF7" w:rsidRDefault="005B0927" w:rsidP="00AD2329">
            <w:pPr>
              <w:rPr>
                <w:rFonts w:ascii="Arial Narrow" w:hAnsi="Arial Narrow"/>
                <w:b/>
                <w:bCs/>
                <w:sz w:val="20"/>
                <w:szCs w:val="20"/>
              </w:rPr>
            </w:pPr>
          </w:p>
        </w:tc>
      </w:tr>
      <w:tr w:rsidR="005B0927" w:rsidRPr="00B90897" w14:paraId="69B5F738" w14:textId="77777777" w:rsidTr="00AD2329">
        <w:tblPrEx>
          <w:tblCellMar>
            <w:top w:w="15" w:type="dxa"/>
            <w:left w:w="15" w:type="dxa"/>
            <w:bottom w:w="15" w:type="dxa"/>
            <w:right w:w="15" w:type="dxa"/>
          </w:tblCellMar>
          <w:tblLook w:val="04A0" w:firstRow="1" w:lastRow="0" w:firstColumn="1" w:lastColumn="0" w:noHBand="0" w:noVBand="1"/>
        </w:tblPrEx>
        <w:tc>
          <w:tcPr>
            <w:tcW w:w="9067" w:type="dxa"/>
            <w:gridSpan w:val="8"/>
            <w:vAlign w:val="center"/>
          </w:tcPr>
          <w:p w14:paraId="501250E3" w14:textId="77777777" w:rsidR="005B0927" w:rsidRPr="00053EF7" w:rsidRDefault="005B0927" w:rsidP="00AD2329">
            <w:pPr>
              <w:rPr>
                <w:rFonts w:ascii="Arial Narrow" w:hAnsi="Arial Narrow"/>
                <w:b/>
                <w:bCs/>
                <w:sz w:val="20"/>
                <w:szCs w:val="20"/>
              </w:rPr>
            </w:pPr>
            <w:r w:rsidRPr="00296682">
              <w:rPr>
                <w:rFonts w:ascii="Arial Narrow" w:hAnsi="Arial Narrow"/>
                <w:b/>
                <w:bCs/>
                <w:sz w:val="20"/>
                <w:szCs w:val="20"/>
              </w:rPr>
              <w:t>Restriction Summary [new] / Treatment of Concept: [new]</w:t>
            </w:r>
          </w:p>
        </w:tc>
      </w:tr>
      <w:tr w:rsidR="005B0927" w:rsidRPr="00B90897" w14:paraId="76415B49"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Merge w:val="restart"/>
          </w:tcPr>
          <w:p w14:paraId="04DA089F" w14:textId="77777777" w:rsidR="005B0927" w:rsidRPr="00997498" w:rsidRDefault="005B0927" w:rsidP="00AD2329">
            <w:pPr>
              <w:jc w:val="center"/>
              <w:rPr>
                <w:rFonts w:ascii="Arial Narrow" w:hAnsi="Arial Narrow" w:cs="Arial"/>
                <w:b/>
                <w:sz w:val="20"/>
                <w:szCs w:val="20"/>
              </w:rPr>
            </w:pPr>
            <w:r w:rsidRPr="008266E7">
              <w:rPr>
                <w:rFonts w:ascii="Arial Narrow" w:hAnsi="Arial Narrow" w:cs="Arial"/>
                <w:b/>
                <w:sz w:val="20"/>
                <w:szCs w:val="20"/>
              </w:rPr>
              <w:t>Concept ID</w:t>
            </w:r>
          </w:p>
          <w:p w14:paraId="3B89771B" w14:textId="77777777" w:rsidR="005B0927" w:rsidRPr="00280B3C" w:rsidRDefault="005B0927" w:rsidP="00AD2329">
            <w:pPr>
              <w:jc w:val="center"/>
              <w:rPr>
                <w:rFonts w:ascii="Arial Narrow" w:hAnsi="Arial Narrow"/>
                <w:sz w:val="20"/>
                <w:szCs w:val="20"/>
              </w:rPr>
            </w:pPr>
            <w:r w:rsidRPr="008266E7">
              <w:rPr>
                <w:rFonts w:ascii="Arial Narrow" w:hAnsi="Arial Narrow" w:cs="Arial"/>
                <w:sz w:val="20"/>
                <w:szCs w:val="20"/>
              </w:rPr>
              <w:t>(for internal Dept. use)</w:t>
            </w:r>
          </w:p>
        </w:tc>
        <w:tc>
          <w:tcPr>
            <w:tcW w:w="8079" w:type="dxa"/>
            <w:gridSpan w:val="6"/>
          </w:tcPr>
          <w:p w14:paraId="23AB1B41" w14:textId="77777777" w:rsidR="005B0927" w:rsidRPr="00296682" w:rsidRDefault="005B0927" w:rsidP="00AD2329">
            <w:pPr>
              <w:rPr>
                <w:rFonts w:ascii="Arial Narrow" w:hAnsi="Arial Narrow"/>
                <w:b/>
                <w:bCs/>
                <w:sz w:val="20"/>
                <w:szCs w:val="20"/>
              </w:rPr>
            </w:pPr>
            <w:r w:rsidRPr="008266E7">
              <w:rPr>
                <w:rFonts w:ascii="Arial Narrow" w:hAnsi="Arial Narrow" w:cs="Arial"/>
                <w:b/>
                <w:sz w:val="20"/>
                <w:szCs w:val="20"/>
              </w:rPr>
              <w:t xml:space="preserve">Category / Program:   </w:t>
            </w:r>
            <w:r w:rsidRPr="008266E7">
              <w:rPr>
                <w:rFonts w:ascii="Arial Narrow" w:hAnsi="Arial Narrow" w:cs="Arial"/>
                <w:sz w:val="20"/>
                <w:szCs w:val="20"/>
              </w:rPr>
              <w:t>GENERAL – General Schedule (Code GE)</w:t>
            </w:r>
            <w:r w:rsidRPr="008266E7">
              <w:rPr>
                <w:rFonts w:ascii="Arial Narrow" w:hAnsi="Arial Narrow" w:cs="Arial"/>
                <w:color w:val="FF0000"/>
                <w:sz w:val="20"/>
                <w:szCs w:val="20"/>
              </w:rPr>
              <w:t xml:space="preserve"> </w:t>
            </w:r>
          </w:p>
        </w:tc>
      </w:tr>
      <w:tr w:rsidR="005B0927" w:rsidRPr="00B90897" w14:paraId="33B30D86"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Merge/>
          </w:tcPr>
          <w:p w14:paraId="4457F515" w14:textId="77777777" w:rsidR="005B0927" w:rsidRPr="00280B3C" w:rsidRDefault="005B0927" w:rsidP="00AD2329">
            <w:pPr>
              <w:jc w:val="center"/>
              <w:rPr>
                <w:rFonts w:ascii="Arial Narrow" w:hAnsi="Arial Narrow"/>
                <w:sz w:val="20"/>
                <w:szCs w:val="20"/>
              </w:rPr>
            </w:pPr>
          </w:p>
        </w:tc>
        <w:tc>
          <w:tcPr>
            <w:tcW w:w="8079" w:type="dxa"/>
            <w:gridSpan w:val="6"/>
          </w:tcPr>
          <w:p w14:paraId="7D620051" w14:textId="77777777" w:rsidR="005B0927" w:rsidRPr="00296682" w:rsidRDefault="005B0927" w:rsidP="00AD2329">
            <w:pPr>
              <w:rPr>
                <w:rFonts w:ascii="Arial Narrow" w:hAnsi="Arial Narrow"/>
                <w:b/>
                <w:bCs/>
                <w:sz w:val="20"/>
                <w:szCs w:val="20"/>
              </w:rPr>
            </w:pPr>
            <w:r w:rsidRPr="008266E7">
              <w:rPr>
                <w:rFonts w:ascii="Arial Narrow" w:hAnsi="Arial Narrow" w:cs="Arial"/>
                <w:b/>
                <w:sz w:val="20"/>
                <w:szCs w:val="20"/>
              </w:rPr>
              <w:t xml:space="preserve">Prescriber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C2102">
              <w:rPr>
                <w:rFonts w:ascii="Arial Narrow" w:hAnsi="Arial Narrow" w:cs="Arial"/>
                <w:sz w:val="20"/>
                <w:szCs w:val="20"/>
              </w:rPr>
            </w:r>
            <w:r w:rsidR="007C2102">
              <w:rPr>
                <w:rFonts w:ascii="Arial Narrow" w:hAnsi="Arial Narrow" w:cs="Arial"/>
                <w:sz w:val="20"/>
                <w:szCs w:val="20"/>
              </w:rPr>
              <w:fldChar w:fldCharType="separate"/>
            </w:r>
            <w:r>
              <w:rPr>
                <w:rFonts w:ascii="Arial Narrow" w:hAnsi="Arial Narrow" w:cs="Arial"/>
                <w:sz w:val="20"/>
                <w:szCs w:val="20"/>
              </w:rPr>
              <w:fldChar w:fldCharType="end"/>
            </w:r>
            <w:r w:rsidRPr="008266E7">
              <w:rPr>
                <w:rFonts w:ascii="Arial Narrow" w:hAnsi="Arial Narrow" w:cs="Arial"/>
                <w:sz w:val="20"/>
                <w:szCs w:val="20"/>
              </w:rPr>
              <w:t xml:space="preserve">Medical </w:t>
            </w:r>
            <w:r>
              <w:rPr>
                <w:rFonts w:ascii="Arial Narrow" w:hAnsi="Arial Narrow" w:cs="Arial"/>
                <w:sz w:val="20"/>
                <w:szCs w:val="20"/>
              </w:rPr>
              <w:t>Practitioners</w:t>
            </w:r>
          </w:p>
        </w:tc>
      </w:tr>
      <w:tr w:rsidR="005B0927" w:rsidRPr="00B90897" w14:paraId="69454A14"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Merge/>
          </w:tcPr>
          <w:p w14:paraId="771AAF4F" w14:textId="77777777" w:rsidR="005B0927" w:rsidRPr="00280B3C" w:rsidRDefault="005B0927" w:rsidP="00AD2329">
            <w:pPr>
              <w:jc w:val="center"/>
              <w:rPr>
                <w:rFonts w:ascii="Arial Narrow" w:hAnsi="Arial Narrow"/>
                <w:sz w:val="20"/>
                <w:szCs w:val="20"/>
              </w:rPr>
            </w:pPr>
          </w:p>
        </w:tc>
        <w:tc>
          <w:tcPr>
            <w:tcW w:w="8079" w:type="dxa"/>
            <w:gridSpan w:val="6"/>
          </w:tcPr>
          <w:p w14:paraId="55C45D8A" w14:textId="77777777" w:rsidR="005B0927" w:rsidRPr="00296682" w:rsidRDefault="005B0927" w:rsidP="00AD2329">
            <w:pPr>
              <w:rPr>
                <w:rFonts w:ascii="Arial Narrow" w:hAnsi="Arial Narrow"/>
                <w:b/>
                <w:bCs/>
                <w:sz w:val="20"/>
                <w:szCs w:val="20"/>
              </w:rPr>
            </w:pPr>
            <w:r w:rsidRPr="008266E7">
              <w:rPr>
                <w:rFonts w:ascii="Arial Narrow" w:hAnsi="Arial Narrow" w:cs="Arial"/>
                <w:b/>
                <w:sz w:val="20"/>
                <w:szCs w:val="20"/>
              </w:rPr>
              <w:t xml:space="preserve">Restriction type: </w:t>
            </w:r>
            <w:r w:rsidRPr="008266E7">
              <w:rPr>
                <w:rFonts w:ascii="Arial Narrow" w:eastAsia="Calibri" w:hAnsi="Arial Narrow" w:cs="Arial"/>
                <w:color w:val="FF0000"/>
                <w:sz w:val="20"/>
                <w:szCs w:val="20"/>
              </w:rPr>
              <w:t xml:space="preserve"> </w:t>
            </w:r>
            <w:r>
              <w:rPr>
                <w:rFonts w:ascii="Arial Narrow" w:eastAsia="Calibri" w:hAnsi="Arial Narrow" w:cs="Arial"/>
                <w:sz w:val="20"/>
                <w:szCs w:val="20"/>
              </w:rPr>
              <w:fldChar w:fldCharType="begin">
                <w:ffData>
                  <w:name w:val="Check3"/>
                  <w:enabled/>
                  <w:calcOnExit w:val="0"/>
                  <w:checkBox>
                    <w:sizeAuto/>
                    <w:default w:val="1"/>
                  </w:checkBox>
                </w:ffData>
              </w:fldChar>
            </w:r>
            <w:r>
              <w:rPr>
                <w:rFonts w:ascii="Arial Narrow" w:eastAsia="Calibri" w:hAnsi="Arial Narrow" w:cs="Arial"/>
                <w:sz w:val="20"/>
                <w:szCs w:val="20"/>
              </w:rPr>
              <w:instrText xml:space="preserve"> FORMCHECKBOX </w:instrText>
            </w:r>
            <w:r w:rsidR="007C2102">
              <w:rPr>
                <w:rFonts w:ascii="Arial Narrow" w:eastAsia="Calibri" w:hAnsi="Arial Narrow" w:cs="Arial"/>
                <w:sz w:val="20"/>
                <w:szCs w:val="20"/>
              </w:rPr>
            </w:r>
            <w:r w:rsidR="007C2102">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8266E7">
              <w:rPr>
                <w:rFonts w:ascii="Arial Narrow" w:eastAsia="Calibri" w:hAnsi="Arial Narrow" w:cs="Arial"/>
                <w:sz w:val="20"/>
                <w:szCs w:val="20"/>
              </w:rPr>
              <w:t>Authority Required (</w:t>
            </w:r>
            <w:r>
              <w:rPr>
                <w:rFonts w:ascii="Arial Narrow" w:eastAsia="Calibri" w:hAnsi="Arial Narrow" w:cs="Arial"/>
                <w:sz w:val="20"/>
                <w:szCs w:val="20"/>
              </w:rPr>
              <w:t>in writing only via post/HPOS upload</w:t>
            </w:r>
            <w:r w:rsidRPr="008266E7">
              <w:rPr>
                <w:rFonts w:ascii="Arial Narrow" w:eastAsia="Calibri" w:hAnsi="Arial Narrow" w:cs="Arial"/>
                <w:sz w:val="20"/>
                <w:szCs w:val="20"/>
              </w:rPr>
              <w:t>)</w:t>
            </w:r>
            <w:r>
              <w:rPr>
                <w:rFonts w:ascii="Arial Narrow" w:eastAsia="Calibri" w:hAnsi="Arial Narrow" w:cs="Arial"/>
                <w:sz w:val="20"/>
                <w:szCs w:val="20"/>
              </w:rPr>
              <w:t>:</w:t>
            </w:r>
          </w:p>
        </w:tc>
      </w:tr>
      <w:tr w:rsidR="005B0927" w:rsidRPr="00B90897" w14:paraId="459885CF"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tcPr>
          <w:p w14:paraId="2237BE07" w14:textId="77777777" w:rsidR="005B0927" w:rsidRPr="00280B3C" w:rsidRDefault="005B0927" w:rsidP="00AD2329">
            <w:pPr>
              <w:jc w:val="center"/>
              <w:rPr>
                <w:rFonts w:ascii="Arial Narrow" w:hAnsi="Arial Narrow"/>
                <w:sz w:val="20"/>
                <w:szCs w:val="20"/>
              </w:rPr>
            </w:pPr>
          </w:p>
        </w:tc>
        <w:tc>
          <w:tcPr>
            <w:tcW w:w="8079" w:type="dxa"/>
            <w:gridSpan w:val="6"/>
          </w:tcPr>
          <w:p w14:paraId="4F81E770" w14:textId="77777777" w:rsidR="005B0927" w:rsidRPr="008266E7" w:rsidRDefault="005B0927" w:rsidP="00AD2329">
            <w:pPr>
              <w:rPr>
                <w:rFonts w:ascii="Arial Narrow" w:hAnsi="Arial Narrow" w:cs="Arial"/>
                <w:b/>
                <w:sz w:val="20"/>
                <w:szCs w:val="20"/>
              </w:rPr>
            </w:pPr>
          </w:p>
        </w:tc>
      </w:tr>
      <w:tr w:rsidR="005B0927" w:rsidRPr="00B90897" w14:paraId="074A325B"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0752330A" w14:textId="768A5C96" w:rsidR="005B0927" w:rsidRDefault="005B0927" w:rsidP="00AD2329">
            <w:pPr>
              <w:jc w:val="center"/>
              <w:rPr>
                <w:rFonts w:ascii="Arial Narrow" w:hAnsi="Arial Narrow"/>
                <w:sz w:val="20"/>
                <w:szCs w:val="20"/>
              </w:rPr>
            </w:pPr>
          </w:p>
        </w:tc>
        <w:tc>
          <w:tcPr>
            <w:tcW w:w="8079" w:type="dxa"/>
            <w:gridSpan w:val="6"/>
            <w:vAlign w:val="center"/>
          </w:tcPr>
          <w:p w14:paraId="777CBC21" w14:textId="77777777" w:rsidR="005B0927" w:rsidRPr="00053EF7" w:rsidRDefault="005B0927" w:rsidP="00AD2329">
            <w:pPr>
              <w:rPr>
                <w:rFonts w:ascii="Arial Narrow" w:hAnsi="Arial Narrow"/>
                <w:b/>
                <w:bCs/>
                <w:sz w:val="20"/>
                <w:szCs w:val="20"/>
              </w:rPr>
            </w:pPr>
            <w:r w:rsidRPr="00296682">
              <w:rPr>
                <w:rFonts w:ascii="Arial Narrow" w:hAnsi="Arial Narrow"/>
                <w:b/>
                <w:bCs/>
                <w:sz w:val="20"/>
                <w:szCs w:val="20"/>
              </w:rPr>
              <w:t>Indication:</w:t>
            </w:r>
            <w:r w:rsidRPr="00296682">
              <w:rPr>
                <w:rFonts w:ascii="Arial Narrow" w:hAnsi="Arial Narrow"/>
                <w:sz w:val="20"/>
                <w:szCs w:val="20"/>
              </w:rPr>
              <w:t xml:space="preserve"> </w:t>
            </w:r>
            <w:r>
              <w:rPr>
                <w:rFonts w:ascii="Arial Narrow" w:hAnsi="Arial Narrow"/>
                <w:sz w:val="20"/>
                <w:szCs w:val="20"/>
              </w:rPr>
              <w:t>Severe active rheumatoid arthritis</w:t>
            </w:r>
          </w:p>
        </w:tc>
      </w:tr>
      <w:tr w:rsidR="005B0927" w:rsidRPr="00B90897" w14:paraId="6EC6A469"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447A83FB" w14:textId="77777777" w:rsidR="005B0927" w:rsidRDefault="005B0927" w:rsidP="00AD2329">
            <w:pPr>
              <w:jc w:val="center"/>
              <w:rPr>
                <w:rFonts w:ascii="Arial Narrow" w:hAnsi="Arial Narrow"/>
                <w:sz w:val="20"/>
                <w:szCs w:val="20"/>
              </w:rPr>
            </w:pPr>
          </w:p>
        </w:tc>
        <w:tc>
          <w:tcPr>
            <w:tcW w:w="8079" w:type="dxa"/>
            <w:gridSpan w:val="6"/>
            <w:vAlign w:val="center"/>
          </w:tcPr>
          <w:p w14:paraId="2B26137E" w14:textId="77777777" w:rsidR="005B0927" w:rsidRPr="00053EF7" w:rsidRDefault="005B0927" w:rsidP="00AD2329">
            <w:pPr>
              <w:rPr>
                <w:rFonts w:ascii="Arial Narrow" w:hAnsi="Arial Narrow"/>
                <w:b/>
                <w:bCs/>
                <w:sz w:val="20"/>
                <w:szCs w:val="20"/>
              </w:rPr>
            </w:pPr>
            <w:r w:rsidRPr="00915C05">
              <w:rPr>
                <w:rFonts w:ascii="Arial Narrow" w:hAnsi="Arial Narrow"/>
                <w:b/>
                <w:bCs/>
                <w:sz w:val="20"/>
                <w:szCs w:val="20"/>
              </w:rPr>
              <w:t>Treatment Phase:</w:t>
            </w:r>
            <w:r w:rsidRPr="00915C05">
              <w:rPr>
                <w:rFonts w:ascii="Arial Narrow" w:hAnsi="Arial Narrow"/>
                <w:sz w:val="20"/>
                <w:szCs w:val="20"/>
              </w:rPr>
              <w:t xml:space="preserve"> </w:t>
            </w:r>
            <w:r w:rsidRPr="0001561E">
              <w:rPr>
                <w:rFonts w:ascii="Arial Narrow" w:hAnsi="Arial Narrow"/>
                <w:i/>
                <w:iCs/>
                <w:sz w:val="20"/>
                <w:szCs w:val="20"/>
              </w:rPr>
              <w:t xml:space="preserve">Initial treatment with the subcutaneous form – </w:t>
            </w:r>
            <w:r w:rsidRPr="00915C05">
              <w:rPr>
                <w:rFonts w:ascii="Arial Narrow" w:hAnsi="Arial Narrow"/>
                <w:sz w:val="20"/>
                <w:szCs w:val="20"/>
              </w:rPr>
              <w:t>Initial 3 (recommencement of treatment after a break in biological medicine of more than 24 months)</w:t>
            </w:r>
            <w:r w:rsidRPr="00296682">
              <w:rPr>
                <w:rFonts w:ascii="Arial Narrow" w:hAnsi="Arial Narrow"/>
                <w:sz w:val="20"/>
                <w:szCs w:val="20"/>
              </w:rPr>
              <w:t xml:space="preserve">  </w:t>
            </w:r>
          </w:p>
        </w:tc>
      </w:tr>
      <w:tr w:rsidR="005B0927" w:rsidRPr="00B90897" w14:paraId="61AD5546"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59E2F9A" w14:textId="77777777" w:rsidR="005B0927" w:rsidRDefault="005B0927" w:rsidP="00AD2329">
            <w:pPr>
              <w:jc w:val="center"/>
              <w:rPr>
                <w:rFonts w:ascii="Arial Narrow" w:hAnsi="Arial Narrow"/>
                <w:sz w:val="20"/>
                <w:szCs w:val="20"/>
              </w:rPr>
            </w:pPr>
          </w:p>
        </w:tc>
        <w:tc>
          <w:tcPr>
            <w:tcW w:w="8079" w:type="dxa"/>
            <w:gridSpan w:val="6"/>
            <w:vAlign w:val="center"/>
          </w:tcPr>
          <w:p w14:paraId="309510AC" w14:textId="77777777" w:rsidR="005B0927" w:rsidRPr="00915C05" w:rsidRDefault="005B0927" w:rsidP="00AD2329">
            <w:pPr>
              <w:rPr>
                <w:rFonts w:ascii="Arial Narrow" w:hAnsi="Arial Narrow"/>
                <w:b/>
                <w:bCs/>
                <w:sz w:val="20"/>
                <w:szCs w:val="20"/>
              </w:rPr>
            </w:pPr>
          </w:p>
        </w:tc>
      </w:tr>
      <w:tr w:rsidR="005B0927" w:rsidRPr="00B90897" w14:paraId="101D2C07"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1AD4083" w14:textId="350EEA24" w:rsidR="005B0927" w:rsidRDefault="005B0927" w:rsidP="00AD2329">
            <w:pPr>
              <w:jc w:val="center"/>
              <w:rPr>
                <w:rFonts w:ascii="Arial Narrow" w:hAnsi="Arial Narrow"/>
                <w:sz w:val="20"/>
                <w:szCs w:val="20"/>
              </w:rPr>
            </w:pPr>
          </w:p>
        </w:tc>
        <w:tc>
          <w:tcPr>
            <w:tcW w:w="8079" w:type="dxa"/>
            <w:gridSpan w:val="6"/>
            <w:vAlign w:val="center"/>
          </w:tcPr>
          <w:p w14:paraId="7E90B282" w14:textId="77777777" w:rsidR="005B0927" w:rsidRPr="00053EF7" w:rsidRDefault="005B0927" w:rsidP="00AD2329">
            <w:pPr>
              <w:rPr>
                <w:rFonts w:ascii="Arial Narrow" w:hAnsi="Arial Narrow"/>
                <w:b/>
                <w:bCs/>
                <w:sz w:val="20"/>
                <w:szCs w:val="20"/>
              </w:rPr>
            </w:pPr>
            <w:r w:rsidRPr="00296682">
              <w:rPr>
                <w:rFonts w:ascii="Arial Narrow" w:hAnsi="Arial Narrow"/>
                <w:b/>
                <w:bCs/>
                <w:sz w:val="20"/>
                <w:szCs w:val="20"/>
              </w:rPr>
              <w:t>Treatment criteria:</w:t>
            </w:r>
          </w:p>
        </w:tc>
      </w:tr>
      <w:tr w:rsidR="005B0927" w:rsidRPr="00B90897" w14:paraId="7E28E27B"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4A2EB354" w14:textId="18394677" w:rsidR="005B0927" w:rsidRDefault="005B0927" w:rsidP="00AD2329">
            <w:pPr>
              <w:jc w:val="center"/>
              <w:rPr>
                <w:rFonts w:ascii="Arial Narrow" w:hAnsi="Arial Narrow"/>
                <w:sz w:val="20"/>
                <w:szCs w:val="20"/>
              </w:rPr>
            </w:pPr>
          </w:p>
        </w:tc>
        <w:tc>
          <w:tcPr>
            <w:tcW w:w="8079" w:type="dxa"/>
            <w:gridSpan w:val="6"/>
            <w:vAlign w:val="center"/>
          </w:tcPr>
          <w:p w14:paraId="7CA26C7D" w14:textId="77777777" w:rsidR="005B0927" w:rsidRPr="00053EF7" w:rsidRDefault="005B0927" w:rsidP="00AD2329">
            <w:pPr>
              <w:rPr>
                <w:rFonts w:ascii="Arial Narrow" w:hAnsi="Arial Narrow"/>
                <w:b/>
                <w:bCs/>
                <w:sz w:val="20"/>
                <w:szCs w:val="20"/>
              </w:rPr>
            </w:pPr>
            <w:r w:rsidRPr="00296682">
              <w:rPr>
                <w:rFonts w:ascii="Arial Narrow" w:hAnsi="Arial Narrow" w:cs="Arial Narrow"/>
                <w:iCs/>
                <w:sz w:val="20"/>
                <w:szCs w:val="20"/>
              </w:rPr>
              <w:t>Must be treated by a rheumatologist; or</w:t>
            </w:r>
          </w:p>
        </w:tc>
      </w:tr>
      <w:tr w:rsidR="005B0927" w:rsidRPr="00B90897" w14:paraId="0D0CAA41"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01857842" w14:textId="6850FF78" w:rsidR="005B0927" w:rsidRDefault="005B0927" w:rsidP="00AD2329">
            <w:pPr>
              <w:jc w:val="center"/>
              <w:rPr>
                <w:rFonts w:ascii="Arial Narrow" w:hAnsi="Arial Narrow"/>
                <w:sz w:val="20"/>
                <w:szCs w:val="20"/>
              </w:rPr>
            </w:pPr>
          </w:p>
        </w:tc>
        <w:tc>
          <w:tcPr>
            <w:tcW w:w="8079" w:type="dxa"/>
            <w:gridSpan w:val="6"/>
            <w:vAlign w:val="center"/>
          </w:tcPr>
          <w:p w14:paraId="78631AEB" w14:textId="77777777" w:rsidR="005B0927" w:rsidRPr="00053EF7" w:rsidRDefault="005B0927" w:rsidP="00AD2329">
            <w:pPr>
              <w:rPr>
                <w:rFonts w:ascii="Arial Narrow" w:hAnsi="Arial Narrow"/>
                <w:b/>
                <w:bCs/>
                <w:sz w:val="20"/>
                <w:szCs w:val="20"/>
              </w:rPr>
            </w:pPr>
            <w:r w:rsidRPr="00296682">
              <w:rPr>
                <w:rFonts w:ascii="Arial Narrow" w:hAnsi="Arial Narrow"/>
                <w:sz w:val="20"/>
                <w:szCs w:val="20"/>
              </w:rPr>
              <w:t>Must be treated by a clinical immunologist with expertise in the management of rheumatoid arthritis</w:t>
            </w:r>
          </w:p>
        </w:tc>
      </w:tr>
      <w:tr w:rsidR="005B0927" w:rsidRPr="00B90897" w14:paraId="181AE876"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9EC2873" w14:textId="77777777" w:rsidR="005B0927" w:rsidRDefault="005B0927" w:rsidP="00AD2329">
            <w:pPr>
              <w:jc w:val="center"/>
              <w:rPr>
                <w:rFonts w:ascii="Arial Narrow" w:hAnsi="Arial Narrow"/>
                <w:sz w:val="20"/>
                <w:szCs w:val="20"/>
              </w:rPr>
            </w:pPr>
          </w:p>
        </w:tc>
        <w:tc>
          <w:tcPr>
            <w:tcW w:w="8079" w:type="dxa"/>
            <w:gridSpan w:val="6"/>
            <w:vAlign w:val="center"/>
          </w:tcPr>
          <w:p w14:paraId="33D89D65" w14:textId="77777777" w:rsidR="005B0927" w:rsidRPr="00053EF7" w:rsidRDefault="005B0927" w:rsidP="00AD2329">
            <w:pPr>
              <w:rPr>
                <w:rFonts w:ascii="Arial Narrow" w:hAnsi="Arial Narrow"/>
                <w:b/>
                <w:bCs/>
                <w:sz w:val="20"/>
                <w:szCs w:val="20"/>
              </w:rPr>
            </w:pPr>
          </w:p>
        </w:tc>
      </w:tr>
      <w:tr w:rsidR="005B0927" w:rsidRPr="00B90897" w14:paraId="5A750895"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B54B641" w14:textId="0665A04C" w:rsidR="005B0927" w:rsidRDefault="005B0927" w:rsidP="00AD2329">
            <w:pPr>
              <w:jc w:val="center"/>
              <w:rPr>
                <w:rFonts w:ascii="Arial Narrow" w:hAnsi="Arial Narrow"/>
                <w:sz w:val="20"/>
                <w:szCs w:val="20"/>
              </w:rPr>
            </w:pPr>
          </w:p>
        </w:tc>
        <w:tc>
          <w:tcPr>
            <w:tcW w:w="8079" w:type="dxa"/>
            <w:gridSpan w:val="6"/>
            <w:vAlign w:val="center"/>
          </w:tcPr>
          <w:p w14:paraId="5BE0CF14" w14:textId="77777777" w:rsidR="005B0927" w:rsidRPr="00053EF7" w:rsidRDefault="005B0927" w:rsidP="00AD2329">
            <w:pPr>
              <w:rPr>
                <w:rFonts w:ascii="Arial Narrow" w:hAnsi="Arial Narrow"/>
                <w:b/>
                <w:bCs/>
                <w:sz w:val="20"/>
                <w:szCs w:val="20"/>
              </w:rPr>
            </w:pPr>
            <w:r w:rsidRPr="00296682">
              <w:rPr>
                <w:rFonts w:ascii="Arial Narrow" w:hAnsi="Arial Narrow"/>
                <w:b/>
                <w:bCs/>
                <w:sz w:val="20"/>
                <w:szCs w:val="20"/>
              </w:rPr>
              <w:t>Clinical criteria:</w:t>
            </w:r>
          </w:p>
        </w:tc>
      </w:tr>
      <w:tr w:rsidR="005B0927" w:rsidRPr="00B90897" w14:paraId="2F29D699"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6D71F8F" w14:textId="03C34733" w:rsidR="005B0927" w:rsidRDefault="005B0927" w:rsidP="00AD2329">
            <w:pPr>
              <w:jc w:val="center"/>
              <w:rPr>
                <w:rFonts w:ascii="Arial Narrow" w:hAnsi="Arial Narrow"/>
                <w:sz w:val="20"/>
                <w:szCs w:val="20"/>
              </w:rPr>
            </w:pPr>
          </w:p>
        </w:tc>
        <w:tc>
          <w:tcPr>
            <w:tcW w:w="8079" w:type="dxa"/>
            <w:gridSpan w:val="6"/>
            <w:vAlign w:val="center"/>
          </w:tcPr>
          <w:p w14:paraId="15E28C37" w14:textId="77777777" w:rsidR="005B0927" w:rsidRPr="00053EF7" w:rsidRDefault="005B0927" w:rsidP="00AD2329">
            <w:pPr>
              <w:rPr>
                <w:rFonts w:ascii="Arial Narrow" w:hAnsi="Arial Narrow"/>
                <w:b/>
                <w:bCs/>
                <w:sz w:val="20"/>
                <w:szCs w:val="20"/>
              </w:rPr>
            </w:pPr>
            <w:r w:rsidRPr="00294C00">
              <w:rPr>
                <w:rFonts w:ascii="Arial Narrow" w:hAnsi="Arial Narrow"/>
                <w:sz w:val="20"/>
                <w:szCs w:val="20"/>
              </w:rPr>
              <w:t>Patient must have previously received PBS-subsidised treatment with a biological medicine for this condition</w:t>
            </w:r>
          </w:p>
        </w:tc>
      </w:tr>
      <w:tr w:rsidR="005B0927" w:rsidRPr="00B90897" w14:paraId="504EDFB2"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31A8365" w14:textId="77777777" w:rsidR="005B0927" w:rsidRPr="00280B3C" w:rsidRDefault="005B0927" w:rsidP="00AD2329">
            <w:pPr>
              <w:jc w:val="center"/>
              <w:rPr>
                <w:rFonts w:ascii="Arial Narrow" w:hAnsi="Arial Narrow"/>
                <w:sz w:val="20"/>
                <w:szCs w:val="20"/>
              </w:rPr>
            </w:pPr>
          </w:p>
        </w:tc>
        <w:tc>
          <w:tcPr>
            <w:tcW w:w="8079" w:type="dxa"/>
            <w:gridSpan w:val="6"/>
            <w:vAlign w:val="center"/>
          </w:tcPr>
          <w:p w14:paraId="5B2FB566" w14:textId="77777777" w:rsidR="005B0927" w:rsidRPr="00294C00" w:rsidRDefault="005B0927" w:rsidP="00AD2329">
            <w:pPr>
              <w:rPr>
                <w:rFonts w:ascii="Arial Narrow" w:hAnsi="Arial Narrow"/>
                <w:sz w:val="20"/>
                <w:szCs w:val="20"/>
              </w:rPr>
            </w:pPr>
            <w:r w:rsidRPr="00296682">
              <w:rPr>
                <w:rFonts w:ascii="Arial Narrow" w:hAnsi="Arial Narrow"/>
                <w:b/>
                <w:bCs/>
                <w:sz w:val="20"/>
                <w:szCs w:val="20"/>
              </w:rPr>
              <w:t>AND</w:t>
            </w:r>
          </w:p>
        </w:tc>
      </w:tr>
      <w:tr w:rsidR="005B0927" w:rsidRPr="00B90897" w14:paraId="62D00BCA"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CE8A11A" w14:textId="758F1CDB" w:rsidR="005B0927" w:rsidRPr="00280B3C" w:rsidRDefault="005B0927" w:rsidP="00AD2329">
            <w:pPr>
              <w:jc w:val="center"/>
              <w:rPr>
                <w:rFonts w:ascii="Arial Narrow" w:hAnsi="Arial Narrow"/>
                <w:sz w:val="20"/>
                <w:szCs w:val="20"/>
              </w:rPr>
            </w:pPr>
          </w:p>
        </w:tc>
        <w:tc>
          <w:tcPr>
            <w:tcW w:w="8079" w:type="dxa"/>
            <w:gridSpan w:val="6"/>
            <w:vAlign w:val="center"/>
          </w:tcPr>
          <w:p w14:paraId="037962CD" w14:textId="77777777" w:rsidR="005B0927" w:rsidRPr="00294C00" w:rsidRDefault="005B0927" w:rsidP="00AD2329">
            <w:pPr>
              <w:rPr>
                <w:rFonts w:ascii="Arial Narrow" w:hAnsi="Arial Narrow"/>
                <w:sz w:val="20"/>
                <w:szCs w:val="20"/>
              </w:rPr>
            </w:pPr>
            <w:r w:rsidRPr="00296682">
              <w:rPr>
                <w:rFonts w:ascii="Arial Narrow" w:hAnsi="Arial Narrow"/>
                <w:b/>
                <w:bCs/>
                <w:sz w:val="20"/>
                <w:szCs w:val="20"/>
              </w:rPr>
              <w:t>Clinical criteria:</w:t>
            </w:r>
          </w:p>
        </w:tc>
      </w:tr>
      <w:tr w:rsidR="005B0927" w:rsidRPr="00B90897" w14:paraId="156CA12A"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26142DC" w14:textId="0E52F9A5" w:rsidR="005B0927" w:rsidRPr="00280B3C" w:rsidRDefault="005B0927" w:rsidP="00AD2329">
            <w:pPr>
              <w:jc w:val="center"/>
              <w:rPr>
                <w:rFonts w:ascii="Arial Narrow" w:hAnsi="Arial Narrow"/>
                <w:sz w:val="20"/>
                <w:szCs w:val="20"/>
              </w:rPr>
            </w:pPr>
          </w:p>
        </w:tc>
        <w:tc>
          <w:tcPr>
            <w:tcW w:w="8079" w:type="dxa"/>
            <w:gridSpan w:val="6"/>
            <w:vAlign w:val="center"/>
          </w:tcPr>
          <w:p w14:paraId="484EE323" w14:textId="77777777" w:rsidR="005B0927" w:rsidRPr="00294C00" w:rsidRDefault="005B0927" w:rsidP="00AD2329">
            <w:pPr>
              <w:rPr>
                <w:rFonts w:ascii="Arial Narrow" w:hAnsi="Arial Narrow"/>
                <w:sz w:val="20"/>
                <w:szCs w:val="20"/>
              </w:rPr>
            </w:pPr>
            <w:r w:rsidRPr="00294C00">
              <w:rPr>
                <w:rFonts w:ascii="Arial Narrow" w:hAnsi="Arial Narrow"/>
                <w:sz w:val="20"/>
                <w:szCs w:val="20"/>
              </w:rPr>
              <w:t>Patient must have a break in treatment of 24 months or more from the most recent PBS-subsidised biological medicine for this condition</w:t>
            </w:r>
          </w:p>
        </w:tc>
      </w:tr>
      <w:tr w:rsidR="005B0927" w:rsidRPr="00B90897" w14:paraId="128A9907"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036F8DDF" w14:textId="77777777" w:rsidR="005B0927" w:rsidRDefault="005B0927" w:rsidP="00AD2329">
            <w:pPr>
              <w:jc w:val="center"/>
              <w:rPr>
                <w:rFonts w:ascii="Arial Narrow" w:hAnsi="Arial Narrow"/>
                <w:sz w:val="20"/>
                <w:szCs w:val="20"/>
              </w:rPr>
            </w:pPr>
          </w:p>
        </w:tc>
        <w:tc>
          <w:tcPr>
            <w:tcW w:w="8079" w:type="dxa"/>
            <w:gridSpan w:val="6"/>
            <w:vAlign w:val="center"/>
          </w:tcPr>
          <w:p w14:paraId="69A24DAB" w14:textId="77777777" w:rsidR="005B0927" w:rsidRPr="00053EF7" w:rsidRDefault="005B0927" w:rsidP="00AD2329">
            <w:pPr>
              <w:rPr>
                <w:rFonts w:ascii="Arial Narrow" w:hAnsi="Arial Narrow"/>
                <w:b/>
                <w:bCs/>
                <w:sz w:val="20"/>
                <w:szCs w:val="20"/>
              </w:rPr>
            </w:pPr>
            <w:r w:rsidRPr="00296682">
              <w:rPr>
                <w:rFonts w:ascii="Arial Narrow" w:hAnsi="Arial Narrow"/>
                <w:b/>
                <w:bCs/>
                <w:sz w:val="20"/>
                <w:szCs w:val="20"/>
              </w:rPr>
              <w:t>AND</w:t>
            </w:r>
          </w:p>
        </w:tc>
      </w:tr>
      <w:tr w:rsidR="005B0927" w:rsidRPr="00B90897" w14:paraId="30E2D169"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A1D5757" w14:textId="203FDAA0" w:rsidR="005B0927" w:rsidRDefault="005B0927" w:rsidP="00AD2329">
            <w:pPr>
              <w:jc w:val="center"/>
              <w:rPr>
                <w:rFonts w:ascii="Arial Narrow" w:hAnsi="Arial Narrow"/>
                <w:sz w:val="20"/>
                <w:szCs w:val="20"/>
              </w:rPr>
            </w:pPr>
          </w:p>
        </w:tc>
        <w:tc>
          <w:tcPr>
            <w:tcW w:w="8079" w:type="dxa"/>
            <w:gridSpan w:val="6"/>
            <w:vAlign w:val="center"/>
          </w:tcPr>
          <w:p w14:paraId="02AC8E7C" w14:textId="77777777" w:rsidR="005B0927" w:rsidRPr="00053EF7" w:rsidRDefault="005B0927" w:rsidP="00AD2329">
            <w:pPr>
              <w:rPr>
                <w:rFonts w:ascii="Arial Narrow" w:hAnsi="Arial Narrow"/>
                <w:b/>
                <w:bCs/>
                <w:sz w:val="20"/>
                <w:szCs w:val="20"/>
              </w:rPr>
            </w:pPr>
            <w:r w:rsidRPr="00296682">
              <w:rPr>
                <w:rFonts w:ascii="Arial Narrow" w:hAnsi="Arial Narrow"/>
                <w:b/>
                <w:bCs/>
                <w:sz w:val="20"/>
                <w:szCs w:val="20"/>
              </w:rPr>
              <w:t>Clinical criteria:</w:t>
            </w:r>
          </w:p>
        </w:tc>
      </w:tr>
      <w:tr w:rsidR="005B0927" w:rsidRPr="00B90897" w14:paraId="7B2DE907"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088882FD" w14:textId="4CB301FE" w:rsidR="005B0927" w:rsidRDefault="005B0927" w:rsidP="00AD2329">
            <w:pPr>
              <w:jc w:val="center"/>
              <w:rPr>
                <w:rFonts w:ascii="Arial Narrow" w:hAnsi="Arial Narrow"/>
                <w:sz w:val="20"/>
                <w:szCs w:val="20"/>
              </w:rPr>
            </w:pPr>
          </w:p>
        </w:tc>
        <w:tc>
          <w:tcPr>
            <w:tcW w:w="8079" w:type="dxa"/>
            <w:gridSpan w:val="6"/>
            <w:vAlign w:val="center"/>
          </w:tcPr>
          <w:p w14:paraId="7815E638" w14:textId="77777777" w:rsidR="005B0927" w:rsidRPr="00053EF7" w:rsidRDefault="005B0927" w:rsidP="00AD2329">
            <w:pPr>
              <w:rPr>
                <w:rFonts w:ascii="Arial Narrow" w:hAnsi="Arial Narrow"/>
                <w:b/>
                <w:bCs/>
                <w:sz w:val="20"/>
                <w:szCs w:val="20"/>
              </w:rPr>
            </w:pPr>
            <w:r w:rsidRPr="00053EF7">
              <w:rPr>
                <w:rFonts w:ascii="Arial Narrow" w:hAnsi="Arial Narrow"/>
                <w:sz w:val="20"/>
                <w:szCs w:val="20"/>
              </w:rPr>
              <w:t>Patient must not have failed to respond to previous PBS-subsidised treatment with this drug for this condition</w:t>
            </w:r>
          </w:p>
        </w:tc>
      </w:tr>
      <w:tr w:rsidR="005B0927" w:rsidRPr="00B90897" w14:paraId="7A1B6E73"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2B51A6F5" w14:textId="77777777" w:rsidR="005B0927" w:rsidRDefault="005B0927" w:rsidP="00AD2329">
            <w:pPr>
              <w:jc w:val="center"/>
              <w:rPr>
                <w:rFonts w:ascii="Arial Narrow" w:hAnsi="Arial Narrow"/>
                <w:sz w:val="20"/>
                <w:szCs w:val="20"/>
              </w:rPr>
            </w:pPr>
          </w:p>
        </w:tc>
        <w:tc>
          <w:tcPr>
            <w:tcW w:w="8079" w:type="dxa"/>
            <w:gridSpan w:val="6"/>
            <w:vAlign w:val="center"/>
          </w:tcPr>
          <w:p w14:paraId="767ED0C1" w14:textId="77777777" w:rsidR="005B0927" w:rsidRPr="00053EF7" w:rsidRDefault="005B0927" w:rsidP="00AD2329">
            <w:pPr>
              <w:rPr>
                <w:rFonts w:ascii="Arial Narrow" w:hAnsi="Arial Narrow"/>
                <w:b/>
                <w:bCs/>
                <w:sz w:val="20"/>
                <w:szCs w:val="20"/>
              </w:rPr>
            </w:pPr>
            <w:r w:rsidRPr="00296682">
              <w:rPr>
                <w:rFonts w:ascii="Arial Narrow" w:hAnsi="Arial Narrow"/>
                <w:b/>
                <w:bCs/>
                <w:sz w:val="20"/>
                <w:szCs w:val="20"/>
              </w:rPr>
              <w:t>AND</w:t>
            </w:r>
          </w:p>
        </w:tc>
      </w:tr>
      <w:tr w:rsidR="005B0927" w:rsidRPr="00B90897" w14:paraId="6F02AF52"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0969392D" w14:textId="0A604D43" w:rsidR="005B0927" w:rsidRDefault="005B0927" w:rsidP="00AD2329">
            <w:pPr>
              <w:jc w:val="center"/>
              <w:rPr>
                <w:rFonts w:ascii="Arial Narrow" w:hAnsi="Arial Narrow"/>
                <w:sz w:val="20"/>
                <w:szCs w:val="20"/>
              </w:rPr>
            </w:pPr>
          </w:p>
        </w:tc>
        <w:tc>
          <w:tcPr>
            <w:tcW w:w="8079" w:type="dxa"/>
            <w:gridSpan w:val="6"/>
            <w:vAlign w:val="center"/>
          </w:tcPr>
          <w:p w14:paraId="24C32F84" w14:textId="77777777" w:rsidR="005B0927" w:rsidRPr="00053EF7" w:rsidRDefault="005B0927" w:rsidP="00AD2329">
            <w:pPr>
              <w:rPr>
                <w:rFonts w:ascii="Arial Narrow" w:hAnsi="Arial Narrow"/>
                <w:b/>
                <w:bCs/>
                <w:sz w:val="20"/>
                <w:szCs w:val="20"/>
              </w:rPr>
            </w:pPr>
            <w:r w:rsidRPr="00296682">
              <w:rPr>
                <w:rFonts w:ascii="Arial Narrow" w:hAnsi="Arial Narrow"/>
                <w:b/>
                <w:bCs/>
                <w:sz w:val="20"/>
                <w:szCs w:val="20"/>
              </w:rPr>
              <w:t>Clinical criteria:</w:t>
            </w:r>
          </w:p>
        </w:tc>
      </w:tr>
      <w:tr w:rsidR="005B0927" w:rsidRPr="00B90897" w14:paraId="350A5CA2"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50CCADC" w14:textId="2B80AA9B" w:rsidR="005B0927" w:rsidRDefault="005B0927" w:rsidP="00AD2329">
            <w:pPr>
              <w:jc w:val="center"/>
              <w:rPr>
                <w:rFonts w:ascii="Arial Narrow" w:hAnsi="Arial Narrow"/>
                <w:sz w:val="20"/>
                <w:szCs w:val="20"/>
              </w:rPr>
            </w:pPr>
          </w:p>
        </w:tc>
        <w:tc>
          <w:tcPr>
            <w:tcW w:w="8079" w:type="dxa"/>
            <w:gridSpan w:val="6"/>
            <w:vAlign w:val="center"/>
          </w:tcPr>
          <w:p w14:paraId="66CF2D51" w14:textId="77777777" w:rsidR="005B0927" w:rsidRPr="00053EF7" w:rsidRDefault="005B0927" w:rsidP="00AD2329">
            <w:pPr>
              <w:rPr>
                <w:rFonts w:ascii="Arial Narrow" w:hAnsi="Arial Narrow"/>
                <w:b/>
                <w:bCs/>
                <w:sz w:val="20"/>
                <w:szCs w:val="20"/>
              </w:rPr>
            </w:pPr>
            <w:r w:rsidRPr="00037FFC">
              <w:rPr>
                <w:rFonts w:ascii="Arial Narrow" w:hAnsi="Arial Narrow"/>
                <w:sz w:val="20"/>
                <w:szCs w:val="20"/>
              </w:rPr>
              <w:t>Patient must not have already failed, or ceased to respond to, PBS-subsidised biological medicine treatment for this condition 5 times</w:t>
            </w:r>
          </w:p>
        </w:tc>
      </w:tr>
      <w:tr w:rsidR="005B0927" w:rsidRPr="00B90897" w14:paraId="5528AC2A"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9909561" w14:textId="77777777" w:rsidR="005B0927" w:rsidRPr="00280B3C" w:rsidRDefault="005B0927" w:rsidP="00AD2329">
            <w:pPr>
              <w:jc w:val="center"/>
              <w:rPr>
                <w:rFonts w:ascii="Arial Narrow" w:hAnsi="Arial Narrow"/>
                <w:sz w:val="20"/>
                <w:szCs w:val="20"/>
              </w:rPr>
            </w:pPr>
          </w:p>
        </w:tc>
        <w:tc>
          <w:tcPr>
            <w:tcW w:w="8079" w:type="dxa"/>
            <w:gridSpan w:val="6"/>
            <w:vAlign w:val="center"/>
          </w:tcPr>
          <w:p w14:paraId="6ABFA4F8" w14:textId="77777777" w:rsidR="005B0927" w:rsidRPr="00037FFC" w:rsidRDefault="005B0927" w:rsidP="00AD2329">
            <w:pPr>
              <w:rPr>
                <w:rFonts w:ascii="Arial Narrow" w:hAnsi="Arial Narrow"/>
                <w:sz w:val="20"/>
                <w:szCs w:val="20"/>
              </w:rPr>
            </w:pPr>
            <w:r w:rsidRPr="00296682">
              <w:rPr>
                <w:rFonts w:ascii="Arial Narrow" w:hAnsi="Arial Narrow"/>
                <w:b/>
                <w:bCs/>
                <w:sz w:val="20"/>
                <w:szCs w:val="20"/>
              </w:rPr>
              <w:t>AND</w:t>
            </w:r>
          </w:p>
        </w:tc>
      </w:tr>
      <w:tr w:rsidR="005B0927" w:rsidRPr="00B90897" w14:paraId="1F248204"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14619A95" w14:textId="021DB6AF" w:rsidR="005B0927" w:rsidRPr="00280B3C" w:rsidRDefault="005B0927" w:rsidP="00AD2329">
            <w:pPr>
              <w:jc w:val="center"/>
              <w:rPr>
                <w:rFonts w:ascii="Arial Narrow" w:hAnsi="Arial Narrow"/>
                <w:sz w:val="20"/>
                <w:szCs w:val="20"/>
              </w:rPr>
            </w:pPr>
          </w:p>
        </w:tc>
        <w:tc>
          <w:tcPr>
            <w:tcW w:w="8079" w:type="dxa"/>
            <w:gridSpan w:val="6"/>
            <w:vAlign w:val="center"/>
          </w:tcPr>
          <w:p w14:paraId="7F73F900" w14:textId="77777777" w:rsidR="005B0927" w:rsidRPr="00037FFC" w:rsidRDefault="005B0927" w:rsidP="00AD2329">
            <w:pPr>
              <w:rPr>
                <w:rFonts w:ascii="Arial Narrow" w:hAnsi="Arial Narrow"/>
                <w:sz w:val="20"/>
                <w:szCs w:val="20"/>
              </w:rPr>
            </w:pPr>
            <w:r w:rsidRPr="00296682">
              <w:rPr>
                <w:rFonts w:ascii="Arial Narrow" w:hAnsi="Arial Narrow"/>
                <w:b/>
                <w:bCs/>
                <w:sz w:val="20"/>
                <w:szCs w:val="20"/>
              </w:rPr>
              <w:t>Clinical criteria:</w:t>
            </w:r>
          </w:p>
        </w:tc>
      </w:tr>
      <w:tr w:rsidR="005B0927" w:rsidRPr="00B90897" w14:paraId="07D68C13"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69CA799" w14:textId="48F5F7CB" w:rsidR="005B0927" w:rsidRPr="00280B3C" w:rsidRDefault="005B0927" w:rsidP="00AD2329">
            <w:pPr>
              <w:jc w:val="center"/>
              <w:rPr>
                <w:rFonts w:ascii="Arial Narrow" w:hAnsi="Arial Narrow"/>
                <w:sz w:val="20"/>
                <w:szCs w:val="20"/>
              </w:rPr>
            </w:pPr>
          </w:p>
        </w:tc>
        <w:tc>
          <w:tcPr>
            <w:tcW w:w="8079" w:type="dxa"/>
            <w:gridSpan w:val="6"/>
            <w:vAlign w:val="center"/>
          </w:tcPr>
          <w:p w14:paraId="52D671BF" w14:textId="77777777" w:rsidR="005B0927" w:rsidRPr="00037FFC" w:rsidRDefault="005B0927" w:rsidP="00AD2329">
            <w:pPr>
              <w:rPr>
                <w:rFonts w:ascii="Arial Narrow" w:hAnsi="Arial Narrow"/>
                <w:sz w:val="20"/>
                <w:szCs w:val="20"/>
              </w:rPr>
            </w:pPr>
            <w:r w:rsidRPr="00294C00">
              <w:rPr>
                <w:rFonts w:ascii="Arial Narrow" w:hAnsi="Arial Narrow"/>
                <w:sz w:val="20"/>
                <w:szCs w:val="20"/>
              </w:rPr>
              <w:t>The condition must have an elevated erythrocyte sedimentation rate (ESR) greater than 25 mm per hour; or</w:t>
            </w:r>
          </w:p>
        </w:tc>
      </w:tr>
      <w:tr w:rsidR="005B0927" w:rsidRPr="00B90897" w14:paraId="71499A8C"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4CC866A7" w14:textId="1F3004A3" w:rsidR="005B0927" w:rsidRPr="00280B3C" w:rsidRDefault="005B0927" w:rsidP="00AD2329">
            <w:pPr>
              <w:jc w:val="center"/>
              <w:rPr>
                <w:rFonts w:ascii="Arial Narrow" w:hAnsi="Arial Narrow"/>
                <w:sz w:val="20"/>
                <w:szCs w:val="20"/>
              </w:rPr>
            </w:pPr>
          </w:p>
        </w:tc>
        <w:tc>
          <w:tcPr>
            <w:tcW w:w="8079" w:type="dxa"/>
            <w:gridSpan w:val="6"/>
            <w:vAlign w:val="center"/>
          </w:tcPr>
          <w:p w14:paraId="3F1705E3" w14:textId="77777777" w:rsidR="005B0927" w:rsidRPr="00037FFC" w:rsidRDefault="005B0927" w:rsidP="00AD2329">
            <w:pPr>
              <w:rPr>
                <w:rFonts w:ascii="Arial Narrow" w:hAnsi="Arial Narrow"/>
                <w:sz w:val="20"/>
                <w:szCs w:val="20"/>
              </w:rPr>
            </w:pPr>
            <w:r w:rsidRPr="00294C00">
              <w:rPr>
                <w:rFonts w:ascii="Arial Narrow" w:hAnsi="Arial Narrow"/>
                <w:sz w:val="20"/>
                <w:szCs w:val="20"/>
              </w:rPr>
              <w:t>The condition must have a C-reactive protein (CRP) level greater than 15 mg per L</w:t>
            </w:r>
          </w:p>
        </w:tc>
      </w:tr>
      <w:tr w:rsidR="005B0927" w:rsidRPr="00B90897" w14:paraId="314CAFD4"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2FBAD8D5" w14:textId="77777777" w:rsidR="005B0927" w:rsidRPr="00280B3C" w:rsidRDefault="005B0927" w:rsidP="00AD2329">
            <w:pPr>
              <w:jc w:val="center"/>
              <w:rPr>
                <w:rFonts w:ascii="Arial Narrow" w:hAnsi="Arial Narrow"/>
                <w:sz w:val="20"/>
                <w:szCs w:val="20"/>
              </w:rPr>
            </w:pPr>
          </w:p>
        </w:tc>
        <w:tc>
          <w:tcPr>
            <w:tcW w:w="8079" w:type="dxa"/>
            <w:gridSpan w:val="6"/>
            <w:vAlign w:val="center"/>
          </w:tcPr>
          <w:p w14:paraId="2E1D337B" w14:textId="77777777" w:rsidR="005B0927" w:rsidRPr="00294C00" w:rsidRDefault="005B0927" w:rsidP="00AD2329">
            <w:pPr>
              <w:rPr>
                <w:rFonts w:ascii="Arial Narrow" w:hAnsi="Arial Narrow"/>
                <w:b/>
                <w:bCs/>
                <w:sz w:val="20"/>
                <w:szCs w:val="20"/>
              </w:rPr>
            </w:pPr>
            <w:r>
              <w:rPr>
                <w:rFonts w:ascii="Arial Narrow" w:hAnsi="Arial Narrow"/>
                <w:b/>
                <w:bCs/>
                <w:sz w:val="20"/>
                <w:szCs w:val="20"/>
              </w:rPr>
              <w:t>AND</w:t>
            </w:r>
          </w:p>
        </w:tc>
      </w:tr>
      <w:tr w:rsidR="005B0927" w:rsidRPr="00B90897" w14:paraId="2F277373"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602300E" w14:textId="102E9C30" w:rsidR="005B0927" w:rsidRPr="00280B3C" w:rsidRDefault="005B0927" w:rsidP="00AD2329">
            <w:pPr>
              <w:jc w:val="center"/>
              <w:rPr>
                <w:rFonts w:ascii="Arial Narrow" w:hAnsi="Arial Narrow"/>
                <w:sz w:val="20"/>
                <w:szCs w:val="20"/>
              </w:rPr>
            </w:pPr>
          </w:p>
        </w:tc>
        <w:tc>
          <w:tcPr>
            <w:tcW w:w="8079" w:type="dxa"/>
            <w:gridSpan w:val="6"/>
            <w:vAlign w:val="center"/>
          </w:tcPr>
          <w:p w14:paraId="7CFA7355" w14:textId="77777777" w:rsidR="005B0927" w:rsidRPr="00037FFC" w:rsidRDefault="005B0927" w:rsidP="00AD2329">
            <w:pPr>
              <w:rPr>
                <w:rFonts w:ascii="Arial Narrow" w:hAnsi="Arial Narrow"/>
                <w:sz w:val="20"/>
                <w:szCs w:val="20"/>
              </w:rPr>
            </w:pPr>
            <w:r w:rsidRPr="00296682">
              <w:rPr>
                <w:rFonts w:ascii="Arial Narrow" w:hAnsi="Arial Narrow"/>
                <w:b/>
                <w:bCs/>
                <w:sz w:val="20"/>
                <w:szCs w:val="20"/>
              </w:rPr>
              <w:t>Clinical criteria:</w:t>
            </w:r>
          </w:p>
        </w:tc>
      </w:tr>
      <w:tr w:rsidR="005B0927" w:rsidRPr="00B90897" w14:paraId="0C8B14E4"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1784C817" w14:textId="672A8F0A" w:rsidR="005B0927" w:rsidRPr="00280B3C" w:rsidRDefault="005B0927" w:rsidP="00AD2329">
            <w:pPr>
              <w:jc w:val="center"/>
              <w:rPr>
                <w:rFonts w:ascii="Arial Narrow" w:hAnsi="Arial Narrow"/>
                <w:sz w:val="20"/>
                <w:szCs w:val="20"/>
              </w:rPr>
            </w:pPr>
          </w:p>
        </w:tc>
        <w:tc>
          <w:tcPr>
            <w:tcW w:w="8079" w:type="dxa"/>
            <w:gridSpan w:val="6"/>
            <w:vAlign w:val="center"/>
          </w:tcPr>
          <w:p w14:paraId="5BFCCE81" w14:textId="77777777" w:rsidR="005B0927" w:rsidRPr="00037FFC" w:rsidRDefault="005B0927" w:rsidP="00AD2329">
            <w:pPr>
              <w:rPr>
                <w:rFonts w:ascii="Arial Narrow" w:hAnsi="Arial Narrow"/>
                <w:sz w:val="20"/>
                <w:szCs w:val="20"/>
              </w:rPr>
            </w:pPr>
            <w:r w:rsidRPr="00294C00">
              <w:rPr>
                <w:rFonts w:ascii="Arial Narrow" w:hAnsi="Arial Narrow"/>
                <w:sz w:val="20"/>
                <w:szCs w:val="20"/>
              </w:rPr>
              <w:t>The condition must have either (a) a total active joint count of at least 20 active (swollen and tender) joints; or (b) at least 4 active major joints</w:t>
            </w:r>
          </w:p>
        </w:tc>
      </w:tr>
      <w:tr w:rsidR="005B0927" w:rsidRPr="00B90897" w14:paraId="51A8F11D"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01522DFF" w14:textId="77777777" w:rsidR="005B0927" w:rsidRDefault="005B0927" w:rsidP="00AD2329">
            <w:pPr>
              <w:jc w:val="center"/>
              <w:rPr>
                <w:rFonts w:ascii="Arial Narrow" w:hAnsi="Arial Narrow"/>
                <w:sz w:val="20"/>
                <w:szCs w:val="20"/>
              </w:rPr>
            </w:pPr>
          </w:p>
        </w:tc>
        <w:tc>
          <w:tcPr>
            <w:tcW w:w="8079" w:type="dxa"/>
            <w:gridSpan w:val="6"/>
            <w:vAlign w:val="center"/>
          </w:tcPr>
          <w:p w14:paraId="48BB39E5" w14:textId="77777777" w:rsidR="005B0927" w:rsidRPr="00053EF7" w:rsidRDefault="005B0927" w:rsidP="00AD2329">
            <w:pPr>
              <w:rPr>
                <w:rFonts w:ascii="Arial Narrow" w:hAnsi="Arial Narrow"/>
                <w:b/>
                <w:bCs/>
                <w:sz w:val="20"/>
                <w:szCs w:val="20"/>
              </w:rPr>
            </w:pPr>
            <w:r>
              <w:rPr>
                <w:rFonts w:ascii="Arial Narrow" w:hAnsi="Arial Narrow"/>
                <w:b/>
                <w:bCs/>
                <w:sz w:val="20"/>
                <w:szCs w:val="20"/>
              </w:rPr>
              <w:t>AND</w:t>
            </w:r>
          </w:p>
        </w:tc>
      </w:tr>
      <w:tr w:rsidR="005B0927" w:rsidRPr="00B90897" w14:paraId="3C249342"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936D28E" w14:textId="66BE55E9" w:rsidR="005B0927" w:rsidRDefault="005B0927" w:rsidP="00AD2329">
            <w:pPr>
              <w:jc w:val="center"/>
              <w:rPr>
                <w:rFonts w:ascii="Arial Narrow" w:hAnsi="Arial Narrow"/>
                <w:sz w:val="20"/>
                <w:szCs w:val="20"/>
              </w:rPr>
            </w:pPr>
          </w:p>
        </w:tc>
        <w:tc>
          <w:tcPr>
            <w:tcW w:w="8079" w:type="dxa"/>
            <w:gridSpan w:val="6"/>
            <w:vAlign w:val="center"/>
          </w:tcPr>
          <w:p w14:paraId="27387671" w14:textId="77777777" w:rsidR="005B0927" w:rsidRPr="00053EF7" w:rsidRDefault="005B0927" w:rsidP="00AD2329">
            <w:pPr>
              <w:rPr>
                <w:rFonts w:ascii="Arial Narrow" w:hAnsi="Arial Narrow"/>
                <w:b/>
                <w:bCs/>
                <w:sz w:val="20"/>
                <w:szCs w:val="20"/>
              </w:rPr>
            </w:pPr>
            <w:r w:rsidRPr="00296682">
              <w:rPr>
                <w:rFonts w:ascii="Arial Narrow" w:hAnsi="Arial Narrow"/>
                <w:b/>
                <w:bCs/>
                <w:sz w:val="20"/>
                <w:szCs w:val="20"/>
              </w:rPr>
              <w:t>Clinical criteria:</w:t>
            </w:r>
          </w:p>
        </w:tc>
      </w:tr>
      <w:tr w:rsidR="005B0927" w:rsidRPr="00B90897" w14:paraId="031888EF"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2322C62" w14:textId="2EF2BF56" w:rsidR="005B0927" w:rsidRDefault="005B0927" w:rsidP="00AD2329">
            <w:pPr>
              <w:jc w:val="center"/>
              <w:rPr>
                <w:rFonts w:ascii="Arial Narrow" w:hAnsi="Arial Narrow"/>
                <w:sz w:val="20"/>
                <w:szCs w:val="20"/>
              </w:rPr>
            </w:pPr>
          </w:p>
        </w:tc>
        <w:tc>
          <w:tcPr>
            <w:tcW w:w="8079" w:type="dxa"/>
            <w:gridSpan w:val="6"/>
            <w:vAlign w:val="center"/>
          </w:tcPr>
          <w:p w14:paraId="39DD8A89" w14:textId="77777777" w:rsidR="005B0927" w:rsidRPr="00053EF7" w:rsidRDefault="005B0927" w:rsidP="00AD2329">
            <w:pPr>
              <w:rPr>
                <w:rFonts w:ascii="Arial Narrow" w:hAnsi="Arial Narrow"/>
                <w:b/>
                <w:bCs/>
                <w:sz w:val="20"/>
                <w:szCs w:val="20"/>
              </w:rPr>
            </w:pPr>
            <w:r w:rsidRPr="008E46DF">
              <w:rPr>
                <w:rFonts w:ascii="Arial Narrow" w:hAnsi="Arial Narrow"/>
                <w:sz w:val="20"/>
                <w:szCs w:val="20"/>
              </w:rPr>
              <w:t>The treatment must be given concomitantly with methotrexate at a dose of at least 7.5 mg weekly</w:t>
            </w:r>
          </w:p>
        </w:tc>
      </w:tr>
      <w:tr w:rsidR="005B0927" w:rsidRPr="00B90897" w14:paraId="4038030C"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F49E029" w14:textId="77777777" w:rsidR="005B0927" w:rsidRDefault="005B0927" w:rsidP="00AD2329">
            <w:pPr>
              <w:jc w:val="center"/>
              <w:rPr>
                <w:rFonts w:ascii="Arial Narrow" w:hAnsi="Arial Narrow"/>
                <w:sz w:val="20"/>
                <w:szCs w:val="20"/>
              </w:rPr>
            </w:pPr>
          </w:p>
        </w:tc>
        <w:tc>
          <w:tcPr>
            <w:tcW w:w="8079" w:type="dxa"/>
            <w:gridSpan w:val="6"/>
            <w:vAlign w:val="center"/>
          </w:tcPr>
          <w:p w14:paraId="30296C99" w14:textId="77777777" w:rsidR="005B0927" w:rsidRPr="00053EF7" w:rsidRDefault="005B0927" w:rsidP="00AD2329">
            <w:pPr>
              <w:rPr>
                <w:rFonts w:ascii="Arial Narrow" w:hAnsi="Arial Narrow"/>
                <w:b/>
                <w:bCs/>
                <w:sz w:val="20"/>
                <w:szCs w:val="20"/>
              </w:rPr>
            </w:pPr>
          </w:p>
        </w:tc>
      </w:tr>
      <w:tr w:rsidR="005B0927" w:rsidRPr="00B90897" w14:paraId="2B781BB2"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FD9B88E" w14:textId="31A30B1A" w:rsidR="005B0927" w:rsidRDefault="005B0927" w:rsidP="00AD2329">
            <w:pPr>
              <w:jc w:val="center"/>
              <w:rPr>
                <w:rFonts w:ascii="Arial Narrow" w:hAnsi="Arial Narrow"/>
                <w:sz w:val="20"/>
                <w:szCs w:val="20"/>
              </w:rPr>
            </w:pPr>
          </w:p>
        </w:tc>
        <w:tc>
          <w:tcPr>
            <w:tcW w:w="8079" w:type="dxa"/>
            <w:gridSpan w:val="6"/>
            <w:vAlign w:val="center"/>
          </w:tcPr>
          <w:p w14:paraId="1E89E738" w14:textId="77777777" w:rsidR="005B0927" w:rsidRPr="00053EF7" w:rsidRDefault="005B0927" w:rsidP="00AD2329">
            <w:pPr>
              <w:rPr>
                <w:rFonts w:ascii="Arial Narrow" w:hAnsi="Arial Narrow"/>
                <w:b/>
                <w:bCs/>
                <w:sz w:val="20"/>
                <w:szCs w:val="20"/>
              </w:rPr>
            </w:pPr>
            <w:r w:rsidRPr="00296682">
              <w:rPr>
                <w:rFonts w:ascii="Arial Narrow" w:hAnsi="Arial Narrow"/>
                <w:b/>
                <w:bCs/>
                <w:sz w:val="20"/>
                <w:szCs w:val="20"/>
              </w:rPr>
              <w:t>Population criteria:</w:t>
            </w:r>
          </w:p>
        </w:tc>
      </w:tr>
      <w:tr w:rsidR="005B0927" w:rsidRPr="00B90897" w14:paraId="63C75D05"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9CB5907" w14:textId="56EDBB83" w:rsidR="005B0927" w:rsidRDefault="005B0927" w:rsidP="00AD2329">
            <w:pPr>
              <w:jc w:val="center"/>
              <w:rPr>
                <w:rFonts w:ascii="Arial Narrow" w:hAnsi="Arial Narrow"/>
                <w:sz w:val="20"/>
                <w:szCs w:val="20"/>
              </w:rPr>
            </w:pPr>
          </w:p>
        </w:tc>
        <w:tc>
          <w:tcPr>
            <w:tcW w:w="8079" w:type="dxa"/>
            <w:gridSpan w:val="6"/>
            <w:vAlign w:val="center"/>
          </w:tcPr>
          <w:p w14:paraId="49232175" w14:textId="77777777" w:rsidR="005B0927" w:rsidRPr="00053EF7" w:rsidRDefault="005B0927" w:rsidP="00AD2329">
            <w:pPr>
              <w:rPr>
                <w:rFonts w:ascii="Arial Narrow" w:hAnsi="Arial Narrow"/>
                <w:b/>
                <w:bCs/>
                <w:sz w:val="20"/>
                <w:szCs w:val="20"/>
              </w:rPr>
            </w:pPr>
            <w:r>
              <w:rPr>
                <w:rFonts w:ascii="Arial Narrow" w:hAnsi="Arial Narrow"/>
                <w:sz w:val="20"/>
                <w:szCs w:val="20"/>
              </w:rPr>
              <w:t>Patient must be at least 18 years of age</w:t>
            </w:r>
          </w:p>
        </w:tc>
      </w:tr>
      <w:tr w:rsidR="005B0927" w:rsidRPr="00B90897" w14:paraId="5AD9222F"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24868A6" w14:textId="77777777" w:rsidR="005B0927" w:rsidRDefault="005B0927" w:rsidP="00AD2329">
            <w:pPr>
              <w:jc w:val="center"/>
              <w:rPr>
                <w:rFonts w:ascii="Arial Narrow" w:hAnsi="Arial Narrow"/>
                <w:sz w:val="20"/>
                <w:szCs w:val="20"/>
              </w:rPr>
            </w:pPr>
          </w:p>
        </w:tc>
        <w:tc>
          <w:tcPr>
            <w:tcW w:w="8079" w:type="dxa"/>
            <w:gridSpan w:val="6"/>
            <w:vAlign w:val="center"/>
          </w:tcPr>
          <w:p w14:paraId="5EE38E5B" w14:textId="77777777" w:rsidR="005B0927" w:rsidRDefault="005B0927" w:rsidP="00AD2329">
            <w:pPr>
              <w:rPr>
                <w:rFonts w:ascii="Arial Narrow" w:hAnsi="Arial Narrow"/>
                <w:sz w:val="20"/>
                <w:szCs w:val="20"/>
              </w:rPr>
            </w:pPr>
          </w:p>
        </w:tc>
      </w:tr>
      <w:tr w:rsidR="005B0927" w:rsidRPr="00B90897" w14:paraId="4A12E5BF"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70138D8" w14:textId="73C27756" w:rsidR="005B0927" w:rsidRDefault="005B0927" w:rsidP="00AD2329">
            <w:pPr>
              <w:jc w:val="center"/>
              <w:rPr>
                <w:rFonts w:ascii="Arial Narrow" w:hAnsi="Arial Narrow"/>
                <w:sz w:val="20"/>
                <w:szCs w:val="20"/>
              </w:rPr>
            </w:pPr>
          </w:p>
        </w:tc>
        <w:tc>
          <w:tcPr>
            <w:tcW w:w="8079" w:type="dxa"/>
            <w:gridSpan w:val="6"/>
            <w:vAlign w:val="center"/>
          </w:tcPr>
          <w:p w14:paraId="64EE9327"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2F903375" w14:textId="77777777" w:rsidR="005B0927" w:rsidRPr="00053EF7" w:rsidRDefault="005B0927" w:rsidP="00AD2329">
            <w:pPr>
              <w:rPr>
                <w:rFonts w:ascii="Arial Narrow" w:hAnsi="Arial Narrow"/>
                <w:b/>
                <w:bCs/>
                <w:sz w:val="20"/>
                <w:szCs w:val="20"/>
              </w:rPr>
            </w:pPr>
            <w:r w:rsidRPr="003E479C">
              <w:rPr>
                <w:rFonts w:ascii="Arial Narrow" w:hAnsi="Arial Narrow"/>
                <w:sz w:val="20"/>
                <w:szCs w:val="20"/>
              </w:rP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tc>
      </w:tr>
      <w:tr w:rsidR="005B0927" w:rsidRPr="00B90897" w14:paraId="0E7ED5D5"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204ACD9" w14:textId="06691C20" w:rsidR="005B0927" w:rsidRDefault="005B0927" w:rsidP="00AD2329">
            <w:pPr>
              <w:jc w:val="center"/>
              <w:rPr>
                <w:rFonts w:ascii="Arial Narrow" w:hAnsi="Arial Narrow"/>
                <w:sz w:val="20"/>
                <w:szCs w:val="20"/>
              </w:rPr>
            </w:pPr>
          </w:p>
        </w:tc>
        <w:tc>
          <w:tcPr>
            <w:tcW w:w="8079" w:type="dxa"/>
            <w:gridSpan w:val="6"/>
            <w:vAlign w:val="center"/>
          </w:tcPr>
          <w:p w14:paraId="1867E038"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64118096" w14:textId="77777777" w:rsidR="005B0927" w:rsidRPr="00053EF7" w:rsidRDefault="005B0927" w:rsidP="00AD2329">
            <w:pPr>
              <w:rPr>
                <w:rFonts w:ascii="Arial Narrow" w:hAnsi="Arial Narrow"/>
                <w:b/>
                <w:bCs/>
                <w:sz w:val="20"/>
                <w:szCs w:val="20"/>
              </w:rPr>
            </w:pPr>
            <w:r w:rsidRPr="003E479C">
              <w:rPr>
                <w:rFonts w:ascii="Arial Narrow" w:hAnsi="Arial Narrow"/>
                <w:sz w:val="20"/>
                <w:szCs w:val="20"/>
              </w:rPr>
              <w:t>All measures of joint count and ESR and/or CRP must be no more than one month old at the time of initial application.</w:t>
            </w:r>
          </w:p>
        </w:tc>
      </w:tr>
      <w:tr w:rsidR="005B0927" w:rsidRPr="00B90897" w14:paraId="2EFEAE79"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2DE0FF7" w14:textId="0968B119" w:rsidR="005B0927" w:rsidRDefault="005B0927" w:rsidP="00AD2329">
            <w:pPr>
              <w:jc w:val="center"/>
              <w:rPr>
                <w:rFonts w:ascii="Arial Narrow" w:hAnsi="Arial Narrow"/>
                <w:sz w:val="20"/>
                <w:szCs w:val="20"/>
              </w:rPr>
            </w:pPr>
          </w:p>
        </w:tc>
        <w:tc>
          <w:tcPr>
            <w:tcW w:w="8079" w:type="dxa"/>
            <w:gridSpan w:val="6"/>
            <w:vAlign w:val="center"/>
          </w:tcPr>
          <w:p w14:paraId="0C174A6E"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748F0D50" w14:textId="77777777" w:rsidR="005B0927" w:rsidRPr="00053EF7" w:rsidRDefault="005B0927" w:rsidP="00AD2329">
            <w:pPr>
              <w:rPr>
                <w:rFonts w:ascii="Arial Narrow" w:hAnsi="Arial Narrow"/>
                <w:b/>
                <w:bCs/>
                <w:sz w:val="20"/>
                <w:szCs w:val="20"/>
              </w:rPr>
            </w:pPr>
            <w:r w:rsidRPr="003E479C">
              <w:rPr>
                <w:rFonts w:ascii="Arial Narrow" w:hAnsi="Arial Narrow"/>
                <w:sz w:val="20"/>
                <w:szCs w:val="20"/>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tc>
      </w:tr>
      <w:tr w:rsidR="007136AD" w:rsidRPr="00B90897" w14:paraId="66AEE822"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B782DE5" w14:textId="105ECBC6" w:rsidR="007136AD" w:rsidRDefault="007136AD" w:rsidP="007136AD">
            <w:pPr>
              <w:jc w:val="center"/>
              <w:rPr>
                <w:rFonts w:ascii="Arial Narrow" w:hAnsi="Arial Narrow"/>
                <w:sz w:val="20"/>
                <w:szCs w:val="20"/>
              </w:rPr>
            </w:pPr>
          </w:p>
        </w:tc>
        <w:tc>
          <w:tcPr>
            <w:tcW w:w="8079" w:type="dxa"/>
            <w:gridSpan w:val="6"/>
            <w:vAlign w:val="center"/>
          </w:tcPr>
          <w:p w14:paraId="00295D59" w14:textId="77777777" w:rsidR="007136AD" w:rsidRPr="00053EF7" w:rsidRDefault="007136AD" w:rsidP="007136AD">
            <w:pPr>
              <w:rPr>
                <w:rFonts w:ascii="Arial Narrow" w:hAnsi="Arial Narrow"/>
                <w:b/>
                <w:bCs/>
                <w:sz w:val="20"/>
                <w:szCs w:val="20"/>
              </w:rPr>
            </w:pPr>
            <w:r w:rsidRPr="00053EF7">
              <w:rPr>
                <w:rFonts w:ascii="Arial Narrow" w:hAnsi="Arial Narrow"/>
                <w:b/>
                <w:bCs/>
                <w:sz w:val="20"/>
                <w:szCs w:val="20"/>
              </w:rPr>
              <w:t>Prescribing Instructions:</w:t>
            </w:r>
          </w:p>
          <w:p w14:paraId="4DEED9DA" w14:textId="77777777" w:rsidR="007136AD" w:rsidRPr="00053EF7" w:rsidRDefault="007136AD" w:rsidP="007136AD">
            <w:pPr>
              <w:rPr>
                <w:rFonts w:ascii="Arial Narrow" w:hAnsi="Arial Narrow"/>
                <w:sz w:val="20"/>
                <w:szCs w:val="20"/>
              </w:rPr>
            </w:pPr>
            <w:r w:rsidRPr="00053EF7">
              <w:rPr>
                <w:rFonts w:ascii="Arial Narrow" w:hAnsi="Arial Narrow"/>
                <w:sz w:val="20"/>
                <w:szCs w:val="20"/>
              </w:rPr>
              <w:t>The authority application must be made in writing and must include:</w:t>
            </w:r>
          </w:p>
          <w:p w14:paraId="5F2854B7" w14:textId="77777777" w:rsidR="007136AD" w:rsidRPr="00471E63" w:rsidRDefault="007136AD" w:rsidP="007136AD">
            <w:pPr>
              <w:rPr>
                <w:rFonts w:ascii="Arial Narrow" w:hAnsi="Arial Narrow"/>
                <w:sz w:val="20"/>
                <w:szCs w:val="20"/>
              </w:rPr>
            </w:pPr>
            <w:r w:rsidRPr="00471E63">
              <w:rPr>
                <w:rFonts w:ascii="Arial Narrow" w:hAnsi="Arial Narrow"/>
                <w:sz w:val="20"/>
                <w:szCs w:val="20"/>
              </w:rPr>
              <w:t>(a) a completed authority prescription form(s); and</w:t>
            </w:r>
          </w:p>
          <w:p w14:paraId="0CDF1ED7" w14:textId="13F86BA0" w:rsidR="007136AD" w:rsidRPr="00053EF7" w:rsidRDefault="007136AD" w:rsidP="007136AD">
            <w:pPr>
              <w:rPr>
                <w:rFonts w:ascii="Arial Narrow" w:hAnsi="Arial Narrow"/>
                <w:b/>
                <w:bCs/>
                <w:sz w:val="20"/>
                <w:szCs w:val="20"/>
              </w:rPr>
            </w:pPr>
            <w:r w:rsidRPr="00471E63">
              <w:rPr>
                <w:rFonts w:ascii="Arial Narrow" w:hAnsi="Arial Narrow"/>
                <w:sz w:val="20"/>
                <w:szCs w:val="20"/>
              </w:rPr>
              <w:t>(b) a completed authority application form relevant to the indication and treatment phase (the latest version is located on the website specified in the Administrative Advice).</w:t>
            </w:r>
            <w:r w:rsidRPr="00471E63" w:rsidDel="00471E63">
              <w:rPr>
                <w:rFonts w:ascii="Arial Narrow" w:hAnsi="Arial Narrow"/>
                <w:sz w:val="20"/>
                <w:szCs w:val="20"/>
              </w:rPr>
              <w:t xml:space="preserve"> </w:t>
            </w:r>
          </w:p>
        </w:tc>
      </w:tr>
      <w:tr w:rsidR="005B0927" w:rsidRPr="00B90897" w14:paraId="0B9D967D"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F0C4BDF" w14:textId="1FBC2D8B" w:rsidR="005B0927" w:rsidRDefault="005B0927" w:rsidP="00AD2329">
            <w:pPr>
              <w:jc w:val="center"/>
              <w:rPr>
                <w:rFonts w:ascii="Arial Narrow" w:hAnsi="Arial Narrow"/>
                <w:sz w:val="20"/>
                <w:szCs w:val="20"/>
              </w:rPr>
            </w:pPr>
          </w:p>
        </w:tc>
        <w:tc>
          <w:tcPr>
            <w:tcW w:w="8079" w:type="dxa"/>
            <w:gridSpan w:val="6"/>
            <w:vAlign w:val="center"/>
          </w:tcPr>
          <w:p w14:paraId="75C79CF3"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05DD088C" w14:textId="77777777" w:rsidR="005B0927" w:rsidRPr="00053EF7" w:rsidRDefault="005B0927" w:rsidP="00AD2329">
            <w:pPr>
              <w:rPr>
                <w:rFonts w:ascii="Arial Narrow" w:hAnsi="Arial Narrow"/>
                <w:b/>
                <w:bCs/>
                <w:sz w:val="20"/>
                <w:szCs w:val="20"/>
              </w:rPr>
            </w:pPr>
            <w:r w:rsidRPr="003E479C">
              <w:rPr>
                <w:rFonts w:ascii="Arial Narrow" w:hAnsi="Arial Narrow"/>
                <w:sz w:val="20"/>
                <w:szCs w:val="20"/>
              </w:rPr>
              <w:t>An assessment of a patient's response to this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w:t>
            </w:r>
          </w:p>
        </w:tc>
      </w:tr>
      <w:tr w:rsidR="005B0927" w:rsidRPr="00B90897" w14:paraId="167A53A7"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7A2F2A8" w14:textId="112BF355" w:rsidR="005B0927" w:rsidRDefault="005B0927" w:rsidP="00AD2329">
            <w:pPr>
              <w:jc w:val="center"/>
              <w:rPr>
                <w:rFonts w:ascii="Arial Narrow" w:hAnsi="Arial Narrow"/>
                <w:sz w:val="20"/>
                <w:szCs w:val="20"/>
              </w:rPr>
            </w:pPr>
          </w:p>
        </w:tc>
        <w:tc>
          <w:tcPr>
            <w:tcW w:w="8079" w:type="dxa"/>
            <w:gridSpan w:val="6"/>
            <w:vAlign w:val="center"/>
          </w:tcPr>
          <w:p w14:paraId="0143E82F"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252EFBB0" w14:textId="77777777" w:rsidR="005B0927" w:rsidRPr="00053EF7" w:rsidRDefault="005B0927" w:rsidP="00AD2329">
            <w:pPr>
              <w:rPr>
                <w:rFonts w:ascii="Arial Narrow" w:hAnsi="Arial Narrow"/>
                <w:b/>
                <w:bCs/>
                <w:sz w:val="20"/>
                <w:szCs w:val="20"/>
              </w:rPr>
            </w:pPr>
            <w:r w:rsidRPr="003E479C">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5B0927" w:rsidRPr="00B90897" w14:paraId="4BE5131C" w14:textId="77777777" w:rsidTr="00AD2329">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6DE7DBEF" w14:textId="5E22C271" w:rsidR="005B0927" w:rsidRDefault="005B0927" w:rsidP="00AD2329">
            <w:pPr>
              <w:jc w:val="center"/>
              <w:rPr>
                <w:rFonts w:ascii="Arial Narrow" w:hAnsi="Arial Narrow"/>
                <w:sz w:val="20"/>
                <w:szCs w:val="20"/>
              </w:rPr>
            </w:pPr>
          </w:p>
        </w:tc>
        <w:tc>
          <w:tcPr>
            <w:tcW w:w="8079" w:type="dxa"/>
            <w:gridSpan w:val="6"/>
            <w:vAlign w:val="center"/>
          </w:tcPr>
          <w:p w14:paraId="72ED5319" w14:textId="77777777" w:rsidR="005B0927" w:rsidRPr="00053EF7" w:rsidRDefault="005B0927" w:rsidP="00AD2329">
            <w:pPr>
              <w:rPr>
                <w:rFonts w:ascii="Arial Narrow" w:hAnsi="Arial Narrow"/>
                <w:b/>
                <w:bCs/>
                <w:sz w:val="20"/>
                <w:szCs w:val="20"/>
              </w:rPr>
            </w:pPr>
            <w:r w:rsidRPr="00053EF7">
              <w:rPr>
                <w:rFonts w:ascii="Arial Narrow" w:hAnsi="Arial Narrow"/>
                <w:b/>
                <w:bCs/>
                <w:sz w:val="20"/>
                <w:szCs w:val="20"/>
              </w:rPr>
              <w:t>Prescribing Instructions:</w:t>
            </w:r>
          </w:p>
          <w:p w14:paraId="1599E4A4" w14:textId="77777777" w:rsidR="005B0927" w:rsidRPr="003E479C" w:rsidRDefault="005B0927" w:rsidP="00AD2329">
            <w:pPr>
              <w:rPr>
                <w:rFonts w:ascii="Arial Narrow" w:hAnsi="Arial Narrow"/>
                <w:sz w:val="20"/>
                <w:szCs w:val="20"/>
              </w:rPr>
            </w:pPr>
            <w:r w:rsidRPr="003E479C">
              <w:rPr>
                <w:rFonts w:ascii="Arial Narrow" w:hAnsi="Arial Narrow"/>
                <w:sz w:val="20"/>
                <w:szCs w:val="20"/>
              </w:rPr>
              <w:t>If a patient fails to demonstrate a response to treatment with this drug under this restriction they will not be eligible to receive further PBS-subsidised treatment with this drug for this condition.</w:t>
            </w:r>
          </w:p>
        </w:tc>
      </w:tr>
    </w:tbl>
    <w:p w14:paraId="2E1B0778" w14:textId="77777777" w:rsidR="005B0927" w:rsidRDefault="005B0927" w:rsidP="005B092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567"/>
        <w:gridCol w:w="2976"/>
        <w:gridCol w:w="993"/>
        <w:gridCol w:w="850"/>
        <w:gridCol w:w="851"/>
        <w:gridCol w:w="708"/>
        <w:gridCol w:w="1701"/>
      </w:tblGrid>
      <w:tr w:rsidR="00C17DBE" w:rsidRPr="008266E7" w14:paraId="78413579" w14:textId="77777777" w:rsidTr="003C69E3">
        <w:trPr>
          <w:cantSplit/>
          <w:trHeight w:val="471"/>
        </w:trPr>
        <w:tc>
          <w:tcPr>
            <w:tcW w:w="3964" w:type="dxa"/>
            <w:gridSpan w:val="3"/>
          </w:tcPr>
          <w:p w14:paraId="51870DA4" w14:textId="77777777" w:rsidR="00C17DBE" w:rsidRPr="008266E7" w:rsidRDefault="00C17DBE" w:rsidP="00C055C0">
            <w:pPr>
              <w:keepNext/>
              <w:ind w:left="-57"/>
              <w:rPr>
                <w:rFonts w:ascii="Arial Narrow" w:hAnsi="Arial Narrow" w:cs="Arial"/>
                <w:b/>
                <w:bCs/>
                <w:sz w:val="20"/>
                <w:szCs w:val="20"/>
              </w:rPr>
            </w:pPr>
            <w:r w:rsidRPr="008266E7">
              <w:rPr>
                <w:rFonts w:ascii="Arial Narrow" w:hAnsi="Arial Narrow" w:cs="Arial"/>
                <w:b/>
                <w:bCs/>
                <w:sz w:val="20"/>
                <w:szCs w:val="20"/>
              </w:rPr>
              <w:t>MEDICINAL PRODUCT</w:t>
            </w:r>
          </w:p>
          <w:p w14:paraId="4523296A" w14:textId="77777777" w:rsidR="00C17DBE" w:rsidRPr="008266E7" w:rsidRDefault="00C17DBE" w:rsidP="00C055C0">
            <w:pPr>
              <w:keepNext/>
              <w:ind w:left="-57"/>
              <w:rPr>
                <w:rFonts w:ascii="Arial Narrow" w:hAnsi="Arial Narrow" w:cs="Arial"/>
                <w:b/>
                <w:sz w:val="20"/>
                <w:szCs w:val="20"/>
              </w:rPr>
            </w:pPr>
            <w:r w:rsidRPr="008266E7">
              <w:rPr>
                <w:rFonts w:ascii="Arial Narrow" w:hAnsi="Arial Narrow" w:cs="Arial"/>
                <w:b/>
                <w:bCs/>
                <w:sz w:val="20"/>
                <w:szCs w:val="20"/>
              </w:rPr>
              <w:t>medicinal product pack</w:t>
            </w:r>
          </w:p>
        </w:tc>
        <w:tc>
          <w:tcPr>
            <w:tcW w:w="993" w:type="dxa"/>
          </w:tcPr>
          <w:p w14:paraId="70F8A35E" w14:textId="77777777" w:rsidR="00C17DBE" w:rsidRPr="008266E7" w:rsidRDefault="00C17DBE" w:rsidP="00C055C0">
            <w:pPr>
              <w:keepNext/>
              <w:ind w:left="-108"/>
              <w:jc w:val="center"/>
              <w:rPr>
                <w:rFonts w:ascii="Arial Narrow" w:hAnsi="Arial Narrow" w:cs="Arial"/>
                <w:b/>
                <w:sz w:val="20"/>
                <w:szCs w:val="20"/>
              </w:rPr>
            </w:pPr>
            <w:r w:rsidRPr="008266E7">
              <w:rPr>
                <w:rFonts w:ascii="Arial Narrow" w:hAnsi="Arial Narrow" w:cs="Arial"/>
                <w:b/>
                <w:sz w:val="20"/>
                <w:szCs w:val="20"/>
              </w:rPr>
              <w:t>PBS item code</w:t>
            </w:r>
          </w:p>
        </w:tc>
        <w:tc>
          <w:tcPr>
            <w:tcW w:w="850" w:type="dxa"/>
          </w:tcPr>
          <w:p w14:paraId="0DA04184" w14:textId="77777777" w:rsidR="00C17DBE" w:rsidRPr="008266E7" w:rsidRDefault="00C17DBE" w:rsidP="00C055C0">
            <w:pPr>
              <w:keepNext/>
              <w:ind w:left="-108"/>
              <w:jc w:val="center"/>
              <w:rPr>
                <w:rFonts w:ascii="Arial Narrow" w:hAnsi="Arial Narrow" w:cs="Arial"/>
                <w:b/>
                <w:sz w:val="20"/>
                <w:szCs w:val="20"/>
              </w:rPr>
            </w:pPr>
            <w:r w:rsidRPr="008266E7">
              <w:rPr>
                <w:rFonts w:ascii="Arial Narrow" w:hAnsi="Arial Narrow" w:cs="Arial"/>
                <w:b/>
                <w:sz w:val="20"/>
                <w:szCs w:val="20"/>
              </w:rPr>
              <w:t>Max. qty packs</w:t>
            </w:r>
          </w:p>
        </w:tc>
        <w:tc>
          <w:tcPr>
            <w:tcW w:w="851" w:type="dxa"/>
          </w:tcPr>
          <w:p w14:paraId="57FE1BE0" w14:textId="77777777" w:rsidR="00C17DBE" w:rsidRPr="008266E7" w:rsidRDefault="00C17DBE" w:rsidP="00C055C0">
            <w:pPr>
              <w:keepNext/>
              <w:ind w:left="-108"/>
              <w:jc w:val="center"/>
              <w:rPr>
                <w:rFonts w:ascii="Arial Narrow" w:hAnsi="Arial Narrow" w:cs="Arial"/>
                <w:b/>
                <w:sz w:val="20"/>
                <w:szCs w:val="20"/>
              </w:rPr>
            </w:pPr>
            <w:r w:rsidRPr="008266E7">
              <w:rPr>
                <w:rFonts w:ascii="Arial Narrow" w:hAnsi="Arial Narrow" w:cs="Arial"/>
                <w:b/>
                <w:sz w:val="20"/>
                <w:szCs w:val="20"/>
              </w:rPr>
              <w:t>Max. qty units</w:t>
            </w:r>
          </w:p>
        </w:tc>
        <w:tc>
          <w:tcPr>
            <w:tcW w:w="708" w:type="dxa"/>
          </w:tcPr>
          <w:p w14:paraId="4A803FAF" w14:textId="77777777" w:rsidR="00C17DBE" w:rsidRPr="008266E7" w:rsidRDefault="00C17DBE" w:rsidP="00C055C0">
            <w:pPr>
              <w:keepNext/>
              <w:ind w:left="-108"/>
              <w:jc w:val="center"/>
              <w:rPr>
                <w:rFonts w:ascii="Arial Narrow" w:hAnsi="Arial Narrow" w:cs="Arial"/>
                <w:b/>
                <w:sz w:val="20"/>
                <w:szCs w:val="20"/>
              </w:rPr>
            </w:pPr>
            <w:r w:rsidRPr="008266E7">
              <w:rPr>
                <w:rFonts w:ascii="Arial Narrow" w:hAnsi="Arial Narrow" w:cs="Arial"/>
                <w:b/>
                <w:sz w:val="20"/>
                <w:szCs w:val="20"/>
              </w:rPr>
              <w:t>№.of</w:t>
            </w:r>
          </w:p>
          <w:p w14:paraId="3517F836" w14:textId="77777777" w:rsidR="00C17DBE" w:rsidRPr="008266E7" w:rsidRDefault="00C17DBE" w:rsidP="00C055C0">
            <w:pPr>
              <w:keepNext/>
              <w:ind w:left="-108"/>
              <w:jc w:val="center"/>
              <w:rPr>
                <w:rFonts w:ascii="Arial Narrow" w:hAnsi="Arial Narrow" w:cs="Arial"/>
                <w:b/>
                <w:sz w:val="20"/>
                <w:szCs w:val="20"/>
              </w:rPr>
            </w:pPr>
            <w:r w:rsidRPr="008266E7">
              <w:rPr>
                <w:rFonts w:ascii="Arial Narrow" w:hAnsi="Arial Narrow" w:cs="Arial"/>
                <w:b/>
                <w:sz w:val="20"/>
                <w:szCs w:val="20"/>
              </w:rPr>
              <w:t>Rpts</w:t>
            </w:r>
          </w:p>
        </w:tc>
        <w:tc>
          <w:tcPr>
            <w:tcW w:w="1701" w:type="dxa"/>
          </w:tcPr>
          <w:p w14:paraId="739A0F13" w14:textId="77777777" w:rsidR="00C17DBE" w:rsidRPr="008266E7" w:rsidRDefault="00C17DBE" w:rsidP="00C055C0">
            <w:pPr>
              <w:keepNext/>
              <w:rPr>
                <w:rFonts w:ascii="Arial Narrow" w:hAnsi="Arial Narrow" w:cs="Arial"/>
                <w:b/>
                <w:sz w:val="20"/>
                <w:szCs w:val="20"/>
                <w:lang w:val="fr-FR"/>
              </w:rPr>
            </w:pPr>
            <w:r w:rsidRPr="008266E7">
              <w:rPr>
                <w:rFonts w:ascii="Arial Narrow" w:hAnsi="Arial Narrow" w:cs="Arial"/>
                <w:b/>
                <w:sz w:val="20"/>
                <w:szCs w:val="20"/>
              </w:rPr>
              <w:t>Available brands</w:t>
            </w:r>
          </w:p>
        </w:tc>
      </w:tr>
      <w:tr w:rsidR="00C17DBE" w:rsidRPr="008266E7" w14:paraId="2E60320A" w14:textId="77777777" w:rsidTr="00C055C0">
        <w:trPr>
          <w:cantSplit/>
          <w:trHeight w:val="224"/>
        </w:trPr>
        <w:tc>
          <w:tcPr>
            <w:tcW w:w="9067" w:type="dxa"/>
            <w:gridSpan w:val="8"/>
          </w:tcPr>
          <w:p w14:paraId="78AD609C" w14:textId="77777777" w:rsidR="00C17DBE" w:rsidRPr="008266E7" w:rsidRDefault="00C17DBE" w:rsidP="00C055C0">
            <w:pPr>
              <w:keepNext/>
              <w:ind w:left="-57"/>
              <w:rPr>
                <w:rFonts w:ascii="Arial Narrow" w:hAnsi="Arial Narrow" w:cs="Arial"/>
                <w:sz w:val="20"/>
                <w:szCs w:val="20"/>
              </w:rPr>
            </w:pPr>
            <w:r w:rsidRPr="008266E7">
              <w:rPr>
                <w:rFonts w:ascii="Arial Narrow" w:hAnsi="Arial Narrow" w:cs="Arial"/>
                <w:sz w:val="20"/>
                <w:szCs w:val="20"/>
              </w:rPr>
              <w:t>INFLIXIMAB</w:t>
            </w:r>
          </w:p>
        </w:tc>
      </w:tr>
      <w:tr w:rsidR="00C17DBE" w:rsidRPr="008266E7" w14:paraId="18CFA12A" w14:textId="77777777" w:rsidTr="003C69E3">
        <w:trPr>
          <w:cantSplit/>
          <w:trHeight w:val="376"/>
        </w:trPr>
        <w:tc>
          <w:tcPr>
            <w:tcW w:w="3964" w:type="dxa"/>
            <w:gridSpan w:val="3"/>
            <w:vAlign w:val="center"/>
          </w:tcPr>
          <w:p w14:paraId="3B6C7CBB" w14:textId="77777777" w:rsidR="00C17DBE" w:rsidRPr="008266E7" w:rsidRDefault="00C17DBE" w:rsidP="00C055C0">
            <w:pPr>
              <w:keepNext/>
              <w:ind w:left="-57"/>
              <w:jc w:val="left"/>
              <w:rPr>
                <w:rFonts w:ascii="Arial Narrow" w:hAnsi="Arial Narrow" w:cs="Arial"/>
                <w:sz w:val="20"/>
                <w:szCs w:val="20"/>
              </w:rPr>
            </w:pPr>
            <w:r w:rsidRPr="008266E7">
              <w:rPr>
                <w:rFonts w:ascii="Arial Narrow" w:hAnsi="Arial Narrow" w:cs="Arial"/>
                <w:sz w:val="20"/>
                <w:szCs w:val="20"/>
              </w:rPr>
              <w:t>infliximab 120 mg/mL injection, 1 mL syringe</w:t>
            </w:r>
          </w:p>
        </w:tc>
        <w:tc>
          <w:tcPr>
            <w:tcW w:w="993" w:type="dxa"/>
            <w:vAlign w:val="center"/>
          </w:tcPr>
          <w:p w14:paraId="4BF9D645" w14:textId="77777777" w:rsidR="00C17DBE" w:rsidRPr="008266E7" w:rsidRDefault="00C17DBE" w:rsidP="00C055C0">
            <w:pPr>
              <w:keepNext/>
              <w:jc w:val="center"/>
              <w:rPr>
                <w:rFonts w:ascii="Arial Narrow" w:hAnsi="Arial Narrow" w:cs="Arial"/>
                <w:sz w:val="20"/>
                <w:szCs w:val="20"/>
              </w:rPr>
            </w:pPr>
            <w:r w:rsidRPr="00A9467B">
              <w:rPr>
                <w:rFonts w:ascii="Arial Narrow" w:hAnsi="Arial Narrow" w:cs="Arial"/>
                <w:sz w:val="20"/>
                <w:szCs w:val="20"/>
              </w:rPr>
              <w:t>12553Q</w:t>
            </w:r>
          </w:p>
        </w:tc>
        <w:tc>
          <w:tcPr>
            <w:tcW w:w="850" w:type="dxa"/>
            <w:vAlign w:val="center"/>
          </w:tcPr>
          <w:p w14:paraId="4A9DE1B8" w14:textId="77777777" w:rsidR="00C17DBE" w:rsidRPr="008266E7" w:rsidRDefault="00C17DBE" w:rsidP="00C055C0">
            <w:pPr>
              <w:keepNext/>
              <w:jc w:val="center"/>
              <w:rPr>
                <w:rFonts w:ascii="Arial Narrow" w:hAnsi="Arial Narrow" w:cs="Arial"/>
                <w:sz w:val="20"/>
                <w:szCs w:val="20"/>
              </w:rPr>
            </w:pPr>
            <w:r>
              <w:rPr>
                <w:rFonts w:ascii="Arial Narrow" w:hAnsi="Arial Narrow" w:cs="Arial"/>
                <w:sz w:val="20"/>
                <w:szCs w:val="20"/>
              </w:rPr>
              <w:t>2</w:t>
            </w:r>
          </w:p>
        </w:tc>
        <w:tc>
          <w:tcPr>
            <w:tcW w:w="851" w:type="dxa"/>
            <w:vAlign w:val="center"/>
          </w:tcPr>
          <w:p w14:paraId="25E922B7" w14:textId="3C4590DF" w:rsidR="00C17DBE" w:rsidRPr="008266E7" w:rsidRDefault="00471E63" w:rsidP="00C055C0">
            <w:pPr>
              <w:keepNext/>
              <w:jc w:val="center"/>
              <w:rPr>
                <w:rFonts w:ascii="Arial Narrow" w:hAnsi="Arial Narrow" w:cs="Arial"/>
                <w:sz w:val="20"/>
                <w:szCs w:val="20"/>
              </w:rPr>
            </w:pPr>
            <w:r>
              <w:rPr>
                <w:rFonts w:ascii="Arial Narrow" w:hAnsi="Arial Narrow" w:cs="Arial"/>
                <w:sz w:val="20"/>
                <w:szCs w:val="20"/>
              </w:rPr>
              <w:t>2</w:t>
            </w:r>
          </w:p>
        </w:tc>
        <w:tc>
          <w:tcPr>
            <w:tcW w:w="708" w:type="dxa"/>
            <w:vAlign w:val="center"/>
          </w:tcPr>
          <w:p w14:paraId="7BE59C45" w14:textId="77777777" w:rsidR="00C17DBE" w:rsidRPr="008266E7" w:rsidRDefault="00C17DBE" w:rsidP="00C055C0">
            <w:pPr>
              <w:keepNext/>
              <w:jc w:val="center"/>
              <w:rPr>
                <w:rFonts w:ascii="Arial Narrow" w:hAnsi="Arial Narrow" w:cs="Arial"/>
                <w:sz w:val="20"/>
                <w:szCs w:val="20"/>
              </w:rPr>
            </w:pPr>
            <w:r>
              <w:rPr>
                <w:rFonts w:ascii="Arial Narrow" w:hAnsi="Arial Narrow" w:cs="Arial"/>
                <w:sz w:val="20"/>
                <w:szCs w:val="20"/>
              </w:rPr>
              <w:t>5</w:t>
            </w:r>
          </w:p>
        </w:tc>
        <w:tc>
          <w:tcPr>
            <w:tcW w:w="1701" w:type="dxa"/>
            <w:vAlign w:val="center"/>
          </w:tcPr>
          <w:p w14:paraId="32A90272" w14:textId="77777777" w:rsidR="00C17DBE" w:rsidRPr="008266E7" w:rsidRDefault="00C17DBE" w:rsidP="00C055C0">
            <w:pPr>
              <w:keepNext/>
              <w:jc w:val="left"/>
              <w:rPr>
                <w:rFonts w:ascii="Arial Narrow" w:hAnsi="Arial Narrow" w:cs="Arial"/>
                <w:sz w:val="20"/>
                <w:szCs w:val="20"/>
              </w:rPr>
            </w:pPr>
            <w:r w:rsidRPr="008266E7">
              <w:rPr>
                <w:rFonts w:ascii="Arial Narrow" w:hAnsi="Arial Narrow" w:cs="Arial"/>
                <w:sz w:val="20"/>
                <w:szCs w:val="20"/>
              </w:rPr>
              <w:t>Remsima SC</w:t>
            </w:r>
          </w:p>
        </w:tc>
      </w:tr>
      <w:tr w:rsidR="00C17DBE" w:rsidRPr="008266E7" w14:paraId="5DB80269" w14:textId="77777777" w:rsidTr="003C69E3">
        <w:trPr>
          <w:cantSplit/>
          <w:trHeight w:val="347"/>
        </w:trPr>
        <w:tc>
          <w:tcPr>
            <w:tcW w:w="3964" w:type="dxa"/>
            <w:gridSpan w:val="3"/>
            <w:vAlign w:val="center"/>
          </w:tcPr>
          <w:p w14:paraId="70668240" w14:textId="77777777" w:rsidR="00C17DBE" w:rsidRPr="008266E7" w:rsidRDefault="00C17DBE" w:rsidP="00C055C0">
            <w:pPr>
              <w:keepNext/>
              <w:ind w:left="-57"/>
              <w:jc w:val="left"/>
              <w:rPr>
                <w:rFonts w:ascii="Arial Narrow" w:hAnsi="Arial Narrow" w:cs="Arial"/>
                <w:sz w:val="20"/>
                <w:szCs w:val="20"/>
              </w:rPr>
            </w:pPr>
            <w:r w:rsidRPr="008266E7">
              <w:rPr>
                <w:rFonts w:ascii="Arial Narrow" w:hAnsi="Arial Narrow" w:cs="Arial"/>
                <w:sz w:val="20"/>
                <w:szCs w:val="20"/>
              </w:rPr>
              <w:t>infliximab 120 mg/mL injection, 1 mL pen device</w:t>
            </w:r>
          </w:p>
        </w:tc>
        <w:tc>
          <w:tcPr>
            <w:tcW w:w="993" w:type="dxa"/>
            <w:vAlign w:val="center"/>
          </w:tcPr>
          <w:p w14:paraId="279FC1B8" w14:textId="77777777" w:rsidR="00C17DBE" w:rsidRPr="008266E7" w:rsidRDefault="00C17DBE" w:rsidP="00C055C0">
            <w:pPr>
              <w:keepNext/>
              <w:jc w:val="center"/>
              <w:rPr>
                <w:rFonts w:ascii="Arial Narrow" w:hAnsi="Arial Narrow" w:cs="Arial"/>
                <w:sz w:val="20"/>
                <w:szCs w:val="20"/>
              </w:rPr>
            </w:pPr>
            <w:r>
              <w:rPr>
                <w:rFonts w:ascii="Arial Narrow" w:hAnsi="Arial Narrow" w:cs="Arial"/>
                <w:sz w:val="20"/>
                <w:szCs w:val="20"/>
              </w:rPr>
              <w:t>12554R</w:t>
            </w:r>
          </w:p>
        </w:tc>
        <w:tc>
          <w:tcPr>
            <w:tcW w:w="850" w:type="dxa"/>
            <w:vAlign w:val="center"/>
          </w:tcPr>
          <w:p w14:paraId="36D77C0C" w14:textId="77777777" w:rsidR="00C17DBE" w:rsidRPr="008266E7" w:rsidRDefault="00C17DBE" w:rsidP="00C055C0">
            <w:pPr>
              <w:keepNext/>
              <w:jc w:val="center"/>
              <w:rPr>
                <w:rFonts w:ascii="Arial Narrow" w:hAnsi="Arial Narrow" w:cs="Arial"/>
                <w:sz w:val="20"/>
                <w:szCs w:val="20"/>
              </w:rPr>
            </w:pPr>
            <w:r>
              <w:rPr>
                <w:rFonts w:ascii="Arial Narrow" w:hAnsi="Arial Narrow" w:cs="Arial"/>
                <w:sz w:val="20"/>
                <w:szCs w:val="20"/>
              </w:rPr>
              <w:t>2</w:t>
            </w:r>
          </w:p>
        </w:tc>
        <w:tc>
          <w:tcPr>
            <w:tcW w:w="851" w:type="dxa"/>
            <w:vAlign w:val="center"/>
          </w:tcPr>
          <w:p w14:paraId="03BEA7CA" w14:textId="53D39A3F" w:rsidR="00C17DBE" w:rsidRPr="008266E7" w:rsidRDefault="00471E63" w:rsidP="00C055C0">
            <w:pPr>
              <w:keepNext/>
              <w:jc w:val="center"/>
              <w:rPr>
                <w:rFonts w:ascii="Arial Narrow" w:hAnsi="Arial Narrow" w:cs="Arial"/>
                <w:sz w:val="20"/>
                <w:szCs w:val="20"/>
              </w:rPr>
            </w:pPr>
            <w:r>
              <w:rPr>
                <w:rFonts w:ascii="Arial Narrow" w:hAnsi="Arial Narrow" w:cs="Arial"/>
                <w:sz w:val="20"/>
                <w:szCs w:val="20"/>
              </w:rPr>
              <w:t>2</w:t>
            </w:r>
          </w:p>
        </w:tc>
        <w:tc>
          <w:tcPr>
            <w:tcW w:w="708" w:type="dxa"/>
            <w:vAlign w:val="center"/>
          </w:tcPr>
          <w:p w14:paraId="4437922D" w14:textId="77777777" w:rsidR="00C17DBE" w:rsidRPr="008266E7" w:rsidRDefault="00C17DBE" w:rsidP="00C055C0">
            <w:pPr>
              <w:keepNext/>
              <w:jc w:val="center"/>
              <w:rPr>
                <w:rFonts w:ascii="Arial Narrow" w:hAnsi="Arial Narrow" w:cs="Arial"/>
                <w:sz w:val="20"/>
                <w:szCs w:val="20"/>
              </w:rPr>
            </w:pPr>
            <w:r>
              <w:rPr>
                <w:rFonts w:ascii="Arial Narrow" w:hAnsi="Arial Narrow" w:cs="Arial"/>
                <w:sz w:val="20"/>
                <w:szCs w:val="20"/>
              </w:rPr>
              <w:t>5</w:t>
            </w:r>
          </w:p>
        </w:tc>
        <w:tc>
          <w:tcPr>
            <w:tcW w:w="1701" w:type="dxa"/>
            <w:vAlign w:val="center"/>
          </w:tcPr>
          <w:p w14:paraId="22EF9F1E" w14:textId="77777777" w:rsidR="00C17DBE" w:rsidRPr="008266E7" w:rsidRDefault="00C17DBE" w:rsidP="00C055C0">
            <w:pPr>
              <w:keepNext/>
              <w:jc w:val="left"/>
              <w:rPr>
                <w:rFonts w:ascii="Arial Narrow" w:hAnsi="Arial Narrow" w:cs="Arial"/>
                <w:sz w:val="20"/>
                <w:szCs w:val="20"/>
              </w:rPr>
            </w:pPr>
            <w:r w:rsidRPr="008266E7">
              <w:rPr>
                <w:rFonts w:ascii="Arial Narrow" w:hAnsi="Arial Narrow" w:cs="Arial"/>
                <w:sz w:val="20"/>
                <w:szCs w:val="20"/>
              </w:rPr>
              <w:t>Remsima SC</w:t>
            </w:r>
          </w:p>
        </w:tc>
      </w:tr>
      <w:tr w:rsidR="00C17DBE" w:rsidRPr="008266E7" w14:paraId="5E7689D4" w14:textId="77777777" w:rsidTr="00C055C0">
        <w:trPr>
          <w:cantSplit/>
          <w:trHeight w:val="347"/>
        </w:trPr>
        <w:tc>
          <w:tcPr>
            <w:tcW w:w="9067" w:type="dxa"/>
            <w:gridSpan w:val="8"/>
            <w:vAlign w:val="center"/>
          </w:tcPr>
          <w:p w14:paraId="21E80E3A" w14:textId="77777777" w:rsidR="00C17DBE" w:rsidRPr="008266E7" w:rsidRDefault="00C17DBE" w:rsidP="00C055C0">
            <w:pPr>
              <w:keepNext/>
              <w:jc w:val="left"/>
              <w:rPr>
                <w:rFonts w:ascii="Arial Narrow" w:hAnsi="Arial Narrow" w:cs="Arial"/>
                <w:sz w:val="20"/>
                <w:szCs w:val="20"/>
              </w:rPr>
            </w:pPr>
          </w:p>
        </w:tc>
      </w:tr>
      <w:tr w:rsidR="00C17DBE" w:rsidRPr="008266E7" w14:paraId="03E4827F" w14:textId="77777777" w:rsidTr="00C055C0">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04928427" w14:textId="77777777" w:rsidR="00C17DBE" w:rsidRPr="008266E7" w:rsidRDefault="00C17DBE" w:rsidP="00C055C0">
            <w:pPr>
              <w:rPr>
                <w:rFonts w:ascii="Arial Narrow" w:hAnsi="Arial Narrow" w:cs="Arial"/>
                <w:b/>
                <w:sz w:val="20"/>
                <w:szCs w:val="20"/>
              </w:rPr>
            </w:pPr>
            <w:r w:rsidRPr="008266E7">
              <w:rPr>
                <w:rFonts w:ascii="Arial Narrow" w:hAnsi="Arial Narrow"/>
                <w:b/>
                <w:sz w:val="20"/>
                <w:szCs w:val="20"/>
              </w:rPr>
              <w:t>Restriction Summary [new] / Treatment of Concept: [new]</w:t>
            </w:r>
          </w:p>
        </w:tc>
      </w:tr>
      <w:tr w:rsidR="00C17DBE" w:rsidRPr="008266E7" w14:paraId="783EBF4B"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Merge w:val="restart"/>
            <w:tcBorders>
              <w:top w:val="single" w:sz="4" w:space="0" w:color="auto"/>
              <w:left w:val="single" w:sz="4" w:space="0" w:color="auto"/>
              <w:right w:val="single" w:sz="4" w:space="0" w:color="auto"/>
            </w:tcBorders>
          </w:tcPr>
          <w:p w14:paraId="706EE9B2" w14:textId="77777777" w:rsidR="00C17DBE" w:rsidRPr="00997498" w:rsidRDefault="00C17DBE" w:rsidP="00C055C0">
            <w:pPr>
              <w:jc w:val="center"/>
              <w:rPr>
                <w:rFonts w:ascii="Arial Narrow" w:hAnsi="Arial Narrow" w:cs="Arial"/>
                <w:b/>
                <w:sz w:val="20"/>
                <w:szCs w:val="20"/>
              </w:rPr>
            </w:pPr>
            <w:r w:rsidRPr="008266E7">
              <w:rPr>
                <w:rFonts w:ascii="Arial Narrow" w:hAnsi="Arial Narrow" w:cs="Arial"/>
                <w:b/>
                <w:sz w:val="20"/>
                <w:szCs w:val="20"/>
              </w:rPr>
              <w:t>Concept ID</w:t>
            </w:r>
          </w:p>
          <w:p w14:paraId="6A084E44" w14:textId="77777777" w:rsidR="00C17DBE" w:rsidRPr="00997498" w:rsidRDefault="00C17DBE" w:rsidP="00C055C0">
            <w:pPr>
              <w:jc w:val="center"/>
              <w:rPr>
                <w:rFonts w:ascii="Arial Narrow" w:hAnsi="Arial Narrow" w:cs="Arial"/>
                <w:sz w:val="20"/>
                <w:szCs w:val="20"/>
              </w:rPr>
            </w:pPr>
            <w:r w:rsidRPr="008266E7">
              <w:rPr>
                <w:rFonts w:ascii="Arial Narrow" w:hAnsi="Arial Narrow" w:cs="Arial"/>
                <w:sz w:val="20"/>
                <w:szCs w:val="20"/>
              </w:rPr>
              <w:t>(for internal Dept. use)</w:t>
            </w:r>
          </w:p>
        </w:tc>
        <w:tc>
          <w:tcPr>
            <w:tcW w:w="8079" w:type="dxa"/>
            <w:gridSpan w:val="6"/>
            <w:tcBorders>
              <w:top w:val="single" w:sz="4" w:space="0" w:color="auto"/>
              <w:left w:val="single" w:sz="4" w:space="0" w:color="auto"/>
              <w:bottom w:val="single" w:sz="4" w:space="0" w:color="auto"/>
              <w:right w:val="single" w:sz="4" w:space="0" w:color="auto"/>
            </w:tcBorders>
          </w:tcPr>
          <w:p w14:paraId="5BAF899A" w14:textId="77777777" w:rsidR="00C17DBE" w:rsidRPr="008266E7" w:rsidRDefault="00C17DBE" w:rsidP="00C055C0">
            <w:pPr>
              <w:rPr>
                <w:rFonts w:ascii="Arial Narrow" w:hAnsi="Arial Narrow" w:cs="Arial"/>
                <w:sz w:val="20"/>
                <w:szCs w:val="20"/>
              </w:rPr>
            </w:pPr>
            <w:r w:rsidRPr="008266E7">
              <w:rPr>
                <w:rFonts w:ascii="Arial Narrow" w:hAnsi="Arial Narrow" w:cs="Arial"/>
                <w:b/>
                <w:sz w:val="20"/>
                <w:szCs w:val="20"/>
              </w:rPr>
              <w:t xml:space="preserve">Category / Program:   </w:t>
            </w:r>
            <w:r w:rsidRPr="008266E7">
              <w:rPr>
                <w:rFonts w:ascii="Arial Narrow" w:hAnsi="Arial Narrow" w:cs="Arial"/>
                <w:sz w:val="20"/>
                <w:szCs w:val="20"/>
              </w:rPr>
              <w:t>GENERAL – General Schedule (Code GE)</w:t>
            </w:r>
            <w:r w:rsidRPr="008266E7">
              <w:rPr>
                <w:rFonts w:ascii="Arial Narrow" w:hAnsi="Arial Narrow" w:cs="Arial"/>
                <w:color w:val="FF0000"/>
                <w:sz w:val="20"/>
                <w:szCs w:val="20"/>
              </w:rPr>
              <w:t xml:space="preserve"> </w:t>
            </w:r>
          </w:p>
        </w:tc>
      </w:tr>
      <w:tr w:rsidR="00C17DBE" w:rsidRPr="008266E7" w14:paraId="1989F343" w14:textId="77777777" w:rsidTr="00C055C0">
        <w:tblPrEx>
          <w:tblCellMar>
            <w:top w:w="15" w:type="dxa"/>
            <w:left w:w="15" w:type="dxa"/>
            <w:bottom w:w="15" w:type="dxa"/>
            <w:right w:w="15" w:type="dxa"/>
          </w:tblCellMar>
          <w:tblLook w:val="04A0" w:firstRow="1" w:lastRow="0" w:firstColumn="1" w:lastColumn="0" w:noHBand="0" w:noVBand="1"/>
        </w:tblPrEx>
        <w:trPr>
          <w:trHeight w:val="240"/>
        </w:trPr>
        <w:tc>
          <w:tcPr>
            <w:tcW w:w="988" w:type="dxa"/>
            <w:gridSpan w:val="2"/>
            <w:vMerge/>
            <w:tcBorders>
              <w:left w:val="single" w:sz="4" w:space="0" w:color="auto"/>
              <w:right w:val="single" w:sz="4" w:space="0" w:color="auto"/>
            </w:tcBorders>
          </w:tcPr>
          <w:p w14:paraId="1A3DA519" w14:textId="77777777" w:rsidR="00C17DBE" w:rsidRPr="008266E7" w:rsidRDefault="00C17DBE" w:rsidP="00C055C0">
            <w:pPr>
              <w:rPr>
                <w:rFonts w:ascii="Arial Narrow" w:hAnsi="Arial Narrow" w:cs="Arial"/>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49F36581" w14:textId="77777777" w:rsidR="00C17DBE" w:rsidRPr="008266E7" w:rsidRDefault="00C17DBE" w:rsidP="00C055C0">
            <w:pPr>
              <w:rPr>
                <w:rFonts w:ascii="Arial Narrow" w:hAnsi="Arial Narrow" w:cs="Arial"/>
                <w:b/>
                <w:sz w:val="20"/>
                <w:szCs w:val="20"/>
              </w:rPr>
            </w:pPr>
            <w:r w:rsidRPr="008266E7">
              <w:rPr>
                <w:rFonts w:ascii="Arial Narrow" w:hAnsi="Arial Narrow" w:cs="Arial"/>
                <w:b/>
                <w:sz w:val="20"/>
                <w:szCs w:val="20"/>
              </w:rPr>
              <w:t xml:space="preserve">Prescriber type: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C2102">
              <w:rPr>
                <w:rFonts w:ascii="Arial Narrow" w:hAnsi="Arial Narrow" w:cs="Arial"/>
                <w:sz w:val="20"/>
                <w:szCs w:val="20"/>
              </w:rPr>
            </w:r>
            <w:r w:rsidR="007C2102">
              <w:rPr>
                <w:rFonts w:ascii="Arial Narrow" w:hAnsi="Arial Narrow" w:cs="Arial"/>
                <w:sz w:val="20"/>
                <w:szCs w:val="20"/>
              </w:rPr>
              <w:fldChar w:fldCharType="separate"/>
            </w:r>
            <w:r>
              <w:rPr>
                <w:rFonts w:ascii="Arial Narrow" w:hAnsi="Arial Narrow" w:cs="Arial"/>
                <w:sz w:val="20"/>
                <w:szCs w:val="20"/>
              </w:rPr>
              <w:fldChar w:fldCharType="end"/>
            </w:r>
            <w:r w:rsidRPr="008266E7">
              <w:rPr>
                <w:rFonts w:ascii="Arial Narrow" w:hAnsi="Arial Narrow" w:cs="Arial"/>
                <w:sz w:val="20"/>
                <w:szCs w:val="20"/>
              </w:rPr>
              <w:t xml:space="preserve">Medical </w:t>
            </w:r>
            <w:r>
              <w:rPr>
                <w:rFonts w:ascii="Arial Narrow" w:hAnsi="Arial Narrow" w:cs="Arial"/>
                <w:sz w:val="20"/>
                <w:szCs w:val="20"/>
              </w:rPr>
              <w:t>Practitioners</w:t>
            </w:r>
          </w:p>
        </w:tc>
      </w:tr>
      <w:tr w:rsidR="00C17DBE" w:rsidRPr="008266E7" w14:paraId="3ACCFF0A"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Merge/>
            <w:tcBorders>
              <w:left w:val="single" w:sz="4" w:space="0" w:color="auto"/>
              <w:bottom w:val="single" w:sz="4" w:space="0" w:color="auto"/>
              <w:right w:val="single" w:sz="4" w:space="0" w:color="auto"/>
            </w:tcBorders>
          </w:tcPr>
          <w:p w14:paraId="5C460C4F" w14:textId="77777777" w:rsidR="00C17DBE" w:rsidRPr="008266E7" w:rsidRDefault="00C17DBE" w:rsidP="00C055C0">
            <w:pPr>
              <w:rPr>
                <w:rFonts w:ascii="Arial Narrow" w:hAnsi="Arial Narrow" w:cs="Arial"/>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06530AAB" w14:textId="77777777" w:rsidR="00C17DBE" w:rsidRPr="008266E7" w:rsidRDefault="00C17DBE" w:rsidP="00C055C0">
            <w:pPr>
              <w:rPr>
                <w:rFonts w:ascii="Arial Narrow" w:eastAsia="Calibri" w:hAnsi="Arial Narrow" w:cs="Arial"/>
                <w:color w:val="FF00FF"/>
                <w:sz w:val="20"/>
                <w:szCs w:val="20"/>
              </w:rPr>
            </w:pPr>
            <w:r w:rsidRPr="008266E7">
              <w:rPr>
                <w:rFonts w:ascii="Arial Narrow" w:hAnsi="Arial Narrow" w:cs="Arial"/>
                <w:b/>
                <w:sz w:val="20"/>
                <w:szCs w:val="20"/>
              </w:rPr>
              <w:t xml:space="preserve">Restriction type: </w:t>
            </w:r>
            <w:r w:rsidRPr="008266E7">
              <w:rPr>
                <w:rFonts w:ascii="Arial Narrow" w:eastAsia="Calibri" w:hAnsi="Arial Narrow" w:cs="Arial"/>
                <w:color w:val="FF0000"/>
                <w:sz w:val="20"/>
                <w:szCs w:val="20"/>
              </w:rPr>
              <w:t xml:space="preserve"> </w:t>
            </w:r>
            <w:r>
              <w:rPr>
                <w:rFonts w:ascii="Arial Narrow" w:eastAsia="Calibri" w:hAnsi="Arial Narrow" w:cs="Arial"/>
                <w:sz w:val="20"/>
                <w:szCs w:val="20"/>
              </w:rPr>
              <w:fldChar w:fldCharType="begin">
                <w:ffData>
                  <w:name w:val="Check3"/>
                  <w:enabled/>
                  <w:calcOnExit w:val="0"/>
                  <w:checkBox>
                    <w:sizeAuto/>
                    <w:default w:val="1"/>
                  </w:checkBox>
                </w:ffData>
              </w:fldChar>
            </w:r>
            <w:r>
              <w:rPr>
                <w:rFonts w:ascii="Arial Narrow" w:eastAsia="Calibri" w:hAnsi="Arial Narrow" w:cs="Arial"/>
                <w:sz w:val="20"/>
                <w:szCs w:val="20"/>
              </w:rPr>
              <w:instrText xml:space="preserve"> FORMCHECKBOX </w:instrText>
            </w:r>
            <w:r w:rsidR="007C2102">
              <w:rPr>
                <w:rFonts w:ascii="Arial Narrow" w:eastAsia="Calibri" w:hAnsi="Arial Narrow" w:cs="Arial"/>
                <w:sz w:val="20"/>
                <w:szCs w:val="20"/>
              </w:rPr>
            </w:r>
            <w:r w:rsidR="007C2102">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8266E7">
              <w:rPr>
                <w:rFonts w:ascii="Arial Narrow" w:eastAsia="Calibri" w:hAnsi="Arial Narrow" w:cs="Arial"/>
                <w:sz w:val="20"/>
                <w:szCs w:val="20"/>
              </w:rPr>
              <w:t>Authority Required (</w:t>
            </w:r>
            <w:r>
              <w:rPr>
                <w:rFonts w:ascii="Arial Narrow" w:eastAsia="Calibri" w:hAnsi="Arial Narrow" w:cs="Arial"/>
                <w:sz w:val="20"/>
                <w:szCs w:val="20"/>
              </w:rPr>
              <w:t>in writing only via post/HPOS upload</w:t>
            </w:r>
            <w:r w:rsidRPr="008266E7">
              <w:rPr>
                <w:rFonts w:ascii="Arial Narrow" w:eastAsia="Calibri" w:hAnsi="Arial Narrow" w:cs="Arial"/>
                <w:sz w:val="20"/>
                <w:szCs w:val="20"/>
              </w:rPr>
              <w:t>)</w:t>
            </w:r>
            <w:r>
              <w:rPr>
                <w:rFonts w:ascii="Arial Narrow" w:eastAsia="Calibri" w:hAnsi="Arial Narrow" w:cs="Arial"/>
                <w:sz w:val="20"/>
                <w:szCs w:val="20"/>
              </w:rPr>
              <w:t>:</w:t>
            </w:r>
            <w:r w:rsidRPr="008266E7">
              <w:rPr>
                <w:rFonts w:ascii="Arial Narrow" w:eastAsia="Calibri" w:hAnsi="Arial Narrow" w:cs="Arial"/>
                <w:sz w:val="20"/>
                <w:szCs w:val="20"/>
              </w:rPr>
              <w:t xml:space="preserve"> </w:t>
            </w:r>
          </w:p>
        </w:tc>
      </w:tr>
      <w:tr w:rsidR="00C17DBE" w:rsidRPr="00280B3C" w14:paraId="3ACA9DDD" w14:textId="77777777" w:rsidTr="00C055C0">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val="restart"/>
            <w:tcBorders>
              <w:left w:val="single" w:sz="4" w:space="0" w:color="auto"/>
              <w:right w:val="single" w:sz="4" w:space="0" w:color="auto"/>
            </w:tcBorders>
            <w:textDirection w:val="btLr"/>
          </w:tcPr>
          <w:p w14:paraId="6560EFF5" w14:textId="79A56E46" w:rsidR="00C17DBE" w:rsidRPr="008266E7" w:rsidRDefault="00C17DBE" w:rsidP="00C055C0">
            <w:pPr>
              <w:spacing w:line="0" w:lineRule="atLeast"/>
              <w:ind w:left="57" w:right="57"/>
              <w:jc w:val="center"/>
              <w:rPr>
                <w:rFonts w:ascii="Arial Narrow" w:hAnsi="Arial Narrow" w:cs="Arial"/>
                <w:sz w:val="20"/>
                <w:szCs w:val="20"/>
              </w:rPr>
            </w:pPr>
          </w:p>
        </w:tc>
        <w:tc>
          <w:tcPr>
            <w:tcW w:w="567" w:type="dxa"/>
            <w:vAlign w:val="center"/>
          </w:tcPr>
          <w:p w14:paraId="52E2753A" w14:textId="75E1FCA0" w:rsidR="00C17DBE" w:rsidRPr="00280B3C" w:rsidRDefault="00C17DBE" w:rsidP="00C055C0">
            <w:pPr>
              <w:jc w:val="center"/>
              <w:rPr>
                <w:rFonts w:ascii="Arial Narrow" w:hAnsi="Arial Narrow"/>
                <w:sz w:val="20"/>
                <w:szCs w:val="20"/>
              </w:rPr>
            </w:pPr>
          </w:p>
        </w:tc>
        <w:tc>
          <w:tcPr>
            <w:tcW w:w="8079" w:type="dxa"/>
            <w:gridSpan w:val="6"/>
            <w:vAlign w:val="center"/>
          </w:tcPr>
          <w:p w14:paraId="4F81D7E6" w14:textId="77777777" w:rsidR="00524A0F" w:rsidRDefault="00524A0F" w:rsidP="00524A0F">
            <w:pPr>
              <w:rPr>
                <w:rFonts w:ascii="Arial Narrow" w:hAnsi="Arial Narrow"/>
                <w:b/>
                <w:bCs/>
                <w:sz w:val="20"/>
                <w:szCs w:val="20"/>
              </w:rPr>
            </w:pPr>
            <w:r w:rsidRPr="00280B3C">
              <w:rPr>
                <w:rFonts w:ascii="Arial Narrow" w:hAnsi="Arial Narrow"/>
                <w:b/>
                <w:bCs/>
                <w:sz w:val="20"/>
                <w:szCs w:val="20"/>
              </w:rPr>
              <w:t>Administrative Advice</w:t>
            </w:r>
            <w:r>
              <w:rPr>
                <w:rFonts w:ascii="Arial Narrow" w:hAnsi="Arial Narrow"/>
                <w:b/>
                <w:bCs/>
                <w:sz w:val="20"/>
                <w:szCs w:val="20"/>
              </w:rPr>
              <w:t>:</w:t>
            </w:r>
          </w:p>
          <w:p w14:paraId="3343601A" w14:textId="2AC215FB" w:rsidR="00C17DBE" w:rsidRPr="00280B3C" w:rsidRDefault="00524A0F" w:rsidP="00C055C0">
            <w:pPr>
              <w:rPr>
                <w:rFonts w:ascii="Arial Narrow" w:hAnsi="Arial Narrow"/>
                <w:sz w:val="20"/>
                <w:szCs w:val="20"/>
              </w:rPr>
            </w:pPr>
            <w:r w:rsidRPr="00524A0F">
              <w:rPr>
                <w:rFonts w:ascii="Arial Narrow" w:hAnsi="Arial Narrow"/>
                <w:sz w:val="20"/>
                <w:szCs w:val="20"/>
              </w:rPr>
              <w:t>PBS AUTHORITY APPLICATIONS FOR SEVERE ACTIVE RHEUMATOID ARTHRITIS</w:t>
            </w:r>
            <w:r>
              <w:rPr>
                <w:rFonts w:ascii="Arial Narrow" w:hAnsi="Arial Narrow"/>
                <w:sz w:val="20"/>
                <w:szCs w:val="20"/>
              </w:rPr>
              <w:t>…</w:t>
            </w:r>
          </w:p>
        </w:tc>
      </w:tr>
      <w:tr w:rsidR="00C17DBE" w:rsidRPr="004847DE" w14:paraId="04F2105E" w14:textId="77777777" w:rsidTr="00C055C0">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0A16E7A7" w14:textId="77777777" w:rsidR="00C17DBE" w:rsidRDefault="00C17DBE" w:rsidP="00C055C0">
            <w:pPr>
              <w:spacing w:line="0" w:lineRule="atLeast"/>
              <w:ind w:left="57" w:right="57"/>
              <w:jc w:val="center"/>
              <w:rPr>
                <w:rFonts w:ascii="Arial Narrow" w:hAnsi="Arial Narrow" w:cs="Arial"/>
                <w:sz w:val="20"/>
                <w:szCs w:val="20"/>
              </w:rPr>
            </w:pPr>
          </w:p>
        </w:tc>
        <w:tc>
          <w:tcPr>
            <w:tcW w:w="567" w:type="dxa"/>
            <w:vAlign w:val="center"/>
          </w:tcPr>
          <w:p w14:paraId="2BC1A645" w14:textId="5A845FDA" w:rsidR="00C17DBE" w:rsidRPr="00EC291E" w:rsidRDefault="00C17DBE" w:rsidP="00C055C0">
            <w:pPr>
              <w:jc w:val="center"/>
              <w:rPr>
                <w:rFonts w:ascii="Arial Narrow" w:hAnsi="Arial Narrow"/>
                <w:sz w:val="20"/>
                <w:szCs w:val="20"/>
              </w:rPr>
            </w:pPr>
          </w:p>
        </w:tc>
        <w:tc>
          <w:tcPr>
            <w:tcW w:w="8079" w:type="dxa"/>
            <w:gridSpan w:val="6"/>
            <w:vAlign w:val="center"/>
          </w:tcPr>
          <w:p w14:paraId="3F146C2C" w14:textId="77777777" w:rsidR="00C17DBE" w:rsidRPr="00C703E4" w:rsidRDefault="00C17DBE" w:rsidP="00C055C0">
            <w:pPr>
              <w:rPr>
                <w:rFonts w:ascii="Arial Narrow" w:hAnsi="Arial Narrow"/>
                <w:b/>
                <w:bCs/>
                <w:sz w:val="20"/>
                <w:szCs w:val="20"/>
              </w:rPr>
            </w:pPr>
            <w:r w:rsidRPr="00C703E4">
              <w:rPr>
                <w:rFonts w:ascii="Arial Narrow" w:hAnsi="Arial Narrow"/>
                <w:b/>
                <w:bCs/>
                <w:sz w:val="20"/>
                <w:szCs w:val="20"/>
              </w:rPr>
              <w:t>Administrative Advice:</w:t>
            </w:r>
          </w:p>
          <w:p w14:paraId="0D86BC4A" w14:textId="77777777" w:rsidR="00C17DBE" w:rsidRPr="004847DE" w:rsidRDefault="00C17DBE" w:rsidP="00C055C0">
            <w:pPr>
              <w:rPr>
                <w:rFonts w:ascii="Arial Narrow" w:hAnsi="Arial Narrow"/>
                <w:sz w:val="20"/>
                <w:szCs w:val="20"/>
              </w:rPr>
            </w:pPr>
            <w:r w:rsidRPr="004847DE">
              <w:rPr>
                <w:rFonts w:ascii="Arial Narrow" w:hAnsi="Arial Narrow"/>
                <w:sz w:val="20"/>
                <w:szCs w:val="20"/>
              </w:rPr>
              <w:t>The application should indicate which formulation eg. pre-filled pen or pre-filled syringe to ensure appropriate item is approved.</w:t>
            </w:r>
          </w:p>
        </w:tc>
      </w:tr>
      <w:tr w:rsidR="00C17DBE" w:rsidRPr="0001561E" w14:paraId="28794FAA" w14:textId="77777777" w:rsidTr="00C055C0">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556AA370" w14:textId="77777777" w:rsidR="00C17DBE" w:rsidRDefault="00C17DBE" w:rsidP="00C055C0">
            <w:pPr>
              <w:spacing w:line="0" w:lineRule="atLeast"/>
              <w:ind w:left="57" w:right="57"/>
              <w:jc w:val="center"/>
              <w:rPr>
                <w:rFonts w:ascii="Arial Narrow" w:hAnsi="Arial Narrow" w:cs="Arial"/>
                <w:sz w:val="20"/>
                <w:szCs w:val="20"/>
              </w:rPr>
            </w:pPr>
          </w:p>
        </w:tc>
        <w:tc>
          <w:tcPr>
            <w:tcW w:w="567" w:type="dxa"/>
            <w:vAlign w:val="center"/>
          </w:tcPr>
          <w:p w14:paraId="770CEFDA" w14:textId="235E01BE" w:rsidR="00C17DBE" w:rsidRPr="00C703E4" w:rsidRDefault="00C17DBE" w:rsidP="00C055C0">
            <w:pPr>
              <w:jc w:val="center"/>
              <w:rPr>
                <w:rFonts w:ascii="Arial Narrow" w:hAnsi="Arial Narrow"/>
                <w:sz w:val="20"/>
                <w:szCs w:val="20"/>
              </w:rPr>
            </w:pPr>
          </w:p>
        </w:tc>
        <w:tc>
          <w:tcPr>
            <w:tcW w:w="8079" w:type="dxa"/>
            <w:gridSpan w:val="6"/>
            <w:vAlign w:val="center"/>
          </w:tcPr>
          <w:p w14:paraId="465A7B2D" w14:textId="77777777" w:rsidR="00C17DBE" w:rsidRDefault="00C17DBE" w:rsidP="00C055C0">
            <w:pPr>
              <w:rPr>
                <w:rFonts w:ascii="Arial Narrow" w:hAnsi="Arial Narrow"/>
                <w:b/>
                <w:bCs/>
                <w:sz w:val="20"/>
                <w:szCs w:val="20"/>
              </w:rPr>
            </w:pPr>
            <w:r w:rsidRPr="00C703E4">
              <w:rPr>
                <w:rFonts w:ascii="Arial Narrow" w:hAnsi="Arial Narrow"/>
                <w:b/>
                <w:bCs/>
                <w:sz w:val="20"/>
                <w:szCs w:val="20"/>
              </w:rPr>
              <w:t>Administrative Advice:</w:t>
            </w:r>
          </w:p>
          <w:p w14:paraId="1834464A" w14:textId="77777777" w:rsidR="00C17DBE" w:rsidRPr="0001561E" w:rsidRDefault="00C17DBE" w:rsidP="00C055C0">
            <w:pPr>
              <w:rPr>
                <w:rFonts w:ascii="Arial Narrow" w:hAnsi="Arial Narrow"/>
                <w:sz w:val="20"/>
                <w:szCs w:val="20"/>
              </w:rPr>
            </w:pPr>
            <w:r w:rsidRPr="0001561E">
              <w:rPr>
                <w:rFonts w:ascii="Arial Narrow" w:hAnsi="Arial Narrow"/>
                <w:sz w:val="20"/>
                <w:szCs w:val="20"/>
              </w:rPr>
              <w:t>No increase in the maximum quantity or number of units may be authorised.</w:t>
            </w:r>
          </w:p>
        </w:tc>
      </w:tr>
      <w:tr w:rsidR="00C17DBE" w:rsidRPr="0001561E" w14:paraId="79BED9F2" w14:textId="77777777" w:rsidTr="00C055C0">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50F1EADF" w14:textId="77777777" w:rsidR="00C17DBE" w:rsidRDefault="00C17DBE" w:rsidP="00C055C0">
            <w:pPr>
              <w:spacing w:line="0" w:lineRule="atLeast"/>
              <w:ind w:left="57" w:right="57"/>
              <w:jc w:val="center"/>
              <w:rPr>
                <w:rFonts w:ascii="Arial Narrow" w:hAnsi="Arial Narrow" w:cs="Arial"/>
                <w:sz w:val="20"/>
                <w:szCs w:val="20"/>
              </w:rPr>
            </w:pPr>
          </w:p>
        </w:tc>
        <w:tc>
          <w:tcPr>
            <w:tcW w:w="567" w:type="dxa"/>
            <w:vAlign w:val="center"/>
          </w:tcPr>
          <w:p w14:paraId="6BCC5D1A" w14:textId="68759DCD" w:rsidR="00C17DBE" w:rsidRPr="00C703E4" w:rsidRDefault="00C17DBE" w:rsidP="00C055C0">
            <w:pPr>
              <w:jc w:val="center"/>
              <w:rPr>
                <w:rFonts w:ascii="Arial Narrow" w:hAnsi="Arial Narrow"/>
                <w:sz w:val="20"/>
                <w:szCs w:val="20"/>
              </w:rPr>
            </w:pPr>
          </w:p>
        </w:tc>
        <w:tc>
          <w:tcPr>
            <w:tcW w:w="8079" w:type="dxa"/>
            <w:gridSpan w:val="6"/>
            <w:vAlign w:val="center"/>
          </w:tcPr>
          <w:p w14:paraId="1A1CA476" w14:textId="77777777" w:rsidR="00C17DBE" w:rsidRPr="0001561E" w:rsidRDefault="00C17DBE" w:rsidP="00C055C0">
            <w:pPr>
              <w:rPr>
                <w:rFonts w:ascii="Arial Narrow" w:hAnsi="Arial Narrow"/>
                <w:b/>
                <w:bCs/>
                <w:sz w:val="20"/>
                <w:szCs w:val="20"/>
              </w:rPr>
            </w:pPr>
            <w:r w:rsidRPr="00C703E4">
              <w:rPr>
                <w:rFonts w:ascii="Arial Narrow" w:hAnsi="Arial Narrow"/>
                <w:b/>
                <w:bCs/>
                <w:sz w:val="20"/>
                <w:szCs w:val="20"/>
              </w:rPr>
              <w:t>Administrative Advice:</w:t>
            </w:r>
          </w:p>
          <w:p w14:paraId="57DDF9A3" w14:textId="77777777" w:rsidR="00C17DBE" w:rsidRPr="0001561E" w:rsidRDefault="00C17DBE" w:rsidP="00C055C0">
            <w:pPr>
              <w:rPr>
                <w:rFonts w:ascii="Arial Narrow" w:hAnsi="Arial Narrow"/>
                <w:sz w:val="20"/>
                <w:szCs w:val="20"/>
              </w:rPr>
            </w:pPr>
            <w:r w:rsidRPr="0001561E">
              <w:rPr>
                <w:rFonts w:ascii="Arial Narrow" w:hAnsi="Arial Narrow"/>
                <w:sz w:val="20"/>
                <w:szCs w:val="20"/>
              </w:rPr>
              <w:t>No increase in the maximum number of repeats may be authorised.</w:t>
            </w:r>
          </w:p>
        </w:tc>
      </w:tr>
      <w:tr w:rsidR="00C17DBE" w:rsidRPr="00B16D12" w14:paraId="054FB8A7"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29BC2329" w14:textId="77777777" w:rsidR="00C17DBE" w:rsidRPr="008201C0" w:rsidRDefault="00C17DBE" w:rsidP="00C055C0">
            <w:pPr>
              <w:jc w:val="center"/>
              <w:rPr>
                <w:rFonts w:ascii="Arial Narrow" w:hAnsi="Arial Narrow"/>
                <w:sz w:val="20"/>
                <w:szCs w:val="20"/>
              </w:rPr>
            </w:pPr>
          </w:p>
        </w:tc>
        <w:tc>
          <w:tcPr>
            <w:tcW w:w="8079" w:type="dxa"/>
            <w:gridSpan w:val="6"/>
            <w:vAlign w:val="center"/>
          </w:tcPr>
          <w:p w14:paraId="319D9451" w14:textId="77777777" w:rsidR="00C17DBE" w:rsidRPr="00B16D12" w:rsidRDefault="00C17DBE" w:rsidP="00C055C0">
            <w:pPr>
              <w:rPr>
                <w:rFonts w:ascii="Arial Narrow" w:hAnsi="Arial Narrow"/>
                <w:b/>
                <w:bCs/>
                <w:sz w:val="20"/>
                <w:szCs w:val="20"/>
              </w:rPr>
            </w:pPr>
          </w:p>
        </w:tc>
      </w:tr>
      <w:tr w:rsidR="00C17DBE" w:rsidRPr="00B16D12" w14:paraId="3F7D1A9C" w14:textId="77777777" w:rsidTr="00AA168E">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E6B8E3F" w14:textId="0333C221" w:rsidR="00C17DBE" w:rsidRPr="00B16D12" w:rsidRDefault="00C17DBE" w:rsidP="00C055C0">
            <w:pPr>
              <w:jc w:val="center"/>
              <w:rPr>
                <w:rFonts w:ascii="Arial Narrow" w:hAnsi="Arial Narrow"/>
                <w:sz w:val="20"/>
                <w:szCs w:val="20"/>
              </w:rPr>
            </w:pPr>
          </w:p>
        </w:tc>
        <w:tc>
          <w:tcPr>
            <w:tcW w:w="8079" w:type="dxa"/>
            <w:gridSpan w:val="6"/>
            <w:vAlign w:val="center"/>
            <w:hideMark/>
          </w:tcPr>
          <w:p w14:paraId="5F3CEDD6" w14:textId="77777777" w:rsidR="00C17DBE" w:rsidRPr="00B16D12" w:rsidRDefault="00C17DBE" w:rsidP="00C055C0">
            <w:pPr>
              <w:rPr>
                <w:rFonts w:ascii="Arial Narrow" w:hAnsi="Arial Narrow"/>
                <w:sz w:val="20"/>
                <w:szCs w:val="20"/>
              </w:rPr>
            </w:pPr>
            <w:r w:rsidRPr="00B16D12">
              <w:rPr>
                <w:rFonts w:ascii="Arial Narrow" w:hAnsi="Arial Narrow"/>
                <w:b/>
                <w:bCs/>
                <w:sz w:val="20"/>
                <w:szCs w:val="20"/>
              </w:rPr>
              <w:t>Indication:</w:t>
            </w:r>
            <w:r w:rsidRPr="00B16D12">
              <w:rPr>
                <w:rFonts w:ascii="Arial Narrow" w:hAnsi="Arial Narrow"/>
                <w:sz w:val="20"/>
                <w:szCs w:val="20"/>
              </w:rPr>
              <w:t xml:space="preserve"> Severe active rheumatoid arthritis</w:t>
            </w:r>
          </w:p>
        </w:tc>
      </w:tr>
      <w:tr w:rsidR="00C17DBE" w:rsidRPr="008201C0" w14:paraId="4BA5D620" w14:textId="77777777" w:rsidTr="00AA168E">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D72B3C8" w14:textId="77777777" w:rsidR="00C17DBE" w:rsidRPr="008201C0" w:rsidRDefault="00C17DBE" w:rsidP="00C055C0">
            <w:pPr>
              <w:jc w:val="center"/>
              <w:rPr>
                <w:rFonts w:ascii="Arial Narrow" w:hAnsi="Arial Narrow"/>
                <w:sz w:val="20"/>
                <w:szCs w:val="20"/>
              </w:rPr>
            </w:pPr>
          </w:p>
        </w:tc>
        <w:tc>
          <w:tcPr>
            <w:tcW w:w="8079" w:type="dxa"/>
            <w:gridSpan w:val="6"/>
            <w:vAlign w:val="center"/>
            <w:hideMark/>
          </w:tcPr>
          <w:p w14:paraId="7467C2B7" w14:textId="77777777" w:rsidR="00C17DBE" w:rsidRPr="008201C0" w:rsidRDefault="00C17DBE" w:rsidP="00C055C0">
            <w:pPr>
              <w:rPr>
                <w:rFonts w:ascii="Arial Narrow" w:hAnsi="Arial Narrow"/>
                <w:sz w:val="20"/>
                <w:szCs w:val="20"/>
              </w:rPr>
            </w:pPr>
            <w:r w:rsidRPr="00B16D12">
              <w:rPr>
                <w:rFonts w:ascii="Arial Narrow" w:hAnsi="Arial Narrow"/>
                <w:b/>
                <w:bCs/>
                <w:sz w:val="20"/>
                <w:szCs w:val="20"/>
              </w:rPr>
              <w:t>Treatment Phase:</w:t>
            </w:r>
            <w:r w:rsidRPr="00B16D12">
              <w:rPr>
                <w:rFonts w:ascii="Arial Narrow" w:hAnsi="Arial Narrow"/>
                <w:sz w:val="20"/>
                <w:szCs w:val="20"/>
              </w:rPr>
              <w:t xml:space="preserve"> Transitioning from non-PBS to PBS-subsidised supply - Grandfather arrangements</w:t>
            </w:r>
          </w:p>
        </w:tc>
      </w:tr>
      <w:tr w:rsidR="00C17DBE" w:rsidRPr="00B16D12" w14:paraId="468C0BFD"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41455FA" w14:textId="77777777" w:rsidR="00C17DBE" w:rsidRPr="008201C0" w:rsidRDefault="00C17DBE" w:rsidP="00C055C0">
            <w:pPr>
              <w:jc w:val="center"/>
              <w:rPr>
                <w:rFonts w:ascii="Arial Narrow" w:hAnsi="Arial Narrow"/>
                <w:sz w:val="20"/>
                <w:szCs w:val="20"/>
              </w:rPr>
            </w:pPr>
          </w:p>
        </w:tc>
        <w:tc>
          <w:tcPr>
            <w:tcW w:w="8079" w:type="dxa"/>
            <w:gridSpan w:val="6"/>
            <w:vAlign w:val="center"/>
          </w:tcPr>
          <w:p w14:paraId="0B33352F" w14:textId="77777777" w:rsidR="00C17DBE" w:rsidRPr="00B16D12" w:rsidRDefault="00C17DBE" w:rsidP="00C055C0">
            <w:pPr>
              <w:rPr>
                <w:rFonts w:ascii="Arial Narrow" w:hAnsi="Arial Narrow"/>
                <w:b/>
                <w:bCs/>
                <w:sz w:val="20"/>
                <w:szCs w:val="20"/>
              </w:rPr>
            </w:pPr>
          </w:p>
        </w:tc>
      </w:tr>
      <w:tr w:rsidR="00C17DBE" w:rsidRPr="002C2AE4" w14:paraId="77426303"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05B4C06E" w14:textId="73AB1ABE" w:rsidR="00C17DBE" w:rsidRPr="002C2AE4" w:rsidRDefault="00C17DBE" w:rsidP="00C055C0">
            <w:pPr>
              <w:jc w:val="center"/>
              <w:rPr>
                <w:rFonts w:ascii="Arial Narrow" w:hAnsi="Arial Narrow"/>
                <w:sz w:val="20"/>
                <w:szCs w:val="20"/>
              </w:rPr>
            </w:pPr>
          </w:p>
        </w:tc>
        <w:tc>
          <w:tcPr>
            <w:tcW w:w="8079" w:type="dxa"/>
            <w:gridSpan w:val="6"/>
            <w:vAlign w:val="center"/>
          </w:tcPr>
          <w:p w14:paraId="0246F56F" w14:textId="77777777" w:rsidR="00C17DBE" w:rsidRPr="002C2AE4" w:rsidRDefault="00C17DBE" w:rsidP="00C055C0">
            <w:pPr>
              <w:rPr>
                <w:rFonts w:ascii="Arial Narrow" w:hAnsi="Arial Narrow"/>
                <w:b/>
                <w:bCs/>
                <w:sz w:val="20"/>
                <w:szCs w:val="20"/>
              </w:rPr>
            </w:pPr>
            <w:r w:rsidRPr="002C2AE4">
              <w:rPr>
                <w:rFonts w:ascii="Arial Narrow" w:hAnsi="Arial Narrow"/>
                <w:b/>
                <w:bCs/>
                <w:sz w:val="20"/>
                <w:szCs w:val="20"/>
              </w:rPr>
              <w:t>Treatment criteria:</w:t>
            </w:r>
          </w:p>
        </w:tc>
      </w:tr>
      <w:tr w:rsidR="00C17DBE" w:rsidRPr="002C2AE4" w14:paraId="42499EF4" w14:textId="77777777" w:rsidTr="00C055C0">
        <w:tblPrEx>
          <w:tblCellMar>
            <w:top w:w="15" w:type="dxa"/>
            <w:left w:w="15" w:type="dxa"/>
            <w:bottom w:w="15" w:type="dxa"/>
            <w:right w:w="15" w:type="dxa"/>
          </w:tblCellMar>
        </w:tblPrEx>
        <w:tc>
          <w:tcPr>
            <w:tcW w:w="988" w:type="dxa"/>
            <w:gridSpan w:val="2"/>
          </w:tcPr>
          <w:p w14:paraId="48DD5311" w14:textId="062DD20E" w:rsidR="00C17DBE" w:rsidRPr="002C2AE4" w:rsidRDefault="00C17DBE" w:rsidP="00C055C0">
            <w:pPr>
              <w:jc w:val="center"/>
              <w:rPr>
                <w:rFonts w:ascii="Arial Narrow" w:hAnsi="Arial Narrow"/>
                <w:sz w:val="20"/>
                <w:szCs w:val="20"/>
              </w:rPr>
            </w:pPr>
          </w:p>
        </w:tc>
        <w:tc>
          <w:tcPr>
            <w:tcW w:w="8079" w:type="dxa"/>
            <w:gridSpan w:val="6"/>
          </w:tcPr>
          <w:p w14:paraId="6DC89002" w14:textId="77777777" w:rsidR="00C17DBE" w:rsidRPr="002C2AE4" w:rsidRDefault="00C17DBE" w:rsidP="00C055C0">
            <w:pPr>
              <w:rPr>
                <w:rFonts w:ascii="Arial Narrow" w:hAnsi="Arial Narrow"/>
                <w:b/>
                <w:bCs/>
                <w:sz w:val="20"/>
                <w:szCs w:val="20"/>
              </w:rPr>
            </w:pPr>
            <w:r w:rsidRPr="002C2AE4">
              <w:rPr>
                <w:rFonts w:ascii="Arial Narrow" w:hAnsi="Arial Narrow" w:cs="Open Sans"/>
                <w:sz w:val="20"/>
                <w:szCs w:val="20"/>
              </w:rPr>
              <w:t>Must be treated by a rheumatologist; or</w:t>
            </w:r>
          </w:p>
        </w:tc>
      </w:tr>
      <w:tr w:rsidR="00C17DBE" w:rsidRPr="002C2AE4" w14:paraId="59FA8581" w14:textId="77777777" w:rsidTr="00C055C0">
        <w:tblPrEx>
          <w:tblCellMar>
            <w:top w:w="15" w:type="dxa"/>
            <w:left w:w="15" w:type="dxa"/>
            <w:bottom w:w="15" w:type="dxa"/>
            <w:right w:w="15" w:type="dxa"/>
          </w:tblCellMar>
        </w:tblPrEx>
        <w:tc>
          <w:tcPr>
            <w:tcW w:w="988" w:type="dxa"/>
            <w:gridSpan w:val="2"/>
          </w:tcPr>
          <w:p w14:paraId="1D63C4CB" w14:textId="26E02433" w:rsidR="00C17DBE" w:rsidRPr="002C2AE4" w:rsidRDefault="00C17DBE" w:rsidP="00C055C0">
            <w:pPr>
              <w:jc w:val="center"/>
              <w:rPr>
                <w:rFonts w:ascii="Arial Narrow" w:hAnsi="Arial Narrow"/>
                <w:sz w:val="20"/>
                <w:szCs w:val="20"/>
              </w:rPr>
            </w:pPr>
          </w:p>
        </w:tc>
        <w:tc>
          <w:tcPr>
            <w:tcW w:w="8079" w:type="dxa"/>
            <w:gridSpan w:val="6"/>
          </w:tcPr>
          <w:p w14:paraId="17816488" w14:textId="77777777" w:rsidR="00C17DBE" w:rsidRPr="002C2AE4" w:rsidRDefault="00C17DBE" w:rsidP="00C055C0">
            <w:pPr>
              <w:rPr>
                <w:rFonts w:ascii="Arial Narrow" w:hAnsi="Arial Narrow"/>
                <w:b/>
                <w:bCs/>
                <w:sz w:val="20"/>
                <w:szCs w:val="20"/>
              </w:rPr>
            </w:pPr>
            <w:r w:rsidRPr="002C2AE4">
              <w:rPr>
                <w:rFonts w:ascii="Arial Narrow" w:hAnsi="Arial Narrow" w:cs="Open Sans"/>
                <w:sz w:val="20"/>
                <w:szCs w:val="20"/>
              </w:rPr>
              <w:t>Must be treated by a clinical immunologist with expertise in the management of rheumatoid arthritis</w:t>
            </w:r>
          </w:p>
        </w:tc>
      </w:tr>
      <w:tr w:rsidR="00C17DBE" w:rsidRPr="002C2AE4" w14:paraId="3027858C"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AE0865E" w14:textId="77777777" w:rsidR="00C17DBE" w:rsidRPr="002C2AE4" w:rsidRDefault="00C17DBE" w:rsidP="00C055C0">
            <w:pPr>
              <w:jc w:val="center"/>
              <w:rPr>
                <w:rFonts w:ascii="Arial Narrow" w:hAnsi="Arial Narrow"/>
                <w:sz w:val="20"/>
                <w:szCs w:val="20"/>
              </w:rPr>
            </w:pPr>
          </w:p>
        </w:tc>
        <w:tc>
          <w:tcPr>
            <w:tcW w:w="8079" w:type="dxa"/>
            <w:gridSpan w:val="6"/>
            <w:vAlign w:val="center"/>
          </w:tcPr>
          <w:p w14:paraId="128FC28E" w14:textId="77777777" w:rsidR="00C17DBE" w:rsidRPr="002C2AE4" w:rsidRDefault="00C17DBE" w:rsidP="00C055C0">
            <w:pPr>
              <w:rPr>
                <w:rFonts w:ascii="Arial Narrow" w:hAnsi="Arial Narrow"/>
                <w:b/>
                <w:bCs/>
                <w:sz w:val="20"/>
                <w:szCs w:val="20"/>
              </w:rPr>
            </w:pPr>
          </w:p>
        </w:tc>
      </w:tr>
      <w:tr w:rsidR="00C17DBE" w:rsidRPr="002C2AE4" w14:paraId="2C2BF199"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73B1C08" w14:textId="77777777" w:rsidR="00C17DBE" w:rsidRPr="002C2AE4" w:rsidRDefault="00C17DBE" w:rsidP="00C055C0">
            <w:pPr>
              <w:jc w:val="center"/>
              <w:rPr>
                <w:rFonts w:ascii="Arial Narrow" w:hAnsi="Arial Narrow"/>
                <w:sz w:val="20"/>
                <w:szCs w:val="20"/>
              </w:rPr>
            </w:pPr>
          </w:p>
        </w:tc>
        <w:tc>
          <w:tcPr>
            <w:tcW w:w="8079" w:type="dxa"/>
            <w:gridSpan w:val="6"/>
            <w:vAlign w:val="center"/>
          </w:tcPr>
          <w:p w14:paraId="31AF4662" w14:textId="77777777" w:rsidR="00C17DBE" w:rsidRPr="002C2AE4" w:rsidRDefault="00C17DBE" w:rsidP="00C055C0">
            <w:pPr>
              <w:rPr>
                <w:rFonts w:ascii="Arial Narrow" w:hAnsi="Arial Narrow"/>
                <w:b/>
                <w:bCs/>
                <w:sz w:val="20"/>
                <w:szCs w:val="20"/>
              </w:rPr>
            </w:pPr>
            <w:r w:rsidRPr="002C2AE4">
              <w:rPr>
                <w:rFonts w:ascii="Arial Narrow" w:hAnsi="Arial Narrow"/>
                <w:b/>
                <w:bCs/>
                <w:sz w:val="20"/>
                <w:szCs w:val="20"/>
              </w:rPr>
              <w:t>Clinical criteria:</w:t>
            </w:r>
          </w:p>
        </w:tc>
      </w:tr>
      <w:tr w:rsidR="00C17DBE" w:rsidRPr="002C2AE4" w14:paraId="493BE8FE"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2CE045D0" w14:textId="7FD98C72" w:rsidR="00C17DBE" w:rsidRPr="002C2AE4" w:rsidRDefault="00C17DBE" w:rsidP="00C055C0">
            <w:pPr>
              <w:jc w:val="center"/>
              <w:rPr>
                <w:rFonts w:ascii="Arial Narrow" w:hAnsi="Arial Narrow"/>
                <w:sz w:val="20"/>
                <w:szCs w:val="20"/>
              </w:rPr>
            </w:pPr>
          </w:p>
        </w:tc>
        <w:tc>
          <w:tcPr>
            <w:tcW w:w="8079" w:type="dxa"/>
            <w:gridSpan w:val="6"/>
            <w:vAlign w:val="center"/>
          </w:tcPr>
          <w:p w14:paraId="32E2FE20" w14:textId="77777777" w:rsidR="00C17DBE" w:rsidRPr="002C2AE4" w:rsidRDefault="00C17DBE" w:rsidP="00C055C0">
            <w:pPr>
              <w:rPr>
                <w:rFonts w:ascii="Arial Narrow" w:hAnsi="Arial Narrow"/>
                <w:b/>
                <w:bCs/>
                <w:sz w:val="20"/>
                <w:szCs w:val="20"/>
              </w:rPr>
            </w:pPr>
            <w:r w:rsidRPr="002C2AE4">
              <w:rPr>
                <w:rFonts w:ascii="Arial Narrow" w:hAnsi="Arial Narrow" w:cs="Open Sans"/>
                <w:sz w:val="20"/>
                <w:szCs w:val="20"/>
                <w:shd w:val="clear" w:color="auto" w:fill="FFFFFF"/>
              </w:rPr>
              <w:t>Patient must have received non-PBS-subsidised treatment with this drug for this PBS indication prior to [Listing Date].</w:t>
            </w:r>
          </w:p>
        </w:tc>
      </w:tr>
      <w:tr w:rsidR="00C17DBE" w:rsidRPr="002C2AE4" w14:paraId="4E8C763C" w14:textId="77777777" w:rsidTr="00C055C0">
        <w:tblPrEx>
          <w:tblCellMar>
            <w:top w:w="15" w:type="dxa"/>
            <w:left w:w="15" w:type="dxa"/>
            <w:bottom w:w="15" w:type="dxa"/>
            <w:right w:w="15" w:type="dxa"/>
          </w:tblCellMar>
        </w:tblPrEx>
        <w:tc>
          <w:tcPr>
            <w:tcW w:w="988" w:type="dxa"/>
            <w:gridSpan w:val="2"/>
          </w:tcPr>
          <w:p w14:paraId="1A662A2C" w14:textId="77777777" w:rsidR="00C17DBE" w:rsidRPr="002C2AE4" w:rsidRDefault="00C17DBE" w:rsidP="00C055C0">
            <w:pPr>
              <w:jc w:val="center"/>
              <w:rPr>
                <w:rFonts w:ascii="Arial Narrow" w:hAnsi="Arial Narrow"/>
                <w:sz w:val="20"/>
                <w:szCs w:val="20"/>
              </w:rPr>
            </w:pPr>
          </w:p>
        </w:tc>
        <w:tc>
          <w:tcPr>
            <w:tcW w:w="8079" w:type="dxa"/>
            <w:gridSpan w:val="6"/>
          </w:tcPr>
          <w:p w14:paraId="5C6CA1EA" w14:textId="77777777" w:rsidR="00C17DBE" w:rsidRPr="002C2AE4" w:rsidRDefault="00C17DBE" w:rsidP="00C055C0">
            <w:pPr>
              <w:rPr>
                <w:rFonts w:ascii="Arial Narrow" w:hAnsi="Arial Narrow" w:cs="Open Sans"/>
                <w:sz w:val="20"/>
                <w:szCs w:val="20"/>
                <w:shd w:val="clear" w:color="auto" w:fill="FFFFFF"/>
              </w:rPr>
            </w:pPr>
            <w:r w:rsidRPr="002C2AE4">
              <w:rPr>
                <w:rStyle w:val="Strong"/>
                <w:rFonts w:ascii="Arial Narrow" w:hAnsi="Arial Narrow" w:cs="Open Sans"/>
                <w:sz w:val="20"/>
                <w:szCs w:val="20"/>
                <w:bdr w:val="none" w:sz="0" w:space="0" w:color="auto" w:frame="1"/>
              </w:rPr>
              <w:t>AND</w:t>
            </w:r>
          </w:p>
        </w:tc>
      </w:tr>
      <w:tr w:rsidR="00C17DBE" w:rsidRPr="002C2AE4" w14:paraId="4D23F1D8"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DA0A8AB" w14:textId="57EDDC09" w:rsidR="00C17DBE" w:rsidRPr="002C2AE4" w:rsidRDefault="00C17DBE" w:rsidP="00C055C0">
            <w:pPr>
              <w:jc w:val="center"/>
              <w:rPr>
                <w:rFonts w:ascii="Arial Narrow" w:hAnsi="Arial Narrow"/>
                <w:sz w:val="20"/>
                <w:szCs w:val="20"/>
              </w:rPr>
            </w:pPr>
          </w:p>
        </w:tc>
        <w:tc>
          <w:tcPr>
            <w:tcW w:w="8079" w:type="dxa"/>
            <w:gridSpan w:val="6"/>
            <w:vAlign w:val="center"/>
          </w:tcPr>
          <w:p w14:paraId="1773B643" w14:textId="77777777" w:rsidR="00C17DBE" w:rsidRPr="002C2AE4" w:rsidRDefault="00C17DBE" w:rsidP="00C055C0">
            <w:pPr>
              <w:rPr>
                <w:rFonts w:ascii="Arial Narrow" w:hAnsi="Arial Narrow"/>
                <w:b/>
                <w:bCs/>
                <w:sz w:val="20"/>
                <w:szCs w:val="20"/>
              </w:rPr>
            </w:pPr>
            <w:r w:rsidRPr="00296682">
              <w:rPr>
                <w:rFonts w:ascii="Arial Narrow" w:hAnsi="Arial Narrow"/>
                <w:b/>
                <w:bCs/>
                <w:sz w:val="20"/>
                <w:szCs w:val="20"/>
              </w:rPr>
              <w:t>Clinical criteria:</w:t>
            </w:r>
          </w:p>
        </w:tc>
      </w:tr>
      <w:tr w:rsidR="00C17DBE" w:rsidRPr="002C2AE4" w14:paraId="1E82EA5F"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7701CC93" w14:textId="5B1F3164" w:rsidR="00C17DBE" w:rsidRPr="002C2AE4" w:rsidRDefault="00C17DBE" w:rsidP="00C055C0">
            <w:pPr>
              <w:jc w:val="center"/>
              <w:rPr>
                <w:rFonts w:ascii="Arial Narrow" w:hAnsi="Arial Narrow"/>
                <w:sz w:val="20"/>
                <w:szCs w:val="20"/>
              </w:rPr>
            </w:pPr>
          </w:p>
        </w:tc>
        <w:tc>
          <w:tcPr>
            <w:tcW w:w="8079" w:type="dxa"/>
            <w:gridSpan w:val="6"/>
            <w:vAlign w:val="center"/>
          </w:tcPr>
          <w:p w14:paraId="1B120CD4" w14:textId="77777777" w:rsidR="00C17DBE" w:rsidRPr="002C2AE4" w:rsidDel="00B669FE" w:rsidRDefault="00C17DBE" w:rsidP="00C055C0">
            <w:pPr>
              <w:rPr>
                <w:rFonts w:ascii="Arial Narrow" w:hAnsi="Arial Narrow"/>
                <w:b/>
                <w:bCs/>
                <w:sz w:val="20"/>
                <w:szCs w:val="20"/>
              </w:rPr>
            </w:pPr>
            <w:r w:rsidRPr="008E46DF">
              <w:rPr>
                <w:rFonts w:ascii="Arial Narrow" w:hAnsi="Arial Narrow"/>
                <w:sz w:val="20"/>
                <w:szCs w:val="20"/>
              </w:rPr>
              <w:t xml:space="preserve">Patient must have failed, in the 24 months immediately prior to </w:t>
            </w:r>
            <w:r>
              <w:rPr>
                <w:rFonts w:ascii="Arial Narrow" w:hAnsi="Arial Narrow"/>
                <w:sz w:val="20"/>
                <w:szCs w:val="20"/>
              </w:rPr>
              <w:t>receiving non-PBS-subsidised treatment</w:t>
            </w:r>
            <w:r w:rsidRPr="008E46DF">
              <w:rPr>
                <w:rFonts w:ascii="Arial Narrow" w:hAnsi="Arial Narrow"/>
                <w:sz w:val="20"/>
                <w:szCs w:val="20"/>
              </w:rPr>
              <w:t>, to achieve an adequate response to a trial of at least 6 months of intensive treatment with disease modifying anti-rheumatic drugs (DMARDs) which must include at least 3 months continuous treatment with each of at least 2 DMARDs, one of which must be methotrexate at a dose of at least 20 mg weekly and one of which must be: (i) hydroxychloroquine at a dose of at least 200 mg daily; or (ii) leflunomide at a dose of at least 10 mg daily; or (iii) sulfasalazine at a dose of at least 2 g daily ; or</w:t>
            </w:r>
          </w:p>
        </w:tc>
      </w:tr>
      <w:tr w:rsidR="00C17DBE" w:rsidRPr="002C2AE4" w14:paraId="73A34D44"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1F6611AF" w14:textId="56B6A74A" w:rsidR="00C17DBE" w:rsidRPr="002C2AE4" w:rsidRDefault="00C17DBE" w:rsidP="00C055C0">
            <w:pPr>
              <w:jc w:val="center"/>
              <w:rPr>
                <w:rFonts w:ascii="Arial Narrow" w:hAnsi="Arial Narrow"/>
                <w:sz w:val="20"/>
                <w:szCs w:val="20"/>
              </w:rPr>
            </w:pPr>
          </w:p>
        </w:tc>
        <w:tc>
          <w:tcPr>
            <w:tcW w:w="8079" w:type="dxa"/>
            <w:gridSpan w:val="6"/>
            <w:vAlign w:val="center"/>
          </w:tcPr>
          <w:p w14:paraId="29C131E1" w14:textId="77777777" w:rsidR="00C17DBE" w:rsidRPr="002C2AE4" w:rsidDel="00B669FE" w:rsidRDefault="00C17DBE" w:rsidP="00C055C0">
            <w:pPr>
              <w:rPr>
                <w:rFonts w:ascii="Arial Narrow" w:hAnsi="Arial Narrow"/>
                <w:b/>
                <w:bCs/>
                <w:sz w:val="20"/>
                <w:szCs w:val="20"/>
              </w:rPr>
            </w:pPr>
            <w:r w:rsidRPr="008E46DF">
              <w:rPr>
                <w:rFonts w:ascii="Arial Narrow" w:hAnsi="Arial Narrow"/>
                <w:sz w:val="20"/>
                <w:szCs w:val="20"/>
              </w:rPr>
              <w:t xml:space="preserve">Patient must have failed, in the 24 months immediately prior </w:t>
            </w:r>
            <w:r>
              <w:rPr>
                <w:rFonts w:ascii="Arial Narrow" w:hAnsi="Arial Narrow"/>
                <w:sz w:val="20"/>
                <w:szCs w:val="20"/>
              </w:rPr>
              <w:t>receiving non-PBS-subsidised treatment</w:t>
            </w:r>
            <w:r w:rsidRPr="008E46DF">
              <w:rPr>
                <w:rFonts w:ascii="Arial Narrow" w:hAnsi="Arial Narrow"/>
                <w:sz w:val="20"/>
                <w:szCs w:val="20"/>
              </w:rPr>
              <w:t>, to achieve an adequate response to a trial of at least 6 months of intensive treatment with DMARDs which, if methotrexate is contraindicated according to the Therapeutic Goods Administration (TGA)-approved Product Information or cannot be tolerated at a 20 mg weekly dose, must include at least 3 months continuous treatment with each of at least 2 of the following DMARDs: (i) hydroxychloroquine at a dose of at least 200 mg daily; and/or (ii) leflunomide at a dose of at least 10 mg daily; and/or (iii) sulfasalazine at a dose of at least 2 g daily; or</w:t>
            </w:r>
          </w:p>
        </w:tc>
      </w:tr>
      <w:tr w:rsidR="00C17DBE" w:rsidRPr="002C2AE4" w14:paraId="24643586"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AD8234F" w14:textId="383C932E" w:rsidR="00C17DBE" w:rsidRPr="002C2AE4" w:rsidRDefault="00C17DBE" w:rsidP="00C055C0">
            <w:pPr>
              <w:jc w:val="center"/>
              <w:rPr>
                <w:rFonts w:ascii="Arial Narrow" w:hAnsi="Arial Narrow"/>
                <w:sz w:val="20"/>
                <w:szCs w:val="20"/>
              </w:rPr>
            </w:pPr>
          </w:p>
        </w:tc>
        <w:tc>
          <w:tcPr>
            <w:tcW w:w="8079" w:type="dxa"/>
            <w:gridSpan w:val="6"/>
            <w:vAlign w:val="center"/>
          </w:tcPr>
          <w:p w14:paraId="30CF8669" w14:textId="77777777" w:rsidR="00C17DBE" w:rsidRPr="002C2AE4" w:rsidDel="00B669FE" w:rsidRDefault="00C17DBE" w:rsidP="00C055C0">
            <w:pPr>
              <w:rPr>
                <w:rFonts w:ascii="Arial Narrow" w:hAnsi="Arial Narrow"/>
                <w:b/>
                <w:bCs/>
                <w:sz w:val="20"/>
                <w:szCs w:val="20"/>
              </w:rPr>
            </w:pPr>
            <w:r w:rsidRPr="008E46DF">
              <w:rPr>
                <w:rFonts w:ascii="Arial Narrow" w:hAnsi="Arial Narrow" w:cs="Arial Narrow"/>
                <w:sz w:val="20"/>
                <w:szCs w:val="20"/>
              </w:rPr>
              <w:t xml:space="preserve">Patient must have failed, in the 24 months immediately prior </w:t>
            </w:r>
            <w:r>
              <w:rPr>
                <w:rFonts w:ascii="Arial Narrow" w:hAnsi="Arial Narrow"/>
                <w:sz w:val="20"/>
                <w:szCs w:val="20"/>
              </w:rPr>
              <w:t>receiving non-PBS-subsidised treatment</w:t>
            </w:r>
            <w:r w:rsidRPr="008E46DF">
              <w:rPr>
                <w:rFonts w:ascii="Arial Narrow" w:hAnsi="Arial Narrow" w:cs="Arial Narrow"/>
                <w:sz w:val="20"/>
                <w:szCs w:val="20"/>
              </w:rPr>
              <w:t>, to achieve an adequate response to a trial of at least 3 months of continuous treatment with a DMARD where 2 of: (i) hydroxychloroquine, (ii) leflunomide, (iii) sulfasalazine, are either contraindicated according to the relevant TGA-approved Product Information or cannot be tolerated at the doses specified above in addition to having a contraindication or intolerance to methotrexate: the remaining tolerated DMARD must be trialled at a minimum dose as mentioned above; or</w:t>
            </w:r>
          </w:p>
        </w:tc>
      </w:tr>
      <w:tr w:rsidR="00C17DBE" w:rsidRPr="002C2AE4" w14:paraId="3D6AF863"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366252E" w14:textId="06E728A0" w:rsidR="00C17DBE" w:rsidRPr="002C2AE4" w:rsidRDefault="00C17DBE" w:rsidP="00C055C0">
            <w:pPr>
              <w:jc w:val="center"/>
              <w:rPr>
                <w:rFonts w:ascii="Arial Narrow" w:hAnsi="Arial Narrow"/>
                <w:sz w:val="20"/>
                <w:szCs w:val="20"/>
              </w:rPr>
            </w:pPr>
          </w:p>
        </w:tc>
        <w:tc>
          <w:tcPr>
            <w:tcW w:w="8079" w:type="dxa"/>
            <w:gridSpan w:val="6"/>
            <w:vAlign w:val="center"/>
          </w:tcPr>
          <w:p w14:paraId="70AD24D5" w14:textId="77777777" w:rsidR="00C17DBE" w:rsidRPr="002C2AE4" w:rsidDel="00B669FE" w:rsidRDefault="00C17DBE" w:rsidP="00C055C0">
            <w:pPr>
              <w:rPr>
                <w:rFonts w:ascii="Arial Narrow" w:hAnsi="Arial Narrow"/>
                <w:b/>
                <w:bCs/>
                <w:sz w:val="20"/>
                <w:szCs w:val="20"/>
              </w:rPr>
            </w:pPr>
            <w:r w:rsidRPr="008E46DF">
              <w:rPr>
                <w:rFonts w:ascii="Arial Narrow" w:hAnsi="Arial Narrow" w:cs="Arial Narrow"/>
                <w:sz w:val="20"/>
                <w:szCs w:val="20"/>
              </w:rPr>
              <w:t>Patient must have a contraindication/severe intolerance to each of: (i) methotrexate, (ii) hydroxychloroquine, (iii) leflunomide, (iv) sulfasalazine; in such cases, provide details for each of the contraindications/severe intolerances claimed in the authority application</w:t>
            </w:r>
          </w:p>
        </w:tc>
      </w:tr>
      <w:tr w:rsidR="00C17DBE" w:rsidRPr="002C2AE4" w14:paraId="7667F7EF"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4BC7D54A" w14:textId="77777777" w:rsidR="00C17DBE" w:rsidRPr="002C2AE4" w:rsidRDefault="00C17DBE" w:rsidP="00C055C0">
            <w:pPr>
              <w:jc w:val="center"/>
              <w:rPr>
                <w:rFonts w:ascii="Arial Narrow" w:hAnsi="Arial Narrow"/>
                <w:sz w:val="20"/>
                <w:szCs w:val="20"/>
              </w:rPr>
            </w:pPr>
          </w:p>
        </w:tc>
        <w:tc>
          <w:tcPr>
            <w:tcW w:w="8079" w:type="dxa"/>
            <w:gridSpan w:val="6"/>
            <w:vAlign w:val="center"/>
          </w:tcPr>
          <w:p w14:paraId="4C4E643B" w14:textId="77777777" w:rsidR="00C17DBE" w:rsidRPr="002C2AE4" w:rsidDel="00B669FE" w:rsidRDefault="00C17DBE" w:rsidP="00C055C0">
            <w:pPr>
              <w:rPr>
                <w:rFonts w:ascii="Arial Narrow" w:hAnsi="Arial Narrow"/>
                <w:b/>
                <w:bCs/>
                <w:sz w:val="20"/>
                <w:szCs w:val="20"/>
              </w:rPr>
            </w:pPr>
            <w:r>
              <w:rPr>
                <w:rFonts w:ascii="Arial Narrow" w:hAnsi="Arial Narrow"/>
                <w:b/>
                <w:bCs/>
                <w:sz w:val="20"/>
                <w:szCs w:val="20"/>
              </w:rPr>
              <w:t>AND</w:t>
            </w:r>
          </w:p>
        </w:tc>
      </w:tr>
      <w:tr w:rsidR="00C17DBE" w:rsidRPr="002C2AE4" w14:paraId="3FF641E0" w14:textId="77777777" w:rsidTr="00C055C0">
        <w:tblPrEx>
          <w:tblCellMar>
            <w:top w:w="15" w:type="dxa"/>
            <w:left w:w="15" w:type="dxa"/>
            <w:bottom w:w="15" w:type="dxa"/>
            <w:right w:w="15" w:type="dxa"/>
          </w:tblCellMar>
        </w:tblPrEx>
        <w:tc>
          <w:tcPr>
            <w:tcW w:w="988" w:type="dxa"/>
            <w:gridSpan w:val="2"/>
            <w:vAlign w:val="center"/>
          </w:tcPr>
          <w:p w14:paraId="0D9F7720" w14:textId="6D0E3E97" w:rsidR="00C17DBE" w:rsidRPr="002C2AE4" w:rsidRDefault="00C17DBE" w:rsidP="00C055C0">
            <w:pPr>
              <w:jc w:val="center"/>
              <w:rPr>
                <w:rFonts w:ascii="Arial Narrow" w:hAnsi="Arial Narrow"/>
                <w:sz w:val="20"/>
                <w:szCs w:val="20"/>
              </w:rPr>
            </w:pPr>
          </w:p>
        </w:tc>
        <w:tc>
          <w:tcPr>
            <w:tcW w:w="8079" w:type="dxa"/>
            <w:gridSpan w:val="6"/>
            <w:vAlign w:val="center"/>
          </w:tcPr>
          <w:p w14:paraId="39A9BE4C" w14:textId="77777777" w:rsidR="00C17DBE" w:rsidRPr="002C2AE4" w:rsidRDefault="00C17DBE" w:rsidP="00C055C0">
            <w:pPr>
              <w:rPr>
                <w:rFonts w:ascii="Arial Narrow" w:hAnsi="Arial Narrow"/>
                <w:b/>
                <w:bCs/>
                <w:sz w:val="20"/>
                <w:szCs w:val="20"/>
              </w:rPr>
            </w:pPr>
            <w:r w:rsidRPr="00296682">
              <w:rPr>
                <w:rFonts w:ascii="Arial Narrow" w:hAnsi="Arial Narrow"/>
                <w:b/>
                <w:bCs/>
                <w:sz w:val="20"/>
                <w:szCs w:val="20"/>
              </w:rPr>
              <w:t>Clinical criteria:</w:t>
            </w:r>
          </w:p>
        </w:tc>
      </w:tr>
      <w:tr w:rsidR="00C17DBE" w:rsidRPr="002C2AE4" w14:paraId="3134D097" w14:textId="77777777" w:rsidTr="00C055C0">
        <w:tblPrEx>
          <w:tblCellMar>
            <w:top w:w="15" w:type="dxa"/>
            <w:left w:w="15" w:type="dxa"/>
            <w:bottom w:w="15" w:type="dxa"/>
            <w:right w:w="15" w:type="dxa"/>
          </w:tblCellMar>
        </w:tblPrEx>
        <w:trPr>
          <w:trHeight w:val="38"/>
        </w:trPr>
        <w:tc>
          <w:tcPr>
            <w:tcW w:w="988" w:type="dxa"/>
            <w:gridSpan w:val="2"/>
            <w:vAlign w:val="center"/>
          </w:tcPr>
          <w:p w14:paraId="654A072A" w14:textId="56841719" w:rsidR="00C17DBE" w:rsidRPr="002C2AE4" w:rsidRDefault="00C17DBE" w:rsidP="00C055C0">
            <w:pPr>
              <w:jc w:val="center"/>
              <w:rPr>
                <w:rFonts w:ascii="Arial Narrow" w:hAnsi="Arial Narrow"/>
                <w:sz w:val="20"/>
                <w:szCs w:val="20"/>
              </w:rPr>
            </w:pPr>
          </w:p>
        </w:tc>
        <w:tc>
          <w:tcPr>
            <w:tcW w:w="8079" w:type="dxa"/>
            <w:gridSpan w:val="6"/>
            <w:vAlign w:val="center"/>
          </w:tcPr>
          <w:p w14:paraId="6401B976" w14:textId="77777777" w:rsidR="00C17DBE" w:rsidRPr="002C2AE4" w:rsidRDefault="00C17DBE" w:rsidP="00C055C0">
            <w:pPr>
              <w:rPr>
                <w:rFonts w:ascii="Arial Narrow" w:hAnsi="Arial Narrow"/>
                <w:b/>
                <w:bCs/>
                <w:sz w:val="20"/>
                <w:szCs w:val="20"/>
              </w:rPr>
            </w:pPr>
            <w:r w:rsidRPr="008E46DF">
              <w:rPr>
                <w:rFonts w:ascii="Arial Narrow" w:hAnsi="Arial Narrow"/>
                <w:sz w:val="20"/>
                <w:szCs w:val="20"/>
              </w:rPr>
              <w:t>The treatment must be</w:t>
            </w:r>
            <w:r>
              <w:rPr>
                <w:rFonts w:ascii="Arial Narrow" w:hAnsi="Arial Narrow"/>
                <w:sz w:val="20"/>
                <w:szCs w:val="20"/>
              </w:rPr>
              <w:t>/have been</w:t>
            </w:r>
            <w:r w:rsidRPr="008E46DF">
              <w:rPr>
                <w:rFonts w:ascii="Arial Narrow" w:hAnsi="Arial Narrow"/>
                <w:sz w:val="20"/>
                <w:szCs w:val="20"/>
              </w:rPr>
              <w:t xml:space="preserve"> given concomitantly with methotrexate at a dose of at least 7.5 mg weekly</w:t>
            </w:r>
          </w:p>
        </w:tc>
      </w:tr>
      <w:tr w:rsidR="00C17DBE" w:rsidRPr="002C2AE4" w14:paraId="17B84B3C" w14:textId="77777777" w:rsidTr="00C055C0">
        <w:tblPrEx>
          <w:tblCellMar>
            <w:top w:w="15" w:type="dxa"/>
            <w:left w:w="15" w:type="dxa"/>
            <w:bottom w:w="15" w:type="dxa"/>
            <w:right w:w="15" w:type="dxa"/>
          </w:tblCellMar>
        </w:tblPrEx>
        <w:tc>
          <w:tcPr>
            <w:tcW w:w="988" w:type="dxa"/>
            <w:gridSpan w:val="2"/>
            <w:vAlign w:val="center"/>
          </w:tcPr>
          <w:p w14:paraId="5232F9D6" w14:textId="77777777" w:rsidR="00C17DBE" w:rsidRPr="002C2AE4" w:rsidRDefault="00C17DBE" w:rsidP="00C055C0">
            <w:pPr>
              <w:jc w:val="center"/>
              <w:rPr>
                <w:rFonts w:ascii="Arial Narrow" w:hAnsi="Arial Narrow"/>
                <w:sz w:val="20"/>
                <w:szCs w:val="20"/>
              </w:rPr>
            </w:pPr>
          </w:p>
        </w:tc>
        <w:tc>
          <w:tcPr>
            <w:tcW w:w="8079" w:type="dxa"/>
            <w:gridSpan w:val="6"/>
            <w:vAlign w:val="center"/>
          </w:tcPr>
          <w:p w14:paraId="08A75D70" w14:textId="77777777" w:rsidR="00C17DBE" w:rsidRPr="002C2AE4" w:rsidRDefault="00C17DBE" w:rsidP="00C055C0">
            <w:pPr>
              <w:rPr>
                <w:rFonts w:ascii="Arial Narrow" w:hAnsi="Arial Narrow"/>
                <w:b/>
                <w:bCs/>
                <w:sz w:val="20"/>
                <w:szCs w:val="20"/>
              </w:rPr>
            </w:pPr>
          </w:p>
        </w:tc>
      </w:tr>
      <w:tr w:rsidR="00C17DBE" w:rsidRPr="002C2AE4" w14:paraId="4792C5D8" w14:textId="77777777" w:rsidTr="00C055C0">
        <w:tblPrEx>
          <w:tblCellMar>
            <w:top w:w="15" w:type="dxa"/>
            <w:left w:w="15" w:type="dxa"/>
            <w:bottom w:w="15" w:type="dxa"/>
            <w:right w:w="15" w:type="dxa"/>
          </w:tblCellMar>
        </w:tblPrEx>
        <w:tc>
          <w:tcPr>
            <w:tcW w:w="988" w:type="dxa"/>
            <w:gridSpan w:val="2"/>
            <w:vAlign w:val="center"/>
          </w:tcPr>
          <w:p w14:paraId="142B0375" w14:textId="2476F7D2" w:rsidR="00C17DBE" w:rsidRPr="002C2AE4" w:rsidRDefault="00C17DBE" w:rsidP="00C055C0">
            <w:pPr>
              <w:jc w:val="center"/>
              <w:rPr>
                <w:rFonts w:ascii="Arial Narrow" w:hAnsi="Arial Narrow"/>
                <w:sz w:val="20"/>
                <w:szCs w:val="20"/>
              </w:rPr>
            </w:pPr>
          </w:p>
        </w:tc>
        <w:tc>
          <w:tcPr>
            <w:tcW w:w="8079" w:type="dxa"/>
            <w:gridSpan w:val="6"/>
            <w:vAlign w:val="center"/>
          </w:tcPr>
          <w:p w14:paraId="51305DFE" w14:textId="77777777" w:rsidR="00C17DBE" w:rsidRPr="002C2AE4" w:rsidRDefault="00C17DBE" w:rsidP="00C055C0">
            <w:pPr>
              <w:rPr>
                <w:rFonts w:ascii="Arial Narrow" w:hAnsi="Arial Narrow"/>
                <w:b/>
                <w:bCs/>
                <w:sz w:val="20"/>
                <w:szCs w:val="20"/>
              </w:rPr>
            </w:pPr>
            <w:r w:rsidRPr="00296682">
              <w:rPr>
                <w:rFonts w:ascii="Arial Narrow" w:hAnsi="Arial Narrow"/>
                <w:b/>
                <w:bCs/>
                <w:sz w:val="20"/>
                <w:szCs w:val="20"/>
              </w:rPr>
              <w:t>Population criteria:</w:t>
            </w:r>
          </w:p>
        </w:tc>
      </w:tr>
      <w:tr w:rsidR="00C17DBE" w:rsidRPr="002C2AE4" w14:paraId="0D66B5DD" w14:textId="77777777" w:rsidTr="00C055C0">
        <w:tblPrEx>
          <w:tblCellMar>
            <w:top w:w="15" w:type="dxa"/>
            <w:left w:w="15" w:type="dxa"/>
            <w:bottom w:w="15" w:type="dxa"/>
            <w:right w:w="15" w:type="dxa"/>
          </w:tblCellMar>
        </w:tblPrEx>
        <w:tc>
          <w:tcPr>
            <w:tcW w:w="988" w:type="dxa"/>
            <w:gridSpan w:val="2"/>
            <w:vAlign w:val="center"/>
          </w:tcPr>
          <w:p w14:paraId="64BCD0E0" w14:textId="030DEFAF" w:rsidR="00C17DBE" w:rsidRPr="002C2AE4" w:rsidRDefault="00C17DBE" w:rsidP="00C055C0">
            <w:pPr>
              <w:jc w:val="center"/>
              <w:rPr>
                <w:rFonts w:ascii="Arial Narrow" w:hAnsi="Arial Narrow"/>
                <w:sz w:val="20"/>
                <w:szCs w:val="20"/>
              </w:rPr>
            </w:pPr>
          </w:p>
        </w:tc>
        <w:tc>
          <w:tcPr>
            <w:tcW w:w="8079" w:type="dxa"/>
            <w:gridSpan w:val="6"/>
            <w:vAlign w:val="center"/>
          </w:tcPr>
          <w:p w14:paraId="3AA6004F" w14:textId="77777777" w:rsidR="00C17DBE" w:rsidRPr="002C2AE4" w:rsidRDefault="00C17DBE" w:rsidP="00C055C0">
            <w:pPr>
              <w:rPr>
                <w:rFonts w:ascii="Arial Narrow" w:hAnsi="Arial Narrow"/>
                <w:b/>
                <w:bCs/>
                <w:sz w:val="20"/>
                <w:szCs w:val="20"/>
              </w:rPr>
            </w:pPr>
            <w:r>
              <w:rPr>
                <w:rFonts w:ascii="Arial Narrow" w:hAnsi="Arial Narrow"/>
                <w:sz w:val="20"/>
                <w:szCs w:val="20"/>
              </w:rPr>
              <w:t>Patient must be at least 18 years of age</w:t>
            </w:r>
          </w:p>
        </w:tc>
      </w:tr>
      <w:tr w:rsidR="00C17DBE" w:rsidRPr="002C2AE4" w14:paraId="3702BCB1" w14:textId="77777777" w:rsidTr="00C055C0">
        <w:tblPrEx>
          <w:tblCellMar>
            <w:top w:w="15" w:type="dxa"/>
            <w:left w:w="15" w:type="dxa"/>
            <w:bottom w:w="15" w:type="dxa"/>
            <w:right w:w="15" w:type="dxa"/>
          </w:tblCellMar>
        </w:tblPrEx>
        <w:tc>
          <w:tcPr>
            <w:tcW w:w="988" w:type="dxa"/>
            <w:gridSpan w:val="2"/>
            <w:vAlign w:val="center"/>
          </w:tcPr>
          <w:p w14:paraId="385B86A0" w14:textId="77777777" w:rsidR="00C17DBE" w:rsidRPr="002C2AE4" w:rsidRDefault="00C17DBE" w:rsidP="00C055C0">
            <w:pPr>
              <w:jc w:val="center"/>
              <w:rPr>
                <w:rFonts w:ascii="Arial Narrow" w:hAnsi="Arial Narrow"/>
                <w:sz w:val="20"/>
                <w:szCs w:val="20"/>
              </w:rPr>
            </w:pPr>
          </w:p>
        </w:tc>
        <w:tc>
          <w:tcPr>
            <w:tcW w:w="8079" w:type="dxa"/>
            <w:gridSpan w:val="6"/>
            <w:vAlign w:val="center"/>
          </w:tcPr>
          <w:p w14:paraId="2A486977" w14:textId="77777777" w:rsidR="00C17DBE" w:rsidRPr="002C2AE4" w:rsidRDefault="00C17DBE" w:rsidP="00C055C0">
            <w:pPr>
              <w:rPr>
                <w:rFonts w:ascii="Arial Narrow" w:hAnsi="Arial Narrow"/>
                <w:b/>
                <w:bCs/>
                <w:sz w:val="20"/>
                <w:szCs w:val="20"/>
              </w:rPr>
            </w:pPr>
          </w:p>
        </w:tc>
      </w:tr>
      <w:tr w:rsidR="00C17DBE" w:rsidRPr="002C2AE4" w14:paraId="3323383F" w14:textId="77777777" w:rsidTr="00C055C0">
        <w:tblPrEx>
          <w:tblCellMar>
            <w:top w:w="15" w:type="dxa"/>
            <w:left w:w="15" w:type="dxa"/>
            <w:bottom w:w="15" w:type="dxa"/>
            <w:right w:w="15" w:type="dxa"/>
          </w:tblCellMar>
        </w:tblPrEx>
        <w:tc>
          <w:tcPr>
            <w:tcW w:w="988" w:type="dxa"/>
            <w:gridSpan w:val="2"/>
            <w:vAlign w:val="center"/>
          </w:tcPr>
          <w:p w14:paraId="7F0DB08F" w14:textId="48B0CF7C" w:rsidR="00C17DBE" w:rsidRPr="002C2AE4" w:rsidRDefault="00C17DBE" w:rsidP="00C055C0">
            <w:pPr>
              <w:jc w:val="center"/>
              <w:rPr>
                <w:rFonts w:ascii="Arial Narrow" w:hAnsi="Arial Narrow"/>
                <w:sz w:val="20"/>
                <w:szCs w:val="20"/>
              </w:rPr>
            </w:pPr>
          </w:p>
        </w:tc>
        <w:tc>
          <w:tcPr>
            <w:tcW w:w="8079" w:type="dxa"/>
            <w:gridSpan w:val="6"/>
            <w:vAlign w:val="center"/>
          </w:tcPr>
          <w:p w14:paraId="4B3B4B1F" w14:textId="77777777" w:rsidR="00C17DBE" w:rsidRPr="00053EF7" w:rsidRDefault="00C17DBE" w:rsidP="00C055C0">
            <w:pPr>
              <w:rPr>
                <w:rFonts w:ascii="Arial Narrow" w:hAnsi="Arial Narrow"/>
                <w:b/>
                <w:bCs/>
                <w:sz w:val="20"/>
                <w:szCs w:val="20"/>
              </w:rPr>
            </w:pPr>
            <w:r w:rsidRPr="00053EF7">
              <w:rPr>
                <w:rFonts w:ascii="Arial Narrow" w:hAnsi="Arial Narrow"/>
                <w:b/>
                <w:bCs/>
                <w:sz w:val="20"/>
                <w:szCs w:val="20"/>
              </w:rPr>
              <w:t>Prescribing Instructions:</w:t>
            </w:r>
          </w:p>
          <w:p w14:paraId="3CBDB0C4" w14:textId="77777777" w:rsidR="00C17DBE" w:rsidRPr="00053EF7" w:rsidRDefault="00C17DBE" w:rsidP="00C055C0">
            <w:pPr>
              <w:rPr>
                <w:rFonts w:ascii="Arial Narrow" w:hAnsi="Arial Narrow"/>
                <w:sz w:val="20"/>
                <w:szCs w:val="20"/>
              </w:rPr>
            </w:pPr>
            <w:r>
              <w:rPr>
                <w:rFonts w:ascii="Arial Narrow" w:hAnsi="Arial Narrow"/>
                <w:sz w:val="20"/>
                <w:szCs w:val="20"/>
              </w:rPr>
              <w:t>I</w:t>
            </w:r>
            <w:r w:rsidRPr="00053EF7">
              <w:rPr>
                <w:rFonts w:ascii="Arial Narrow" w:hAnsi="Arial Narrow"/>
                <w:sz w:val="20"/>
                <w:szCs w:val="20"/>
              </w:rPr>
              <w:t>f methotrexate is contraindicated according to the TGA-approved product information or cannot be tolerated at a 20 mg weekly dose,</w:t>
            </w:r>
            <w:r>
              <w:rPr>
                <w:rFonts w:ascii="Arial Narrow" w:hAnsi="Arial Narrow"/>
                <w:sz w:val="20"/>
                <w:szCs w:val="20"/>
              </w:rPr>
              <w:t xml:space="preserve"> </w:t>
            </w:r>
            <w:r w:rsidRPr="00053EF7">
              <w:rPr>
                <w:rFonts w:ascii="Arial Narrow" w:hAnsi="Arial Narrow"/>
                <w:sz w:val="20"/>
                <w:szCs w:val="20"/>
              </w:rPr>
              <w:t>the application must include details of the contraindication or intolerance including severity to methotrexate. The maximum tolerated dose of methotrexate must be documented in the application, if applicable.</w:t>
            </w:r>
          </w:p>
          <w:p w14:paraId="54331423" w14:textId="77777777" w:rsidR="00C17DBE" w:rsidRPr="00053EF7" w:rsidRDefault="00C17DBE" w:rsidP="00C055C0">
            <w:pPr>
              <w:rPr>
                <w:rFonts w:ascii="Arial Narrow" w:hAnsi="Arial Narrow"/>
                <w:sz w:val="20"/>
                <w:szCs w:val="20"/>
              </w:rPr>
            </w:pPr>
            <w:r w:rsidRPr="00053EF7">
              <w:rPr>
                <w:rFonts w:ascii="Arial Narrow" w:hAnsi="Arial Narrow"/>
                <w:sz w:val="20"/>
                <w:szCs w:val="20"/>
              </w:rPr>
              <w:t>The application must include details of the DMARDs trialled, their doses and duration of treatment, and all relevant contraindications and/or intolerances including severity.</w:t>
            </w:r>
          </w:p>
          <w:p w14:paraId="469860C0" w14:textId="77777777" w:rsidR="00C17DBE" w:rsidRPr="00053EF7" w:rsidRDefault="00C17DBE" w:rsidP="00C055C0">
            <w:pPr>
              <w:rPr>
                <w:rFonts w:ascii="Arial Narrow" w:hAnsi="Arial Narrow"/>
                <w:sz w:val="20"/>
                <w:szCs w:val="20"/>
              </w:rPr>
            </w:pPr>
            <w:r w:rsidRPr="00053EF7">
              <w:rPr>
                <w:rFonts w:ascii="Arial Narrow" w:hAnsi="Arial Narrow"/>
                <w:sz w:val="20"/>
                <w:szCs w:val="20"/>
              </w:rPr>
              <w:t>The requirement to trial at least 2 DMARDs for periods of at least 3 months each can be met using single agents sequentially or by using one or more combinations of DMARDs.</w:t>
            </w:r>
          </w:p>
          <w:p w14:paraId="5EC47E04" w14:textId="77777777" w:rsidR="00C17DBE" w:rsidRPr="002C2AE4" w:rsidRDefault="00C17DBE" w:rsidP="00C055C0">
            <w:pPr>
              <w:rPr>
                <w:rFonts w:ascii="Arial Narrow" w:hAnsi="Arial Narrow"/>
                <w:b/>
                <w:bCs/>
                <w:sz w:val="20"/>
                <w:szCs w:val="20"/>
              </w:rPr>
            </w:pPr>
            <w:r w:rsidRPr="00053EF7">
              <w:rPr>
                <w:rFonts w:ascii="Arial Narrow" w:hAnsi="Arial Narrow"/>
                <w:sz w:val="20"/>
                <w:szCs w:val="20"/>
              </w:rP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p>
        </w:tc>
      </w:tr>
      <w:tr w:rsidR="00C17DBE" w:rsidRPr="002C2AE4" w14:paraId="3BC9A7B7" w14:textId="77777777" w:rsidTr="00C055C0">
        <w:tblPrEx>
          <w:tblCellMar>
            <w:top w:w="15" w:type="dxa"/>
            <w:left w:w="15" w:type="dxa"/>
            <w:bottom w:w="15" w:type="dxa"/>
            <w:right w:w="15" w:type="dxa"/>
          </w:tblCellMar>
        </w:tblPrEx>
        <w:tc>
          <w:tcPr>
            <w:tcW w:w="988" w:type="dxa"/>
            <w:gridSpan w:val="2"/>
            <w:vAlign w:val="center"/>
          </w:tcPr>
          <w:p w14:paraId="693185BA" w14:textId="38237E8E" w:rsidR="00C17DBE" w:rsidRPr="002C2AE4" w:rsidRDefault="00C17DBE" w:rsidP="00C055C0">
            <w:pPr>
              <w:jc w:val="center"/>
              <w:rPr>
                <w:rFonts w:ascii="Arial Narrow" w:hAnsi="Arial Narrow"/>
                <w:sz w:val="20"/>
                <w:szCs w:val="20"/>
              </w:rPr>
            </w:pPr>
          </w:p>
        </w:tc>
        <w:tc>
          <w:tcPr>
            <w:tcW w:w="8079" w:type="dxa"/>
            <w:gridSpan w:val="6"/>
            <w:vAlign w:val="center"/>
          </w:tcPr>
          <w:p w14:paraId="2BE41D4B" w14:textId="77777777" w:rsidR="00C17DBE" w:rsidRPr="00053EF7" w:rsidRDefault="00C17DBE" w:rsidP="00C055C0">
            <w:pPr>
              <w:rPr>
                <w:rFonts w:ascii="Arial Narrow" w:hAnsi="Arial Narrow"/>
                <w:b/>
                <w:bCs/>
                <w:sz w:val="20"/>
                <w:szCs w:val="20"/>
              </w:rPr>
            </w:pPr>
            <w:r w:rsidRPr="00053EF7">
              <w:rPr>
                <w:rFonts w:ascii="Arial Narrow" w:hAnsi="Arial Narrow"/>
                <w:b/>
                <w:bCs/>
                <w:sz w:val="20"/>
                <w:szCs w:val="20"/>
              </w:rPr>
              <w:t>Prescribing Instructions:</w:t>
            </w:r>
          </w:p>
          <w:p w14:paraId="69448F39" w14:textId="77777777" w:rsidR="00C17DBE" w:rsidRPr="00053EF7" w:rsidRDefault="00C17DBE" w:rsidP="00C055C0">
            <w:pPr>
              <w:rPr>
                <w:rFonts w:ascii="Arial Narrow" w:hAnsi="Arial Narrow"/>
                <w:sz w:val="20"/>
                <w:szCs w:val="20"/>
              </w:rPr>
            </w:pPr>
            <w:r w:rsidRPr="00053EF7">
              <w:rPr>
                <w:rFonts w:ascii="Arial Narrow" w:hAnsi="Arial Narrow"/>
                <w:sz w:val="20"/>
                <w:szCs w:val="20"/>
              </w:rPr>
              <w:t>The following criteria indicate failure to achieve an adequate response and must be demonstrated in all patients at the time of the initial application:</w:t>
            </w:r>
          </w:p>
          <w:p w14:paraId="06377AC4" w14:textId="77777777" w:rsidR="00C17DBE" w:rsidRPr="00053EF7" w:rsidRDefault="00C17DBE" w:rsidP="00C055C0">
            <w:pPr>
              <w:rPr>
                <w:rFonts w:ascii="Arial Narrow" w:hAnsi="Arial Narrow"/>
                <w:sz w:val="20"/>
                <w:szCs w:val="20"/>
              </w:rPr>
            </w:pPr>
            <w:r w:rsidRPr="00053EF7">
              <w:rPr>
                <w:rFonts w:ascii="Arial Narrow" w:hAnsi="Arial Narrow"/>
                <w:sz w:val="20"/>
                <w:szCs w:val="20"/>
              </w:rPr>
              <w:t>an elevated erythrocyte sedimentation rate (ESR) greater than 25 mm per hour or a C-reactive protein (CRP) level greater than 15 mg per L; AND either</w:t>
            </w:r>
          </w:p>
          <w:p w14:paraId="196D6AC0" w14:textId="77777777" w:rsidR="00C17DBE" w:rsidRPr="00053EF7" w:rsidRDefault="00C17DBE" w:rsidP="00C055C0">
            <w:pPr>
              <w:rPr>
                <w:rFonts w:ascii="Arial Narrow" w:hAnsi="Arial Narrow"/>
                <w:sz w:val="20"/>
                <w:szCs w:val="20"/>
              </w:rPr>
            </w:pPr>
            <w:r w:rsidRPr="00053EF7">
              <w:rPr>
                <w:rFonts w:ascii="Arial Narrow" w:hAnsi="Arial Narrow"/>
                <w:sz w:val="20"/>
                <w:szCs w:val="20"/>
              </w:rPr>
              <w:t>(a) a total active joint count of at least 20 active (swollen and tender) joints; or</w:t>
            </w:r>
          </w:p>
          <w:p w14:paraId="15A50E69" w14:textId="77777777" w:rsidR="00C17DBE" w:rsidRPr="00053EF7" w:rsidRDefault="00C17DBE" w:rsidP="00C055C0">
            <w:pPr>
              <w:rPr>
                <w:rFonts w:ascii="Arial Narrow" w:hAnsi="Arial Narrow"/>
                <w:sz w:val="20"/>
                <w:szCs w:val="20"/>
              </w:rPr>
            </w:pPr>
            <w:r w:rsidRPr="00053EF7">
              <w:rPr>
                <w:rFonts w:ascii="Arial Narrow" w:hAnsi="Arial Narrow"/>
                <w:sz w:val="20"/>
                <w:szCs w:val="20"/>
              </w:rPr>
              <w:t>(b) at least 4 active joints from the following list of major joints:</w:t>
            </w:r>
          </w:p>
          <w:p w14:paraId="782690A2" w14:textId="77777777" w:rsidR="00C17DBE" w:rsidRPr="00053EF7" w:rsidRDefault="00C17DBE" w:rsidP="00C055C0">
            <w:pPr>
              <w:rPr>
                <w:rFonts w:ascii="Arial Narrow" w:hAnsi="Arial Narrow"/>
                <w:sz w:val="20"/>
                <w:szCs w:val="20"/>
              </w:rPr>
            </w:pPr>
            <w:r w:rsidRPr="00053EF7">
              <w:rPr>
                <w:rFonts w:ascii="Arial Narrow" w:hAnsi="Arial Narrow"/>
                <w:sz w:val="20"/>
                <w:szCs w:val="20"/>
              </w:rPr>
              <w:t>(i) elbow, wrist, knee and/or ankle (assessed as swollen and tender); and/or</w:t>
            </w:r>
          </w:p>
          <w:p w14:paraId="7A87836B" w14:textId="77777777" w:rsidR="00C17DBE" w:rsidRPr="002C2AE4" w:rsidRDefault="00C17DBE" w:rsidP="00C055C0">
            <w:pPr>
              <w:rPr>
                <w:rFonts w:ascii="Arial Narrow" w:hAnsi="Arial Narrow"/>
                <w:b/>
                <w:bCs/>
                <w:sz w:val="20"/>
                <w:szCs w:val="20"/>
              </w:rPr>
            </w:pPr>
            <w:r w:rsidRPr="00053EF7">
              <w:rPr>
                <w:rFonts w:ascii="Arial Narrow" w:hAnsi="Arial Narrow"/>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C17DBE" w:rsidRPr="002C2AE4" w14:paraId="0A99C30E" w14:textId="77777777" w:rsidTr="00C055C0">
        <w:tblPrEx>
          <w:tblCellMar>
            <w:top w:w="15" w:type="dxa"/>
            <w:left w:w="15" w:type="dxa"/>
            <w:bottom w:w="15" w:type="dxa"/>
            <w:right w:w="15" w:type="dxa"/>
          </w:tblCellMar>
        </w:tblPrEx>
        <w:tc>
          <w:tcPr>
            <w:tcW w:w="988" w:type="dxa"/>
            <w:gridSpan w:val="2"/>
            <w:vAlign w:val="center"/>
          </w:tcPr>
          <w:p w14:paraId="4233FD75" w14:textId="44BAD0F2" w:rsidR="00C17DBE" w:rsidRPr="002C2AE4" w:rsidRDefault="00C17DBE" w:rsidP="00C055C0">
            <w:pPr>
              <w:jc w:val="center"/>
              <w:rPr>
                <w:rFonts w:ascii="Arial Narrow" w:hAnsi="Arial Narrow"/>
                <w:sz w:val="20"/>
                <w:szCs w:val="20"/>
              </w:rPr>
            </w:pPr>
          </w:p>
        </w:tc>
        <w:tc>
          <w:tcPr>
            <w:tcW w:w="8079" w:type="dxa"/>
            <w:gridSpan w:val="6"/>
            <w:vAlign w:val="center"/>
          </w:tcPr>
          <w:p w14:paraId="5F8F5382" w14:textId="77777777" w:rsidR="00C17DBE" w:rsidRPr="00053EF7" w:rsidRDefault="00C17DBE" w:rsidP="00C055C0">
            <w:pPr>
              <w:rPr>
                <w:rFonts w:ascii="Arial Narrow" w:hAnsi="Arial Narrow"/>
                <w:b/>
                <w:bCs/>
                <w:sz w:val="20"/>
                <w:szCs w:val="20"/>
              </w:rPr>
            </w:pPr>
            <w:r w:rsidRPr="00053EF7">
              <w:rPr>
                <w:rFonts w:ascii="Arial Narrow" w:hAnsi="Arial Narrow"/>
                <w:b/>
                <w:bCs/>
                <w:sz w:val="20"/>
                <w:szCs w:val="20"/>
              </w:rPr>
              <w:t>Prescribing Instructions:</w:t>
            </w:r>
          </w:p>
          <w:p w14:paraId="1883928C" w14:textId="77777777" w:rsidR="00C17DBE" w:rsidRPr="002C2AE4" w:rsidRDefault="00C17DBE" w:rsidP="00C055C0">
            <w:pPr>
              <w:rPr>
                <w:rFonts w:ascii="Arial Narrow" w:hAnsi="Arial Narrow"/>
                <w:b/>
                <w:bCs/>
                <w:sz w:val="20"/>
                <w:szCs w:val="20"/>
              </w:rPr>
            </w:pPr>
            <w:r w:rsidRPr="00053EF7">
              <w:rPr>
                <w:rFonts w:ascii="Arial Narrow" w:hAnsi="Arial Narrow"/>
                <w:sz w:val="20"/>
                <w:szCs w:val="20"/>
              </w:rPr>
              <w:t>The joint count and ESR and/or CRP must be determined at the completion of the 6 month intensive DMARD trial, but prior to ceasing DMARD therapy. All measures must be no more than one month old at the time of initial application.</w:t>
            </w:r>
          </w:p>
        </w:tc>
      </w:tr>
      <w:tr w:rsidR="00C17DBE" w:rsidRPr="002C2AE4" w14:paraId="1A96B4C1" w14:textId="77777777" w:rsidTr="00C055C0">
        <w:tblPrEx>
          <w:tblCellMar>
            <w:top w:w="15" w:type="dxa"/>
            <w:left w:w="15" w:type="dxa"/>
            <w:bottom w:w="15" w:type="dxa"/>
            <w:right w:w="15" w:type="dxa"/>
          </w:tblCellMar>
        </w:tblPrEx>
        <w:tc>
          <w:tcPr>
            <w:tcW w:w="988" w:type="dxa"/>
            <w:gridSpan w:val="2"/>
            <w:vAlign w:val="center"/>
          </w:tcPr>
          <w:p w14:paraId="47DC9A6C" w14:textId="4DEEB911" w:rsidR="00C17DBE" w:rsidRPr="002C2AE4" w:rsidRDefault="00C17DBE" w:rsidP="00C055C0">
            <w:pPr>
              <w:jc w:val="center"/>
              <w:rPr>
                <w:rFonts w:ascii="Arial Narrow" w:hAnsi="Arial Narrow"/>
                <w:sz w:val="20"/>
                <w:szCs w:val="20"/>
              </w:rPr>
            </w:pPr>
          </w:p>
        </w:tc>
        <w:tc>
          <w:tcPr>
            <w:tcW w:w="8079" w:type="dxa"/>
            <w:gridSpan w:val="6"/>
            <w:vAlign w:val="center"/>
          </w:tcPr>
          <w:p w14:paraId="751CECC2" w14:textId="77777777" w:rsidR="00C17DBE" w:rsidRPr="00053EF7" w:rsidRDefault="00C17DBE" w:rsidP="00C055C0">
            <w:pPr>
              <w:rPr>
                <w:rFonts w:ascii="Arial Narrow" w:hAnsi="Arial Narrow"/>
                <w:b/>
                <w:bCs/>
                <w:sz w:val="20"/>
                <w:szCs w:val="20"/>
              </w:rPr>
            </w:pPr>
            <w:r w:rsidRPr="00053EF7">
              <w:rPr>
                <w:rFonts w:ascii="Arial Narrow" w:hAnsi="Arial Narrow"/>
                <w:b/>
                <w:bCs/>
                <w:sz w:val="20"/>
                <w:szCs w:val="20"/>
              </w:rPr>
              <w:t>Prescribing Instructions:</w:t>
            </w:r>
          </w:p>
          <w:p w14:paraId="71B3D246" w14:textId="77777777" w:rsidR="00C17DBE" w:rsidRPr="002C2AE4" w:rsidRDefault="00C17DBE" w:rsidP="00C055C0">
            <w:pPr>
              <w:rPr>
                <w:rFonts w:ascii="Arial Narrow" w:hAnsi="Arial Narrow"/>
                <w:b/>
                <w:bCs/>
                <w:sz w:val="20"/>
                <w:szCs w:val="20"/>
              </w:rPr>
            </w:pPr>
            <w:r w:rsidRPr="00053EF7">
              <w:rPr>
                <w:rFonts w:ascii="Arial Narrow" w:hAnsi="Arial Narrow"/>
                <w:sz w:val="20"/>
                <w:szCs w:val="20"/>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tc>
      </w:tr>
      <w:tr w:rsidR="00C17DBE" w:rsidRPr="002C2AE4" w14:paraId="71F7C72B" w14:textId="77777777" w:rsidTr="00C055C0">
        <w:tblPrEx>
          <w:tblCellMar>
            <w:top w:w="15" w:type="dxa"/>
            <w:left w:w="15" w:type="dxa"/>
            <w:bottom w:w="15" w:type="dxa"/>
            <w:right w:w="15" w:type="dxa"/>
          </w:tblCellMar>
        </w:tblPrEx>
        <w:tc>
          <w:tcPr>
            <w:tcW w:w="988" w:type="dxa"/>
            <w:gridSpan w:val="2"/>
            <w:vAlign w:val="center"/>
          </w:tcPr>
          <w:p w14:paraId="22A10431" w14:textId="5A3EA341" w:rsidR="00C17DBE" w:rsidRPr="002C2AE4" w:rsidRDefault="00C17DBE" w:rsidP="00C055C0">
            <w:pPr>
              <w:jc w:val="center"/>
              <w:rPr>
                <w:rFonts w:ascii="Arial Narrow" w:hAnsi="Arial Narrow"/>
                <w:sz w:val="20"/>
                <w:szCs w:val="20"/>
              </w:rPr>
            </w:pPr>
          </w:p>
        </w:tc>
        <w:tc>
          <w:tcPr>
            <w:tcW w:w="8079" w:type="dxa"/>
            <w:gridSpan w:val="6"/>
            <w:vAlign w:val="center"/>
          </w:tcPr>
          <w:p w14:paraId="162A887F" w14:textId="77777777" w:rsidR="00C17DBE" w:rsidRPr="00053EF7" w:rsidRDefault="00C17DBE" w:rsidP="00C055C0">
            <w:pPr>
              <w:rPr>
                <w:rFonts w:ascii="Arial Narrow" w:hAnsi="Arial Narrow"/>
                <w:b/>
                <w:bCs/>
                <w:sz w:val="20"/>
                <w:szCs w:val="20"/>
              </w:rPr>
            </w:pPr>
            <w:r w:rsidRPr="00053EF7">
              <w:rPr>
                <w:rFonts w:ascii="Arial Narrow" w:hAnsi="Arial Narrow"/>
                <w:b/>
                <w:bCs/>
                <w:sz w:val="20"/>
                <w:szCs w:val="20"/>
              </w:rPr>
              <w:t>Prescribing Instructions:</w:t>
            </w:r>
          </w:p>
          <w:p w14:paraId="78C3288E" w14:textId="77777777" w:rsidR="00C17DBE" w:rsidRPr="002C2AE4" w:rsidRDefault="00C17DBE" w:rsidP="00C055C0">
            <w:pPr>
              <w:rPr>
                <w:rFonts w:ascii="Arial Narrow" w:hAnsi="Arial Narrow"/>
                <w:b/>
                <w:bCs/>
                <w:sz w:val="20"/>
                <w:szCs w:val="20"/>
              </w:rPr>
            </w:pPr>
            <w:r w:rsidRPr="00053EF7">
              <w:rPr>
                <w:rFonts w:ascii="Arial Narrow" w:hAnsi="Arial Narrow"/>
                <w:sz w:val="20"/>
                <w:szCs w:val="20"/>
              </w:rP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tc>
      </w:tr>
      <w:tr w:rsidR="007136AD" w:rsidRPr="002C2AE4" w14:paraId="4E1AF894" w14:textId="77777777" w:rsidTr="00C055C0">
        <w:tblPrEx>
          <w:tblCellMar>
            <w:top w:w="15" w:type="dxa"/>
            <w:left w:w="15" w:type="dxa"/>
            <w:bottom w:w="15" w:type="dxa"/>
            <w:right w:w="15" w:type="dxa"/>
          </w:tblCellMar>
        </w:tblPrEx>
        <w:tc>
          <w:tcPr>
            <w:tcW w:w="988" w:type="dxa"/>
            <w:gridSpan w:val="2"/>
            <w:vAlign w:val="center"/>
          </w:tcPr>
          <w:p w14:paraId="49A0B8ED" w14:textId="3009EBE7" w:rsidR="007136AD" w:rsidRPr="002C2AE4" w:rsidRDefault="007136AD" w:rsidP="007136AD">
            <w:pPr>
              <w:jc w:val="center"/>
              <w:rPr>
                <w:rFonts w:ascii="Arial Narrow" w:hAnsi="Arial Narrow"/>
                <w:sz w:val="20"/>
                <w:szCs w:val="20"/>
              </w:rPr>
            </w:pPr>
          </w:p>
        </w:tc>
        <w:tc>
          <w:tcPr>
            <w:tcW w:w="8079" w:type="dxa"/>
            <w:gridSpan w:val="6"/>
            <w:vAlign w:val="center"/>
          </w:tcPr>
          <w:p w14:paraId="2B434094" w14:textId="77777777" w:rsidR="007136AD" w:rsidRPr="00053EF7" w:rsidRDefault="007136AD" w:rsidP="007136AD">
            <w:pPr>
              <w:rPr>
                <w:rFonts w:ascii="Arial Narrow" w:hAnsi="Arial Narrow"/>
                <w:b/>
                <w:bCs/>
                <w:sz w:val="20"/>
                <w:szCs w:val="20"/>
              </w:rPr>
            </w:pPr>
            <w:r w:rsidRPr="00053EF7">
              <w:rPr>
                <w:rFonts w:ascii="Arial Narrow" w:hAnsi="Arial Narrow"/>
                <w:b/>
                <w:bCs/>
                <w:sz w:val="20"/>
                <w:szCs w:val="20"/>
              </w:rPr>
              <w:t>Prescribing Instructions:</w:t>
            </w:r>
          </w:p>
          <w:p w14:paraId="4E112EBA" w14:textId="77777777" w:rsidR="007136AD" w:rsidRPr="00053EF7" w:rsidRDefault="007136AD" w:rsidP="007136AD">
            <w:pPr>
              <w:rPr>
                <w:rFonts w:ascii="Arial Narrow" w:hAnsi="Arial Narrow"/>
                <w:sz w:val="20"/>
                <w:szCs w:val="20"/>
              </w:rPr>
            </w:pPr>
            <w:r w:rsidRPr="00053EF7">
              <w:rPr>
                <w:rFonts w:ascii="Arial Narrow" w:hAnsi="Arial Narrow"/>
                <w:sz w:val="20"/>
                <w:szCs w:val="20"/>
              </w:rPr>
              <w:t>The authority application must be made in writing and must include:</w:t>
            </w:r>
          </w:p>
          <w:p w14:paraId="043A81EC" w14:textId="77777777" w:rsidR="007136AD" w:rsidRPr="00471E63" w:rsidRDefault="007136AD" w:rsidP="007136AD">
            <w:pPr>
              <w:rPr>
                <w:rFonts w:ascii="Arial Narrow" w:hAnsi="Arial Narrow"/>
                <w:sz w:val="20"/>
                <w:szCs w:val="20"/>
              </w:rPr>
            </w:pPr>
            <w:r w:rsidRPr="00471E63">
              <w:rPr>
                <w:rFonts w:ascii="Arial Narrow" w:hAnsi="Arial Narrow"/>
                <w:sz w:val="20"/>
                <w:szCs w:val="20"/>
              </w:rPr>
              <w:t>(a) a completed authority prescription form(s); and</w:t>
            </w:r>
          </w:p>
          <w:p w14:paraId="5F07ECF9" w14:textId="18910AC1" w:rsidR="007136AD" w:rsidRPr="002C2AE4" w:rsidRDefault="007136AD" w:rsidP="007136AD">
            <w:pPr>
              <w:rPr>
                <w:rFonts w:ascii="Arial Narrow" w:hAnsi="Arial Narrow"/>
                <w:b/>
                <w:bCs/>
                <w:sz w:val="20"/>
                <w:szCs w:val="20"/>
              </w:rPr>
            </w:pPr>
            <w:r w:rsidRPr="00471E63">
              <w:rPr>
                <w:rFonts w:ascii="Arial Narrow" w:hAnsi="Arial Narrow"/>
                <w:sz w:val="20"/>
                <w:szCs w:val="20"/>
              </w:rPr>
              <w:t>(b) a completed authority application form relevant to the indication and treatment phase (the latest version is located on the website specified in the Administrative Advice).</w:t>
            </w:r>
            <w:r w:rsidRPr="00471E63" w:rsidDel="00471E63">
              <w:rPr>
                <w:rFonts w:ascii="Arial Narrow" w:hAnsi="Arial Narrow"/>
                <w:sz w:val="20"/>
                <w:szCs w:val="20"/>
              </w:rPr>
              <w:t xml:space="preserve"> </w:t>
            </w:r>
          </w:p>
        </w:tc>
      </w:tr>
      <w:tr w:rsidR="00C17DBE" w:rsidRPr="002C2AE4" w14:paraId="17C30CBA" w14:textId="77777777" w:rsidTr="00C055C0">
        <w:tblPrEx>
          <w:tblCellMar>
            <w:top w:w="15" w:type="dxa"/>
            <w:left w:w="15" w:type="dxa"/>
            <w:bottom w:w="15" w:type="dxa"/>
            <w:right w:w="15" w:type="dxa"/>
          </w:tblCellMar>
        </w:tblPrEx>
        <w:tc>
          <w:tcPr>
            <w:tcW w:w="988" w:type="dxa"/>
            <w:gridSpan w:val="2"/>
            <w:vAlign w:val="center"/>
          </w:tcPr>
          <w:p w14:paraId="7BBF23B9" w14:textId="07ABB6FE" w:rsidR="00C17DBE" w:rsidRPr="002C2AE4" w:rsidRDefault="00C17DBE" w:rsidP="00C055C0">
            <w:pPr>
              <w:jc w:val="center"/>
              <w:rPr>
                <w:rFonts w:ascii="Arial Narrow" w:hAnsi="Arial Narrow"/>
                <w:sz w:val="20"/>
                <w:szCs w:val="20"/>
              </w:rPr>
            </w:pPr>
          </w:p>
        </w:tc>
        <w:tc>
          <w:tcPr>
            <w:tcW w:w="8079" w:type="dxa"/>
            <w:gridSpan w:val="6"/>
            <w:vAlign w:val="center"/>
          </w:tcPr>
          <w:p w14:paraId="6ECA67DD" w14:textId="77777777" w:rsidR="00C17DBE" w:rsidRPr="00053EF7" w:rsidRDefault="00C17DBE" w:rsidP="00C055C0">
            <w:pPr>
              <w:rPr>
                <w:rFonts w:ascii="Arial Narrow" w:hAnsi="Arial Narrow"/>
                <w:b/>
                <w:bCs/>
                <w:sz w:val="20"/>
                <w:szCs w:val="20"/>
              </w:rPr>
            </w:pPr>
            <w:r w:rsidRPr="00053EF7">
              <w:rPr>
                <w:rFonts w:ascii="Arial Narrow" w:hAnsi="Arial Narrow"/>
                <w:b/>
                <w:bCs/>
                <w:sz w:val="20"/>
                <w:szCs w:val="20"/>
              </w:rPr>
              <w:t>Prescribing Instructions:</w:t>
            </w:r>
          </w:p>
          <w:p w14:paraId="65FF8CA2" w14:textId="77777777" w:rsidR="00C17DBE" w:rsidRPr="002C2AE4" w:rsidRDefault="00C17DBE" w:rsidP="00C055C0">
            <w:pPr>
              <w:rPr>
                <w:rFonts w:ascii="Arial Narrow" w:hAnsi="Arial Narrow"/>
                <w:b/>
                <w:bCs/>
                <w:sz w:val="20"/>
                <w:szCs w:val="20"/>
              </w:rPr>
            </w:pPr>
            <w:r w:rsidRPr="00053EF7">
              <w:rPr>
                <w:rFonts w:ascii="Arial Narrow" w:hAnsi="Arial Narrow"/>
                <w:sz w:val="20"/>
                <w:szCs w:val="20"/>
              </w:rPr>
              <w:t xml:space="preserve">An assessment of a patient's response to this initial course of treatment must be conducted following a minimum of 12 weeks of treatment and </w:t>
            </w:r>
            <w:r w:rsidRPr="00A9467B">
              <w:rPr>
                <w:rFonts w:ascii="Arial Narrow" w:hAnsi="Arial Narrow"/>
                <w:sz w:val="20"/>
                <w:szCs w:val="20"/>
              </w:rPr>
              <w:t>no later than 4 weeks from</w:t>
            </w:r>
            <w:r w:rsidRPr="00053EF7">
              <w:rPr>
                <w:rFonts w:ascii="Arial Narrow" w:hAnsi="Arial Narrow"/>
                <w:sz w:val="20"/>
                <w:szCs w:val="20"/>
              </w:rPr>
              <w:t xml:space="preserve"> the cessation of that treatment course. If the response assessment is not conducted within these timeframes, the patient will be deemed to have failed this course of treatment.</w:t>
            </w:r>
          </w:p>
        </w:tc>
      </w:tr>
      <w:tr w:rsidR="00C17DBE" w:rsidRPr="002C2AE4" w14:paraId="0B43DB2C"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30CC084C" w14:textId="6197D8FB" w:rsidR="00C17DBE" w:rsidRPr="002C2AE4" w:rsidRDefault="00C17DBE" w:rsidP="00C055C0">
            <w:pPr>
              <w:jc w:val="center"/>
              <w:rPr>
                <w:rFonts w:ascii="Arial Narrow" w:hAnsi="Arial Narrow" w:cs="Open Sans"/>
                <w:sz w:val="20"/>
                <w:szCs w:val="20"/>
              </w:rPr>
            </w:pPr>
          </w:p>
        </w:tc>
        <w:tc>
          <w:tcPr>
            <w:tcW w:w="8079" w:type="dxa"/>
            <w:gridSpan w:val="6"/>
            <w:vAlign w:val="center"/>
          </w:tcPr>
          <w:p w14:paraId="1E672573" w14:textId="77777777" w:rsidR="00C17DBE" w:rsidRPr="00053EF7" w:rsidRDefault="00C17DBE" w:rsidP="00C055C0">
            <w:pPr>
              <w:rPr>
                <w:rFonts w:ascii="Arial Narrow" w:hAnsi="Arial Narrow"/>
                <w:b/>
                <w:bCs/>
                <w:sz w:val="20"/>
                <w:szCs w:val="20"/>
              </w:rPr>
            </w:pPr>
            <w:r w:rsidRPr="00053EF7">
              <w:rPr>
                <w:rFonts w:ascii="Arial Narrow" w:hAnsi="Arial Narrow"/>
                <w:b/>
                <w:bCs/>
                <w:sz w:val="20"/>
                <w:szCs w:val="20"/>
              </w:rPr>
              <w:t>Prescribing Instructions:</w:t>
            </w:r>
          </w:p>
          <w:p w14:paraId="76147E72" w14:textId="77777777" w:rsidR="00C17DBE" w:rsidRPr="002C2AE4" w:rsidRDefault="00C17DBE" w:rsidP="00C055C0">
            <w:pPr>
              <w:rPr>
                <w:rFonts w:ascii="Arial Narrow" w:hAnsi="Arial Narrow" w:cs="Open Sans"/>
                <w:sz w:val="20"/>
                <w:szCs w:val="20"/>
              </w:rPr>
            </w:pPr>
            <w:r w:rsidRPr="00053EF7">
              <w:rPr>
                <w:rFonts w:ascii="Arial Narrow" w:hAnsi="Arial Narrow"/>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C17DBE" w:rsidRPr="002C2AE4" w14:paraId="0E5E70AF"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453BCEEC" w14:textId="196C038E" w:rsidR="00C17DBE" w:rsidRPr="002C2AE4" w:rsidRDefault="00C17DBE" w:rsidP="00C055C0">
            <w:pPr>
              <w:jc w:val="center"/>
              <w:rPr>
                <w:rFonts w:ascii="Arial Narrow" w:hAnsi="Arial Narrow" w:cs="Open Sans"/>
                <w:sz w:val="20"/>
                <w:szCs w:val="20"/>
              </w:rPr>
            </w:pPr>
          </w:p>
        </w:tc>
        <w:tc>
          <w:tcPr>
            <w:tcW w:w="8079" w:type="dxa"/>
            <w:gridSpan w:val="6"/>
            <w:vAlign w:val="center"/>
          </w:tcPr>
          <w:p w14:paraId="227E0675" w14:textId="77777777" w:rsidR="00C17DBE" w:rsidRPr="00053EF7" w:rsidRDefault="00C17DBE" w:rsidP="00C055C0">
            <w:pPr>
              <w:rPr>
                <w:rFonts w:ascii="Arial Narrow" w:hAnsi="Arial Narrow"/>
                <w:b/>
                <w:bCs/>
                <w:sz w:val="20"/>
                <w:szCs w:val="20"/>
              </w:rPr>
            </w:pPr>
            <w:r w:rsidRPr="00053EF7">
              <w:rPr>
                <w:rFonts w:ascii="Arial Narrow" w:hAnsi="Arial Narrow"/>
                <w:b/>
                <w:bCs/>
                <w:sz w:val="20"/>
                <w:szCs w:val="20"/>
              </w:rPr>
              <w:t>Prescribing Instructions:</w:t>
            </w:r>
          </w:p>
          <w:p w14:paraId="57CA7E5C" w14:textId="77777777" w:rsidR="00C17DBE" w:rsidRPr="002C2AE4" w:rsidRDefault="00C17DBE" w:rsidP="00C055C0">
            <w:pPr>
              <w:rPr>
                <w:rFonts w:ascii="Arial Narrow" w:hAnsi="Arial Narrow" w:cs="Open Sans"/>
                <w:sz w:val="20"/>
                <w:szCs w:val="20"/>
              </w:rPr>
            </w:pPr>
            <w:r w:rsidRPr="00053EF7">
              <w:rPr>
                <w:rFonts w:ascii="Arial Narrow" w:hAnsi="Arial Narrow"/>
                <w:sz w:val="20"/>
                <w:szCs w:val="20"/>
              </w:rPr>
              <w:t>If a patient fails to demonstrate a response to treatment with this drug under this restriction they will not be eligible to receive further PBS-subsidised treatment with this drug for this condition.</w:t>
            </w:r>
          </w:p>
        </w:tc>
      </w:tr>
      <w:tr w:rsidR="00C17DBE" w:rsidRPr="002C2AE4" w14:paraId="0CFDA5FC"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tcPr>
          <w:p w14:paraId="58159435" w14:textId="77777777" w:rsidR="00C17DBE" w:rsidRPr="002C2AE4" w:rsidRDefault="00C17DBE" w:rsidP="00C055C0">
            <w:pPr>
              <w:jc w:val="center"/>
              <w:rPr>
                <w:rFonts w:ascii="Arial Narrow" w:hAnsi="Arial Narrow" w:cs="Open Sans"/>
                <w:sz w:val="20"/>
                <w:szCs w:val="20"/>
              </w:rPr>
            </w:pPr>
          </w:p>
        </w:tc>
        <w:tc>
          <w:tcPr>
            <w:tcW w:w="8079" w:type="dxa"/>
            <w:gridSpan w:val="6"/>
          </w:tcPr>
          <w:p w14:paraId="4EE39CA8" w14:textId="77777777" w:rsidR="00C17DBE" w:rsidRPr="002C2AE4" w:rsidRDefault="00C17DBE" w:rsidP="00C055C0">
            <w:pPr>
              <w:rPr>
                <w:rFonts w:ascii="Arial Narrow" w:hAnsi="Arial Narrow" w:cs="Open Sans"/>
                <w:sz w:val="20"/>
                <w:szCs w:val="20"/>
              </w:rPr>
            </w:pPr>
          </w:p>
        </w:tc>
      </w:tr>
      <w:tr w:rsidR="00C17DBE" w:rsidRPr="002C2AE4" w14:paraId="0DBD3C2A"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tcPr>
          <w:p w14:paraId="79D57CED" w14:textId="5FD1276A" w:rsidR="00C17DBE" w:rsidRPr="002C2AE4" w:rsidRDefault="00C17DBE" w:rsidP="00C055C0">
            <w:pPr>
              <w:jc w:val="center"/>
              <w:rPr>
                <w:rFonts w:ascii="Arial Narrow" w:hAnsi="Arial Narrow" w:cs="Open Sans"/>
                <w:sz w:val="20"/>
                <w:szCs w:val="20"/>
              </w:rPr>
            </w:pPr>
          </w:p>
        </w:tc>
        <w:tc>
          <w:tcPr>
            <w:tcW w:w="8079" w:type="dxa"/>
            <w:gridSpan w:val="6"/>
          </w:tcPr>
          <w:p w14:paraId="0E267BC6" w14:textId="77777777" w:rsidR="00C17DBE" w:rsidRPr="002C2AE4" w:rsidRDefault="00C17DBE" w:rsidP="00C055C0">
            <w:pPr>
              <w:rPr>
                <w:rFonts w:ascii="Arial Narrow" w:hAnsi="Arial Narrow"/>
                <w:b/>
                <w:bCs/>
                <w:sz w:val="20"/>
                <w:szCs w:val="20"/>
              </w:rPr>
            </w:pPr>
            <w:r w:rsidRPr="002C2AE4">
              <w:rPr>
                <w:rFonts w:ascii="Arial Narrow" w:hAnsi="Arial Narrow"/>
                <w:b/>
                <w:bCs/>
                <w:sz w:val="20"/>
                <w:szCs w:val="20"/>
              </w:rPr>
              <w:t>Administrative Advice:</w:t>
            </w:r>
          </w:p>
          <w:p w14:paraId="75670F27" w14:textId="77777777" w:rsidR="00C17DBE" w:rsidRPr="002C2AE4" w:rsidRDefault="00C17DBE" w:rsidP="00C055C0">
            <w:pPr>
              <w:rPr>
                <w:rFonts w:ascii="Arial Narrow" w:hAnsi="Arial Narrow" w:cs="Open Sans"/>
                <w:sz w:val="20"/>
                <w:szCs w:val="20"/>
              </w:rPr>
            </w:pPr>
            <w:r w:rsidRPr="002C2AE4">
              <w:rPr>
                <w:rFonts w:ascii="Arial Narrow" w:hAnsi="Arial Narrow" w:cs="Open Sans"/>
                <w:sz w:val="20"/>
                <w:szCs w:val="20"/>
              </w:rPr>
              <w:t>This grandfather restriction will cease to operate from 12 months after the date specified in the clinical criteria.</w:t>
            </w:r>
          </w:p>
        </w:tc>
      </w:tr>
      <w:tr w:rsidR="00C17DBE" w:rsidRPr="002C2AE4" w14:paraId="4307485A" w14:textId="77777777" w:rsidTr="00C055C0">
        <w:tblPrEx>
          <w:tblCellMar>
            <w:top w:w="15" w:type="dxa"/>
            <w:left w:w="15" w:type="dxa"/>
            <w:bottom w:w="15" w:type="dxa"/>
            <w:right w:w="15" w:type="dxa"/>
          </w:tblCellMar>
          <w:tblLook w:val="04A0" w:firstRow="1" w:lastRow="0" w:firstColumn="1" w:lastColumn="0" w:noHBand="0" w:noVBand="1"/>
        </w:tblPrEx>
        <w:tc>
          <w:tcPr>
            <w:tcW w:w="988" w:type="dxa"/>
            <w:gridSpan w:val="2"/>
          </w:tcPr>
          <w:p w14:paraId="2FB9C770" w14:textId="3B658346" w:rsidR="00C17DBE" w:rsidRPr="002C2AE4" w:rsidRDefault="00C17DBE" w:rsidP="00C055C0">
            <w:pPr>
              <w:jc w:val="center"/>
              <w:rPr>
                <w:rFonts w:ascii="Arial Narrow" w:hAnsi="Arial Narrow" w:cs="Open Sans"/>
                <w:sz w:val="20"/>
                <w:szCs w:val="20"/>
              </w:rPr>
            </w:pPr>
          </w:p>
        </w:tc>
        <w:tc>
          <w:tcPr>
            <w:tcW w:w="8079" w:type="dxa"/>
            <w:gridSpan w:val="6"/>
          </w:tcPr>
          <w:p w14:paraId="0524E5AA" w14:textId="77777777" w:rsidR="00C17DBE" w:rsidRPr="002C2AE4" w:rsidRDefault="00C17DBE" w:rsidP="00C055C0">
            <w:pPr>
              <w:rPr>
                <w:rFonts w:ascii="Arial Narrow" w:hAnsi="Arial Narrow"/>
                <w:b/>
                <w:bCs/>
                <w:sz w:val="20"/>
                <w:szCs w:val="20"/>
              </w:rPr>
            </w:pPr>
            <w:r w:rsidRPr="002C2AE4">
              <w:rPr>
                <w:rFonts w:ascii="Arial Narrow" w:hAnsi="Arial Narrow"/>
                <w:b/>
                <w:bCs/>
                <w:sz w:val="20"/>
                <w:szCs w:val="20"/>
              </w:rPr>
              <w:t>Administrative Advice:</w:t>
            </w:r>
          </w:p>
          <w:p w14:paraId="738B534B" w14:textId="77777777" w:rsidR="00C17DBE" w:rsidRPr="002C2AE4" w:rsidRDefault="00C17DBE" w:rsidP="00C055C0">
            <w:pPr>
              <w:rPr>
                <w:rFonts w:ascii="Arial Narrow" w:hAnsi="Arial Narrow" w:cs="Open Sans"/>
                <w:sz w:val="20"/>
                <w:szCs w:val="20"/>
              </w:rPr>
            </w:pPr>
            <w:r w:rsidRPr="002C2AE4">
              <w:rPr>
                <w:rFonts w:ascii="Arial Narrow" w:hAnsi="Arial Narrow" w:cs="Open Sans"/>
                <w:sz w:val="20"/>
                <w:szCs w:val="20"/>
              </w:rPr>
              <w:t>Patients may qualify for PBS-subsidised treatment under this restriction once</w:t>
            </w:r>
            <w:r w:rsidRPr="002C2AE4">
              <w:rPr>
                <w:rFonts w:ascii="Arial" w:hAnsi="Arial" w:cs="Arial"/>
                <w:sz w:val="20"/>
                <w:szCs w:val="20"/>
              </w:rPr>
              <w:t> </w:t>
            </w:r>
            <w:r w:rsidRPr="002C2AE4">
              <w:rPr>
                <w:rFonts w:ascii="Arial Narrow" w:hAnsi="Arial Narrow" w:cs="Open Sans"/>
                <w:sz w:val="20"/>
                <w:szCs w:val="20"/>
              </w:rPr>
              <w:t>only. For continuing PBS-subsidised treatment, a 'Grandfathered' patient must qualify under the ‘Continuing treatment with subcutaneous form or switching from intravenous form to subcutaneous form’ criteria.</w:t>
            </w:r>
          </w:p>
        </w:tc>
      </w:tr>
      <w:tr w:rsidR="00C17DBE" w:rsidRPr="002C2AE4" w14:paraId="6722B2DD" w14:textId="77777777" w:rsidTr="00C055C0">
        <w:tblPrEx>
          <w:tblCellMar>
            <w:top w:w="15" w:type="dxa"/>
            <w:left w:w="15" w:type="dxa"/>
            <w:bottom w:w="15" w:type="dxa"/>
            <w:right w:w="15" w:type="dxa"/>
          </w:tblCellMar>
        </w:tblPrEx>
        <w:tc>
          <w:tcPr>
            <w:tcW w:w="988" w:type="dxa"/>
            <w:gridSpan w:val="2"/>
            <w:vAlign w:val="center"/>
          </w:tcPr>
          <w:p w14:paraId="096F71F3" w14:textId="4069DBD6" w:rsidR="00C17DBE" w:rsidRPr="002C2AE4" w:rsidRDefault="00C17DBE" w:rsidP="00C055C0">
            <w:pPr>
              <w:jc w:val="center"/>
              <w:rPr>
                <w:rFonts w:ascii="Arial Narrow" w:hAnsi="Arial Narrow" w:cs="Open Sans"/>
                <w:sz w:val="20"/>
                <w:szCs w:val="20"/>
              </w:rPr>
            </w:pPr>
          </w:p>
        </w:tc>
        <w:tc>
          <w:tcPr>
            <w:tcW w:w="8079" w:type="dxa"/>
            <w:gridSpan w:val="6"/>
            <w:vAlign w:val="center"/>
          </w:tcPr>
          <w:p w14:paraId="1373352C" w14:textId="77777777" w:rsidR="00C17DBE" w:rsidRPr="002C2AE4" w:rsidRDefault="00C17DBE" w:rsidP="00C055C0">
            <w:pPr>
              <w:rPr>
                <w:rFonts w:ascii="Arial Narrow" w:hAnsi="Arial Narrow"/>
                <w:b/>
                <w:bCs/>
                <w:sz w:val="20"/>
                <w:szCs w:val="20"/>
              </w:rPr>
            </w:pPr>
            <w:r w:rsidRPr="002C2AE4">
              <w:rPr>
                <w:rFonts w:ascii="Arial Narrow" w:hAnsi="Arial Narrow"/>
                <w:b/>
                <w:bCs/>
                <w:sz w:val="20"/>
                <w:szCs w:val="20"/>
              </w:rPr>
              <w:t>Administrative Advice:</w:t>
            </w:r>
          </w:p>
          <w:p w14:paraId="45CB8DCF" w14:textId="77777777" w:rsidR="00C17DBE" w:rsidRPr="002C2AE4" w:rsidRDefault="00C17DBE" w:rsidP="00C055C0">
            <w:pPr>
              <w:rPr>
                <w:rFonts w:ascii="Arial Narrow" w:hAnsi="Arial Narrow"/>
                <w:sz w:val="20"/>
                <w:szCs w:val="20"/>
              </w:rPr>
            </w:pPr>
            <w:r w:rsidRPr="002C2AE4">
              <w:rPr>
                <w:rFonts w:ascii="Arial Narrow" w:hAnsi="Arial Narrow"/>
                <w:sz w:val="20"/>
                <w:szCs w:val="20"/>
              </w:rPr>
              <w:t>Any queries concerning the arrangements to prescribe may be directed to Services Australia on 1800 700 270 (hours of operation 8 a.m. to 5 p.m. Monday to Friday).</w:t>
            </w:r>
          </w:p>
          <w:p w14:paraId="2D0C1A36" w14:textId="77777777" w:rsidR="00C17DBE" w:rsidRPr="002C2AE4" w:rsidRDefault="00C17DBE" w:rsidP="00C055C0">
            <w:pPr>
              <w:rPr>
                <w:rFonts w:ascii="Arial Narrow" w:hAnsi="Arial Narrow"/>
                <w:sz w:val="20"/>
                <w:szCs w:val="20"/>
              </w:rPr>
            </w:pPr>
            <w:r w:rsidRPr="002C2AE4">
              <w:rPr>
                <w:rFonts w:ascii="Arial Narrow" w:hAnsi="Arial Narrow"/>
                <w:sz w:val="20"/>
                <w:szCs w:val="20"/>
              </w:rPr>
              <w:t>Prescribing information (including Authority Application forms and other relevant documentation as applicable) is available on the Services Australia website at www.servicesaustralia.gov.au</w:t>
            </w:r>
          </w:p>
          <w:p w14:paraId="4456658E" w14:textId="77777777" w:rsidR="00C17DBE" w:rsidRPr="002C2AE4" w:rsidRDefault="00C17DBE" w:rsidP="00C055C0">
            <w:pPr>
              <w:rPr>
                <w:rFonts w:ascii="Arial Narrow" w:hAnsi="Arial Narrow"/>
                <w:sz w:val="20"/>
                <w:szCs w:val="20"/>
              </w:rPr>
            </w:pPr>
            <w:r w:rsidRPr="002C2AE4">
              <w:rPr>
                <w:rFonts w:ascii="Arial Narrow" w:hAnsi="Arial Narrow"/>
                <w:sz w:val="20"/>
                <w:szCs w:val="20"/>
              </w:rPr>
              <w:t>Applications for authority to prescribe should be submitted online using the form upload facility in Health Professional Online Services (HPOS) at www.servicesaustralia.gov.au/hpos</w:t>
            </w:r>
          </w:p>
          <w:p w14:paraId="4182CD8E" w14:textId="77777777" w:rsidR="00C17DBE" w:rsidRPr="002C2AE4" w:rsidRDefault="00C17DBE" w:rsidP="00C055C0">
            <w:pPr>
              <w:rPr>
                <w:rFonts w:ascii="Arial Narrow" w:hAnsi="Arial Narrow"/>
                <w:sz w:val="20"/>
                <w:szCs w:val="20"/>
              </w:rPr>
            </w:pPr>
            <w:r w:rsidRPr="002C2AE4">
              <w:rPr>
                <w:rFonts w:ascii="Arial Narrow" w:hAnsi="Arial Narrow"/>
                <w:sz w:val="20"/>
                <w:szCs w:val="20"/>
              </w:rPr>
              <w:t>Or mailed to:</w:t>
            </w:r>
          </w:p>
          <w:p w14:paraId="521499AD" w14:textId="77777777" w:rsidR="00C17DBE" w:rsidRPr="002C2AE4" w:rsidRDefault="00C17DBE" w:rsidP="00C055C0">
            <w:pPr>
              <w:rPr>
                <w:rFonts w:ascii="Arial Narrow" w:hAnsi="Arial Narrow"/>
                <w:sz w:val="20"/>
                <w:szCs w:val="20"/>
              </w:rPr>
            </w:pPr>
            <w:r w:rsidRPr="002C2AE4">
              <w:rPr>
                <w:rFonts w:ascii="Arial Narrow" w:hAnsi="Arial Narrow"/>
                <w:sz w:val="20"/>
                <w:szCs w:val="20"/>
              </w:rPr>
              <w:t>Services Australia</w:t>
            </w:r>
          </w:p>
          <w:p w14:paraId="7B585A8F" w14:textId="77777777" w:rsidR="00C17DBE" w:rsidRPr="002C2AE4" w:rsidRDefault="00C17DBE" w:rsidP="00C055C0">
            <w:pPr>
              <w:rPr>
                <w:rFonts w:ascii="Arial Narrow" w:hAnsi="Arial Narrow"/>
                <w:sz w:val="20"/>
                <w:szCs w:val="20"/>
              </w:rPr>
            </w:pPr>
            <w:r w:rsidRPr="002C2AE4">
              <w:rPr>
                <w:rFonts w:ascii="Arial Narrow" w:hAnsi="Arial Narrow"/>
                <w:sz w:val="20"/>
                <w:szCs w:val="20"/>
              </w:rPr>
              <w:t>Complex Drugs</w:t>
            </w:r>
          </w:p>
          <w:p w14:paraId="0797228E" w14:textId="77777777" w:rsidR="00C17DBE" w:rsidRPr="002C2AE4" w:rsidRDefault="00C17DBE" w:rsidP="00C055C0">
            <w:pPr>
              <w:rPr>
                <w:rFonts w:ascii="Arial Narrow" w:hAnsi="Arial Narrow"/>
                <w:sz w:val="20"/>
                <w:szCs w:val="20"/>
              </w:rPr>
            </w:pPr>
            <w:r w:rsidRPr="002C2AE4">
              <w:rPr>
                <w:rFonts w:ascii="Arial Narrow" w:hAnsi="Arial Narrow"/>
                <w:sz w:val="20"/>
                <w:szCs w:val="20"/>
              </w:rPr>
              <w:t>Reply Paid 9826</w:t>
            </w:r>
          </w:p>
          <w:p w14:paraId="4C1545C7" w14:textId="77777777" w:rsidR="00C17DBE" w:rsidRPr="002C2AE4" w:rsidRDefault="00C17DBE" w:rsidP="00C055C0">
            <w:pPr>
              <w:rPr>
                <w:rFonts w:ascii="Arial Narrow" w:hAnsi="Arial Narrow" w:cs="Open Sans"/>
                <w:sz w:val="20"/>
                <w:szCs w:val="20"/>
              </w:rPr>
            </w:pPr>
            <w:r w:rsidRPr="002C2AE4">
              <w:rPr>
                <w:rFonts w:ascii="Arial Narrow" w:hAnsi="Arial Narrow"/>
                <w:sz w:val="20"/>
                <w:szCs w:val="20"/>
              </w:rPr>
              <w:t>HOBART TAS 7001</w:t>
            </w:r>
          </w:p>
        </w:tc>
      </w:tr>
    </w:tbl>
    <w:p w14:paraId="4A3974C6" w14:textId="7838B28F" w:rsidR="00310195" w:rsidRDefault="00310195" w:rsidP="00C17DBE">
      <w:pPr>
        <w:rPr>
          <w:b/>
          <w:bCs/>
        </w:rPr>
      </w:pPr>
    </w:p>
    <w:p w14:paraId="32271322" w14:textId="0A88D714" w:rsidR="00013F88" w:rsidRPr="007E5876" w:rsidRDefault="00013F88">
      <w:r w:rsidRPr="00013F88">
        <w:t xml:space="preserve">Flow on changes to </w:t>
      </w:r>
      <w:r>
        <w:t xml:space="preserve">existing </w:t>
      </w:r>
      <w:r w:rsidR="00EC0EA7">
        <w:t xml:space="preserve">infliximab subcutaneous </w:t>
      </w:r>
      <w:r>
        <w:t>BoS restriction: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567"/>
        <w:gridCol w:w="2976"/>
        <w:gridCol w:w="993"/>
        <w:gridCol w:w="850"/>
        <w:gridCol w:w="851"/>
        <w:gridCol w:w="708"/>
        <w:gridCol w:w="1701"/>
      </w:tblGrid>
      <w:tr w:rsidR="00524A0F" w:rsidRPr="008266E7" w14:paraId="1C942E94" w14:textId="77777777" w:rsidTr="003C69E3">
        <w:trPr>
          <w:cantSplit/>
          <w:trHeight w:val="471"/>
        </w:trPr>
        <w:tc>
          <w:tcPr>
            <w:tcW w:w="3964" w:type="dxa"/>
            <w:gridSpan w:val="3"/>
          </w:tcPr>
          <w:p w14:paraId="2F03834E" w14:textId="77777777" w:rsidR="00524A0F" w:rsidRPr="00663754" w:rsidRDefault="00524A0F" w:rsidP="00566DCB">
            <w:pPr>
              <w:keepNext/>
              <w:ind w:left="-57"/>
              <w:rPr>
                <w:rFonts w:ascii="Arial Narrow" w:hAnsi="Arial Narrow" w:cs="Arial"/>
                <w:b/>
                <w:bCs/>
                <w:sz w:val="20"/>
                <w:szCs w:val="20"/>
              </w:rPr>
            </w:pPr>
            <w:r w:rsidRPr="00663754">
              <w:rPr>
                <w:rFonts w:ascii="Arial Narrow" w:hAnsi="Arial Narrow" w:cs="Arial"/>
                <w:b/>
                <w:bCs/>
                <w:sz w:val="20"/>
                <w:szCs w:val="20"/>
              </w:rPr>
              <w:t>MEDICINAL PRODUCT</w:t>
            </w:r>
          </w:p>
          <w:p w14:paraId="34D11304" w14:textId="77777777" w:rsidR="00524A0F" w:rsidRPr="00663754" w:rsidRDefault="00524A0F" w:rsidP="00566DCB">
            <w:pPr>
              <w:keepNext/>
              <w:ind w:left="-57"/>
              <w:rPr>
                <w:rFonts w:ascii="Arial Narrow" w:hAnsi="Arial Narrow" w:cs="Arial"/>
                <w:b/>
                <w:sz w:val="20"/>
                <w:szCs w:val="20"/>
              </w:rPr>
            </w:pPr>
            <w:r w:rsidRPr="00663754">
              <w:rPr>
                <w:rFonts w:ascii="Arial Narrow" w:hAnsi="Arial Narrow" w:cs="Arial"/>
                <w:b/>
                <w:bCs/>
                <w:sz w:val="20"/>
                <w:szCs w:val="20"/>
              </w:rPr>
              <w:t>medicinal product pack</w:t>
            </w:r>
          </w:p>
        </w:tc>
        <w:tc>
          <w:tcPr>
            <w:tcW w:w="993" w:type="dxa"/>
          </w:tcPr>
          <w:p w14:paraId="53D34576" w14:textId="77777777" w:rsidR="00524A0F" w:rsidRPr="00663754" w:rsidRDefault="00524A0F" w:rsidP="00566DCB">
            <w:pPr>
              <w:keepNext/>
              <w:ind w:left="-108"/>
              <w:jc w:val="center"/>
              <w:rPr>
                <w:rFonts w:ascii="Arial Narrow" w:hAnsi="Arial Narrow" w:cs="Arial"/>
                <w:b/>
                <w:sz w:val="20"/>
                <w:szCs w:val="20"/>
              </w:rPr>
            </w:pPr>
            <w:r w:rsidRPr="00663754">
              <w:rPr>
                <w:rFonts w:ascii="Arial Narrow" w:hAnsi="Arial Narrow" w:cs="Arial"/>
                <w:b/>
                <w:sz w:val="20"/>
                <w:szCs w:val="20"/>
              </w:rPr>
              <w:t>PBS item code</w:t>
            </w:r>
          </w:p>
        </w:tc>
        <w:tc>
          <w:tcPr>
            <w:tcW w:w="850" w:type="dxa"/>
          </w:tcPr>
          <w:p w14:paraId="6B1CA4DE" w14:textId="77777777" w:rsidR="00524A0F" w:rsidRPr="00663754" w:rsidRDefault="00524A0F" w:rsidP="00566DCB">
            <w:pPr>
              <w:keepNext/>
              <w:ind w:left="-108"/>
              <w:jc w:val="center"/>
              <w:rPr>
                <w:rFonts w:ascii="Arial Narrow" w:hAnsi="Arial Narrow" w:cs="Arial"/>
                <w:b/>
                <w:sz w:val="20"/>
                <w:szCs w:val="20"/>
              </w:rPr>
            </w:pPr>
            <w:r w:rsidRPr="00663754">
              <w:rPr>
                <w:rFonts w:ascii="Arial Narrow" w:hAnsi="Arial Narrow" w:cs="Arial"/>
                <w:b/>
                <w:sz w:val="20"/>
                <w:szCs w:val="20"/>
              </w:rPr>
              <w:t>Max. qty packs</w:t>
            </w:r>
          </w:p>
        </w:tc>
        <w:tc>
          <w:tcPr>
            <w:tcW w:w="851" w:type="dxa"/>
          </w:tcPr>
          <w:p w14:paraId="44EDD328" w14:textId="77777777" w:rsidR="00524A0F" w:rsidRPr="00663754" w:rsidRDefault="00524A0F" w:rsidP="00566DCB">
            <w:pPr>
              <w:keepNext/>
              <w:ind w:left="-108"/>
              <w:jc w:val="center"/>
              <w:rPr>
                <w:rFonts w:ascii="Arial Narrow" w:hAnsi="Arial Narrow" w:cs="Arial"/>
                <w:b/>
                <w:sz w:val="20"/>
                <w:szCs w:val="20"/>
              </w:rPr>
            </w:pPr>
            <w:r w:rsidRPr="00663754">
              <w:rPr>
                <w:rFonts w:ascii="Arial Narrow" w:hAnsi="Arial Narrow" w:cs="Arial"/>
                <w:b/>
                <w:sz w:val="20"/>
                <w:szCs w:val="20"/>
              </w:rPr>
              <w:t>Max. qty units</w:t>
            </w:r>
          </w:p>
        </w:tc>
        <w:tc>
          <w:tcPr>
            <w:tcW w:w="708" w:type="dxa"/>
          </w:tcPr>
          <w:p w14:paraId="72CA7EC5" w14:textId="77777777" w:rsidR="00524A0F" w:rsidRPr="00663754" w:rsidRDefault="00524A0F" w:rsidP="00566DCB">
            <w:pPr>
              <w:keepNext/>
              <w:ind w:left="-108"/>
              <w:jc w:val="center"/>
              <w:rPr>
                <w:rFonts w:ascii="Arial Narrow" w:hAnsi="Arial Narrow" w:cs="Arial"/>
                <w:b/>
                <w:sz w:val="20"/>
                <w:szCs w:val="20"/>
              </w:rPr>
            </w:pPr>
            <w:r w:rsidRPr="00663754">
              <w:rPr>
                <w:rFonts w:ascii="Arial Narrow" w:hAnsi="Arial Narrow" w:cs="Arial"/>
                <w:b/>
                <w:sz w:val="20"/>
                <w:szCs w:val="20"/>
              </w:rPr>
              <w:t>№.of</w:t>
            </w:r>
          </w:p>
          <w:p w14:paraId="5D6E3237" w14:textId="77777777" w:rsidR="00524A0F" w:rsidRPr="00663754" w:rsidRDefault="00524A0F" w:rsidP="00566DCB">
            <w:pPr>
              <w:keepNext/>
              <w:ind w:left="-108"/>
              <w:jc w:val="center"/>
              <w:rPr>
                <w:rFonts w:ascii="Arial Narrow" w:hAnsi="Arial Narrow" w:cs="Arial"/>
                <w:b/>
                <w:sz w:val="20"/>
                <w:szCs w:val="20"/>
              </w:rPr>
            </w:pPr>
            <w:r w:rsidRPr="00663754">
              <w:rPr>
                <w:rFonts w:ascii="Arial Narrow" w:hAnsi="Arial Narrow" w:cs="Arial"/>
                <w:b/>
                <w:sz w:val="20"/>
                <w:szCs w:val="20"/>
              </w:rPr>
              <w:t>Rpts</w:t>
            </w:r>
          </w:p>
        </w:tc>
        <w:tc>
          <w:tcPr>
            <w:tcW w:w="1701" w:type="dxa"/>
          </w:tcPr>
          <w:p w14:paraId="6789627C" w14:textId="77777777" w:rsidR="00524A0F" w:rsidRPr="00663754" w:rsidRDefault="00524A0F" w:rsidP="00566DCB">
            <w:pPr>
              <w:keepNext/>
              <w:rPr>
                <w:rFonts w:ascii="Arial Narrow" w:hAnsi="Arial Narrow" w:cs="Arial"/>
                <w:b/>
                <w:sz w:val="20"/>
                <w:szCs w:val="20"/>
                <w:lang w:val="fr-FR"/>
              </w:rPr>
            </w:pPr>
            <w:r w:rsidRPr="00663754">
              <w:rPr>
                <w:rFonts w:ascii="Arial Narrow" w:hAnsi="Arial Narrow" w:cs="Arial"/>
                <w:b/>
                <w:sz w:val="20"/>
                <w:szCs w:val="20"/>
              </w:rPr>
              <w:t>Available brands</w:t>
            </w:r>
          </w:p>
        </w:tc>
      </w:tr>
      <w:tr w:rsidR="00524A0F" w:rsidRPr="008266E7" w14:paraId="4D562D1B" w14:textId="77777777" w:rsidTr="00566DCB">
        <w:trPr>
          <w:cantSplit/>
          <w:trHeight w:val="224"/>
        </w:trPr>
        <w:tc>
          <w:tcPr>
            <w:tcW w:w="9067" w:type="dxa"/>
            <w:gridSpan w:val="8"/>
          </w:tcPr>
          <w:p w14:paraId="7BCB9D15" w14:textId="77777777" w:rsidR="00524A0F" w:rsidRPr="00663754" w:rsidRDefault="00524A0F" w:rsidP="00566DCB">
            <w:pPr>
              <w:keepNext/>
              <w:ind w:left="-57"/>
              <w:rPr>
                <w:rFonts w:ascii="Arial Narrow" w:hAnsi="Arial Narrow" w:cs="Arial"/>
                <w:sz w:val="20"/>
                <w:szCs w:val="20"/>
              </w:rPr>
            </w:pPr>
            <w:r w:rsidRPr="00663754">
              <w:rPr>
                <w:rFonts w:ascii="Arial Narrow" w:hAnsi="Arial Narrow" w:cs="Arial"/>
                <w:sz w:val="20"/>
                <w:szCs w:val="20"/>
              </w:rPr>
              <w:t>INFLIXIMAB</w:t>
            </w:r>
          </w:p>
        </w:tc>
      </w:tr>
      <w:tr w:rsidR="00524A0F" w:rsidRPr="008266E7" w14:paraId="7D5BB92A" w14:textId="77777777" w:rsidTr="003C69E3">
        <w:trPr>
          <w:cantSplit/>
          <w:trHeight w:val="376"/>
        </w:trPr>
        <w:tc>
          <w:tcPr>
            <w:tcW w:w="3964" w:type="dxa"/>
            <w:gridSpan w:val="3"/>
            <w:vAlign w:val="center"/>
          </w:tcPr>
          <w:p w14:paraId="7E0D5606" w14:textId="77777777" w:rsidR="00524A0F" w:rsidRPr="00663754" w:rsidRDefault="00524A0F" w:rsidP="00566DCB">
            <w:pPr>
              <w:keepNext/>
              <w:ind w:left="-57"/>
              <w:jc w:val="left"/>
              <w:rPr>
                <w:rFonts w:ascii="Arial Narrow" w:hAnsi="Arial Narrow" w:cs="Arial"/>
                <w:sz w:val="20"/>
                <w:szCs w:val="20"/>
              </w:rPr>
            </w:pPr>
            <w:r w:rsidRPr="00663754">
              <w:rPr>
                <w:rFonts w:ascii="Arial Narrow" w:hAnsi="Arial Narrow" w:cs="Arial"/>
                <w:sz w:val="20"/>
                <w:szCs w:val="20"/>
              </w:rPr>
              <w:t>infliximab 120 mg/mL injection, 1 mL syringe</w:t>
            </w:r>
          </w:p>
        </w:tc>
        <w:tc>
          <w:tcPr>
            <w:tcW w:w="993" w:type="dxa"/>
            <w:vAlign w:val="center"/>
          </w:tcPr>
          <w:p w14:paraId="60AA0FA0" w14:textId="0B2B5724" w:rsidR="00524A0F" w:rsidRPr="00663754" w:rsidRDefault="00524A0F" w:rsidP="00566DCB">
            <w:pPr>
              <w:keepNext/>
              <w:jc w:val="center"/>
              <w:rPr>
                <w:rFonts w:ascii="Arial Narrow" w:hAnsi="Arial Narrow" w:cs="Arial"/>
                <w:sz w:val="20"/>
                <w:szCs w:val="20"/>
              </w:rPr>
            </w:pPr>
            <w:r w:rsidRPr="00663754">
              <w:rPr>
                <w:rFonts w:ascii="Arial Narrow" w:hAnsi="Arial Narrow" w:cs="Arial"/>
                <w:sz w:val="20"/>
                <w:szCs w:val="20"/>
              </w:rPr>
              <w:t>12555T</w:t>
            </w:r>
          </w:p>
        </w:tc>
        <w:tc>
          <w:tcPr>
            <w:tcW w:w="850" w:type="dxa"/>
            <w:vAlign w:val="center"/>
          </w:tcPr>
          <w:p w14:paraId="7726593E" w14:textId="65B3DA95" w:rsidR="00524A0F" w:rsidRPr="00663754" w:rsidRDefault="00524A0F" w:rsidP="00566DCB">
            <w:pPr>
              <w:keepNext/>
              <w:jc w:val="center"/>
              <w:rPr>
                <w:rFonts w:ascii="Arial Narrow" w:hAnsi="Arial Narrow" w:cs="Arial"/>
                <w:sz w:val="20"/>
                <w:szCs w:val="20"/>
              </w:rPr>
            </w:pPr>
            <w:r w:rsidRPr="00663754">
              <w:rPr>
                <w:rFonts w:ascii="Arial Narrow" w:hAnsi="Arial Narrow" w:cs="Arial"/>
                <w:sz w:val="20"/>
                <w:szCs w:val="20"/>
              </w:rPr>
              <w:t>1</w:t>
            </w:r>
          </w:p>
        </w:tc>
        <w:tc>
          <w:tcPr>
            <w:tcW w:w="851" w:type="dxa"/>
            <w:vAlign w:val="center"/>
          </w:tcPr>
          <w:p w14:paraId="153AA3DA" w14:textId="71CD6171" w:rsidR="00524A0F" w:rsidRPr="00663754" w:rsidRDefault="00524A0F" w:rsidP="00566DCB">
            <w:pPr>
              <w:keepNext/>
              <w:jc w:val="center"/>
              <w:rPr>
                <w:rFonts w:ascii="Arial Narrow" w:hAnsi="Arial Narrow" w:cs="Arial"/>
                <w:sz w:val="20"/>
                <w:szCs w:val="20"/>
              </w:rPr>
            </w:pPr>
            <w:r w:rsidRPr="00663754">
              <w:rPr>
                <w:rFonts w:ascii="Arial Narrow" w:hAnsi="Arial Narrow" w:cs="Arial"/>
                <w:sz w:val="20"/>
                <w:szCs w:val="20"/>
              </w:rPr>
              <w:t>1</w:t>
            </w:r>
          </w:p>
        </w:tc>
        <w:tc>
          <w:tcPr>
            <w:tcW w:w="708" w:type="dxa"/>
            <w:vAlign w:val="center"/>
          </w:tcPr>
          <w:p w14:paraId="05AC8D48" w14:textId="29560399" w:rsidR="00524A0F" w:rsidRPr="00663754" w:rsidRDefault="00524A0F" w:rsidP="00566DCB">
            <w:pPr>
              <w:keepNext/>
              <w:jc w:val="center"/>
              <w:rPr>
                <w:rFonts w:ascii="Arial Narrow" w:hAnsi="Arial Narrow" w:cs="Arial"/>
                <w:sz w:val="20"/>
                <w:szCs w:val="20"/>
              </w:rPr>
            </w:pPr>
            <w:r w:rsidRPr="00663754">
              <w:rPr>
                <w:rFonts w:ascii="Arial Narrow" w:hAnsi="Arial Narrow" w:cs="Arial"/>
                <w:sz w:val="20"/>
                <w:szCs w:val="20"/>
              </w:rPr>
              <w:t>0</w:t>
            </w:r>
          </w:p>
        </w:tc>
        <w:tc>
          <w:tcPr>
            <w:tcW w:w="1701" w:type="dxa"/>
            <w:vAlign w:val="center"/>
          </w:tcPr>
          <w:p w14:paraId="47B4C7A4" w14:textId="77777777" w:rsidR="00524A0F" w:rsidRPr="00663754" w:rsidRDefault="00524A0F" w:rsidP="00566DCB">
            <w:pPr>
              <w:keepNext/>
              <w:jc w:val="left"/>
              <w:rPr>
                <w:rFonts w:ascii="Arial Narrow" w:hAnsi="Arial Narrow" w:cs="Arial"/>
                <w:sz w:val="20"/>
                <w:szCs w:val="20"/>
              </w:rPr>
            </w:pPr>
            <w:r w:rsidRPr="00663754">
              <w:rPr>
                <w:rFonts w:ascii="Arial Narrow" w:hAnsi="Arial Narrow" w:cs="Arial"/>
                <w:sz w:val="20"/>
                <w:szCs w:val="20"/>
              </w:rPr>
              <w:t>Remsima SC</w:t>
            </w:r>
          </w:p>
        </w:tc>
      </w:tr>
      <w:tr w:rsidR="00524A0F" w:rsidRPr="008266E7" w14:paraId="3E1A7490" w14:textId="77777777" w:rsidTr="003C69E3">
        <w:trPr>
          <w:cantSplit/>
          <w:trHeight w:val="347"/>
        </w:trPr>
        <w:tc>
          <w:tcPr>
            <w:tcW w:w="3964" w:type="dxa"/>
            <w:gridSpan w:val="3"/>
            <w:vAlign w:val="center"/>
          </w:tcPr>
          <w:p w14:paraId="42DB7140" w14:textId="77777777" w:rsidR="00524A0F" w:rsidRPr="00663754" w:rsidRDefault="00524A0F" w:rsidP="00566DCB">
            <w:pPr>
              <w:keepNext/>
              <w:ind w:left="-57"/>
              <w:jc w:val="left"/>
              <w:rPr>
                <w:rFonts w:ascii="Arial Narrow" w:hAnsi="Arial Narrow" w:cs="Arial"/>
                <w:sz w:val="20"/>
                <w:szCs w:val="20"/>
              </w:rPr>
            </w:pPr>
            <w:r w:rsidRPr="00663754">
              <w:rPr>
                <w:rFonts w:ascii="Arial Narrow" w:hAnsi="Arial Narrow" w:cs="Arial"/>
                <w:sz w:val="20"/>
                <w:szCs w:val="20"/>
              </w:rPr>
              <w:t>infliximab 120 mg/mL injection, 1 mL pen device</w:t>
            </w:r>
          </w:p>
        </w:tc>
        <w:tc>
          <w:tcPr>
            <w:tcW w:w="993" w:type="dxa"/>
            <w:vAlign w:val="center"/>
          </w:tcPr>
          <w:p w14:paraId="77947ACA" w14:textId="123978C0" w:rsidR="00524A0F" w:rsidRPr="00663754" w:rsidRDefault="00524A0F" w:rsidP="00566DCB">
            <w:pPr>
              <w:keepNext/>
              <w:jc w:val="center"/>
              <w:rPr>
                <w:rFonts w:ascii="Arial Narrow" w:hAnsi="Arial Narrow" w:cs="Arial"/>
                <w:sz w:val="20"/>
                <w:szCs w:val="20"/>
              </w:rPr>
            </w:pPr>
            <w:r w:rsidRPr="00663754">
              <w:rPr>
                <w:rFonts w:ascii="Arial Narrow" w:hAnsi="Arial Narrow" w:cs="Arial"/>
                <w:sz w:val="20"/>
                <w:szCs w:val="20"/>
              </w:rPr>
              <w:t>12566J</w:t>
            </w:r>
          </w:p>
        </w:tc>
        <w:tc>
          <w:tcPr>
            <w:tcW w:w="850" w:type="dxa"/>
            <w:vAlign w:val="center"/>
          </w:tcPr>
          <w:p w14:paraId="16378FB8" w14:textId="7C336C32" w:rsidR="00524A0F" w:rsidRPr="00663754" w:rsidRDefault="00524A0F" w:rsidP="00566DCB">
            <w:pPr>
              <w:keepNext/>
              <w:jc w:val="center"/>
              <w:rPr>
                <w:rFonts w:ascii="Arial Narrow" w:hAnsi="Arial Narrow" w:cs="Arial"/>
                <w:sz w:val="20"/>
                <w:szCs w:val="20"/>
              </w:rPr>
            </w:pPr>
            <w:r w:rsidRPr="00663754">
              <w:rPr>
                <w:rFonts w:ascii="Arial Narrow" w:hAnsi="Arial Narrow" w:cs="Arial"/>
                <w:sz w:val="20"/>
                <w:szCs w:val="20"/>
              </w:rPr>
              <w:t>1</w:t>
            </w:r>
          </w:p>
        </w:tc>
        <w:tc>
          <w:tcPr>
            <w:tcW w:w="851" w:type="dxa"/>
            <w:vAlign w:val="center"/>
          </w:tcPr>
          <w:p w14:paraId="6C9154E4" w14:textId="3E2C63EF" w:rsidR="00524A0F" w:rsidRPr="00663754" w:rsidRDefault="00524A0F" w:rsidP="00566DCB">
            <w:pPr>
              <w:keepNext/>
              <w:jc w:val="center"/>
              <w:rPr>
                <w:rFonts w:ascii="Arial Narrow" w:hAnsi="Arial Narrow" w:cs="Arial"/>
                <w:sz w:val="20"/>
                <w:szCs w:val="20"/>
              </w:rPr>
            </w:pPr>
            <w:r w:rsidRPr="00663754">
              <w:rPr>
                <w:rFonts w:ascii="Arial Narrow" w:hAnsi="Arial Narrow" w:cs="Arial"/>
                <w:sz w:val="20"/>
                <w:szCs w:val="20"/>
              </w:rPr>
              <w:t>1</w:t>
            </w:r>
          </w:p>
        </w:tc>
        <w:tc>
          <w:tcPr>
            <w:tcW w:w="708" w:type="dxa"/>
            <w:vAlign w:val="center"/>
          </w:tcPr>
          <w:p w14:paraId="1E72A0DF" w14:textId="77E44CB9" w:rsidR="00524A0F" w:rsidRPr="00663754" w:rsidRDefault="00524A0F" w:rsidP="00566DCB">
            <w:pPr>
              <w:keepNext/>
              <w:jc w:val="center"/>
              <w:rPr>
                <w:rFonts w:ascii="Arial Narrow" w:hAnsi="Arial Narrow" w:cs="Arial"/>
                <w:sz w:val="20"/>
                <w:szCs w:val="20"/>
              </w:rPr>
            </w:pPr>
            <w:r w:rsidRPr="00663754">
              <w:rPr>
                <w:rFonts w:ascii="Arial Narrow" w:hAnsi="Arial Narrow" w:cs="Arial"/>
                <w:sz w:val="20"/>
                <w:szCs w:val="20"/>
              </w:rPr>
              <w:t>0</w:t>
            </w:r>
          </w:p>
        </w:tc>
        <w:tc>
          <w:tcPr>
            <w:tcW w:w="1701" w:type="dxa"/>
            <w:vAlign w:val="center"/>
          </w:tcPr>
          <w:p w14:paraId="2E92502C" w14:textId="77777777" w:rsidR="00524A0F" w:rsidRPr="00663754" w:rsidRDefault="00524A0F" w:rsidP="00566DCB">
            <w:pPr>
              <w:keepNext/>
              <w:jc w:val="left"/>
              <w:rPr>
                <w:rFonts w:ascii="Arial Narrow" w:hAnsi="Arial Narrow" w:cs="Arial"/>
                <w:sz w:val="20"/>
                <w:szCs w:val="20"/>
              </w:rPr>
            </w:pPr>
            <w:r w:rsidRPr="00663754">
              <w:rPr>
                <w:rFonts w:ascii="Arial Narrow" w:hAnsi="Arial Narrow" w:cs="Arial"/>
                <w:sz w:val="20"/>
                <w:szCs w:val="20"/>
              </w:rPr>
              <w:t>Remsima SC</w:t>
            </w:r>
          </w:p>
        </w:tc>
      </w:tr>
      <w:tr w:rsidR="00524A0F" w:rsidRPr="008266E7" w14:paraId="5F4428D4" w14:textId="77777777" w:rsidTr="00566DC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673B0BE4" w14:textId="77777777" w:rsidR="00524A0F" w:rsidRPr="00663754" w:rsidRDefault="00524A0F" w:rsidP="00566DCB">
            <w:pPr>
              <w:rPr>
                <w:rFonts w:ascii="Arial Narrow" w:hAnsi="Arial Narrow" w:cs="Arial"/>
                <w:sz w:val="20"/>
                <w:szCs w:val="20"/>
              </w:rPr>
            </w:pPr>
          </w:p>
        </w:tc>
      </w:tr>
      <w:tr w:rsidR="00524A0F" w:rsidRPr="008266E7" w14:paraId="14F2D6E8" w14:textId="77777777" w:rsidTr="00566DCB">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54DF48A5" w14:textId="31976B80" w:rsidR="00524A0F" w:rsidRPr="00663754" w:rsidRDefault="00987BC3" w:rsidP="00566DCB">
            <w:pPr>
              <w:rPr>
                <w:rFonts w:ascii="Arial Narrow" w:hAnsi="Arial Narrow" w:cs="Arial"/>
                <w:b/>
                <w:sz w:val="20"/>
                <w:szCs w:val="20"/>
              </w:rPr>
            </w:pPr>
            <w:r w:rsidRPr="00663754">
              <w:rPr>
                <w:rFonts w:ascii="Arial Narrow" w:hAnsi="Arial Narrow"/>
                <w:b/>
                <w:sz w:val="20"/>
                <w:szCs w:val="20"/>
              </w:rPr>
              <w:t xml:space="preserve">Amend </w:t>
            </w:r>
            <w:r w:rsidR="00524A0F" w:rsidRPr="00663754">
              <w:rPr>
                <w:rFonts w:ascii="Arial Narrow" w:hAnsi="Arial Narrow"/>
                <w:b/>
                <w:sz w:val="20"/>
                <w:szCs w:val="20"/>
              </w:rPr>
              <w:t>Restriction Summary [new] / Treatment of Concept: [new]</w:t>
            </w:r>
          </w:p>
        </w:tc>
      </w:tr>
      <w:tr w:rsidR="00524A0F" w:rsidRPr="008266E7" w14:paraId="607DA0B4" w14:textId="77777777" w:rsidTr="00566DCB">
        <w:tblPrEx>
          <w:tblCellMar>
            <w:top w:w="15" w:type="dxa"/>
            <w:left w:w="15" w:type="dxa"/>
            <w:bottom w:w="15" w:type="dxa"/>
            <w:right w:w="15" w:type="dxa"/>
          </w:tblCellMar>
          <w:tblLook w:val="04A0" w:firstRow="1" w:lastRow="0" w:firstColumn="1" w:lastColumn="0" w:noHBand="0" w:noVBand="1"/>
        </w:tblPrEx>
        <w:tc>
          <w:tcPr>
            <w:tcW w:w="988" w:type="dxa"/>
            <w:gridSpan w:val="2"/>
            <w:vMerge w:val="restart"/>
            <w:tcBorders>
              <w:top w:val="single" w:sz="4" w:space="0" w:color="auto"/>
              <w:left w:val="single" w:sz="4" w:space="0" w:color="auto"/>
              <w:right w:val="single" w:sz="4" w:space="0" w:color="auto"/>
            </w:tcBorders>
          </w:tcPr>
          <w:p w14:paraId="432B4A83" w14:textId="77777777" w:rsidR="00524A0F" w:rsidRPr="00663754" w:rsidRDefault="00524A0F" w:rsidP="00566DCB">
            <w:pPr>
              <w:jc w:val="center"/>
              <w:rPr>
                <w:rFonts w:ascii="Arial Narrow" w:hAnsi="Arial Narrow" w:cs="Arial"/>
                <w:b/>
                <w:sz w:val="20"/>
                <w:szCs w:val="20"/>
              </w:rPr>
            </w:pPr>
            <w:r w:rsidRPr="00663754">
              <w:rPr>
                <w:rFonts w:ascii="Arial Narrow" w:hAnsi="Arial Narrow" w:cs="Arial"/>
                <w:b/>
                <w:sz w:val="20"/>
                <w:szCs w:val="20"/>
              </w:rPr>
              <w:t>Concept ID</w:t>
            </w:r>
          </w:p>
          <w:p w14:paraId="6ED66153" w14:textId="77777777" w:rsidR="00524A0F" w:rsidRPr="00663754" w:rsidRDefault="00524A0F" w:rsidP="00566DCB">
            <w:pPr>
              <w:jc w:val="center"/>
              <w:rPr>
                <w:rFonts w:ascii="Arial Narrow" w:hAnsi="Arial Narrow" w:cs="Arial"/>
                <w:sz w:val="20"/>
                <w:szCs w:val="20"/>
              </w:rPr>
            </w:pPr>
            <w:r w:rsidRPr="00663754">
              <w:rPr>
                <w:rFonts w:ascii="Arial Narrow" w:hAnsi="Arial Narrow" w:cs="Arial"/>
                <w:sz w:val="20"/>
                <w:szCs w:val="20"/>
              </w:rPr>
              <w:t>(for internal Dept. use)</w:t>
            </w:r>
          </w:p>
        </w:tc>
        <w:tc>
          <w:tcPr>
            <w:tcW w:w="8079" w:type="dxa"/>
            <w:gridSpan w:val="6"/>
            <w:tcBorders>
              <w:top w:val="single" w:sz="4" w:space="0" w:color="auto"/>
              <w:left w:val="single" w:sz="4" w:space="0" w:color="auto"/>
              <w:bottom w:val="single" w:sz="4" w:space="0" w:color="auto"/>
              <w:right w:val="single" w:sz="4" w:space="0" w:color="auto"/>
            </w:tcBorders>
          </w:tcPr>
          <w:p w14:paraId="31608FE9" w14:textId="77777777" w:rsidR="00524A0F" w:rsidRPr="00663754" w:rsidRDefault="00524A0F" w:rsidP="00566DCB">
            <w:pPr>
              <w:rPr>
                <w:rFonts w:ascii="Arial Narrow" w:hAnsi="Arial Narrow" w:cs="Arial"/>
                <w:sz w:val="20"/>
                <w:szCs w:val="20"/>
              </w:rPr>
            </w:pPr>
            <w:r w:rsidRPr="00663754">
              <w:rPr>
                <w:rFonts w:ascii="Arial Narrow" w:hAnsi="Arial Narrow" w:cs="Arial"/>
                <w:b/>
                <w:sz w:val="20"/>
                <w:szCs w:val="20"/>
              </w:rPr>
              <w:t xml:space="preserve">Category / Program:   </w:t>
            </w:r>
            <w:r w:rsidRPr="00663754">
              <w:rPr>
                <w:rFonts w:ascii="Arial Narrow" w:hAnsi="Arial Narrow" w:cs="Arial"/>
                <w:sz w:val="20"/>
                <w:szCs w:val="20"/>
              </w:rPr>
              <w:t xml:space="preserve">GENERAL – General Schedule (Code GE) </w:t>
            </w:r>
          </w:p>
        </w:tc>
      </w:tr>
      <w:tr w:rsidR="00524A0F" w:rsidRPr="008266E7" w14:paraId="108F7362" w14:textId="77777777" w:rsidTr="00566DCB">
        <w:tblPrEx>
          <w:tblCellMar>
            <w:top w:w="15" w:type="dxa"/>
            <w:left w:w="15" w:type="dxa"/>
            <w:bottom w:w="15" w:type="dxa"/>
            <w:right w:w="15" w:type="dxa"/>
          </w:tblCellMar>
          <w:tblLook w:val="04A0" w:firstRow="1" w:lastRow="0" w:firstColumn="1" w:lastColumn="0" w:noHBand="0" w:noVBand="1"/>
        </w:tblPrEx>
        <w:trPr>
          <w:trHeight w:val="240"/>
        </w:trPr>
        <w:tc>
          <w:tcPr>
            <w:tcW w:w="988" w:type="dxa"/>
            <w:gridSpan w:val="2"/>
            <w:vMerge/>
            <w:tcBorders>
              <w:left w:val="single" w:sz="4" w:space="0" w:color="auto"/>
              <w:right w:val="single" w:sz="4" w:space="0" w:color="auto"/>
            </w:tcBorders>
          </w:tcPr>
          <w:p w14:paraId="4E8B0909" w14:textId="77777777" w:rsidR="00524A0F" w:rsidRPr="00663754" w:rsidRDefault="00524A0F" w:rsidP="00566DCB">
            <w:pPr>
              <w:rPr>
                <w:rFonts w:ascii="Arial Narrow" w:hAnsi="Arial Narrow" w:cs="Arial"/>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46E66A79" w14:textId="77777777" w:rsidR="00524A0F" w:rsidRPr="00663754" w:rsidRDefault="00524A0F" w:rsidP="00566DCB">
            <w:pPr>
              <w:rPr>
                <w:rFonts w:ascii="Arial Narrow" w:hAnsi="Arial Narrow" w:cs="Arial"/>
                <w:b/>
                <w:sz w:val="20"/>
                <w:szCs w:val="20"/>
              </w:rPr>
            </w:pPr>
            <w:r w:rsidRPr="00663754">
              <w:rPr>
                <w:rFonts w:ascii="Arial Narrow" w:hAnsi="Arial Narrow" w:cs="Arial"/>
                <w:b/>
                <w:sz w:val="20"/>
                <w:szCs w:val="20"/>
              </w:rPr>
              <w:t xml:space="preserve">Prescriber type:   </w:t>
            </w:r>
            <w:r w:rsidRPr="00663754">
              <w:rPr>
                <w:rFonts w:ascii="Arial Narrow" w:hAnsi="Arial Narrow" w:cs="Arial"/>
                <w:sz w:val="20"/>
                <w:szCs w:val="20"/>
              </w:rPr>
              <w:fldChar w:fldCharType="begin">
                <w:ffData>
                  <w:name w:val=""/>
                  <w:enabled/>
                  <w:calcOnExit w:val="0"/>
                  <w:checkBox>
                    <w:sizeAuto/>
                    <w:default w:val="1"/>
                  </w:checkBox>
                </w:ffData>
              </w:fldChar>
            </w:r>
            <w:r w:rsidRPr="00663754">
              <w:rPr>
                <w:rFonts w:ascii="Arial Narrow" w:hAnsi="Arial Narrow" w:cs="Arial"/>
                <w:sz w:val="20"/>
                <w:szCs w:val="20"/>
              </w:rPr>
              <w:instrText xml:space="preserve"> FORMCHECKBOX </w:instrText>
            </w:r>
            <w:r w:rsidR="007C2102">
              <w:rPr>
                <w:rFonts w:ascii="Arial Narrow" w:hAnsi="Arial Narrow" w:cs="Arial"/>
                <w:sz w:val="20"/>
                <w:szCs w:val="20"/>
              </w:rPr>
            </w:r>
            <w:r w:rsidR="007C2102">
              <w:rPr>
                <w:rFonts w:ascii="Arial Narrow" w:hAnsi="Arial Narrow" w:cs="Arial"/>
                <w:sz w:val="20"/>
                <w:szCs w:val="20"/>
              </w:rPr>
              <w:fldChar w:fldCharType="separate"/>
            </w:r>
            <w:r w:rsidRPr="00663754">
              <w:rPr>
                <w:rFonts w:ascii="Arial Narrow" w:hAnsi="Arial Narrow" w:cs="Arial"/>
                <w:sz w:val="20"/>
                <w:szCs w:val="20"/>
              </w:rPr>
              <w:fldChar w:fldCharType="end"/>
            </w:r>
            <w:r w:rsidRPr="00663754">
              <w:rPr>
                <w:rFonts w:ascii="Arial Narrow" w:hAnsi="Arial Narrow" w:cs="Arial"/>
                <w:sz w:val="20"/>
                <w:szCs w:val="20"/>
              </w:rPr>
              <w:t>Medical Practitioners</w:t>
            </w:r>
          </w:p>
        </w:tc>
      </w:tr>
      <w:tr w:rsidR="00524A0F" w:rsidRPr="008266E7" w14:paraId="37F68467" w14:textId="77777777" w:rsidTr="00566DCB">
        <w:tblPrEx>
          <w:tblCellMar>
            <w:top w:w="15" w:type="dxa"/>
            <w:left w:w="15" w:type="dxa"/>
            <w:bottom w:w="15" w:type="dxa"/>
            <w:right w:w="15" w:type="dxa"/>
          </w:tblCellMar>
          <w:tblLook w:val="04A0" w:firstRow="1" w:lastRow="0" w:firstColumn="1" w:lastColumn="0" w:noHBand="0" w:noVBand="1"/>
        </w:tblPrEx>
        <w:tc>
          <w:tcPr>
            <w:tcW w:w="988" w:type="dxa"/>
            <w:gridSpan w:val="2"/>
            <w:vMerge/>
            <w:tcBorders>
              <w:left w:val="single" w:sz="4" w:space="0" w:color="auto"/>
              <w:bottom w:val="single" w:sz="4" w:space="0" w:color="auto"/>
              <w:right w:val="single" w:sz="4" w:space="0" w:color="auto"/>
            </w:tcBorders>
          </w:tcPr>
          <w:p w14:paraId="6A4A3EC1" w14:textId="77777777" w:rsidR="00524A0F" w:rsidRPr="00663754" w:rsidRDefault="00524A0F" w:rsidP="00566DCB">
            <w:pPr>
              <w:rPr>
                <w:rFonts w:ascii="Arial Narrow" w:hAnsi="Arial Narrow" w:cs="Arial"/>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3D566F3E" w14:textId="78D53BE8" w:rsidR="00524A0F" w:rsidRPr="00663754" w:rsidRDefault="00524A0F" w:rsidP="00566DCB">
            <w:pPr>
              <w:rPr>
                <w:rFonts w:ascii="Arial Narrow" w:eastAsia="Calibri" w:hAnsi="Arial Narrow" w:cs="Arial"/>
                <w:sz w:val="20"/>
                <w:szCs w:val="20"/>
              </w:rPr>
            </w:pPr>
            <w:r w:rsidRPr="00663754">
              <w:rPr>
                <w:rFonts w:ascii="Arial Narrow" w:hAnsi="Arial Narrow" w:cs="Arial"/>
                <w:b/>
                <w:sz w:val="20"/>
                <w:szCs w:val="20"/>
              </w:rPr>
              <w:t xml:space="preserve">Restriction type: </w:t>
            </w:r>
            <w:r w:rsidRPr="00663754">
              <w:rPr>
                <w:rFonts w:ascii="Arial Narrow" w:eastAsia="Calibri" w:hAnsi="Arial Narrow" w:cs="Arial"/>
                <w:sz w:val="20"/>
                <w:szCs w:val="20"/>
              </w:rPr>
              <w:t xml:space="preserve"> </w:t>
            </w:r>
            <w:r w:rsidRPr="00663754">
              <w:rPr>
                <w:rFonts w:ascii="Arial Narrow" w:eastAsia="Calibri" w:hAnsi="Arial Narrow" w:cs="Arial"/>
                <w:sz w:val="20"/>
                <w:szCs w:val="20"/>
              </w:rPr>
              <w:fldChar w:fldCharType="begin">
                <w:ffData>
                  <w:name w:val="Check3"/>
                  <w:enabled/>
                  <w:calcOnExit w:val="0"/>
                  <w:checkBox>
                    <w:sizeAuto/>
                    <w:default w:val="1"/>
                  </w:checkBox>
                </w:ffData>
              </w:fldChar>
            </w:r>
            <w:r w:rsidRPr="00663754">
              <w:rPr>
                <w:rFonts w:ascii="Arial Narrow" w:eastAsia="Calibri" w:hAnsi="Arial Narrow" w:cs="Arial"/>
                <w:sz w:val="20"/>
                <w:szCs w:val="20"/>
              </w:rPr>
              <w:instrText xml:space="preserve"> FORMCHECKBOX </w:instrText>
            </w:r>
            <w:r w:rsidR="007C2102">
              <w:rPr>
                <w:rFonts w:ascii="Arial Narrow" w:eastAsia="Calibri" w:hAnsi="Arial Narrow" w:cs="Arial"/>
                <w:sz w:val="20"/>
                <w:szCs w:val="20"/>
              </w:rPr>
            </w:r>
            <w:r w:rsidR="007C2102">
              <w:rPr>
                <w:rFonts w:ascii="Arial Narrow" w:eastAsia="Calibri" w:hAnsi="Arial Narrow" w:cs="Arial"/>
                <w:sz w:val="20"/>
                <w:szCs w:val="20"/>
              </w:rPr>
              <w:fldChar w:fldCharType="separate"/>
            </w:r>
            <w:r w:rsidRPr="00663754">
              <w:rPr>
                <w:rFonts w:ascii="Arial Narrow" w:eastAsia="Calibri" w:hAnsi="Arial Narrow" w:cs="Arial"/>
                <w:sz w:val="20"/>
                <w:szCs w:val="20"/>
              </w:rPr>
              <w:fldChar w:fldCharType="end"/>
            </w:r>
            <w:r w:rsidRPr="00663754">
              <w:rPr>
                <w:rFonts w:ascii="Arial Narrow" w:eastAsia="Calibri" w:hAnsi="Arial Narrow" w:cs="Arial"/>
                <w:sz w:val="20"/>
                <w:szCs w:val="20"/>
              </w:rPr>
              <w:t xml:space="preserve">Authority Required (telephone/electronic): </w:t>
            </w:r>
          </w:p>
        </w:tc>
      </w:tr>
      <w:tr w:rsidR="00524A0F" w:rsidRPr="00280B3C" w14:paraId="1FE83BE6" w14:textId="77777777" w:rsidTr="00566DCB">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val="restart"/>
            <w:tcBorders>
              <w:left w:val="single" w:sz="4" w:space="0" w:color="auto"/>
              <w:right w:val="single" w:sz="4" w:space="0" w:color="auto"/>
            </w:tcBorders>
            <w:textDirection w:val="btLr"/>
          </w:tcPr>
          <w:p w14:paraId="074225F5" w14:textId="51621611" w:rsidR="00524A0F" w:rsidRPr="00663754" w:rsidRDefault="00524A0F" w:rsidP="00566DCB">
            <w:pPr>
              <w:spacing w:line="0" w:lineRule="atLeast"/>
              <w:ind w:left="57" w:right="57"/>
              <w:jc w:val="center"/>
              <w:rPr>
                <w:rFonts w:ascii="Arial Narrow" w:hAnsi="Arial Narrow" w:cs="Arial"/>
                <w:sz w:val="20"/>
                <w:szCs w:val="20"/>
              </w:rPr>
            </w:pPr>
          </w:p>
        </w:tc>
        <w:tc>
          <w:tcPr>
            <w:tcW w:w="567" w:type="dxa"/>
            <w:vAlign w:val="center"/>
          </w:tcPr>
          <w:p w14:paraId="0FB6E6DF" w14:textId="3B08884F" w:rsidR="00524A0F" w:rsidRPr="00663754" w:rsidRDefault="00524A0F" w:rsidP="00566DCB">
            <w:pPr>
              <w:jc w:val="center"/>
              <w:rPr>
                <w:rFonts w:ascii="Arial Narrow" w:hAnsi="Arial Narrow"/>
                <w:sz w:val="20"/>
                <w:szCs w:val="20"/>
              </w:rPr>
            </w:pPr>
          </w:p>
        </w:tc>
        <w:tc>
          <w:tcPr>
            <w:tcW w:w="8079" w:type="dxa"/>
            <w:gridSpan w:val="6"/>
            <w:vAlign w:val="center"/>
          </w:tcPr>
          <w:p w14:paraId="691D099C" w14:textId="77777777" w:rsidR="00524A0F" w:rsidRPr="00663754" w:rsidRDefault="00524A0F" w:rsidP="00524A0F">
            <w:pPr>
              <w:rPr>
                <w:rFonts w:ascii="Arial Narrow" w:hAnsi="Arial Narrow"/>
                <w:b/>
                <w:bCs/>
                <w:sz w:val="20"/>
                <w:szCs w:val="20"/>
              </w:rPr>
            </w:pPr>
            <w:r w:rsidRPr="00663754">
              <w:rPr>
                <w:rFonts w:ascii="Arial Narrow" w:hAnsi="Arial Narrow"/>
                <w:b/>
                <w:bCs/>
                <w:sz w:val="20"/>
                <w:szCs w:val="20"/>
              </w:rPr>
              <w:t>Administrative Advice:</w:t>
            </w:r>
          </w:p>
          <w:p w14:paraId="4E048ED4" w14:textId="1A068D86" w:rsidR="00524A0F" w:rsidRPr="00663754" w:rsidRDefault="00524A0F" w:rsidP="00524A0F">
            <w:pPr>
              <w:rPr>
                <w:rFonts w:ascii="Arial Narrow" w:hAnsi="Arial Narrow"/>
                <w:sz w:val="20"/>
                <w:szCs w:val="20"/>
              </w:rPr>
            </w:pPr>
            <w:r w:rsidRPr="00663754">
              <w:rPr>
                <w:rFonts w:ascii="Arial Narrow" w:hAnsi="Arial Narrow"/>
                <w:sz w:val="20"/>
                <w:szCs w:val="20"/>
              </w:rPr>
              <w:t>PBS AUTHORITY APPLICATIONS FOR SEVERE ACTIVE RHEUMATOID ARTHRITIS…</w:t>
            </w:r>
          </w:p>
        </w:tc>
      </w:tr>
      <w:tr w:rsidR="00524A0F" w:rsidRPr="00EC291E" w14:paraId="0B8C48F6" w14:textId="77777777" w:rsidTr="00566DCB">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2B4EBB13" w14:textId="77777777" w:rsidR="00524A0F" w:rsidRPr="00663754" w:rsidRDefault="00524A0F" w:rsidP="00566DCB">
            <w:pPr>
              <w:spacing w:line="0" w:lineRule="atLeast"/>
              <w:ind w:left="57" w:right="57"/>
              <w:jc w:val="center"/>
              <w:rPr>
                <w:rFonts w:ascii="Arial Narrow" w:hAnsi="Arial Narrow" w:cs="Arial"/>
                <w:sz w:val="20"/>
                <w:szCs w:val="20"/>
              </w:rPr>
            </w:pPr>
          </w:p>
        </w:tc>
        <w:tc>
          <w:tcPr>
            <w:tcW w:w="567" w:type="dxa"/>
            <w:vAlign w:val="center"/>
          </w:tcPr>
          <w:p w14:paraId="066B9D8D" w14:textId="3AF55C13" w:rsidR="00524A0F" w:rsidRPr="00663754" w:rsidRDefault="00524A0F" w:rsidP="00566DCB">
            <w:pPr>
              <w:jc w:val="center"/>
              <w:rPr>
                <w:rFonts w:ascii="Arial Narrow" w:hAnsi="Arial Narrow"/>
                <w:sz w:val="20"/>
                <w:szCs w:val="20"/>
              </w:rPr>
            </w:pPr>
          </w:p>
        </w:tc>
        <w:tc>
          <w:tcPr>
            <w:tcW w:w="8079" w:type="dxa"/>
            <w:gridSpan w:val="6"/>
            <w:vAlign w:val="center"/>
          </w:tcPr>
          <w:p w14:paraId="6987CEEF" w14:textId="77777777" w:rsidR="00524A0F" w:rsidRPr="00663754" w:rsidRDefault="00524A0F" w:rsidP="00566DCB">
            <w:pPr>
              <w:rPr>
                <w:rFonts w:ascii="Arial Narrow" w:hAnsi="Arial Narrow"/>
                <w:b/>
                <w:bCs/>
                <w:sz w:val="20"/>
                <w:szCs w:val="20"/>
              </w:rPr>
            </w:pPr>
            <w:r w:rsidRPr="00663754">
              <w:rPr>
                <w:rFonts w:ascii="Arial Narrow" w:hAnsi="Arial Narrow"/>
                <w:b/>
                <w:bCs/>
                <w:sz w:val="20"/>
                <w:szCs w:val="20"/>
              </w:rPr>
              <w:t>Administrative Advice:</w:t>
            </w:r>
          </w:p>
          <w:p w14:paraId="1A1AA72E" w14:textId="0B6F30A5" w:rsidR="00524A0F" w:rsidRPr="00663754" w:rsidRDefault="00524A0F" w:rsidP="00524A0F">
            <w:pPr>
              <w:rPr>
                <w:rFonts w:ascii="Arial Narrow" w:hAnsi="Arial Narrow"/>
                <w:b/>
                <w:bCs/>
                <w:sz w:val="20"/>
                <w:szCs w:val="20"/>
              </w:rPr>
            </w:pPr>
            <w:r w:rsidRPr="00663754">
              <w:rPr>
                <w:rFonts w:ascii="Arial Narrow" w:hAnsi="Arial Narrow"/>
                <w:i/>
                <w:iCs/>
                <w:sz w:val="20"/>
                <w:szCs w:val="20"/>
              </w:rPr>
              <w:t>The application should indicate which formulation eg. pre-filled pen or pre-filled syringe to ensure appropriate item is approved.</w:t>
            </w:r>
          </w:p>
        </w:tc>
      </w:tr>
      <w:tr w:rsidR="00524A0F" w:rsidRPr="00C703E4" w14:paraId="2B78CADB" w14:textId="77777777" w:rsidTr="00566DCB">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7A391023" w14:textId="77777777" w:rsidR="00524A0F" w:rsidRPr="00663754" w:rsidRDefault="00524A0F" w:rsidP="00566DCB">
            <w:pPr>
              <w:spacing w:line="0" w:lineRule="atLeast"/>
              <w:ind w:left="57" w:right="57"/>
              <w:jc w:val="center"/>
              <w:rPr>
                <w:rFonts w:ascii="Arial Narrow" w:hAnsi="Arial Narrow" w:cs="Arial"/>
                <w:sz w:val="20"/>
                <w:szCs w:val="20"/>
              </w:rPr>
            </w:pPr>
          </w:p>
        </w:tc>
        <w:tc>
          <w:tcPr>
            <w:tcW w:w="567" w:type="dxa"/>
            <w:vAlign w:val="center"/>
          </w:tcPr>
          <w:p w14:paraId="7A2D01CD" w14:textId="71DA0CD5" w:rsidR="00524A0F" w:rsidRPr="00663754" w:rsidRDefault="00524A0F" w:rsidP="00566DCB">
            <w:pPr>
              <w:jc w:val="center"/>
              <w:rPr>
                <w:rFonts w:ascii="Arial Narrow" w:hAnsi="Arial Narrow"/>
                <w:sz w:val="20"/>
                <w:szCs w:val="20"/>
              </w:rPr>
            </w:pPr>
          </w:p>
        </w:tc>
        <w:tc>
          <w:tcPr>
            <w:tcW w:w="8079" w:type="dxa"/>
            <w:gridSpan w:val="6"/>
            <w:vAlign w:val="center"/>
          </w:tcPr>
          <w:p w14:paraId="2BAB15AD" w14:textId="77777777" w:rsidR="00524A0F" w:rsidRPr="00663754" w:rsidRDefault="00524A0F" w:rsidP="00566DCB">
            <w:pPr>
              <w:rPr>
                <w:rFonts w:ascii="Arial Narrow" w:hAnsi="Arial Narrow"/>
                <w:b/>
                <w:bCs/>
                <w:sz w:val="20"/>
                <w:szCs w:val="20"/>
              </w:rPr>
            </w:pPr>
            <w:r w:rsidRPr="00663754">
              <w:rPr>
                <w:rFonts w:ascii="Arial Narrow" w:hAnsi="Arial Narrow"/>
                <w:b/>
                <w:bCs/>
                <w:sz w:val="20"/>
                <w:szCs w:val="20"/>
              </w:rPr>
              <w:t>Administrative Advice:</w:t>
            </w:r>
          </w:p>
          <w:p w14:paraId="0CC2E285" w14:textId="4FBD30E7" w:rsidR="00524A0F" w:rsidRPr="00663754" w:rsidRDefault="00524A0F" w:rsidP="00566DCB">
            <w:pPr>
              <w:rPr>
                <w:rFonts w:ascii="Arial Narrow" w:hAnsi="Arial Narrow"/>
                <w:b/>
                <w:bCs/>
                <w:sz w:val="20"/>
                <w:szCs w:val="20"/>
              </w:rPr>
            </w:pPr>
            <w:r w:rsidRPr="00663754">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524A0F" w:rsidRPr="00915C05" w14:paraId="657B7752" w14:textId="77777777" w:rsidTr="00566DCB">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540AF26C" w14:textId="77777777" w:rsidR="00524A0F" w:rsidRPr="00663754" w:rsidRDefault="00524A0F" w:rsidP="00566DCB">
            <w:pPr>
              <w:jc w:val="center"/>
              <w:rPr>
                <w:rFonts w:ascii="Arial Narrow" w:hAnsi="Arial Narrow"/>
                <w:sz w:val="20"/>
                <w:szCs w:val="20"/>
              </w:rPr>
            </w:pPr>
          </w:p>
        </w:tc>
        <w:tc>
          <w:tcPr>
            <w:tcW w:w="8079" w:type="dxa"/>
            <w:gridSpan w:val="6"/>
            <w:vAlign w:val="center"/>
          </w:tcPr>
          <w:p w14:paraId="43030249" w14:textId="77777777" w:rsidR="00524A0F" w:rsidRPr="00663754" w:rsidRDefault="00524A0F" w:rsidP="00566DCB">
            <w:pPr>
              <w:rPr>
                <w:rFonts w:ascii="Arial Narrow" w:hAnsi="Arial Narrow"/>
                <w:b/>
                <w:bCs/>
                <w:sz w:val="20"/>
                <w:szCs w:val="20"/>
              </w:rPr>
            </w:pPr>
          </w:p>
        </w:tc>
      </w:tr>
      <w:tr w:rsidR="00524A0F" w:rsidRPr="00915C05" w14:paraId="7B0BF293" w14:textId="77777777" w:rsidTr="007E5876">
        <w:tblPrEx>
          <w:tblCellMar>
            <w:top w:w="15" w:type="dxa"/>
            <w:left w:w="15" w:type="dxa"/>
            <w:bottom w:w="15" w:type="dxa"/>
            <w:right w:w="15" w:type="dxa"/>
          </w:tblCellMar>
        </w:tblPrEx>
        <w:tc>
          <w:tcPr>
            <w:tcW w:w="988" w:type="dxa"/>
            <w:gridSpan w:val="2"/>
          </w:tcPr>
          <w:p w14:paraId="407F643C" w14:textId="552B2F9A" w:rsidR="00524A0F" w:rsidRPr="00663754" w:rsidRDefault="00524A0F" w:rsidP="00524A0F">
            <w:pPr>
              <w:jc w:val="center"/>
              <w:rPr>
                <w:rFonts w:ascii="Arial Narrow" w:hAnsi="Arial Narrow"/>
                <w:sz w:val="20"/>
                <w:szCs w:val="20"/>
              </w:rPr>
            </w:pPr>
          </w:p>
        </w:tc>
        <w:tc>
          <w:tcPr>
            <w:tcW w:w="8079" w:type="dxa"/>
            <w:gridSpan w:val="6"/>
          </w:tcPr>
          <w:p w14:paraId="281E477C" w14:textId="77777777" w:rsidR="00524A0F" w:rsidRPr="00663754" w:rsidRDefault="00524A0F" w:rsidP="00524A0F">
            <w:pPr>
              <w:pStyle w:val="NormalWeb"/>
              <w:spacing w:before="0" w:beforeAutospacing="0" w:after="0" w:afterAutospacing="0"/>
              <w:textAlignment w:val="baseline"/>
              <w:rPr>
                <w:rFonts w:ascii="Arial Narrow" w:hAnsi="Arial Narrow" w:cs="Open Sans"/>
                <w:sz w:val="20"/>
                <w:szCs w:val="20"/>
              </w:rPr>
            </w:pPr>
            <w:r w:rsidRPr="00663754">
              <w:rPr>
                <w:rStyle w:val="Strong"/>
                <w:rFonts w:ascii="Arial Narrow" w:hAnsi="Arial Narrow" w:cs="Open Sans"/>
                <w:sz w:val="20"/>
                <w:szCs w:val="20"/>
                <w:bdr w:val="none" w:sz="0" w:space="0" w:color="auto" w:frame="1"/>
              </w:rPr>
              <w:t>Indication:</w:t>
            </w:r>
          </w:p>
          <w:p w14:paraId="72351FA5" w14:textId="2CA936BE" w:rsidR="00524A0F" w:rsidRPr="00663754" w:rsidRDefault="00524A0F" w:rsidP="00524A0F">
            <w:pPr>
              <w:rPr>
                <w:rFonts w:ascii="Arial Narrow" w:hAnsi="Arial Narrow"/>
                <w:b/>
                <w:bCs/>
                <w:sz w:val="20"/>
                <w:szCs w:val="20"/>
              </w:rPr>
            </w:pPr>
            <w:r w:rsidRPr="00663754">
              <w:rPr>
                <w:rFonts w:ascii="Arial Narrow" w:hAnsi="Arial Narrow" w:cs="Open Sans"/>
                <w:sz w:val="20"/>
                <w:szCs w:val="20"/>
              </w:rPr>
              <w:t>Severe active rheumatoid arthritis</w:t>
            </w:r>
          </w:p>
        </w:tc>
      </w:tr>
      <w:tr w:rsidR="00524A0F" w:rsidRPr="00915C05" w14:paraId="39BDA164" w14:textId="77777777" w:rsidTr="007E5876">
        <w:tblPrEx>
          <w:tblCellMar>
            <w:top w:w="15" w:type="dxa"/>
            <w:left w:w="15" w:type="dxa"/>
            <w:bottom w:w="15" w:type="dxa"/>
            <w:right w:w="15" w:type="dxa"/>
          </w:tblCellMar>
        </w:tblPrEx>
        <w:tc>
          <w:tcPr>
            <w:tcW w:w="988" w:type="dxa"/>
            <w:gridSpan w:val="2"/>
          </w:tcPr>
          <w:p w14:paraId="08349C63" w14:textId="77777777" w:rsidR="00524A0F" w:rsidRPr="00663754" w:rsidRDefault="00524A0F" w:rsidP="00524A0F">
            <w:pPr>
              <w:jc w:val="center"/>
              <w:rPr>
                <w:rFonts w:ascii="Arial Narrow" w:hAnsi="Arial Narrow"/>
                <w:sz w:val="20"/>
                <w:szCs w:val="20"/>
              </w:rPr>
            </w:pPr>
          </w:p>
        </w:tc>
        <w:tc>
          <w:tcPr>
            <w:tcW w:w="8079" w:type="dxa"/>
            <w:gridSpan w:val="6"/>
          </w:tcPr>
          <w:p w14:paraId="72A5D091" w14:textId="77777777" w:rsidR="00524A0F" w:rsidRPr="00663754" w:rsidRDefault="00524A0F" w:rsidP="00524A0F">
            <w:pPr>
              <w:pStyle w:val="NormalWeb"/>
              <w:spacing w:before="0" w:beforeAutospacing="0" w:after="0" w:afterAutospacing="0"/>
              <w:textAlignment w:val="baseline"/>
              <w:rPr>
                <w:rFonts w:ascii="Arial Narrow" w:hAnsi="Arial Narrow" w:cs="Open Sans"/>
                <w:sz w:val="20"/>
                <w:szCs w:val="20"/>
              </w:rPr>
            </w:pPr>
            <w:r w:rsidRPr="00663754">
              <w:rPr>
                <w:rStyle w:val="Strong"/>
                <w:rFonts w:ascii="Arial Narrow" w:hAnsi="Arial Narrow" w:cs="Open Sans"/>
                <w:sz w:val="20"/>
                <w:szCs w:val="20"/>
                <w:bdr w:val="none" w:sz="0" w:space="0" w:color="auto" w:frame="1"/>
              </w:rPr>
              <w:t>Treatment Phase:</w:t>
            </w:r>
          </w:p>
          <w:p w14:paraId="6560482C" w14:textId="5E3F37B2" w:rsidR="00524A0F" w:rsidRPr="00663754" w:rsidRDefault="00524A0F" w:rsidP="00524A0F">
            <w:pPr>
              <w:rPr>
                <w:rFonts w:ascii="Arial Narrow" w:hAnsi="Arial Narrow"/>
                <w:b/>
                <w:bCs/>
                <w:sz w:val="20"/>
                <w:szCs w:val="20"/>
              </w:rPr>
            </w:pPr>
            <w:r w:rsidRPr="00663754">
              <w:rPr>
                <w:rFonts w:ascii="Arial Narrow" w:hAnsi="Arial Narrow" w:cs="Open Sans"/>
                <w:sz w:val="20"/>
                <w:szCs w:val="20"/>
              </w:rPr>
              <w:t>Balance of supply for Initial treatment, Continuing treatment - subcutaneous form</w:t>
            </w:r>
          </w:p>
        </w:tc>
      </w:tr>
      <w:tr w:rsidR="00955EDF" w:rsidRPr="00915C05" w14:paraId="2FDBC9CD" w14:textId="77777777" w:rsidTr="00955EDF">
        <w:tblPrEx>
          <w:tblCellMar>
            <w:top w:w="15" w:type="dxa"/>
            <w:left w:w="15" w:type="dxa"/>
            <w:bottom w:w="15" w:type="dxa"/>
            <w:right w:w="15" w:type="dxa"/>
          </w:tblCellMar>
          <w:tblLook w:val="04A0" w:firstRow="1" w:lastRow="0" w:firstColumn="1" w:lastColumn="0" w:noHBand="0" w:noVBand="1"/>
        </w:tblPrEx>
        <w:tc>
          <w:tcPr>
            <w:tcW w:w="988" w:type="dxa"/>
            <w:gridSpan w:val="2"/>
          </w:tcPr>
          <w:p w14:paraId="65F00E06" w14:textId="77777777" w:rsidR="00955EDF" w:rsidRPr="00663754" w:rsidRDefault="00955EDF" w:rsidP="00524A0F">
            <w:pPr>
              <w:jc w:val="center"/>
              <w:rPr>
                <w:rFonts w:ascii="Arial Narrow" w:hAnsi="Arial Narrow"/>
                <w:sz w:val="20"/>
                <w:szCs w:val="20"/>
              </w:rPr>
            </w:pPr>
          </w:p>
        </w:tc>
        <w:tc>
          <w:tcPr>
            <w:tcW w:w="8079" w:type="dxa"/>
            <w:gridSpan w:val="6"/>
          </w:tcPr>
          <w:p w14:paraId="4556D951" w14:textId="77777777" w:rsidR="00955EDF" w:rsidRPr="00663754" w:rsidRDefault="00955EDF" w:rsidP="00524A0F">
            <w:pPr>
              <w:pStyle w:val="NormalWeb"/>
              <w:spacing w:before="0" w:beforeAutospacing="0" w:after="0" w:afterAutospacing="0"/>
              <w:textAlignment w:val="baseline"/>
              <w:rPr>
                <w:rStyle w:val="Strong"/>
                <w:rFonts w:ascii="Arial Narrow" w:hAnsi="Arial Narrow" w:cs="Open Sans"/>
                <w:sz w:val="20"/>
                <w:szCs w:val="20"/>
                <w:bdr w:val="none" w:sz="0" w:space="0" w:color="auto" w:frame="1"/>
              </w:rPr>
            </w:pPr>
          </w:p>
        </w:tc>
      </w:tr>
      <w:tr w:rsidR="00524A0F" w:rsidRPr="00915C05" w14:paraId="3F9CB6E5" w14:textId="77777777" w:rsidTr="007E5876">
        <w:tblPrEx>
          <w:tblCellMar>
            <w:top w:w="15" w:type="dxa"/>
            <w:left w:w="15" w:type="dxa"/>
            <w:bottom w:w="15" w:type="dxa"/>
            <w:right w:w="15" w:type="dxa"/>
          </w:tblCellMar>
        </w:tblPrEx>
        <w:tc>
          <w:tcPr>
            <w:tcW w:w="988" w:type="dxa"/>
            <w:gridSpan w:val="2"/>
          </w:tcPr>
          <w:p w14:paraId="1112B934" w14:textId="74CE1A42" w:rsidR="00524A0F" w:rsidRPr="00663754" w:rsidRDefault="00524A0F" w:rsidP="00524A0F">
            <w:pPr>
              <w:jc w:val="center"/>
              <w:rPr>
                <w:rFonts w:ascii="Arial Narrow" w:hAnsi="Arial Narrow"/>
                <w:sz w:val="20"/>
                <w:szCs w:val="20"/>
              </w:rPr>
            </w:pPr>
          </w:p>
        </w:tc>
        <w:tc>
          <w:tcPr>
            <w:tcW w:w="8079" w:type="dxa"/>
            <w:gridSpan w:val="6"/>
          </w:tcPr>
          <w:p w14:paraId="1657C13B" w14:textId="0C467066" w:rsidR="00524A0F" w:rsidRPr="00663754" w:rsidRDefault="00524A0F" w:rsidP="00524A0F">
            <w:pPr>
              <w:rPr>
                <w:rFonts w:ascii="Arial Narrow" w:hAnsi="Arial Narrow"/>
                <w:b/>
                <w:bCs/>
                <w:sz w:val="20"/>
                <w:szCs w:val="20"/>
              </w:rPr>
            </w:pPr>
            <w:r w:rsidRPr="00663754">
              <w:rPr>
                <w:rStyle w:val="Strong"/>
                <w:rFonts w:ascii="Arial Narrow" w:hAnsi="Arial Narrow" w:cs="Open Sans"/>
                <w:sz w:val="20"/>
                <w:szCs w:val="20"/>
                <w:bdr w:val="none" w:sz="0" w:space="0" w:color="auto" w:frame="1"/>
              </w:rPr>
              <w:t>Treatment criteria:</w:t>
            </w:r>
          </w:p>
        </w:tc>
      </w:tr>
      <w:tr w:rsidR="00524A0F" w:rsidRPr="00915C05" w14:paraId="143B32E5" w14:textId="77777777" w:rsidTr="007E5876">
        <w:tblPrEx>
          <w:tblCellMar>
            <w:top w:w="15" w:type="dxa"/>
            <w:left w:w="15" w:type="dxa"/>
            <w:bottom w:w="15" w:type="dxa"/>
            <w:right w:w="15" w:type="dxa"/>
          </w:tblCellMar>
        </w:tblPrEx>
        <w:tc>
          <w:tcPr>
            <w:tcW w:w="988" w:type="dxa"/>
            <w:gridSpan w:val="2"/>
          </w:tcPr>
          <w:p w14:paraId="5C1433C7" w14:textId="21D244B9" w:rsidR="00524A0F" w:rsidRPr="00663754" w:rsidRDefault="00524A0F" w:rsidP="00524A0F">
            <w:pPr>
              <w:jc w:val="center"/>
              <w:rPr>
                <w:rFonts w:ascii="Arial Narrow" w:hAnsi="Arial Narrow"/>
                <w:sz w:val="20"/>
                <w:szCs w:val="20"/>
              </w:rPr>
            </w:pPr>
          </w:p>
        </w:tc>
        <w:tc>
          <w:tcPr>
            <w:tcW w:w="8079" w:type="dxa"/>
            <w:gridSpan w:val="6"/>
          </w:tcPr>
          <w:p w14:paraId="0E134498" w14:textId="263866FE" w:rsidR="00524A0F" w:rsidRPr="00663754" w:rsidRDefault="00524A0F" w:rsidP="00524A0F">
            <w:pPr>
              <w:rPr>
                <w:rFonts w:ascii="Arial Narrow" w:hAnsi="Arial Narrow"/>
                <w:b/>
                <w:bCs/>
                <w:sz w:val="20"/>
                <w:szCs w:val="20"/>
              </w:rPr>
            </w:pPr>
            <w:r w:rsidRPr="00663754">
              <w:rPr>
                <w:rFonts w:ascii="Arial Narrow" w:hAnsi="Arial Narrow" w:cs="Open Sans"/>
                <w:sz w:val="20"/>
                <w:szCs w:val="20"/>
              </w:rPr>
              <w:t>Must be treated by a rheumatologist; or</w:t>
            </w:r>
          </w:p>
        </w:tc>
      </w:tr>
      <w:tr w:rsidR="00524A0F" w:rsidRPr="00915C05" w14:paraId="53CB8A8E" w14:textId="77777777" w:rsidTr="007E5876">
        <w:tblPrEx>
          <w:tblCellMar>
            <w:top w:w="15" w:type="dxa"/>
            <w:left w:w="15" w:type="dxa"/>
            <w:bottom w:w="15" w:type="dxa"/>
            <w:right w:w="15" w:type="dxa"/>
          </w:tblCellMar>
        </w:tblPrEx>
        <w:tc>
          <w:tcPr>
            <w:tcW w:w="988" w:type="dxa"/>
            <w:gridSpan w:val="2"/>
          </w:tcPr>
          <w:p w14:paraId="0537C06F" w14:textId="1AA332AB" w:rsidR="00524A0F" w:rsidRPr="00663754" w:rsidRDefault="00524A0F" w:rsidP="00524A0F">
            <w:pPr>
              <w:jc w:val="center"/>
              <w:rPr>
                <w:rFonts w:ascii="Arial Narrow" w:hAnsi="Arial Narrow"/>
                <w:sz w:val="20"/>
                <w:szCs w:val="20"/>
              </w:rPr>
            </w:pPr>
          </w:p>
        </w:tc>
        <w:tc>
          <w:tcPr>
            <w:tcW w:w="8079" w:type="dxa"/>
            <w:gridSpan w:val="6"/>
          </w:tcPr>
          <w:p w14:paraId="46DE28AF" w14:textId="697C1E4E" w:rsidR="00524A0F" w:rsidRPr="00663754" w:rsidRDefault="00524A0F" w:rsidP="00524A0F">
            <w:pPr>
              <w:rPr>
                <w:rFonts w:ascii="Arial Narrow" w:hAnsi="Arial Narrow"/>
                <w:b/>
                <w:bCs/>
                <w:sz w:val="20"/>
                <w:szCs w:val="20"/>
              </w:rPr>
            </w:pPr>
            <w:r w:rsidRPr="00663754">
              <w:rPr>
                <w:rFonts w:ascii="Arial Narrow" w:hAnsi="Arial Narrow" w:cs="Open Sans"/>
                <w:sz w:val="20"/>
                <w:szCs w:val="20"/>
              </w:rPr>
              <w:t>Must be treated by a clinical immunologist with expertise in the management of rheumatoid arthritis</w:t>
            </w:r>
          </w:p>
        </w:tc>
      </w:tr>
      <w:tr w:rsidR="00524A0F" w:rsidRPr="00915C05" w14:paraId="6127E030" w14:textId="77777777" w:rsidTr="007E5876">
        <w:tblPrEx>
          <w:tblCellMar>
            <w:top w:w="15" w:type="dxa"/>
            <w:left w:w="15" w:type="dxa"/>
            <w:bottom w:w="15" w:type="dxa"/>
            <w:right w:w="15" w:type="dxa"/>
          </w:tblCellMar>
        </w:tblPrEx>
        <w:tc>
          <w:tcPr>
            <w:tcW w:w="988" w:type="dxa"/>
            <w:gridSpan w:val="2"/>
          </w:tcPr>
          <w:p w14:paraId="34DD970D" w14:textId="77777777" w:rsidR="00524A0F" w:rsidRPr="00663754" w:rsidRDefault="00524A0F" w:rsidP="00524A0F">
            <w:pPr>
              <w:jc w:val="center"/>
              <w:rPr>
                <w:rFonts w:ascii="Arial Narrow" w:hAnsi="Arial Narrow"/>
                <w:sz w:val="20"/>
                <w:szCs w:val="20"/>
              </w:rPr>
            </w:pPr>
          </w:p>
        </w:tc>
        <w:tc>
          <w:tcPr>
            <w:tcW w:w="8079" w:type="dxa"/>
            <w:gridSpan w:val="6"/>
          </w:tcPr>
          <w:p w14:paraId="33F88C37" w14:textId="022494B5" w:rsidR="00524A0F" w:rsidRPr="00663754" w:rsidRDefault="00524A0F" w:rsidP="00524A0F">
            <w:pPr>
              <w:rPr>
                <w:rFonts w:ascii="Arial Narrow" w:hAnsi="Arial Narrow"/>
                <w:b/>
                <w:bCs/>
                <w:sz w:val="20"/>
                <w:szCs w:val="20"/>
              </w:rPr>
            </w:pPr>
            <w:r w:rsidRPr="00663754">
              <w:rPr>
                <w:rStyle w:val="Strong"/>
                <w:rFonts w:ascii="Arial Narrow" w:hAnsi="Arial Narrow" w:cs="Open Sans"/>
                <w:sz w:val="20"/>
                <w:szCs w:val="20"/>
                <w:bdr w:val="none" w:sz="0" w:space="0" w:color="auto" w:frame="1"/>
              </w:rPr>
              <w:t>AND</w:t>
            </w:r>
          </w:p>
        </w:tc>
      </w:tr>
      <w:tr w:rsidR="00987BC3" w:rsidRPr="00915C05" w14:paraId="187A6CEF" w14:textId="77777777" w:rsidTr="007E5876">
        <w:tblPrEx>
          <w:tblCellMar>
            <w:top w:w="15" w:type="dxa"/>
            <w:left w:w="15" w:type="dxa"/>
            <w:bottom w:w="15" w:type="dxa"/>
            <w:right w:w="15" w:type="dxa"/>
          </w:tblCellMar>
        </w:tblPrEx>
        <w:tc>
          <w:tcPr>
            <w:tcW w:w="988" w:type="dxa"/>
            <w:gridSpan w:val="2"/>
          </w:tcPr>
          <w:p w14:paraId="606CF993" w14:textId="01DB8C36" w:rsidR="00987BC3" w:rsidRPr="00663754" w:rsidRDefault="00987BC3" w:rsidP="00987BC3">
            <w:pPr>
              <w:jc w:val="center"/>
              <w:rPr>
                <w:rFonts w:ascii="Arial Narrow" w:hAnsi="Arial Narrow"/>
                <w:sz w:val="20"/>
                <w:szCs w:val="20"/>
              </w:rPr>
            </w:pPr>
          </w:p>
        </w:tc>
        <w:tc>
          <w:tcPr>
            <w:tcW w:w="8079" w:type="dxa"/>
            <w:gridSpan w:val="6"/>
          </w:tcPr>
          <w:p w14:paraId="4FAF7077" w14:textId="1D80160A" w:rsidR="00987BC3" w:rsidRPr="00663754" w:rsidRDefault="00987BC3" w:rsidP="00987BC3">
            <w:pPr>
              <w:rPr>
                <w:rFonts w:ascii="Arial Narrow" w:hAnsi="Arial Narrow"/>
                <w:b/>
                <w:bCs/>
                <w:sz w:val="20"/>
                <w:szCs w:val="20"/>
              </w:rPr>
            </w:pPr>
            <w:r w:rsidRPr="00663754">
              <w:rPr>
                <w:rStyle w:val="Strong"/>
                <w:rFonts w:ascii="Arial Narrow" w:hAnsi="Arial Narrow" w:cs="Open Sans"/>
                <w:sz w:val="20"/>
                <w:szCs w:val="20"/>
                <w:bdr w:val="none" w:sz="0" w:space="0" w:color="auto" w:frame="1"/>
              </w:rPr>
              <w:t>Clinical criteria:</w:t>
            </w:r>
          </w:p>
        </w:tc>
      </w:tr>
      <w:tr w:rsidR="00987BC3" w:rsidRPr="00915C05" w14:paraId="5F205768" w14:textId="77777777" w:rsidTr="007E5876">
        <w:tblPrEx>
          <w:tblCellMar>
            <w:top w:w="15" w:type="dxa"/>
            <w:left w:w="15" w:type="dxa"/>
            <w:bottom w:w="15" w:type="dxa"/>
            <w:right w:w="15" w:type="dxa"/>
          </w:tblCellMar>
        </w:tblPrEx>
        <w:tc>
          <w:tcPr>
            <w:tcW w:w="988" w:type="dxa"/>
            <w:gridSpan w:val="2"/>
          </w:tcPr>
          <w:p w14:paraId="7C743EE8" w14:textId="5E9EAF09" w:rsidR="00987BC3" w:rsidRPr="00663754" w:rsidRDefault="00987BC3" w:rsidP="00987BC3">
            <w:pPr>
              <w:jc w:val="center"/>
              <w:rPr>
                <w:rFonts w:ascii="Arial Narrow" w:hAnsi="Arial Narrow" w:cs="Open Sans"/>
                <w:strike/>
                <w:sz w:val="20"/>
                <w:szCs w:val="20"/>
              </w:rPr>
            </w:pPr>
          </w:p>
        </w:tc>
        <w:tc>
          <w:tcPr>
            <w:tcW w:w="8079" w:type="dxa"/>
            <w:gridSpan w:val="6"/>
          </w:tcPr>
          <w:p w14:paraId="129E549A" w14:textId="085934D6" w:rsidR="00987BC3" w:rsidRPr="00663754" w:rsidRDefault="00987BC3" w:rsidP="00987BC3">
            <w:pPr>
              <w:rPr>
                <w:rStyle w:val="Strong"/>
                <w:rFonts w:ascii="Arial Narrow" w:hAnsi="Arial Narrow" w:cs="Open Sans"/>
                <w:b w:val="0"/>
                <w:bCs w:val="0"/>
                <w:i/>
                <w:iCs/>
                <w:strike/>
                <w:sz w:val="20"/>
                <w:szCs w:val="20"/>
                <w:bdr w:val="none" w:sz="0" w:space="0" w:color="auto" w:frame="1"/>
              </w:rPr>
            </w:pPr>
            <w:r w:rsidRPr="00663754">
              <w:rPr>
                <w:rFonts w:ascii="Arial Narrow" w:hAnsi="Arial Narrow" w:cs="Open Sans"/>
                <w:strike/>
                <w:sz w:val="20"/>
                <w:szCs w:val="20"/>
              </w:rPr>
              <w:t>Patient must have received insufficient therapy with this drug for this condition under the Initial treatment with subcutaneous form restriction to complete 22 weeks initial treatment (intravenous and subcutaneous inclusive); or</w:t>
            </w:r>
          </w:p>
        </w:tc>
      </w:tr>
      <w:tr w:rsidR="00987BC3" w:rsidRPr="00915C05" w14:paraId="51B43D40" w14:textId="77777777" w:rsidTr="007E5876">
        <w:tblPrEx>
          <w:tblCellMar>
            <w:top w:w="15" w:type="dxa"/>
            <w:left w:w="15" w:type="dxa"/>
            <w:bottom w:w="15" w:type="dxa"/>
            <w:right w:w="15" w:type="dxa"/>
          </w:tblCellMar>
        </w:tblPrEx>
        <w:tc>
          <w:tcPr>
            <w:tcW w:w="988" w:type="dxa"/>
            <w:gridSpan w:val="2"/>
          </w:tcPr>
          <w:p w14:paraId="35048550" w14:textId="08ADC7B0" w:rsidR="00987BC3" w:rsidRPr="00663754" w:rsidRDefault="00987BC3" w:rsidP="00987BC3">
            <w:pPr>
              <w:jc w:val="center"/>
              <w:rPr>
                <w:rFonts w:ascii="Arial Narrow" w:hAnsi="Arial Narrow" w:cs="Open Sans"/>
                <w:strike/>
                <w:sz w:val="20"/>
                <w:szCs w:val="20"/>
              </w:rPr>
            </w:pPr>
          </w:p>
        </w:tc>
        <w:tc>
          <w:tcPr>
            <w:tcW w:w="8079" w:type="dxa"/>
            <w:gridSpan w:val="6"/>
          </w:tcPr>
          <w:p w14:paraId="097B13D3" w14:textId="108CC3CE" w:rsidR="00987BC3" w:rsidRPr="00663754" w:rsidDel="00987BC3" w:rsidRDefault="00987BC3" w:rsidP="00987BC3">
            <w:pPr>
              <w:rPr>
                <w:rFonts w:ascii="Arial Narrow" w:hAnsi="Arial Narrow" w:cs="Open Sans"/>
                <w:i/>
                <w:iCs/>
                <w:strike/>
                <w:sz w:val="20"/>
                <w:szCs w:val="20"/>
              </w:rPr>
            </w:pPr>
            <w:r w:rsidRPr="00663754">
              <w:rPr>
                <w:rFonts w:ascii="Arial Narrow" w:hAnsi="Arial Narrow" w:cs="Open Sans"/>
                <w:strike/>
                <w:sz w:val="20"/>
                <w:szCs w:val="20"/>
              </w:rPr>
              <w:t>Patient must have received insufficient therapy with this drug for this condition under the continuing treatment with subcutaneous form restriction to complete 24 weeks treatment</w:t>
            </w:r>
          </w:p>
        </w:tc>
      </w:tr>
      <w:tr w:rsidR="00987BC3" w:rsidRPr="00915C05" w14:paraId="1E8F82C8" w14:textId="77777777" w:rsidTr="00955EDF">
        <w:tblPrEx>
          <w:tblCellMar>
            <w:top w:w="15" w:type="dxa"/>
            <w:left w:w="15" w:type="dxa"/>
            <w:bottom w:w="15" w:type="dxa"/>
            <w:right w:w="15" w:type="dxa"/>
          </w:tblCellMar>
        </w:tblPrEx>
        <w:tc>
          <w:tcPr>
            <w:tcW w:w="988" w:type="dxa"/>
            <w:gridSpan w:val="2"/>
            <w:vAlign w:val="center"/>
          </w:tcPr>
          <w:p w14:paraId="12EC5C66" w14:textId="77777777" w:rsidR="00987BC3" w:rsidRPr="00663754" w:rsidRDefault="00987BC3">
            <w:pPr>
              <w:jc w:val="center"/>
              <w:rPr>
                <w:rFonts w:ascii="Arial Narrow" w:hAnsi="Arial Narrow" w:cs="Open Sans"/>
                <w:sz w:val="20"/>
                <w:szCs w:val="20"/>
              </w:rPr>
            </w:pPr>
          </w:p>
        </w:tc>
        <w:tc>
          <w:tcPr>
            <w:tcW w:w="8079" w:type="dxa"/>
            <w:gridSpan w:val="6"/>
          </w:tcPr>
          <w:p w14:paraId="10A17EF0" w14:textId="77777777" w:rsidR="00987BC3" w:rsidRPr="00663754" w:rsidDel="00987BC3" w:rsidRDefault="00987BC3" w:rsidP="00524A0F">
            <w:pPr>
              <w:rPr>
                <w:rFonts w:ascii="Arial Narrow" w:hAnsi="Arial Narrow" w:cs="Open Sans"/>
                <w:i/>
                <w:iCs/>
                <w:sz w:val="20"/>
                <w:szCs w:val="20"/>
              </w:rPr>
            </w:pPr>
          </w:p>
        </w:tc>
      </w:tr>
      <w:tr w:rsidR="00987BC3" w:rsidRPr="00915C05" w14:paraId="118CB356" w14:textId="77777777" w:rsidTr="00955EDF">
        <w:tblPrEx>
          <w:tblCellMar>
            <w:top w:w="15" w:type="dxa"/>
            <w:left w:w="15" w:type="dxa"/>
            <w:bottom w:w="15" w:type="dxa"/>
            <w:right w:w="15" w:type="dxa"/>
          </w:tblCellMar>
        </w:tblPrEx>
        <w:tc>
          <w:tcPr>
            <w:tcW w:w="988" w:type="dxa"/>
            <w:gridSpan w:val="2"/>
            <w:vAlign w:val="center"/>
          </w:tcPr>
          <w:p w14:paraId="61C25BF8" w14:textId="0DD26622" w:rsidR="00987BC3" w:rsidRPr="00663754" w:rsidRDefault="00987BC3">
            <w:pPr>
              <w:jc w:val="center"/>
              <w:rPr>
                <w:rFonts w:ascii="Arial Narrow" w:hAnsi="Arial Narrow" w:cs="Open Sans"/>
                <w:sz w:val="20"/>
                <w:szCs w:val="20"/>
              </w:rPr>
            </w:pPr>
          </w:p>
        </w:tc>
        <w:tc>
          <w:tcPr>
            <w:tcW w:w="8079" w:type="dxa"/>
            <w:gridSpan w:val="6"/>
          </w:tcPr>
          <w:p w14:paraId="784F340C" w14:textId="6861F007" w:rsidR="00987BC3" w:rsidRPr="00663754" w:rsidDel="00987BC3" w:rsidRDefault="00987BC3" w:rsidP="00524A0F">
            <w:pPr>
              <w:rPr>
                <w:rFonts w:ascii="Arial Narrow" w:hAnsi="Arial Narrow" w:cs="Open Sans"/>
                <w:i/>
                <w:iCs/>
                <w:sz w:val="20"/>
                <w:szCs w:val="20"/>
              </w:rPr>
            </w:pPr>
            <w:r w:rsidRPr="00663754">
              <w:rPr>
                <w:rStyle w:val="Strong"/>
                <w:rFonts w:ascii="Arial Narrow" w:hAnsi="Arial Narrow" w:cs="Open Sans"/>
                <w:sz w:val="20"/>
                <w:szCs w:val="20"/>
                <w:bdr w:val="none" w:sz="0" w:space="0" w:color="auto" w:frame="1"/>
              </w:rPr>
              <w:t>Clinical criteria:</w:t>
            </w:r>
          </w:p>
        </w:tc>
      </w:tr>
      <w:tr w:rsidR="00987BC3" w:rsidRPr="00915C05" w14:paraId="76EFB5B9" w14:textId="77777777" w:rsidTr="00955EDF">
        <w:tblPrEx>
          <w:tblCellMar>
            <w:top w:w="15" w:type="dxa"/>
            <w:left w:w="15" w:type="dxa"/>
            <w:bottom w:w="15" w:type="dxa"/>
            <w:right w:w="15" w:type="dxa"/>
          </w:tblCellMar>
        </w:tblPrEx>
        <w:tc>
          <w:tcPr>
            <w:tcW w:w="988" w:type="dxa"/>
            <w:gridSpan w:val="2"/>
            <w:vAlign w:val="center"/>
          </w:tcPr>
          <w:p w14:paraId="5894C5EA" w14:textId="77777777" w:rsidR="00987BC3" w:rsidRPr="00663754" w:rsidRDefault="00987BC3">
            <w:pPr>
              <w:jc w:val="center"/>
              <w:rPr>
                <w:rFonts w:ascii="Arial Narrow" w:hAnsi="Arial Narrow" w:cs="Open Sans"/>
                <w:sz w:val="20"/>
                <w:szCs w:val="20"/>
              </w:rPr>
            </w:pPr>
          </w:p>
        </w:tc>
        <w:tc>
          <w:tcPr>
            <w:tcW w:w="8079" w:type="dxa"/>
            <w:gridSpan w:val="6"/>
          </w:tcPr>
          <w:p w14:paraId="5E7984FD" w14:textId="10575C01" w:rsidR="00987BC3" w:rsidRPr="00663754" w:rsidDel="00987BC3" w:rsidRDefault="00987BC3" w:rsidP="00524A0F">
            <w:pPr>
              <w:rPr>
                <w:rFonts w:ascii="Arial Narrow" w:hAnsi="Arial Narrow" w:cs="Open Sans"/>
                <w:i/>
                <w:iCs/>
                <w:sz w:val="20"/>
                <w:szCs w:val="20"/>
              </w:rPr>
            </w:pPr>
            <w:r w:rsidRPr="00663754">
              <w:rPr>
                <w:rFonts w:ascii="Arial Narrow" w:hAnsi="Arial Narrow" w:cs="Open Sans"/>
                <w:i/>
                <w:iCs/>
                <w:sz w:val="20"/>
                <w:szCs w:val="20"/>
              </w:rPr>
              <w:t>The treatment must have been prescribed, in the most recent authority application with this drug for this condition, with a quantity that was less than available with respect to at least one of: (i) maximum units, (ii) repeats</w:t>
            </w:r>
          </w:p>
        </w:tc>
      </w:tr>
      <w:tr w:rsidR="00524A0F" w:rsidRPr="00915C05" w14:paraId="59D34BE6" w14:textId="77777777" w:rsidTr="007E5876">
        <w:tblPrEx>
          <w:tblCellMar>
            <w:top w:w="15" w:type="dxa"/>
            <w:left w:w="15" w:type="dxa"/>
            <w:bottom w:w="15" w:type="dxa"/>
            <w:right w:w="15" w:type="dxa"/>
          </w:tblCellMar>
        </w:tblPrEx>
        <w:tc>
          <w:tcPr>
            <w:tcW w:w="988" w:type="dxa"/>
            <w:gridSpan w:val="2"/>
          </w:tcPr>
          <w:p w14:paraId="1D2B5C9B" w14:textId="77777777" w:rsidR="00524A0F" w:rsidRPr="00663754" w:rsidRDefault="00524A0F" w:rsidP="00524A0F">
            <w:pPr>
              <w:jc w:val="center"/>
              <w:rPr>
                <w:rFonts w:ascii="Arial Narrow" w:hAnsi="Arial Narrow"/>
                <w:sz w:val="20"/>
                <w:szCs w:val="20"/>
              </w:rPr>
            </w:pPr>
          </w:p>
        </w:tc>
        <w:tc>
          <w:tcPr>
            <w:tcW w:w="8079" w:type="dxa"/>
            <w:gridSpan w:val="6"/>
          </w:tcPr>
          <w:p w14:paraId="238C5631" w14:textId="09020E17" w:rsidR="00524A0F" w:rsidRPr="00663754" w:rsidRDefault="00524A0F" w:rsidP="00524A0F">
            <w:pPr>
              <w:rPr>
                <w:rFonts w:ascii="Arial Narrow" w:hAnsi="Arial Narrow"/>
                <w:b/>
                <w:bCs/>
                <w:sz w:val="20"/>
                <w:szCs w:val="20"/>
              </w:rPr>
            </w:pPr>
            <w:r w:rsidRPr="00663754">
              <w:rPr>
                <w:rStyle w:val="Strong"/>
                <w:rFonts w:ascii="Arial Narrow" w:hAnsi="Arial Narrow" w:cs="Open Sans"/>
                <w:sz w:val="20"/>
                <w:szCs w:val="20"/>
                <w:bdr w:val="none" w:sz="0" w:space="0" w:color="auto" w:frame="1"/>
              </w:rPr>
              <w:t>AND</w:t>
            </w:r>
          </w:p>
        </w:tc>
      </w:tr>
      <w:tr w:rsidR="00524A0F" w:rsidRPr="00915C05" w14:paraId="6B06F554" w14:textId="77777777" w:rsidTr="007E5876">
        <w:tblPrEx>
          <w:tblCellMar>
            <w:top w:w="15" w:type="dxa"/>
            <w:left w:w="15" w:type="dxa"/>
            <w:bottom w:w="15" w:type="dxa"/>
            <w:right w:w="15" w:type="dxa"/>
          </w:tblCellMar>
        </w:tblPrEx>
        <w:tc>
          <w:tcPr>
            <w:tcW w:w="988" w:type="dxa"/>
            <w:gridSpan w:val="2"/>
          </w:tcPr>
          <w:p w14:paraId="55811915" w14:textId="5BA4ECDC" w:rsidR="00524A0F" w:rsidRPr="00663754" w:rsidRDefault="00524A0F" w:rsidP="00524A0F">
            <w:pPr>
              <w:jc w:val="center"/>
              <w:rPr>
                <w:rFonts w:ascii="Arial Narrow" w:hAnsi="Arial Narrow"/>
                <w:sz w:val="20"/>
                <w:szCs w:val="20"/>
              </w:rPr>
            </w:pPr>
          </w:p>
        </w:tc>
        <w:tc>
          <w:tcPr>
            <w:tcW w:w="8079" w:type="dxa"/>
            <w:gridSpan w:val="6"/>
          </w:tcPr>
          <w:p w14:paraId="54AC24A7" w14:textId="5E24EFEE" w:rsidR="00524A0F" w:rsidRPr="00663754" w:rsidRDefault="00524A0F" w:rsidP="00524A0F">
            <w:pPr>
              <w:rPr>
                <w:rFonts w:ascii="Arial Narrow" w:hAnsi="Arial Narrow"/>
                <w:b/>
                <w:bCs/>
                <w:sz w:val="20"/>
                <w:szCs w:val="20"/>
              </w:rPr>
            </w:pPr>
            <w:r w:rsidRPr="00663754">
              <w:rPr>
                <w:rStyle w:val="Strong"/>
                <w:rFonts w:ascii="Arial Narrow" w:hAnsi="Arial Narrow" w:cs="Open Sans"/>
                <w:sz w:val="20"/>
                <w:szCs w:val="20"/>
                <w:bdr w:val="none" w:sz="0" w:space="0" w:color="auto" w:frame="1"/>
              </w:rPr>
              <w:t>Clinical criteria:</w:t>
            </w:r>
          </w:p>
        </w:tc>
      </w:tr>
      <w:tr w:rsidR="00524A0F" w:rsidRPr="00915C05" w14:paraId="6068F987" w14:textId="77777777" w:rsidTr="007E5876">
        <w:tblPrEx>
          <w:tblCellMar>
            <w:top w:w="15" w:type="dxa"/>
            <w:left w:w="15" w:type="dxa"/>
            <w:bottom w:w="15" w:type="dxa"/>
            <w:right w:w="15" w:type="dxa"/>
          </w:tblCellMar>
        </w:tblPrEx>
        <w:tc>
          <w:tcPr>
            <w:tcW w:w="988" w:type="dxa"/>
            <w:gridSpan w:val="2"/>
          </w:tcPr>
          <w:p w14:paraId="1FC5E43E" w14:textId="611F8AD6" w:rsidR="00524A0F" w:rsidRPr="00663754" w:rsidRDefault="00524A0F" w:rsidP="00524A0F">
            <w:pPr>
              <w:jc w:val="center"/>
              <w:rPr>
                <w:rFonts w:ascii="Arial Narrow" w:hAnsi="Arial Narrow"/>
                <w:sz w:val="20"/>
                <w:szCs w:val="20"/>
              </w:rPr>
            </w:pPr>
          </w:p>
        </w:tc>
        <w:tc>
          <w:tcPr>
            <w:tcW w:w="8079" w:type="dxa"/>
            <w:gridSpan w:val="6"/>
          </w:tcPr>
          <w:p w14:paraId="05D1E5C9" w14:textId="003E838E" w:rsidR="00524A0F" w:rsidRPr="00663754" w:rsidRDefault="00524A0F" w:rsidP="00524A0F">
            <w:pPr>
              <w:rPr>
                <w:rFonts w:ascii="Arial Narrow" w:hAnsi="Arial Narrow"/>
                <w:b/>
                <w:bCs/>
                <w:sz w:val="20"/>
                <w:szCs w:val="20"/>
              </w:rPr>
            </w:pPr>
            <w:r w:rsidRPr="00663754">
              <w:rPr>
                <w:rFonts w:ascii="Arial Narrow" w:hAnsi="Arial Narrow" w:cs="Open Sans"/>
                <w:sz w:val="20"/>
                <w:szCs w:val="20"/>
              </w:rPr>
              <w:t>The treatment must be given concomitantly with methotrexate at a dose of at least 7.5 mg weekly</w:t>
            </w:r>
          </w:p>
        </w:tc>
      </w:tr>
      <w:tr w:rsidR="00524A0F" w:rsidRPr="00915C05" w14:paraId="3F56B306" w14:textId="77777777" w:rsidTr="007E5876">
        <w:tblPrEx>
          <w:tblCellMar>
            <w:top w:w="15" w:type="dxa"/>
            <w:left w:w="15" w:type="dxa"/>
            <w:bottom w:w="15" w:type="dxa"/>
            <w:right w:w="15" w:type="dxa"/>
          </w:tblCellMar>
        </w:tblPrEx>
        <w:tc>
          <w:tcPr>
            <w:tcW w:w="988" w:type="dxa"/>
            <w:gridSpan w:val="2"/>
          </w:tcPr>
          <w:p w14:paraId="61FCDA1C" w14:textId="77777777" w:rsidR="00524A0F" w:rsidRPr="00663754" w:rsidRDefault="00524A0F" w:rsidP="00524A0F">
            <w:pPr>
              <w:jc w:val="center"/>
              <w:rPr>
                <w:rFonts w:ascii="Arial Narrow" w:hAnsi="Arial Narrow"/>
                <w:sz w:val="20"/>
                <w:szCs w:val="20"/>
              </w:rPr>
            </w:pPr>
          </w:p>
        </w:tc>
        <w:tc>
          <w:tcPr>
            <w:tcW w:w="8079" w:type="dxa"/>
            <w:gridSpan w:val="6"/>
          </w:tcPr>
          <w:p w14:paraId="3C485E4E" w14:textId="6B319D85" w:rsidR="00524A0F" w:rsidRPr="00663754" w:rsidRDefault="00524A0F" w:rsidP="00524A0F">
            <w:pPr>
              <w:rPr>
                <w:rFonts w:ascii="Arial Narrow" w:hAnsi="Arial Narrow"/>
                <w:b/>
                <w:bCs/>
                <w:sz w:val="20"/>
                <w:szCs w:val="20"/>
              </w:rPr>
            </w:pPr>
            <w:r w:rsidRPr="00663754">
              <w:rPr>
                <w:rStyle w:val="Strong"/>
                <w:rFonts w:ascii="Arial Narrow" w:hAnsi="Arial Narrow" w:cs="Open Sans"/>
                <w:sz w:val="20"/>
                <w:szCs w:val="20"/>
                <w:bdr w:val="none" w:sz="0" w:space="0" w:color="auto" w:frame="1"/>
              </w:rPr>
              <w:t>AND</w:t>
            </w:r>
          </w:p>
        </w:tc>
      </w:tr>
      <w:tr w:rsidR="00987BC3" w:rsidRPr="00915C05" w14:paraId="03087301" w14:textId="77777777" w:rsidTr="007E5876">
        <w:tblPrEx>
          <w:tblCellMar>
            <w:top w:w="15" w:type="dxa"/>
            <w:left w:w="15" w:type="dxa"/>
            <w:bottom w:w="15" w:type="dxa"/>
            <w:right w:w="15" w:type="dxa"/>
          </w:tblCellMar>
        </w:tblPrEx>
        <w:tc>
          <w:tcPr>
            <w:tcW w:w="988" w:type="dxa"/>
            <w:gridSpan w:val="2"/>
          </w:tcPr>
          <w:p w14:paraId="1AECBC43" w14:textId="121E288F" w:rsidR="00987BC3" w:rsidRPr="00663754" w:rsidRDefault="00987BC3" w:rsidP="00987BC3">
            <w:pPr>
              <w:jc w:val="center"/>
              <w:rPr>
                <w:rFonts w:ascii="Arial Narrow" w:hAnsi="Arial Narrow"/>
                <w:sz w:val="20"/>
                <w:szCs w:val="20"/>
              </w:rPr>
            </w:pPr>
          </w:p>
        </w:tc>
        <w:tc>
          <w:tcPr>
            <w:tcW w:w="8079" w:type="dxa"/>
            <w:gridSpan w:val="6"/>
          </w:tcPr>
          <w:p w14:paraId="06FF1655" w14:textId="5EC4BB2B" w:rsidR="00987BC3" w:rsidRPr="00663754" w:rsidRDefault="00987BC3" w:rsidP="00987BC3">
            <w:pPr>
              <w:rPr>
                <w:rFonts w:ascii="Arial Narrow" w:hAnsi="Arial Narrow"/>
                <w:b/>
                <w:bCs/>
                <w:sz w:val="20"/>
                <w:szCs w:val="20"/>
              </w:rPr>
            </w:pPr>
            <w:r w:rsidRPr="00663754">
              <w:rPr>
                <w:rStyle w:val="Strong"/>
                <w:rFonts w:ascii="Arial Narrow" w:hAnsi="Arial Narrow" w:cs="Open Sans"/>
                <w:sz w:val="20"/>
                <w:szCs w:val="20"/>
                <w:bdr w:val="none" w:sz="0" w:space="0" w:color="auto" w:frame="1"/>
              </w:rPr>
              <w:t>Clinical criteria:</w:t>
            </w:r>
          </w:p>
        </w:tc>
      </w:tr>
      <w:tr w:rsidR="00987BC3" w:rsidRPr="00915C05" w14:paraId="399591A9" w14:textId="77777777" w:rsidTr="00955EDF">
        <w:tblPrEx>
          <w:tblCellMar>
            <w:top w:w="15" w:type="dxa"/>
            <w:left w:w="15" w:type="dxa"/>
            <w:bottom w:w="15" w:type="dxa"/>
            <w:right w:w="15" w:type="dxa"/>
          </w:tblCellMar>
          <w:tblLook w:val="04A0" w:firstRow="1" w:lastRow="0" w:firstColumn="1" w:lastColumn="0" w:noHBand="0" w:noVBand="1"/>
        </w:tblPrEx>
        <w:tc>
          <w:tcPr>
            <w:tcW w:w="988" w:type="dxa"/>
            <w:gridSpan w:val="2"/>
          </w:tcPr>
          <w:p w14:paraId="05325D7B" w14:textId="2A06B03F" w:rsidR="00987BC3" w:rsidRPr="00663754" w:rsidRDefault="00987BC3" w:rsidP="00987BC3">
            <w:pPr>
              <w:jc w:val="center"/>
              <w:rPr>
                <w:rFonts w:ascii="Arial Narrow" w:hAnsi="Arial Narrow" w:cs="Open Sans"/>
                <w:strike/>
                <w:sz w:val="20"/>
                <w:szCs w:val="20"/>
              </w:rPr>
            </w:pPr>
          </w:p>
        </w:tc>
        <w:tc>
          <w:tcPr>
            <w:tcW w:w="8079" w:type="dxa"/>
            <w:gridSpan w:val="6"/>
          </w:tcPr>
          <w:p w14:paraId="7838E427" w14:textId="1C632850" w:rsidR="00987BC3" w:rsidRPr="00663754" w:rsidRDefault="00987BC3" w:rsidP="00987BC3">
            <w:pPr>
              <w:rPr>
                <w:rStyle w:val="Strong"/>
                <w:rFonts w:ascii="Arial Narrow" w:hAnsi="Arial Narrow" w:cs="Open Sans"/>
                <w:i/>
                <w:iCs/>
                <w:strike/>
                <w:sz w:val="20"/>
                <w:szCs w:val="20"/>
                <w:bdr w:val="none" w:sz="0" w:space="0" w:color="auto" w:frame="1"/>
              </w:rPr>
            </w:pPr>
            <w:r w:rsidRPr="00663754">
              <w:rPr>
                <w:rFonts w:ascii="Arial Narrow" w:hAnsi="Arial Narrow" w:cs="Open Sans"/>
                <w:strike/>
                <w:sz w:val="20"/>
                <w:szCs w:val="20"/>
              </w:rPr>
              <w:t>The treatment must provide no more than the balance of up to 22 weeks treatment available under the Initial treatment - subcutaneous form; or</w:t>
            </w:r>
          </w:p>
        </w:tc>
      </w:tr>
      <w:tr w:rsidR="00987BC3" w:rsidRPr="00915C05" w14:paraId="414423E3" w14:textId="77777777" w:rsidTr="007E5876">
        <w:tblPrEx>
          <w:tblCellMar>
            <w:top w:w="15" w:type="dxa"/>
            <w:left w:w="15" w:type="dxa"/>
            <w:bottom w:w="15" w:type="dxa"/>
            <w:right w:w="15" w:type="dxa"/>
          </w:tblCellMar>
        </w:tblPrEx>
        <w:tc>
          <w:tcPr>
            <w:tcW w:w="988" w:type="dxa"/>
            <w:gridSpan w:val="2"/>
          </w:tcPr>
          <w:p w14:paraId="010AFEF5" w14:textId="5DA42080" w:rsidR="00987BC3" w:rsidRPr="00663754" w:rsidRDefault="00987BC3" w:rsidP="00987BC3">
            <w:pPr>
              <w:jc w:val="center"/>
              <w:rPr>
                <w:rFonts w:ascii="Arial Narrow" w:hAnsi="Arial Narrow"/>
                <w:strike/>
                <w:sz w:val="20"/>
                <w:szCs w:val="20"/>
              </w:rPr>
            </w:pPr>
          </w:p>
        </w:tc>
        <w:tc>
          <w:tcPr>
            <w:tcW w:w="8079" w:type="dxa"/>
            <w:gridSpan w:val="6"/>
          </w:tcPr>
          <w:p w14:paraId="1DE3A52B" w14:textId="42C83D39" w:rsidR="00987BC3" w:rsidRPr="00663754" w:rsidRDefault="00987BC3" w:rsidP="00987BC3">
            <w:pPr>
              <w:rPr>
                <w:rFonts w:ascii="Arial Narrow" w:hAnsi="Arial Narrow"/>
                <w:b/>
                <w:bCs/>
                <w:strike/>
                <w:sz w:val="20"/>
                <w:szCs w:val="20"/>
              </w:rPr>
            </w:pPr>
            <w:r w:rsidRPr="00663754">
              <w:rPr>
                <w:rFonts w:ascii="Arial Narrow" w:hAnsi="Arial Narrow" w:cs="Open Sans"/>
                <w:strike/>
                <w:sz w:val="20"/>
                <w:szCs w:val="20"/>
              </w:rPr>
              <w:t>The treatment must provide no more than the balance of up to 24 weeks treatment available under the Continuing treatment - subcutaneous form</w:t>
            </w:r>
          </w:p>
        </w:tc>
      </w:tr>
      <w:tr w:rsidR="00524A0F" w:rsidRPr="00915C05" w14:paraId="68E7D7F9" w14:textId="77777777" w:rsidTr="007E5876">
        <w:tblPrEx>
          <w:tblCellMar>
            <w:top w:w="15" w:type="dxa"/>
            <w:left w:w="15" w:type="dxa"/>
            <w:bottom w:w="15" w:type="dxa"/>
            <w:right w:w="15" w:type="dxa"/>
          </w:tblCellMar>
        </w:tblPrEx>
        <w:tc>
          <w:tcPr>
            <w:tcW w:w="988" w:type="dxa"/>
            <w:gridSpan w:val="2"/>
          </w:tcPr>
          <w:p w14:paraId="2E70E5AE" w14:textId="7C7FB081" w:rsidR="00524A0F" w:rsidRPr="00663754" w:rsidRDefault="00524A0F" w:rsidP="00524A0F">
            <w:pPr>
              <w:jc w:val="center"/>
              <w:rPr>
                <w:rFonts w:ascii="Arial Narrow" w:hAnsi="Arial Narrow"/>
                <w:sz w:val="20"/>
                <w:szCs w:val="20"/>
              </w:rPr>
            </w:pPr>
          </w:p>
        </w:tc>
        <w:tc>
          <w:tcPr>
            <w:tcW w:w="8079" w:type="dxa"/>
            <w:gridSpan w:val="6"/>
          </w:tcPr>
          <w:p w14:paraId="3C28162F" w14:textId="5ECF93E9" w:rsidR="00524A0F" w:rsidRPr="00663754" w:rsidRDefault="00987BC3" w:rsidP="00524A0F">
            <w:pPr>
              <w:rPr>
                <w:rFonts w:ascii="Arial Narrow" w:hAnsi="Arial Narrow"/>
                <w:b/>
                <w:bCs/>
                <w:sz w:val="20"/>
                <w:szCs w:val="20"/>
              </w:rPr>
            </w:pPr>
            <w:r w:rsidRPr="00663754">
              <w:rPr>
                <w:rStyle w:val="Strong"/>
                <w:rFonts w:ascii="Arial Narrow" w:hAnsi="Arial Narrow" w:cs="Open Sans"/>
                <w:sz w:val="20"/>
                <w:szCs w:val="20"/>
                <w:bdr w:val="none" w:sz="0" w:space="0" w:color="auto" w:frame="1"/>
              </w:rPr>
              <w:t>Clinical criteria:</w:t>
            </w:r>
          </w:p>
        </w:tc>
      </w:tr>
      <w:tr w:rsidR="00987BC3" w:rsidRPr="00915C05" w14:paraId="056B754D" w14:textId="77777777" w:rsidTr="00955EDF">
        <w:tblPrEx>
          <w:tblCellMar>
            <w:top w:w="15" w:type="dxa"/>
            <w:left w:w="15" w:type="dxa"/>
            <w:bottom w:w="15" w:type="dxa"/>
            <w:right w:w="15" w:type="dxa"/>
          </w:tblCellMar>
        </w:tblPrEx>
        <w:tc>
          <w:tcPr>
            <w:tcW w:w="988" w:type="dxa"/>
            <w:gridSpan w:val="2"/>
          </w:tcPr>
          <w:p w14:paraId="070F6435" w14:textId="77777777" w:rsidR="00987BC3" w:rsidRPr="00663754" w:rsidDel="00987BC3" w:rsidRDefault="00987BC3" w:rsidP="00524A0F">
            <w:pPr>
              <w:jc w:val="center"/>
              <w:rPr>
                <w:rFonts w:ascii="Arial Narrow" w:hAnsi="Arial Narrow" w:cs="Open Sans"/>
                <w:sz w:val="20"/>
                <w:szCs w:val="20"/>
              </w:rPr>
            </w:pPr>
          </w:p>
        </w:tc>
        <w:tc>
          <w:tcPr>
            <w:tcW w:w="8079" w:type="dxa"/>
            <w:gridSpan w:val="6"/>
          </w:tcPr>
          <w:p w14:paraId="7483F56E" w14:textId="5C6A2916" w:rsidR="00647876" w:rsidRPr="00663754" w:rsidRDefault="00987BC3">
            <w:pPr>
              <w:rPr>
                <w:rStyle w:val="Strong"/>
                <w:rFonts w:ascii="Arial Narrow" w:hAnsi="Arial Narrow" w:cs="Open Sans"/>
                <w:b w:val="0"/>
                <w:bCs w:val="0"/>
                <w:sz w:val="20"/>
                <w:szCs w:val="20"/>
                <w:bdr w:val="none" w:sz="0" w:space="0" w:color="auto" w:frame="1"/>
              </w:rPr>
            </w:pPr>
            <w:r w:rsidRPr="00663754">
              <w:rPr>
                <w:rStyle w:val="Strong"/>
                <w:rFonts w:ascii="Arial Narrow" w:hAnsi="Arial Narrow" w:cs="Open Sans"/>
                <w:b w:val="0"/>
                <w:bCs w:val="0"/>
                <w:sz w:val="20"/>
                <w:szCs w:val="20"/>
                <w:bdr w:val="none" w:sz="0" w:space="0" w:color="auto" w:frame="1"/>
              </w:rPr>
              <w:t>The treatment must provide, from the most recent authority approval with this drug for this condition, no more than the balance of:</w:t>
            </w:r>
            <w:r w:rsidR="00A97CD3" w:rsidRPr="00663754">
              <w:rPr>
                <w:rStyle w:val="Strong"/>
                <w:rFonts w:ascii="Arial Narrow" w:hAnsi="Arial Narrow" w:cs="Open Sans"/>
                <w:b w:val="0"/>
                <w:bCs w:val="0"/>
                <w:sz w:val="20"/>
                <w:szCs w:val="20"/>
                <w:bdr w:val="none" w:sz="0" w:space="0" w:color="auto" w:frame="1"/>
              </w:rPr>
              <w:t xml:space="preserve"> </w:t>
            </w:r>
            <w:r w:rsidRPr="00663754">
              <w:rPr>
                <w:rStyle w:val="Strong"/>
                <w:rFonts w:ascii="Arial Narrow" w:hAnsi="Arial Narrow" w:cs="Open Sans"/>
                <w:b w:val="0"/>
                <w:bCs w:val="0"/>
                <w:sz w:val="20"/>
                <w:szCs w:val="20"/>
                <w:bdr w:val="none" w:sz="0" w:space="0" w:color="auto" w:frame="1"/>
              </w:rPr>
              <w:t>(i) 20 weeks treatment under the Initial treatment restriction</w:t>
            </w:r>
            <w:r w:rsidR="00647876" w:rsidRPr="00663754">
              <w:rPr>
                <w:rStyle w:val="Strong"/>
                <w:rFonts w:ascii="Arial Narrow" w:hAnsi="Arial Narrow" w:cs="Open Sans"/>
                <w:b w:val="0"/>
                <w:bCs w:val="0"/>
                <w:sz w:val="20"/>
                <w:szCs w:val="20"/>
                <w:bdr w:val="none" w:sz="0" w:space="0" w:color="auto" w:frame="1"/>
              </w:rPr>
              <w:t>,</w:t>
            </w:r>
            <w:r w:rsidR="00A97CD3" w:rsidRPr="00663754">
              <w:rPr>
                <w:rStyle w:val="Strong"/>
                <w:rFonts w:ascii="Arial Narrow" w:hAnsi="Arial Narrow" w:cs="Open Sans"/>
                <w:b w:val="0"/>
                <w:bCs w:val="0"/>
                <w:sz w:val="20"/>
                <w:szCs w:val="20"/>
                <w:bdr w:val="none" w:sz="0" w:space="0" w:color="auto" w:frame="1"/>
              </w:rPr>
              <w:t xml:space="preserve"> </w:t>
            </w:r>
            <w:r w:rsidR="00647876" w:rsidRPr="00663754">
              <w:rPr>
                <w:rStyle w:val="Strong"/>
                <w:rFonts w:ascii="Arial Narrow" w:hAnsi="Arial Narrow" w:cs="Open Sans"/>
                <w:b w:val="0"/>
                <w:bCs w:val="0"/>
                <w:sz w:val="20"/>
                <w:szCs w:val="20"/>
                <w:bdr w:val="none" w:sz="0" w:space="0" w:color="auto" w:frame="1"/>
              </w:rPr>
              <w:t>(ii) 24 weeks treatment under the Continuing treatment restriction.</w:t>
            </w:r>
          </w:p>
        </w:tc>
      </w:tr>
      <w:tr w:rsidR="00987BC3" w:rsidRPr="00915C05" w14:paraId="69A8CA51" w14:textId="77777777" w:rsidTr="00955EDF">
        <w:tblPrEx>
          <w:tblCellMar>
            <w:top w:w="15" w:type="dxa"/>
            <w:left w:w="15" w:type="dxa"/>
            <w:bottom w:w="15" w:type="dxa"/>
            <w:right w:w="15" w:type="dxa"/>
          </w:tblCellMar>
        </w:tblPrEx>
        <w:tc>
          <w:tcPr>
            <w:tcW w:w="988" w:type="dxa"/>
            <w:gridSpan w:val="2"/>
          </w:tcPr>
          <w:p w14:paraId="0EED6BEA" w14:textId="77777777" w:rsidR="00987BC3" w:rsidRPr="00663754" w:rsidDel="00987BC3" w:rsidRDefault="00987BC3" w:rsidP="00524A0F">
            <w:pPr>
              <w:jc w:val="center"/>
              <w:rPr>
                <w:rFonts w:ascii="Arial Narrow" w:hAnsi="Arial Narrow" w:cs="Open Sans"/>
                <w:sz w:val="20"/>
                <w:szCs w:val="20"/>
              </w:rPr>
            </w:pPr>
          </w:p>
        </w:tc>
        <w:tc>
          <w:tcPr>
            <w:tcW w:w="8079" w:type="dxa"/>
            <w:gridSpan w:val="6"/>
          </w:tcPr>
          <w:p w14:paraId="4551AEB9" w14:textId="77777777" w:rsidR="00987BC3" w:rsidRPr="00663754" w:rsidRDefault="00987BC3" w:rsidP="00524A0F">
            <w:pPr>
              <w:rPr>
                <w:rStyle w:val="Strong"/>
                <w:rFonts w:ascii="Arial Narrow" w:hAnsi="Arial Narrow" w:cs="Open Sans"/>
                <w:sz w:val="20"/>
                <w:szCs w:val="20"/>
                <w:bdr w:val="none" w:sz="0" w:space="0" w:color="auto" w:frame="1"/>
              </w:rPr>
            </w:pPr>
          </w:p>
        </w:tc>
      </w:tr>
      <w:tr w:rsidR="00524A0F" w:rsidRPr="00915C05" w14:paraId="2166B74D" w14:textId="77777777" w:rsidTr="007E5876">
        <w:tblPrEx>
          <w:tblCellMar>
            <w:top w:w="15" w:type="dxa"/>
            <w:left w:w="15" w:type="dxa"/>
            <w:bottom w:w="15" w:type="dxa"/>
            <w:right w:w="15" w:type="dxa"/>
          </w:tblCellMar>
        </w:tblPrEx>
        <w:tc>
          <w:tcPr>
            <w:tcW w:w="988" w:type="dxa"/>
            <w:gridSpan w:val="2"/>
          </w:tcPr>
          <w:p w14:paraId="2953BC91" w14:textId="77777777" w:rsidR="00524A0F" w:rsidRPr="00663754" w:rsidRDefault="00524A0F" w:rsidP="00524A0F">
            <w:pPr>
              <w:jc w:val="center"/>
              <w:rPr>
                <w:rFonts w:ascii="Arial Narrow" w:hAnsi="Arial Narrow"/>
                <w:sz w:val="20"/>
                <w:szCs w:val="20"/>
              </w:rPr>
            </w:pPr>
          </w:p>
        </w:tc>
        <w:tc>
          <w:tcPr>
            <w:tcW w:w="8079" w:type="dxa"/>
            <w:gridSpan w:val="6"/>
          </w:tcPr>
          <w:p w14:paraId="0C75E1DE" w14:textId="0628F09F" w:rsidR="00524A0F" w:rsidRPr="00663754" w:rsidRDefault="00524A0F" w:rsidP="00524A0F">
            <w:pPr>
              <w:rPr>
                <w:rFonts w:ascii="Arial Narrow" w:hAnsi="Arial Narrow"/>
                <w:b/>
                <w:bCs/>
                <w:sz w:val="20"/>
                <w:szCs w:val="20"/>
              </w:rPr>
            </w:pPr>
            <w:r w:rsidRPr="00663754">
              <w:rPr>
                <w:rStyle w:val="Strong"/>
                <w:rFonts w:ascii="Arial Narrow" w:hAnsi="Arial Narrow" w:cs="Open Sans"/>
                <w:sz w:val="20"/>
                <w:szCs w:val="20"/>
                <w:bdr w:val="none" w:sz="0" w:space="0" w:color="auto" w:frame="1"/>
              </w:rPr>
              <w:t>AND</w:t>
            </w:r>
          </w:p>
        </w:tc>
      </w:tr>
      <w:tr w:rsidR="00524A0F" w:rsidRPr="00915C05" w14:paraId="02578BB4" w14:textId="77777777" w:rsidTr="007E5876">
        <w:tblPrEx>
          <w:tblCellMar>
            <w:top w:w="15" w:type="dxa"/>
            <w:left w:w="15" w:type="dxa"/>
            <w:bottom w:w="15" w:type="dxa"/>
            <w:right w:w="15" w:type="dxa"/>
          </w:tblCellMar>
        </w:tblPrEx>
        <w:tc>
          <w:tcPr>
            <w:tcW w:w="988" w:type="dxa"/>
            <w:gridSpan w:val="2"/>
          </w:tcPr>
          <w:p w14:paraId="63B4DB41" w14:textId="49A3352E" w:rsidR="00524A0F" w:rsidRPr="00663754" w:rsidRDefault="00524A0F" w:rsidP="00524A0F">
            <w:pPr>
              <w:jc w:val="center"/>
              <w:rPr>
                <w:rFonts w:ascii="Arial Narrow" w:hAnsi="Arial Narrow"/>
                <w:sz w:val="20"/>
                <w:szCs w:val="20"/>
              </w:rPr>
            </w:pPr>
          </w:p>
        </w:tc>
        <w:tc>
          <w:tcPr>
            <w:tcW w:w="8079" w:type="dxa"/>
            <w:gridSpan w:val="6"/>
          </w:tcPr>
          <w:p w14:paraId="2C4C3344" w14:textId="039F667D" w:rsidR="00524A0F" w:rsidRPr="00663754" w:rsidRDefault="00524A0F" w:rsidP="00524A0F">
            <w:pPr>
              <w:rPr>
                <w:rFonts w:ascii="Arial Narrow" w:hAnsi="Arial Narrow"/>
                <w:b/>
                <w:bCs/>
                <w:sz w:val="20"/>
                <w:szCs w:val="20"/>
              </w:rPr>
            </w:pPr>
            <w:r w:rsidRPr="00663754">
              <w:rPr>
                <w:rStyle w:val="Strong"/>
                <w:rFonts w:ascii="Arial Narrow" w:hAnsi="Arial Narrow" w:cs="Open Sans"/>
                <w:sz w:val="20"/>
                <w:szCs w:val="20"/>
                <w:bdr w:val="none" w:sz="0" w:space="0" w:color="auto" w:frame="1"/>
              </w:rPr>
              <w:t>Population criteria:</w:t>
            </w:r>
          </w:p>
        </w:tc>
      </w:tr>
      <w:tr w:rsidR="00524A0F" w:rsidRPr="00915C05" w14:paraId="3E12606B" w14:textId="77777777" w:rsidTr="007E5876">
        <w:tblPrEx>
          <w:tblCellMar>
            <w:top w:w="15" w:type="dxa"/>
            <w:left w:w="15" w:type="dxa"/>
            <w:bottom w:w="15" w:type="dxa"/>
            <w:right w:w="15" w:type="dxa"/>
          </w:tblCellMar>
        </w:tblPrEx>
        <w:tc>
          <w:tcPr>
            <w:tcW w:w="988" w:type="dxa"/>
            <w:gridSpan w:val="2"/>
          </w:tcPr>
          <w:p w14:paraId="43E85281" w14:textId="153C0A58" w:rsidR="00524A0F" w:rsidRPr="00663754" w:rsidRDefault="00524A0F" w:rsidP="00524A0F">
            <w:pPr>
              <w:jc w:val="center"/>
              <w:rPr>
                <w:rFonts w:ascii="Arial Narrow" w:hAnsi="Arial Narrow"/>
                <w:sz w:val="20"/>
                <w:szCs w:val="20"/>
              </w:rPr>
            </w:pPr>
          </w:p>
        </w:tc>
        <w:tc>
          <w:tcPr>
            <w:tcW w:w="8079" w:type="dxa"/>
            <w:gridSpan w:val="6"/>
          </w:tcPr>
          <w:p w14:paraId="42B1E7B2" w14:textId="79581B27" w:rsidR="00524A0F" w:rsidRPr="00663754" w:rsidRDefault="00524A0F" w:rsidP="00524A0F">
            <w:pPr>
              <w:rPr>
                <w:rFonts w:ascii="Arial Narrow" w:hAnsi="Arial Narrow"/>
                <w:b/>
                <w:bCs/>
                <w:sz w:val="20"/>
                <w:szCs w:val="20"/>
              </w:rPr>
            </w:pPr>
            <w:r w:rsidRPr="00663754">
              <w:rPr>
                <w:rFonts w:ascii="Arial Narrow" w:hAnsi="Arial Narrow" w:cs="Open Sans"/>
                <w:sz w:val="20"/>
                <w:szCs w:val="20"/>
              </w:rPr>
              <w:t>Patient must be at least 18 years of age</w:t>
            </w:r>
          </w:p>
        </w:tc>
      </w:tr>
    </w:tbl>
    <w:p w14:paraId="5A6390BC" w14:textId="77777777" w:rsidR="00663754" w:rsidRDefault="00663754" w:rsidP="00C17DBE">
      <w:pPr>
        <w:rPr>
          <w:b/>
          <w:bCs/>
          <w:i/>
          <w:iCs/>
        </w:rPr>
      </w:pPr>
    </w:p>
    <w:p w14:paraId="3934C4BE" w14:textId="1117D56E" w:rsidR="00C17DBE" w:rsidRPr="00310195" w:rsidRDefault="00310195" w:rsidP="00C17DBE">
      <w:pPr>
        <w:rPr>
          <w:b/>
          <w:bCs/>
          <w:i/>
          <w:iCs/>
        </w:rPr>
      </w:pPr>
      <w:r w:rsidRPr="00310195">
        <w:rPr>
          <w:b/>
          <w:bCs/>
          <w:i/>
          <w:iCs/>
        </w:rPr>
        <w:t xml:space="preserve">This restriction may be subject to further review. Should there be any changes made to the restriction the </w:t>
      </w:r>
      <w:r>
        <w:rPr>
          <w:b/>
          <w:bCs/>
          <w:i/>
          <w:iCs/>
        </w:rPr>
        <w:t>s</w:t>
      </w:r>
      <w:r w:rsidRPr="00310195">
        <w:rPr>
          <w:b/>
          <w:bCs/>
          <w:i/>
          <w:iCs/>
        </w:rPr>
        <w:t>ponsor will be informed.</w:t>
      </w:r>
    </w:p>
    <w:p w14:paraId="4254C57B" w14:textId="2AD1DA2F" w:rsidR="00AA168E" w:rsidRPr="00AA168E" w:rsidRDefault="00AA168E" w:rsidP="00AA168E">
      <w:pPr>
        <w:pStyle w:val="Heading1"/>
        <w:keepLines/>
        <w:numPr>
          <w:ilvl w:val="0"/>
          <w:numId w:val="2"/>
        </w:numPr>
        <w:spacing w:before="240"/>
        <w:ind w:left="709" w:hanging="709"/>
        <w:rPr>
          <w:sz w:val="32"/>
          <w:szCs w:val="32"/>
        </w:rPr>
      </w:pPr>
      <w:r w:rsidRPr="00AA168E">
        <w:rPr>
          <w:sz w:val="32"/>
          <w:szCs w:val="32"/>
        </w:rPr>
        <w:t>Context for Decision</w:t>
      </w:r>
    </w:p>
    <w:p w14:paraId="4928C751" w14:textId="77777777" w:rsidR="00AA168E" w:rsidRPr="00AA168E" w:rsidRDefault="00AA168E" w:rsidP="00AA168E">
      <w:pPr>
        <w:pStyle w:val="3Bodytext"/>
        <w:numPr>
          <w:ilvl w:val="0"/>
          <w:numId w:val="0"/>
        </w:numPr>
        <w:ind w:left="720"/>
        <w:rPr>
          <w:szCs w:val="24"/>
        </w:rPr>
      </w:pPr>
      <w:r w:rsidRPr="00AA168E">
        <w:rPr>
          <w:szCs w:val="24"/>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t>
      </w:r>
      <w:r w:rsidRPr="00AA168E">
        <w:rPr>
          <w:szCs w:val="24"/>
        </w:rPr>
        <w:t>welcomes applications containing new information at any time.</w:t>
      </w:r>
    </w:p>
    <w:p w14:paraId="3C733AC7" w14:textId="7769708C" w:rsidR="00AA168E" w:rsidRPr="00AA168E" w:rsidRDefault="00AA168E" w:rsidP="00AA168E">
      <w:pPr>
        <w:pStyle w:val="Heading1"/>
        <w:keepLines/>
        <w:numPr>
          <w:ilvl w:val="0"/>
          <w:numId w:val="2"/>
        </w:numPr>
        <w:spacing w:before="240"/>
        <w:ind w:left="709" w:hanging="709"/>
        <w:rPr>
          <w:sz w:val="32"/>
          <w:szCs w:val="32"/>
        </w:rPr>
      </w:pPr>
      <w:r w:rsidRPr="00AA168E">
        <w:rPr>
          <w:sz w:val="32"/>
          <w:szCs w:val="32"/>
        </w:rPr>
        <w:t>Sponsor’s Comment</w:t>
      </w:r>
    </w:p>
    <w:p w14:paraId="1DEC09F3" w14:textId="77777777" w:rsidR="00AA168E" w:rsidRPr="001179AC" w:rsidRDefault="00AA168E" w:rsidP="00AA168E">
      <w:pPr>
        <w:spacing w:after="120"/>
        <w:ind w:left="426" w:firstLine="283"/>
        <w:rPr>
          <w:rFonts w:asciiTheme="minorHAnsi" w:hAnsiTheme="minorHAnsi" w:cs="Arial"/>
          <w:bCs/>
        </w:rPr>
      </w:pPr>
      <w:r w:rsidRPr="00C07617">
        <w:rPr>
          <w:rFonts w:asciiTheme="minorHAnsi" w:hAnsiTheme="minorHAnsi" w:cs="Arial"/>
          <w:bCs/>
        </w:rPr>
        <w:t>The sponsor had no comment.</w:t>
      </w:r>
    </w:p>
    <w:p w14:paraId="4FC52D34" w14:textId="77777777" w:rsidR="00201FB8" w:rsidRPr="00EF4580" w:rsidRDefault="00201FB8" w:rsidP="00A14C64"/>
    <w:sectPr w:rsidR="00201FB8" w:rsidRPr="00EF458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93947" w14:textId="77777777" w:rsidR="00D40642" w:rsidRDefault="00D40642">
      <w:r>
        <w:separator/>
      </w:r>
    </w:p>
    <w:p w14:paraId="73E74BF4" w14:textId="77777777" w:rsidR="00D40642" w:rsidRDefault="00D40642"/>
  </w:endnote>
  <w:endnote w:type="continuationSeparator" w:id="0">
    <w:p w14:paraId="1092B71E" w14:textId="77777777" w:rsidR="00D40642" w:rsidRDefault="00D40642">
      <w:r>
        <w:continuationSeparator/>
      </w:r>
    </w:p>
    <w:p w14:paraId="6787AD4C" w14:textId="77777777" w:rsidR="00D40642" w:rsidRDefault="00D40642"/>
  </w:endnote>
  <w:endnote w:type="continuationNotice" w:id="1">
    <w:p w14:paraId="16B5235C" w14:textId="77777777" w:rsidR="00D40642" w:rsidRDefault="00D40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11C0" w14:textId="77777777" w:rsidR="00D40642" w:rsidRDefault="00D406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238D" w14:textId="77777777" w:rsidR="00401F8B" w:rsidRDefault="00401F8B">
    <w:pPr>
      <w:pStyle w:val="Footer"/>
      <w:jc w:val="center"/>
    </w:pPr>
  </w:p>
  <w:sdt>
    <w:sdtPr>
      <w:id w:val="642859443"/>
      <w:docPartObj>
        <w:docPartGallery w:val="Page Numbers (Bottom of Page)"/>
        <w:docPartUnique/>
      </w:docPartObj>
    </w:sdtPr>
    <w:sdtEndPr>
      <w:rPr>
        <w:b/>
        <w:bCs/>
        <w:noProof/>
      </w:rPr>
    </w:sdtEndPr>
    <w:sdtContent>
      <w:p w14:paraId="0A821982" w14:textId="24FD75B8" w:rsidR="00D40642" w:rsidRPr="0025187C" w:rsidRDefault="00401F8B" w:rsidP="0025187C">
        <w:pPr>
          <w:pStyle w:val="Footer"/>
          <w:jc w:val="center"/>
          <w:rPr>
            <w:b/>
            <w:bCs/>
          </w:rPr>
        </w:pPr>
        <w:r w:rsidRPr="00E73DD5">
          <w:rPr>
            <w:b/>
            <w:bCs/>
          </w:rPr>
          <w:fldChar w:fldCharType="begin"/>
        </w:r>
        <w:r w:rsidRPr="00E73DD5">
          <w:rPr>
            <w:b/>
            <w:bCs/>
          </w:rPr>
          <w:instrText xml:space="preserve"> PAGE   \* MERGEFORMAT </w:instrText>
        </w:r>
        <w:r w:rsidRPr="00E73DD5">
          <w:rPr>
            <w:b/>
            <w:bCs/>
          </w:rPr>
          <w:fldChar w:fldCharType="separate"/>
        </w:r>
        <w:r w:rsidRPr="00E73DD5">
          <w:rPr>
            <w:b/>
            <w:bCs/>
            <w:noProof/>
          </w:rPr>
          <w:t>2</w:t>
        </w:r>
        <w:r w:rsidRPr="00E73DD5">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CD19" w14:textId="77777777" w:rsidR="00D40642" w:rsidRDefault="00D406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6248" w14:textId="77777777" w:rsidR="00D40642" w:rsidRDefault="00D40642">
      <w:r>
        <w:separator/>
      </w:r>
    </w:p>
    <w:p w14:paraId="550C5479" w14:textId="77777777" w:rsidR="00D40642" w:rsidRDefault="00D40642"/>
  </w:footnote>
  <w:footnote w:type="continuationSeparator" w:id="0">
    <w:p w14:paraId="1CFE7429" w14:textId="77777777" w:rsidR="00D40642" w:rsidRDefault="00D40642">
      <w:r>
        <w:continuationSeparator/>
      </w:r>
    </w:p>
    <w:p w14:paraId="68BB104D" w14:textId="77777777" w:rsidR="00D40642" w:rsidRDefault="00D40642"/>
  </w:footnote>
  <w:footnote w:type="continuationNotice" w:id="1">
    <w:p w14:paraId="5801DD61" w14:textId="77777777" w:rsidR="00D40642" w:rsidRDefault="00D40642"/>
  </w:footnote>
  <w:footnote w:id="2">
    <w:p w14:paraId="292BF236" w14:textId="673F1B7C" w:rsidR="00E86FE9" w:rsidRDefault="00E86FE9">
      <w:pPr>
        <w:pStyle w:val="FootnoteText"/>
      </w:pPr>
      <w:r>
        <w:rPr>
          <w:rStyle w:val="FootnoteReference"/>
        </w:rPr>
        <w:footnoteRef/>
      </w:r>
      <w:r>
        <w:t xml:space="preserve"> Script one provides for injections at weeks 0, 1 and 2; script two provides for injections at 3, 4 and 6; script three provides for injections at week 8, 10 and 12 and script four provides for injections at week 14, 16 and 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4AC1" w14:textId="77777777" w:rsidR="00D40642" w:rsidRDefault="00D406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F24F" w14:textId="5C484B38" w:rsidR="00401F8B" w:rsidRPr="00056684" w:rsidRDefault="00AA168E" w:rsidP="00401F8B">
    <w:pPr>
      <w:pStyle w:val="Header"/>
      <w:ind w:left="360"/>
      <w:rPr>
        <w:rFonts w:asciiTheme="minorHAnsi" w:hAnsiTheme="minorHAnsi" w:cs="Arial"/>
        <w:i/>
        <w:color w:val="808080"/>
      </w:rPr>
    </w:pPr>
    <w:bookmarkStart w:id="20" w:name="_Hlk76375146"/>
    <w:r>
      <w:rPr>
        <w:rFonts w:asciiTheme="minorHAnsi" w:hAnsiTheme="minorHAnsi" w:cs="Arial"/>
        <w:i/>
        <w:color w:val="808080"/>
      </w:rPr>
      <w:t>Public Summary Document</w:t>
    </w:r>
    <w:r w:rsidR="00A064A9" w:rsidRPr="00056684">
      <w:rPr>
        <w:rFonts w:asciiTheme="minorHAnsi" w:hAnsiTheme="minorHAnsi" w:cs="Arial"/>
        <w:i/>
        <w:color w:val="808080"/>
      </w:rPr>
      <w:t xml:space="preserve">– </w:t>
    </w:r>
    <w:r w:rsidR="00A064A9">
      <w:rPr>
        <w:rFonts w:asciiTheme="minorHAnsi" w:hAnsiTheme="minorHAnsi" w:cs="Arial"/>
        <w:i/>
        <w:color w:val="808080"/>
      </w:rPr>
      <w:t>November 2022</w:t>
    </w:r>
    <w:r w:rsidR="00A064A9" w:rsidRPr="00056684">
      <w:rPr>
        <w:rFonts w:asciiTheme="minorHAnsi" w:hAnsiTheme="minorHAnsi" w:cs="Arial"/>
        <w:i/>
        <w:color w:val="808080"/>
      </w:rPr>
      <w:t xml:space="preserve"> PBAC Meeting</w:t>
    </w:r>
    <w:r w:rsidR="00E73DD5">
      <w:rPr>
        <w:rFonts w:asciiTheme="minorHAnsi" w:hAnsiTheme="minorHAnsi" w:cs="Arial"/>
        <w:i/>
        <w:color w:val="808080"/>
      </w:rPr>
      <w:t xml:space="preserve"> </w:t>
    </w:r>
  </w:p>
  <w:bookmarkEnd w:id="20"/>
  <w:p w14:paraId="627D22CE" w14:textId="77777777" w:rsidR="00D40642" w:rsidRDefault="00D406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BBC2" w14:textId="77777777" w:rsidR="00AD200A" w:rsidRDefault="00AD2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4A6000"/>
    <w:multiLevelType w:val="hybridMultilevel"/>
    <w:tmpl w:val="FFEC97E6"/>
    <w:lvl w:ilvl="0" w:tplc="14BA9B3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244933"/>
    <w:multiLevelType w:val="hybridMultilevel"/>
    <w:tmpl w:val="BEC87E2E"/>
    <w:lvl w:ilvl="0" w:tplc="3F1ECEA6">
      <w:start w:val="1"/>
      <w:numFmt w:val="upperLetter"/>
      <w:lvlText w:val="%1."/>
      <w:lvlJc w:val="left"/>
      <w:pPr>
        <w:ind w:left="1800" w:hanging="360"/>
      </w:pPr>
    </w:lvl>
    <w:lvl w:ilvl="1" w:tplc="442A8F9A">
      <w:start w:val="1"/>
      <w:numFmt w:val="lowerLetter"/>
      <w:lvlText w:val="%2."/>
      <w:lvlJc w:val="left"/>
      <w:pPr>
        <w:ind w:left="2520" w:hanging="360"/>
      </w:pPr>
    </w:lvl>
    <w:lvl w:ilvl="2" w:tplc="AE6252A8">
      <w:start w:val="1"/>
      <w:numFmt w:val="lowerRoman"/>
      <w:lvlText w:val="%3."/>
      <w:lvlJc w:val="right"/>
      <w:pPr>
        <w:ind w:left="3240" w:hanging="180"/>
      </w:pPr>
    </w:lvl>
    <w:lvl w:ilvl="3" w:tplc="827A251E">
      <w:start w:val="1"/>
      <w:numFmt w:val="decimal"/>
      <w:lvlText w:val="%4."/>
      <w:lvlJc w:val="left"/>
      <w:pPr>
        <w:ind w:left="3960" w:hanging="360"/>
      </w:pPr>
    </w:lvl>
    <w:lvl w:ilvl="4" w:tplc="6AA6B8AE">
      <w:start w:val="1"/>
      <w:numFmt w:val="lowerLetter"/>
      <w:lvlText w:val="%5."/>
      <w:lvlJc w:val="left"/>
      <w:pPr>
        <w:ind w:left="4680" w:hanging="360"/>
      </w:pPr>
    </w:lvl>
    <w:lvl w:ilvl="5" w:tplc="5FE8C990">
      <w:start w:val="1"/>
      <w:numFmt w:val="lowerRoman"/>
      <w:lvlText w:val="%6."/>
      <w:lvlJc w:val="right"/>
      <w:pPr>
        <w:ind w:left="5400" w:hanging="180"/>
      </w:pPr>
    </w:lvl>
    <w:lvl w:ilvl="6" w:tplc="2D5CA0F4">
      <w:start w:val="1"/>
      <w:numFmt w:val="decimal"/>
      <w:lvlText w:val="%7."/>
      <w:lvlJc w:val="left"/>
      <w:pPr>
        <w:ind w:left="6120" w:hanging="360"/>
      </w:pPr>
    </w:lvl>
    <w:lvl w:ilvl="7" w:tplc="17D46400">
      <w:start w:val="1"/>
      <w:numFmt w:val="lowerLetter"/>
      <w:lvlText w:val="%8."/>
      <w:lvlJc w:val="left"/>
      <w:pPr>
        <w:ind w:left="6840" w:hanging="360"/>
      </w:pPr>
    </w:lvl>
    <w:lvl w:ilvl="8" w:tplc="F3580F02">
      <w:start w:val="1"/>
      <w:numFmt w:val="lowerRoman"/>
      <w:lvlText w:val="%9."/>
      <w:lvlJc w:val="right"/>
      <w:pPr>
        <w:ind w:left="7560" w:hanging="180"/>
      </w:pPr>
    </w:lvl>
  </w:abstractNum>
  <w:abstractNum w:abstractNumId="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784D033C"/>
    <w:multiLevelType w:val="multilevel"/>
    <w:tmpl w:val="73F03100"/>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strike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7"/>
  </w:num>
  <w:num w:numId="2">
    <w:abstractNumId w:val="12"/>
  </w:num>
  <w:num w:numId="3">
    <w:abstractNumId w:val="0"/>
  </w:num>
  <w:num w:numId="4">
    <w:abstractNumId w:val="10"/>
  </w:num>
  <w:num w:numId="5">
    <w:abstractNumId w:val="8"/>
  </w:num>
  <w:num w:numId="6">
    <w:abstractNumId w:val="1"/>
  </w:num>
  <w:num w:numId="7">
    <w:abstractNumId w:val="12"/>
  </w:num>
  <w:num w:numId="8">
    <w:abstractNumId w:val="9"/>
  </w:num>
  <w:num w:numId="9">
    <w:abstractNumId w:val="2"/>
  </w:num>
  <w:num w:numId="10">
    <w:abstractNumId w:val="4"/>
  </w:num>
  <w:num w:numId="11">
    <w:abstractNumId w:val="6"/>
  </w:num>
  <w:num w:numId="12">
    <w:abstractNumId w:val="3"/>
  </w:num>
  <w:num w:numId="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966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06BE9"/>
    <w:rsid w:val="0001086B"/>
    <w:rsid w:val="0001179A"/>
    <w:rsid w:val="00011A59"/>
    <w:rsid w:val="00013F88"/>
    <w:rsid w:val="00014823"/>
    <w:rsid w:val="00014D69"/>
    <w:rsid w:val="00016A41"/>
    <w:rsid w:val="000214D1"/>
    <w:rsid w:val="00021F20"/>
    <w:rsid w:val="0002464A"/>
    <w:rsid w:val="00025A04"/>
    <w:rsid w:val="0002693D"/>
    <w:rsid w:val="0003050E"/>
    <w:rsid w:val="0003106B"/>
    <w:rsid w:val="00031ECF"/>
    <w:rsid w:val="000335B9"/>
    <w:rsid w:val="00034905"/>
    <w:rsid w:val="00034E55"/>
    <w:rsid w:val="000364BF"/>
    <w:rsid w:val="00036511"/>
    <w:rsid w:val="00037FFC"/>
    <w:rsid w:val="00040A30"/>
    <w:rsid w:val="000421A1"/>
    <w:rsid w:val="0004240E"/>
    <w:rsid w:val="00044EC4"/>
    <w:rsid w:val="00045E26"/>
    <w:rsid w:val="00046903"/>
    <w:rsid w:val="000514B5"/>
    <w:rsid w:val="0005322E"/>
    <w:rsid w:val="00053EF7"/>
    <w:rsid w:val="00054E2B"/>
    <w:rsid w:val="00056773"/>
    <w:rsid w:val="00060E64"/>
    <w:rsid w:val="000621AB"/>
    <w:rsid w:val="00062E88"/>
    <w:rsid w:val="00066193"/>
    <w:rsid w:val="00066383"/>
    <w:rsid w:val="00066755"/>
    <w:rsid w:val="00071A5B"/>
    <w:rsid w:val="00072730"/>
    <w:rsid w:val="0007337F"/>
    <w:rsid w:val="0007409C"/>
    <w:rsid w:val="00074320"/>
    <w:rsid w:val="00074FA6"/>
    <w:rsid w:val="000763D5"/>
    <w:rsid w:val="00076C38"/>
    <w:rsid w:val="00077143"/>
    <w:rsid w:val="00077DF7"/>
    <w:rsid w:val="0008050C"/>
    <w:rsid w:val="00082169"/>
    <w:rsid w:val="000834BE"/>
    <w:rsid w:val="00083F01"/>
    <w:rsid w:val="00087C4C"/>
    <w:rsid w:val="00090618"/>
    <w:rsid w:val="000918CB"/>
    <w:rsid w:val="00091B06"/>
    <w:rsid w:val="000951C4"/>
    <w:rsid w:val="00095ADA"/>
    <w:rsid w:val="00095DCF"/>
    <w:rsid w:val="00095F3A"/>
    <w:rsid w:val="000969AD"/>
    <w:rsid w:val="000975FB"/>
    <w:rsid w:val="000A02F8"/>
    <w:rsid w:val="000A14BD"/>
    <w:rsid w:val="000A3AA2"/>
    <w:rsid w:val="000A42EF"/>
    <w:rsid w:val="000A44B2"/>
    <w:rsid w:val="000A4D1E"/>
    <w:rsid w:val="000A51FF"/>
    <w:rsid w:val="000A52F6"/>
    <w:rsid w:val="000A58B8"/>
    <w:rsid w:val="000B44C3"/>
    <w:rsid w:val="000B558D"/>
    <w:rsid w:val="000B5A89"/>
    <w:rsid w:val="000B5E4D"/>
    <w:rsid w:val="000B65F6"/>
    <w:rsid w:val="000B7767"/>
    <w:rsid w:val="000C1702"/>
    <w:rsid w:val="000C1AFF"/>
    <w:rsid w:val="000C5F95"/>
    <w:rsid w:val="000C6985"/>
    <w:rsid w:val="000C6996"/>
    <w:rsid w:val="000C78B5"/>
    <w:rsid w:val="000C7C46"/>
    <w:rsid w:val="000D09E9"/>
    <w:rsid w:val="000D113F"/>
    <w:rsid w:val="000D23BA"/>
    <w:rsid w:val="000E19B7"/>
    <w:rsid w:val="000E20FC"/>
    <w:rsid w:val="000E3DFB"/>
    <w:rsid w:val="000E5EA1"/>
    <w:rsid w:val="000E681E"/>
    <w:rsid w:val="000E696B"/>
    <w:rsid w:val="000E7E52"/>
    <w:rsid w:val="000E7E90"/>
    <w:rsid w:val="000EE1C7"/>
    <w:rsid w:val="000F0003"/>
    <w:rsid w:val="000F3384"/>
    <w:rsid w:val="000F4486"/>
    <w:rsid w:val="000F4E6A"/>
    <w:rsid w:val="000F6ABB"/>
    <w:rsid w:val="000F7354"/>
    <w:rsid w:val="000F7C27"/>
    <w:rsid w:val="00101ABE"/>
    <w:rsid w:val="00101AEF"/>
    <w:rsid w:val="00102202"/>
    <w:rsid w:val="00102230"/>
    <w:rsid w:val="00102700"/>
    <w:rsid w:val="00102A78"/>
    <w:rsid w:val="00103118"/>
    <w:rsid w:val="00103F1B"/>
    <w:rsid w:val="00104227"/>
    <w:rsid w:val="001053D5"/>
    <w:rsid w:val="001064C0"/>
    <w:rsid w:val="001107BF"/>
    <w:rsid w:val="00113649"/>
    <w:rsid w:val="00113D5C"/>
    <w:rsid w:val="00116B03"/>
    <w:rsid w:val="00120AA6"/>
    <w:rsid w:val="00120FE3"/>
    <w:rsid w:val="001239DB"/>
    <w:rsid w:val="0012417C"/>
    <w:rsid w:val="00124BF2"/>
    <w:rsid w:val="00125837"/>
    <w:rsid w:val="0012597F"/>
    <w:rsid w:val="00126B19"/>
    <w:rsid w:val="00126D3A"/>
    <w:rsid w:val="0012749D"/>
    <w:rsid w:val="00127A23"/>
    <w:rsid w:val="001306A5"/>
    <w:rsid w:val="00130918"/>
    <w:rsid w:val="001311AE"/>
    <w:rsid w:val="001366C2"/>
    <w:rsid w:val="00136C17"/>
    <w:rsid w:val="00140B74"/>
    <w:rsid w:val="00140D94"/>
    <w:rsid w:val="00142395"/>
    <w:rsid w:val="00142714"/>
    <w:rsid w:val="00144D09"/>
    <w:rsid w:val="001452ED"/>
    <w:rsid w:val="00147D84"/>
    <w:rsid w:val="00150A28"/>
    <w:rsid w:val="00151CBD"/>
    <w:rsid w:val="00151CF7"/>
    <w:rsid w:val="001533C3"/>
    <w:rsid w:val="001549C1"/>
    <w:rsid w:val="00156C8D"/>
    <w:rsid w:val="00160F4D"/>
    <w:rsid w:val="00162BDD"/>
    <w:rsid w:val="00162D4E"/>
    <w:rsid w:val="00163329"/>
    <w:rsid w:val="001634A8"/>
    <w:rsid w:val="00164623"/>
    <w:rsid w:val="001652DE"/>
    <w:rsid w:val="001653D9"/>
    <w:rsid w:val="001653EC"/>
    <w:rsid w:val="00165B64"/>
    <w:rsid w:val="00167C39"/>
    <w:rsid w:val="00176B9D"/>
    <w:rsid w:val="00180554"/>
    <w:rsid w:val="00180713"/>
    <w:rsid w:val="00180720"/>
    <w:rsid w:val="001830CE"/>
    <w:rsid w:val="001836E3"/>
    <w:rsid w:val="00183A00"/>
    <w:rsid w:val="00184659"/>
    <w:rsid w:val="001860E5"/>
    <w:rsid w:val="0018643B"/>
    <w:rsid w:val="00192E1E"/>
    <w:rsid w:val="00196307"/>
    <w:rsid w:val="00197C70"/>
    <w:rsid w:val="00197F03"/>
    <w:rsid w:val="001A0D10"/>
    <w:rsid w:val="001A33EA"/>
    <w:rsid w:val="001A4413"/>
    <w:rsid w:val="001A4C4F"/>
    <w:rsid w:val="001A5630"/>
    <w:rsid w:val="001A5A2B"/>
    <w:rsid w:val="001A5C49"/>
    <w:rsid w:val="001A76FB"/>
    <w:rsid w:val="001B017F"/>
    <w:rsid w:val="001B0B79"/>
    <w:rsid w:val="001B2BBC"/>
    <w:rsid w:val="001B2BCD"/>
    <w:rsid w:val="001B3A40"/>
    <w:rsid w:val="001B3FFE"/>
    <w:rsid w:val="001B5129"/>
    <w:rsid w:val="001C0B4C"/>
    <w:rsid w:val="001C0EC4"/>
    <w:rsid w:val="001C1195"/>
    <w:rsid w:val="001C12AE"/>
    <w:rsid w:val="001C1E84"/>
    <w:rsid w:val="001C20E1"/>
    <w:rsid w:val="001C2A0F"/>
    <w:rsid w:val="001C2E42"/>
    <w:rsid w:val="001C38D4"/>
    <w:rsid w:val="001C5445"/>
    <w:rsid w:val="001C6235"/>
    <w:rsid w:val="001D1F5F"/>
    <w:rsid w:val="001E06D2"/>
    <w:rsid w:val="001E17C4"/>
    <w:rsid w:val="001E2D65"/>
    <w:rsid w:val="001E34EF"/>
    <w:rsid w:val="001F005B"/>
    <w:rsid w:val="001F010B"/>
    <w:rsid w:val="001F151D"/>
    <w:rsid w:val="001F1850"/>
    <w:rsid w:val="001F1FBF"/>
    <w:rsid w:val="001F2311"/>
    <w:rsid w:val="001F2B80"/>
    <w:rsid w:val="001F2F1C"/>
    <w:rsid w:val="001F3189"/>
    <w:rsid w:val="00200BEA"/>
    <w:rsid w:val="00201FB8"/>
    <w:rsid w:val="00202C70"/>
    <w:rsid w:val="00203FAC"/>
    <w:rsid w:val="002133FB"/>
    <w:rsid w:val="00213CFB"/>
    <w:rsid w:val="0021553C"/>
    <w:rsid w:val="0021557B"/>
    <w:rsid w:val="00216950"/>
    <w:rsid w:val="00216B87"/>
    <w:rsid w:val="002174FD"/>
    <w:rsid w:val="00217BE1"/>
    <w:rsid w:val="002214B9"/>
    <w:rsid w:val="0022222D"/>
    <w:rsid w:val="00222680"/>
    <w:rsid w:val="00223370"/>
    <w:rsid w:val="00226611"/>
    <w:rsid w:val="00227BC5"/>
    <w:rsid w:val="00227FDF"/>
    <w:rsid w:val="00230F63"/>
    <w:rsid w:val="00234252"/>
    <w:rsid w:val="0023466E"/>
    <w:rsid w:val="00237AC6"/>
    <w:rsid w:val="00240F97"/>
    <w:rsid w:val="00242BFD"/>
    <w:rsid w:val="00244139"/>
    <w:rsid w:val="00244490"/>
    <w:rsid w:val="00244BEC"/>
    <w:rsid w:val="00245A93"/>
    <w:rsid w:val="00245B9C"/>
    <w:rsid w:val="0025187C"/>
    <w:rsid w:val="00252587"/>
    <w:rsid w:val="00253499"/>
    <w:rsid w:val="002551A4"/>
    <w:rsid w:val="00257473"/>
    <w:rsid w:val="00257664"/>
    <w:rsid w:val="00260165"/>
    <w:rsid w:val="00265151"/>
    <w:rsid w:val="0026553C"/>
    <w:rsid w:val="00265C2C"/>
    <w:rsid w:val="00266509"/>
    <w:rsid w:val="00271BA1"/>
    <w:rsid w:val="00273AC5"/>
    <w:rsid w:val="00275247"/>
    <w:rsid w:val="002762FA"/>
    <w:rsid w:val="00277505"/>
    <w:rsid w:val="00277873"/>
    <w:rsid w:val="00280B3C"/>
    <w:rsid w:val="0028158C"/>
    <w:rsid w:val="002823B6"/>
    <w:rsid w:val="00285135"/>
    <w:rsid w:val="00290C03"/>
    <w:rsid w:val="00292E3B"/>
    <w:rsid w:val="002933A8"/>
    <w:rsid w:val="00294274"/>
    <w:rsid w:val="0029458F"/>
    <w:rsid w:val="00294C00"/>
    <w:rsid w:val="00296682"/>
    <w:rsid w:val="00297A63"/>
    <w:rsid w:val="002A018F"/>
    <w:rsid w:val="002A0E04"/>
    <w:rsid w:val="002A104C"/>
    <w:rsid w:val="002A1053"/>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5596"/>
    <w:rsid w:val="002B77D7"/>
    <w:rsid w:val="002C212F"/>
    <w:rsid w:val="002C2AE4"/>
    <w:rsid w:val="002C2F35"/>
    <w:rsid w:val="002C6AA9"/>
    <w:rsid w:val="002C7485"/>
    <w:rsid w:val="002D0613"/>
    <w:rsid w:val="002D2641"/>
    <w:rsid w:val="002D283A"/>
    <w:rsid w:val="002D3B75"/>
    <w:rsid w:val="002D4543"/>
    <w:rsid w:val="002D715F"/>
    <w:rsid w:val="002E022A"/>
    <w:rsid w:val="002E2AC7"/>
    <w:rsid w:val="002E3153"/>
    <w:rsid w:val="002E4A02"/>
    <w:rsid w:val="002E5292"/>
    <w:rsid w:val="002E53CB"/>
    <w:rsid w:val="002E72CA"/>
    <w:rsid w:val="002E75DD"/>
    <w:rsid w:val="002F135E"/>
    <w:rsid w:val="002F1D07"/>
    <w:rsid w:val="002F5C5B"/>
    <w:rsid w:val="002F600D"/>
    <w:rsid w:val="002F6F0F"/>
    <w:rsid w:val="002F72CD"/>
    <w:rsid w:val="002F74C1"/>
    <w:rsid w:val="002F7E47"/>
    <w:rsid w:val="00300AD6"/>
    <w:rsid w:val="00300B1B"/>
    <w:rsid w:val="003019D0"/>
    <w:rsid w:val="003019DE"/>
    <w:rsid w:val="0030311E"/>
    <w:rsid w:val="003064AF"/>
    <w:rsid w:val="00307DC6"/>
    <w:rsid w:val="00310195"/>
    <w:rsid w:val="00310A8B"/>
    <w:rsid w:val="00310B68"/>
    <w:rsid w:val="00312601"/>
    <w:rsid w:val="003160D2"/>
    <w:rsid w:val="003173FC"/>
    <w:rsid w:val="00317C6C"/>
    <w:rsid w:val="00320B80"/>
    <w:rsid w:val="00320CD3"/>
    <w:rsid w:val="003215FF"/>
    <w:rsid w:val="00322667"/>
    <w:rsid w:val="0032322E"/>
    <w:rsid w:val="0032607C"/>
    <w:rsid w:val="00326E79"/>
    <w:rsid w:val="0032748A"/>
    <w:rsid w:val="003301B1"/>
    <w:rsid w:val="00331189"/>
    <w:rsid w:val="0033263D"/>
    <w:rsid w:val="00334E69"/>
    <w:rsid w:val="0033518A"/>
    <w:rsid w:val="00335535"/>
    <w:rsid w:val="00335817"/>
    <w:rsid w:val="003367EF"/>
    <w:rsid w:val="00341AE4"/>
    <w:rsid w:val="003425CA"/>
    <w:rsid w:val="00343FB7"/>
    <w:rsid w:val="00345921"/>
    <w:rsid w:val="003476EE"/>
    <w:rsid w:val="003541DD"/>
    <w:rsid w:val="00356E5B"/>
    <w:rsid w:val="00360887"/>
    <w:rsid w:val="00362300"/>
    <w:rsid w:val="0036249F"/>
    <w:rsid w:val="00365AA0"/>
    <w:rsid w:val="00366940"/>
    <w:rsid w:val="00371246"/>
    <w:rsid w:val="003736C9"/>
    <w:rsid w:val="00375193"/>
    <w:rsid w:val="00383B77"/>
    <w:rsid w:val="00384988"/>
    <w:rsid w:val="003872CF"/>
    <w:rsid w:val="003874CB"/>
    <w:rsid w:val="00396E08"/>
    <w:rsid w:val="003970DD"/>
    <w:rsid w:val="0039782C"/>
    <w:rsid w:val="003A1295"/>
    <w:rsid w:val="003A13A6"/>
    <w:rsid w:val="003A2165"/>
    <w:rsid w:val="003A3AF3"/>
    <w:rsid w:val="003A3FD4"/>
    <w:rsid w:val="003A5B4A"/>
    <w:rsid w:val="003A5D95"/>
    <w:rsid w:val="003A6510"/>
    <w:rsid w:val="003A74E2"/>
    <w:rsid w:val="003B0CCC"/>
    <w:rsid w:val="003B0D3A"/>
    <w:rsid w:val="003B2302"/>
    <w:rsid w:val="003B23C5"/>
    <w:rsid w:val="003B2A75"/>
    <w:rsid w:val="003B2B2E"/>
    <w:rsid w:val="003B48FF"/>
    <w:rsid w:val="003B49B2"/>
    <w:rsid w:val="003B6124"/>
    <w:rsid w:val="003B6C40"/>
    <w:rsid w:val="003B7960"/>
    <w:rsid w:val="003C0908"/>
    <w:rsid w:val="003C093A"/>
    <w:rsid w:val="003C1ECF"/>
    <w:rsid w:val="003C21A2"/>
    <w:rsid w:val="003C2978"/>
    <w:rsid w:val="003C2FB5"/>
    <w:rsid w:val="003C69E3"/>
    <w:rsid w:val="003D24C5"/>
    <w:rsid w:val="003D4594"/>
    <w:rsid w:val="003D4AC4"/>
    <w:rsid w:val="003D5433"/>
    <w:rsid w:val="003D63B7"/>
    <w:rsid w:val="003D7465"/>
    <w:rsid w:val="003D74C5"/>
    <w:rsid w:val="003E4374"/>
    <w:rsid w:val="003E468B"/>
    <w:rsid w:val="003E479C"/>
    <w:rsid w:val="003E4D77"/>
    <w:rsid w:val="003E62BD"/>
    <w:rsid w:val="003E658D"/>
    <w:rsid w:val="003F044F"/>
    <w:rsid w:val="003F0C3A"/>
    <w:rsid w:val="003F15F0"/>
    <w:rsid w:val="003F2AD9"/>
    <w:rsid w:val="003F3228"/>
    <w:rsid w:val="003F3922"/>
    <w:rsid w:val="003F5C8C"/>
    <w:rsid w:val="003F63CE"/>
    <w:rsid w:val="003F71CD"/>
    <w:rsid w:val="003F775A"/>
    <w:rsid w:val="00400E55"/>
    <w:rsid w:val="0040128E"/>
    <w:rsid w:val="00401F8B"/>
    <w:rsid w:val="0040216B"/>
    <w:rsid w:val="00404852"/>
    <w:rsid w:val="0040590E"/>
    <w:rsid w:val="004079F9"/>
    <w:rsid w:val="00407CC8"/>
    <w:rsid w:val="00414F0C"/>
    <w:rsid w:val="00420400"/>
    <w:rsid w:val="00421F5F"/>
    <w:rsid w:val="00423E78"/>
    <w:rsid w:val="004252EC"/>
    <w:rsid w:val="00430D39"/>
    <w:rsid w:val="00430EEF"/>
    <w:rsid w:val="00431D5A"/>
    <w:rsid w:val="004343FA"/>
    <w:rsid w:val="0043539E"/>
    <w:rsid w:val="004370A1"/>
    <w:rsid w:val="00437392"/>
    <w:rsid w:val="00442C91"/>
    <w:rsid w:val="004465BD"/>
    <w:rsid w:val="00446938"/>
    <w:rsid w:val="00450370"/>
    <w:rsid w:val="004528FA"/>
    <w:rsid w:val="0045491D"/>
    <w:rsid w:val="00460340"/>
    <w:rsid w:val="00461A44"/>
    <w:rsid w:val="00462D26"/>
    <w:rsid w:val="0046368B"/>
    <w:rsid w:val="0046385A"/>
    <w:rsid w:val="00464039"/>
    <w:rsid w:val="00466ADA"/>
    <w:rsid w:val="004702BB"/>
    <w:rsid w:val="00471E63"/>
    <w:rsid w:val="0047494B"/>
    <w:rsid w:val="00476245"/>
    <w:rsid w:val="00477A9B"/>
    <w:rsid w:val="00480A93"/>
    <w:rsid w:val="00482AE4"/>
    <w:rsid w:val="00483035"/>
    <w:rsid w:val="004847DE"/>
    <w:rsid w:val="00485940"/>
    <w:rsid w:val="00486C95"/>
    <w:rsid w:val="004877C2"/>
    <w:rsid w:val="004904B9"/>
    <w:rsid w:val="004913C9"/>
    <w:rsid w:val="0049225E"/>
    <w:rsid w:val="004928E1"/>
    <w:rsid w:val="00492D8D"/>
    <w:rsid w:val="00496662"/>
    <w:rsid w:val="004A1431"/>
    <w:rsid w:val="004A2484"/>
    <w:rsid w:val="004A5A85"/>
    <w:rsid w:val="004A71D1"/>
    <w:rsid w:val="004A7C5B"/>
    <w:rsid w:val="004B1845"/>
    <w:rsid w:val="004B2348"/>
    <w:rsid w:val="004B2E01"/>
    <w:rsid w:val="004B2E98"/>
    <w:rsid w:val="004B536D"/>
    <w:rsid w:val="004B5640"/>
    <w:rsid w:val="004B6084"/>
    <w:rsid w:val="004BCF29"/>
    <w:rsid w:val="004C0206"/>
    <w:rsid w:val="004C03D0"/>
    <w:rsid w:val="004C1BD7"/>
    <w:rsid w:val="004C239C"/>
    <w:rsid w:val="004C31FE"/>
    <w:rsid w:val="004C3243"/>
    <w:rsid w:val="004C524C"/>
    <w:rsid w:val="004C5EDD"/>
    <w:rsid w:val="004C5FFA"/>
    <w:rsid w:val="004C691D"/>
    <w:rsid w:val="004C6C07"/>
    <w:rsid w:val="004C7E15"/>
    <w:rsid w:val="004D1EF0"/>
    <w:rsid w:val="004D2CD1"/>
    <w:rsid w:val="004D4FF6"/>
    <w:rsid w:val="004D5ADD"/>
    <w:rsid w:val="004E0CC3"/>
    <w:rsid w:val="004E53F1"/>
    <w:rsid w:val="004E692D"/>
    <w:rsid w:val="004E7230"/>
    <w:rsid w:val="004E7AF1"/>
    <w:rsid w:val="004E7D87"/>
    <w:rsid w:val="004F2553"/>
    <w:rsid w:val="004F306A"/>
    <w:rsid w:val="004F6FD3"/>
    <w:rsid w:val="00501554"/>
    <w:rsid w:val="00502AFE"/>
    <w:rsid w:val="00502E64"/>
    <w:rsid w:val="00503AD7"/>
    <w:rsid w:val="00503E89"/>
    <w:rsid w:val="00504E0C"/>
    <w:rsid w:val="00504E13"/>
    <w:rsid w:val="00507380"/>
    <w:rsid w:val="005109D4"/>
    <w:rsid w:val="0051230A"/>
    <w:rsid w:val="00512F76"/>
    <w:rsid w:val="00514CD7"/>
    <w:rsid w:val="005167EC"/>
    <w:rsid w:val="005170DA"/>
    <w:rsid w:val="00520D6A"/>
    <w:rsid w:val="00522DB6"/>
    <w:rsid w:val="00524A0F"/>
    <w:rsid w:val="005264A7"/>
    <w:rsid w:val="0052792D"/>
    <w:rsid w:val="005319B2"/>
    <w:rsid w:val="00532402"/>
    <w:rsid w:val="00532C74"/>
    <w:rsid w:val="00533239"/>
    <w:rsid w:val="00534E2E"/>
    <w:rsid w:val="00535133"/>
    <w:rsid w:val="0054064C"/>
    <w:rsid w:val="00544552"/>
    <w:rsid w:val="00545130"/>
    <w:rsid w:val="00546B36"/>
    <w:rsid w:val="0055286A"/>
    <w:rsid w:val="00555745"/>
    <w:rsid w:val="00557D4F"/>
    <w:rsid w:val="0056076D"/>
    <w:rsid w:val="0056122E"/>
    <w:rsid w:val="00561902"/>
    <w:rsid w:val="0056484E"/>
    <w:rsid w:val="00565347"/>
    <w:rsid w:val="00565999"/>
    <w:rsid w:val="00566116"/>
    <w:rsid w:val="00567D8A"/>
    <w:rsid w:val="00570231"/>
    <w:rsid w:val="0057106E"/>
    <w:rsid w:val="005764CD"/>
    <w:rsid w:val="005765F6"/>
    <w:rsid w:val="005776A0"/>
    <w:rsid w:val="00577A9E"/>
    <w:rsid w:val="00577C4D"/>
    <w:rsid w:val="00580532"/>
    <w:rsid w:val="00581932"/>
    <w:rsid w:val="00583002"/>
    <w:rsid w:val="00583EB9"/>
    <w:rsid w:val="00584321"/>
    <w:rsid w:val="005903BB"/>
    <w:rsid w:val="00593893"/>
    <w:rsid w:val="005963BB"/>
    <w:rsid w:val="00596D37"/>
    <w:rsid w:val="005A15D2"/>
    <w:rsid w:val="005A3173"/>
    <w:rsid w:val="005A3223"/>
    <w:rsid w:val="005A3DA3"/>
    <w:rsid w:val="005A52C4"/>
    <w:rsid w:val="005A5DAB"/>
    <w:rsid w:val="005A63A1"/>
    <w:rsid w:val="005B0486"/>
    <w:rsid w:val="005B0927"/>
    <w:rsid w:val="005B1032"/>
    <w:rsid w:val="005B1473"/>
    <w:rsid w:val="005B36FA"/>
    <w:rsid w:val="005C0038"/>
    <w:rsid w:val="005C0206"/>
    <w:rsid w:val="005C415C"/>
    <w:rsid w:val="005C4F73"/>
    <w:rsid w:val="005C7F85"/>
    <w:rsid w:val="005D01E6"/>
    <w:rsid w:val="005D03AB"/>
    <w:rsid w:val="005D03D7"/>
    <w:rsid w:val="005D401D"/>
    <w:rsid w:val="005D5017"/>
    <w:rsid w:val="005D5708"/>
    <w:rsid w:val="005D63FA"/>
    <w:rsid w:val="005D73C7"/>
    <w:rsid w:val="005E0C2D"/>
    <w:rsid w:val="005E0D82"/>
    <w:rsid w:val="005E0F59"/>
    <w:rsid w:val="005E1333"/>
    <w:rsid w:val="005E3136"/>
    <w:rsid w:val="005E507D"/>
    <w:rsid w:val="005F0AD0"/>
    <w:rsid w:val="005F5ABD"/>
    <w:rsid w:val="00601A91"/>
    <w:rsid w:val="00602BA3"/>
    <w:rsid w:val="006057FF"/>
    <w:rsid w:val="00605B63"/>
    <w:rsid w:val="00605F9A"/>
    <w:rsid w:val="00606442"/>
    <w:rsid w:val="00606EED"/>
    <w:rsid w:val="00610CBA"/>
    <w:rsid w:val="0061219D"/>
    <w:rsid w:val="00612A95"/>
    <w:rsid w:val="00612E34"/>
    <w:rsid w:val="00614159"/>
    <w:rsid w:val="006158A3"/>
    <w:rsid w:val="00616C5F"/>
    <w:rsid w:val="00616DAC"/>
    <w:rsid w:val="00617725"/>
    <w:rsid w:val="00617C00"/>
    <w:rsid w:val="00622087"/>
    <w:rsid w:val="00624560"/>
    <w:rsid w:val="006263BF"/>
    <w:rsid w:val="0062748A"/>
    <w:rsid w:val="00630546"/>
    <w:rsid w:val="00630A2C"/>
    <w:rsid w:val="00633B04"/>
    <w:rsid w:val="00634A75"/>
    <w:rsid w:val="0063682E"/>
    <w:rsid w:val="00636D56"/>
    <w:rsid w:val="00640088"/>
    <w:rsid w:val="00642672"/>
    <w:rsid w:val="00642DA8"/>
    <w:rsid w:val="006436CD"/>
    <w:rsid w:val="00647876"/>
    <w:rsid w:val="00651169"/>
    <w:rsid w:val="00653D69"/>
    <w:rsid w:val="006552E6"/>
    <w:rsid w:val="00655794"/>
    <w:rsid w:val="00656F2F"/>
    <w:rsid w:val="00657C63"/>
    <w:rsid w:val="00661CBC"/>
    <w:rsid w:val="00662B85"/>
    <w:rsid w:val="00663754"/>
    <w:rsid w:val="006670B3"/>
    <w:rsid w:val="006670BE"/>
    <w:rsid w:val="00670A76"/>
    <w:rsid w:val="006711AA"/>
    <w:rsid w:val="00672B57"/>
    <w:rsid w:val="00673F1F"/>
    <w:rsid w:val="00675622"/>
    <w:rsid w:val="00675DEB"/>
    <w:rsid w:val="0067747D"/>
    <w:rsid w:val="00681435"/>
    <w:rsid w:val="006818D5"/>
    <w:rsid w:val="00681CA4"/>
    <w:rsid w:val="00685D7E"/>
    <w:rsid w:val="00686559"/>
    <w:rsid w:val="0069039D"/>
    <w:rsid w:val="006906DB"/>
    <w:rsid w:val="00691900"/>
    <w:rsid w:val="00691E6C"/>
    <w:rsid w:val="006923F5"/>
    <w:rsid w:val="0069342D"/>
    <w:rsid w:val="00693DFB"/>
    <w:rsid w:val="00694FD5"/>
    <w:rsid w:val="0069501D"/>
    <w:rsid w:val="00696129"/>
    <w:rsid w:val="00697CF2"/>
    <w:rsid w:val="006A12A5"/>
    <w:rsid w:val="006A18D8"/>
    <w:rsid w:val="006A2515"/>
    <w:rsid w:val="006A572D"/>
    <w:rsid w:val="006A5E20"/>
    <w:rsid w:val="006B0D94"/>
    <w:rsid w:val="006B16B6"/>
    <w:rsid w:val="006B485D"/>
    <w:rsid w:val="006B7DDA"/>
    <w:rsid w:val="006C0C45"/>
    <w:rsid w:val="006C2806"/>
    <w:rsid w:val="006C334C"/>
    <w:rsid w:val="006C6C10"/>
    <w:rsid w:val="006C708E"/>
    <w:rsid w:val="006D14E7"/>
    <w:rsid w:val="006D4444"/>
    <w:rsid w:val="006D6493"/>
    <w:rsid w:val="006D6BBB"/>
    <w:rsid w:val="006D6EC7"/>
    <w:rsid w:val="006D7B05"/>
    <w:rsid w:val="006D7E45"/>
    <w:rsid w:val="006E1143"/>
    <w:rsid w:val="006E1413"/>
    <w:rsid w:val="006E1BCD"/>
    <w:rsid w:val="006E2732"/>
    <w:rsid w:val="006E59CD"/>
    <w:rsid w:val="006E606E"/>
    <w:rsid w:val="006F02E1"/>
    <w:rsid w:val="006F0A71"/>
    <w:rsid w:val="006F1C6B"/>
    <w:rsid w:val="006F40C2"/>
    <w:rsid w:val="006F5125"/>
    <w:rsid w:val="006F71C7"/>
    <w:rsid w:val="006F733D"/>
    <w:rsid w:val="00700765"/>
    <w:rsid w:val="00702959"/>
    <w:rsid w:val="00702B6F"/>
    <w:rsid w:val="007030B4"/>
    <w:rsid w:val="00703B86"/>
    <w:rsid w:val="00704069"/>
    <w:rsid w:val="00705A6B"/>
    <w:rsid w:val="00706A2F"/>
    <w:rsid w:val="0070718E"/>
    <w:rsid w:val="00707D80"/>
    <w:rsid w:val="00707E52"/>
    <w:rsid w:val="00710259"/>
    <w:rsid w:val="0071031F"/>
    <w:rsid w:val="00710737"/>
    <w:rsid w:val="0071340A"/>
    <w:rsid w:val="0071340B"/>
    <w:rsid w:val="007136AD"/>
    <w:rsid w:val="007139D3"/>
    <w:rsid w:val="00713C50"/>
    <w:rsid w:val="0071436D"/>
    <w:rsid w:val="00715BBB"/>
    <w:rsid w:val="007174BB"/>
    <w:rsid w:val="0072025D"/>
    <w:rsid w:val="00723328"/>
    <w:rsid w:val="007237DE"/>
    <w:rsid w:val="0072502E"/>
    <w:rsid w:val="0073137C"/>
    <w:rsid w:val="007340B9"/>
    <w:rsid w:val="007353D3"/>
    <w:rsid w:val="0074156B"/>
    <w:rsid w:val="00741619"/>
    <w:rsid w:val="00742885"/>
    <w:rsid w:val="0074316A"/>
    <w:rsid w:val="00747092"/>
    <w:rsid w:val="007526E6"/>
    <w:rsid w:val="00754DF9"/>
    <w:rsid w:val="007555E8"/>
    <w:rsid w:val="00755CC5"/>
    <w:rsid w:val="007564D9"/>
    <w:rsid w:val="00756EA9"/>
    <w:rsid w:val="007612A7"/>
    <w:rsid w:val="00762862"/>
    <w:rsid w:val="0076420C"/>
    <w:rsid w:val="00764236"/>
    <w:rsid w:val="0076423E"/>
    <w:rsid w:val="00771D07"/>
    <w:rsid w:val="00772538"/>
    <w:rsid w:val="00772649"/>
    <w:rsid w:val="00773BE3"/>
    <w:rsid w:val="007743DD"/>
    <w:rsid w:val="00774E2C"/>
    <w:rsid w:val="0077503C"/>
    <w:rsid w:val="0077518D"/>
    <w:rsid w:val="007753C2"/>
    <w:rsid w:val="007759C4"/>
    <w:rsid w:val="00776068"/>
    <w:rsid w:val="007838B8"/>
    <w:rsid w:val="00785779"/>
    <w:rsid w:val="00787FD8"/>
    <w:rsid w:val="007903AE"/>
    <w:rsid w:val="007915BA"/>
    <w:rsid w:val="00791844"/>
    <w:rsid w:val="00793CE9"/>
    <w:rsid w:val="00794E22"/>
    <w:rsid w:val="00796667"/>
    <w:rsid w:val="00797068"/>
    <w:rsid w:val="007979BD"/>
    <w:rsid w:val="00797EE1"/>
    <w:rsid w:val="007A3CD4"/>
    <w:rsid w:val="007A3D8E"/>
    <w:rsid w:val="007A5C88"/>
    <w:rsid w:val="007A6A2F"/>
    <w:rsid w:val="007B024E"/>
    <w:rsid w:val="007B1F03"/>
    <w:rsid w:val="007B3BAF"/>
    <w:rsid w:val="007B3DDC"/>
    <w:rsid w:val="007B72A6"/>
    <w:rsid w:val="007B771B"/>
    <w:rsid w:val="007C06D2"/>
    <w:rsid w:val="007C08E0"/>
    <w:rsid w:val="007C0F57"/>
    <w:rsid w:val="007C2102"/>
    <w:rsid w:val="007C2F4B"/>
    <w:rsid w:val="007C40B6"/>
    <w:rsid w:val="007C48BF"/>
    <w:rsid w:val="007C4C37"/>
    <w:rsid w:val="007C4E1F"/>
    <w:rsid w:val="007C5975"/>
    <w:rsid w:val="007C5D76"/>
    <w:rsid w:val="007C729F"/>
    <w:rsid w:val="007C72AD"/>
    <w:rsid w:val="007D2AA6"/>
    <w:rsid w:val="007D503D"/>
    <w:rsid w:val="007D59E7"/>
    <w:rsid w:val="007D5F2A"/>
    <w:rsid w:val="007E07AC"/>
    <w:rsid w:val="007E1014"/>
    <w:rsid w:val="007E12F8"/>
    <w:rsid w:val="007E1D28"/>
    <w:rsid w:val="007E4564"/>
    <w:rsid w:val="007E490F"/>
    <w:rsid w:val="007E57AE"/>
    <w:rsid w:val="007E5876"/>
    <w:rsid w:val="007E7D1A"/>
    <w:rsid w:val="007F0021"/>
    <w:rsid w:val="007F2641"/>
    <w:rsid w:val="007F7C36"/>
    <w:rsid w:val="007F7F45"/>
    <w:rsid w:val="0080001F"/>
    <w:rsid w:val="00801161"/>
    <w:rsid w:val="00801958"/>
    <w:rsid w:val="008055AF"/>
    <w:rsid w:val="008057CD"/>
    <w:rsid w:val="008066B8"/>
    <w:rsid w:val="00806796"/>
    <w:rsid w:val="00810167"/>
    <w:rsid w:val="008104D0"/>
    <w:rsid w:val="00811CC0"/>
    <w:rsid w:val="00814276"/>
    <w:rsid w:val="008151D6"/>
    <w:rsid w:val="00815471"/>
    <w:rsid w:val="008201C0"/>
    <w:rsid w:val="00820803"/>
    <w:rsid w:val="00821527"/>
    <w:rsid w:val="00822696"/>
    <w:rsid w:val="00822716"/>
    <w:rsid w:val="00822FF8"/>
    <w:rsid w:val="00825A6C"/>
    <w:rsid w:val="0082617E"/>
    <w:rsid w:val="008266E7"/>
    <w:rsid w:val="008268BB"/>
    <w:rsid w:val="00826F6D"/>
    <w:rsid w:val="008306F3"/>
    <w:rsid w:val="00830E40"/>
    <w:rsid w:val="0083184B"/>
    <w:rsid w:val="00832D9A"/>
    <w:rsid w:val="00835C62"/>
    <w:rsid w:val="008368A1"/>
    <w:rsid w:val="00840EF7"/>
    <w:rsid w:val="00844C0A"/>
    <w:rsid w:val="00846056"/>
    <w:rsid w:val="0084681F"/>
    <w:rsid w:val="00847D08"/>
    <w:rsid w:val="00847EC0"/>
    <w:rsid w:val="00854506"/>
    <w:rsid w:val="00855FD6"/>
    <w:rsid w:val="00856DDD"/>
    <w:rsid w:val="00860233"/>
    <w:rsid w:val="00860836"/>
    <w:rsid w:val="00860C87"/>
    <w:rsid w:val="00863E68"/>
    <w:rsid w:val="008647B5"/>
    <w:rsid w:val="00867D64"/>
    <w:rsid w:val="00867D89"/>
    <w:rsid w:val="00872E8F"/>
    <w:rsid w:val="00873D17"/>
    <w:rsid w:val="00873DC8"/>
    <w:rsid w:val="008756AA"/>
    <w:rsid w:val="00875DCB"/>
    <w:rsid w:val="00876FBF"/>
    <w:rsid w:val="0087755A"/>
    <w:rsid w:val="00882085"/>
    <w:rsid w:val="00883188"/>
    <w:rsid w:val="00884A0C"/>
    <w:rsid w:val="008852B5"/>
    <w:rsid w:val="00886A4B"/>
    <w:rsid w:val="00886ACA"/>
    <w:rsid w:val="00886B01"/>
    <w:rsid w:val="0089031E"/>
    <w:rsid w:val="0089109A"/>
    <w:rsid w:val="0089332E"/>
    <w:rsid w:val="00893D5C"/>
    <w:rsid w:val="0089460B"/>
    <w:rsid w:val="00897948"/>
    <w:rsid w:val="00897D58"/>
    <w:rsid w:val="00897F22"/>
    <w:rsid w:val="008A0104"/>
    <w:rsid w:val="008A0B39"/>
    <w:rsid w:val="008A17A3"/>
    <w:rsid w:val="008A1956"/>
    <w:rsid w:val="008A1E85"/>
    <w:rsid w:val="008A2419"/>
    <w:rsid w:val="008A3315"/>
    <w:rsid w:val="008A4937"/>
    <w:rsid w:val="008A50F1"/>
    <w:rsid w:val="008A59D9"/>
    <w:rsid w:val="008A643E"/>
    <w:rsid w:val="008A6819"/>
    <w:rsid w:val="008B007A"/>
    <w:rsid w:val="008B2EC0"/>
    <w:rsid w:val="008B3BF4"/>
    <w:rsid w:val="008B448A"/>
    <w:rsid w:val="008B6DCF"/>
    <w:rsid w:val="008D0803"/>
    <w:rsid w:val="008D0945"/>
    <w:rsid w:val="008D1203"/>
    <w:rsid w:val="008D1409"/>
    <w:rsid w:val="008D15CC"/>
    <w:rsid w:val="008D1729"/>
    <w:rsid w:val="008D1B5C"/>
    <w:rsid w:val="008D3C82"/>
    <w:rsid w:val="008D447E"/>
    <w:rsid w:val="008D6ACF"/>
    <w:rsid w:val="008D7A41"/>
    <w:rsid w:val="008E2739"/>
    <w:rsid w:val="008E2C72"/>
    <w:rsid w:val="008E3092"/>
    <w:rsid w:val="008E3680"/>
    <w:rsid w:val="008E46DF"/>
    <w:rsid w:val="008E4F87"/>
    <w:rsid w:val="008E5870"/>
    <w:rsid w:val="008E77E4"/>
    <w:rsid w:val="008F0213"/>
    <w:rsid w:val="008F066A"/>
    <w:rsid w:val="008F07ED"/>
    <w:rsid w:val="008F11F8"/>
    <w:rsid w:val="008F1289"/>
    <w:rsid w:val="008F1434"/>
    <w:rsid w:val="008F2BB9"/>
    <w:rsid w:val="008F35E1"/>
    <w:rsid w:val="008F3D6A"/>
    <w:rsid w:val="008F54C3"/>
    <w:rsid w:val="008F7355"/>
    <w:rsid w:val="009023DC"/>
    <w:rsid w:val="009027C5"/>
    <w:rsid w:val="00904413"/>
    <w:rsid w:val="009067B7"/>
    <w:rsid w:val="00906A20"/>
    <w:rsid w:val="00906E7A"/>
    <w:rsid w:val="0090775A"/>
    <w:rsid w:val="00907DFD"/>
    <w:rsid w:val="009106DB"/>
    <w:rsid w:val="00913C99"/>
    <w:rsid w:val="00915C05"/>
    <w:rsid w:val="00915C46"/>
    <w:rsid w:val="0091678C"/>
    <w:rsid w:val="00917D69"/>
    <w:rsid w:val="00920B6D"/>
    <w:rsid w:val="00920FDD"/>
    <w:rsid w:val="00926560"/>
    <w:rsid w:val="00926B15"/>
    <w:rsid w:val="00930291"/>
    <w:rsid w:val="00930937"/>
    <w:rsid w:val="009324A6"/>
    <w:rsid w:val="00933B7D"/>
    <w:rsid w:val="00933E6C"/>
    <w:rsid w:val="00935A6E"/>
    <w:rsid w:val="00937958"/>
    <w:rsid w:val="009406E5"/>
    <w:rsid w:val="0094107A"/>
    <w:rsid w:val="00941602"/>
    <w:rsid w:val="00942160"/>
    <w:rsid w:val="00946921"/>
    <w:rsid w:val="00947343"/>
    <w:rsid w:val="0095146F"/>
    <w:rsid w:val="009534C7"/>
    <w:rsid w:val="00955EDF"/>
    <w:rsid w:val="00957944"/>
    <w:rsid w:val="009602C5"/>
    <w:rsid w:val="00962223"/>
    <w:rsid w:val="0096252B"/>
    <w:rsid w:val="009644D9"/>
    <w:rsid w:val="00964A1A"/>
    <w:rsid w:val="00964A9F"/>
    <w:rsid w:val="00966D0D"/>
    <w:rsid w:val="00967732"/>
    <w:rsid w:val="0096783C"/>
    <w:rsid w:val="00967E9D"/>
    <w:rsid w:val="00970023"/>
    <w:rsid w:val="009722B3"/>
    <w:rsid w:val="00973E24"/>
    <w:rsid w:val="00974C21"/>
    <w:rsid w:val="00975948"/>
    <w:rsid w:val="009772FD"/>
    <w:rsid w:val="00977BF3"/>
    <w:rsid w:val="009803E4"/>
    <w:rsid w:val="00980B0E"/>
    <w:rsid w:val="00982B39"/>
    <w:rsid w:val="009836A3"/>
    <w:rsid w:val="00984C58"/>
    <w:rsid w:val="009855A8"/>
    <w:rsid w:val="00985CBE"/>
    <w:rsid w:val="00985D1A"/>
    <w:rsid w:val="00987605"/>
    <w:rsid w:val="00987BC3"/>
    <w:rsid w:val="00990CF8"/>
    <w:rsid w:val="009913F4"/>
    <w:rsid w:val="00991782"/>
    <w:rsid w:val="009937F7"/>
    <w:rsid w:val="00994319"/>
    <w:rsid w:val="0099465B"/>
    <w:rsid w:val="009951A1"/>
    <w:rsid w:val="00997498"/>
    <w:rsid w:val="00997A44"/>
    <w:rsid w:val="009A0CDD"/>
    <w:rsid w:val="009A3168"/>
    <w:rsid w:val="009A4621"/>
    <w:rsid w:val="009A4B37"/>
    <w:rsid w:val="009A4BDF"/>
    <w:rsid w:val="009A5540"/>
    <w:rsid w:val="009A5D04"/>
    <w:rsid w:val="009A61CA"/>
    <w:rsid w:val="009B0C64"/>
    <w:rsid w:val="009B0F67"/>
    <w:rsid w:val="009B208A"/>
    <w:rsid w:val="009B2756"/>
    <w:rsid w:val="009B3D56"/>
    <w:rsid w:val="009B3F8C"/>
    <w:rsid w:val="009B533B"/>
    <w:rsid w:val="009B59B4"/>
    <w:rsid w:val="009B59E0"/>
    <w:rsid w:val="009C26AA"/>
    <w:rsid w:val="009C703C"/>
    <w:rsid w:val="009D0C29"/>
    <w:rsid w:val="009D206E"/>
    <w:rsid w:val="009D3734"/>
    <w:rsid w:val="009D3CAA"/>
    <w:rsid w:val="009D507A"/>
    <w:rsid w:val="009D6532"/>
    <w:rsid w:val="009D71FD"/>
    <w:rsid w:val="009E06F0"/>
    <w:rsid w:val="009E0755"/>
    <w:rsid w:val="009E0F0F"/>
    <w:rsid w:val="009E10AD"/>
    <w:rsid w:val="009E166E"/>
    <w:rsid w:val="009E1BB0"/>
    <w:rsid w:val="009E2588"/>
    <w:rsid w:val="009E2E8E"/>
    <w:rsid w:val="009E40E1"/>
    <w:rsid w:val="009E4EC5"/>
    <w:rsid w:val="009F0EFA"/>
    <w:rsid w:val="009F3C75"/>
    <w:rsid w:val="009F3E59"/>
    <w:rsid w:val="009F4E46"/>
    <w:rsid w:val="009F5B65"/>
    <w:rsid w:val="009F5F2E"/>
    <w:rsid w:val="009F769B"/>
    <w:rsid w:val="00A01432"/>
    <w:rsid w:val="00A04FB1"/>
    <w:rsid w:val="00A060FD"/>
    <w:rsid w:val="00A06225"/>
    <w:rsid w:val="00A064A9"/>
    <w:rsid w:val="00A066E6"/>
    <w:rsid w:val="00A07459"/>
    <w:rsid w:val="00A103A8"/>
    <w:rsid w:val="00A110D1"/>
    <w:rsid w:val="00A12587"/>
    <w:rsid w:val="00A128E6"/>
    <w:rsid w:val="00A144D3"/>
    <w:rsid w:val="00A14C64"/>
    <w:rsid w:val="00A154EA"/>
    <w:rsid w:val="00A17EA7"/>
    <w:rsid w:val="00A21D7D"/>
    <w:rsid w:val="00A22AC3"/>
    <w:rsid w:val="00A2351E"/>
    <w:rsid w:val="00A23F3F"/>
    <w:rsid w:val="00A24067"/>
    <w:rsid w:val="00A24A4B"/>
    <w:rsid w:val="00A257BE"/>
    <w:rsid w:val="00A2712C"/>
    <w:rsid w:val="00A2744D"/>
    <w:rsid w:val="00A30D16"/>
    <w:rsid w:val="00A33EB7"/>
    <w:rsid w:val="00A34E6C"/>
    <w:rsid w:val="00A34FD0"/>
    <w:rsid w:val="00A36398"/>
    <w:rsid w:val="00A37C8D"/>
    <w:rsid w:val="00A4020E"/>
    <w:rsid w:val="00A40493"/>
    <w:rsid w:val="00A408E8"/>
    <w:rsid w:val="00A40FB5"/>
    <w:rsid w:val="00A42826"/>
    <w:rsid w:val="00A429B3"/>
    <w:rsid w:val="00A44EC1"/>
    <w:rsid w:val="00A4727B"/>
    <w:rsid w:val="00A510E4"/>
    <w:rsid w:val="00A526F7"/>
    <w:rsid w:val="00A5273B"/>
    <w:rsid w:val="00A53A9D"/>
    <w:rsid w:val="00A55FEE"/>
    <w:rsid w:val="00A57422"/>
    <w:rsid w:val="00A62C1A"/>
    <w:rsid w:val="00A63CA2"/>
    <w:rsid w:val="00A6426D"/>
    <w:rsid w:val="00A665C1"/>
    <w:rsid w:val="00A673A4"/>
    <w:rsid w:val="00A67ED4"/>
    <w:rsid w:val="00A7001A"/>
    <w:rsid w:val="00A70622"/>
    <w:rsid w:val="00A70977"/>
    <w:rsid w:val="00A70D58"/>
    <w:rsid w:val="00A72471"/>
    <w:rsid w:val="00A744F9"/>
    <w:rsid w:val="00A74A51"/>
    <w:rsid w:val="00A76329"/>
    <w:rsid w:val="00A77613"/>
    <w:rsid w:val="00A77B87"/>
    <w:rsid w:val="00A801AD"/>
    <w:rsid w:val="00A80A86"/>
    <w:rsid w:val="00A81851"/>
    <w:rsid w:val="00A8390C"/>
    <w:rsid w:val="00A86AE0"/>
    <w:rsid w:val="00A90450"/>
    <w:rsid w:val="00A91362"/>
    <w:rsid w:val="00A9151C"/>
    <w:rsid w:val="00A916B7"/>
    <w:rsid w:val="00A919C6"/>
    <w:rsid w:val="00A928BD"/>
    <w:rsid w:val="00A97CD3"/>
    <w:rsid w:val="00A97DE9"/>
    <w:rsid w:val="00AA12CD"/>
    <w:rsid w:val="00AA168E"/>
    <w:rsid w:val="00AA4D1C"/>
    <w:rsid w:val="00AA52FD"/>
    <w:rsid w:val="00AA7006"/>
    <w:rsid w:val="00AB36F7"/>
    <w:rsid w:val="00AB4684"/>
    <w:rsid w:val="00AB5856"/>
    <w:rsid w:val="00AC081D"/>
    <w:rsid w:val="00AC0C6F"/>
    <w:rsid w:val="00AC1266"/>
    <w:rsid w:val="00AC193C"/>
    <w:rsid w:val="00AC242B"/>
    <w:rsid w:val="00AC26FF"/>
    <w:rsid w:val="00AC30C1"/>
    <w:rsid w:val="00AC4DE5"/>
    <w:rsid w:val="00AC5206"/>
    <w:rsid w:val="00AC532B"/>
    <w:rsid w:val="00AC7125"/>
    <w:rsid w:val="00AD095B"/>
    <w:rsid w:val="00AD200A"/>
    <w:rsid w:val="00AD2DB2"/>
    <w:rsid w:val="00AD3106"/>
    <w:rsid w:val="00AD4322"/>
    <w:rsid w:val="00AD6A17"/>
    <w:rsid w:val="00AE11A5"/>
    <w:rsid w:val="00AE11B1"/>
    <w:rsid w:val="00AE13E2"/>
    <w:rsid w:val="00AE22D3"/>
    <w:rsid w:val="00AE5A49"/>
    <w:rsid w:val="00AE7B72"/>
    <w:rsid w:val="00AF01AC"/>
    <w:rsid w:val="00AF11D8"/>
    <w:rsid w:val="00AF5867"/>
    <w:rsid w:val="00AF5D51"/>
    <w:rsid w:val="00AF62DF"/>
    <w:rsid w:val="00AF68CC"/>
    <w:rsid w:val="00AF70D7"/>
    <w:rsid w:val="00AF73E1"/>
    <w:rsid w:val="00B00086"/>
    <w:rsid w:val="00B00CD0"/>
    <w:rsid w:val="00B00E7F"/>
    <w:rsid w:val="00B0140A"/>
    <w:rsid w:val="00B01FF4"/>
    <w:rsid w:val="00B0326D"/>
    <w:rsid w:val="00B06037"/>
    <w:rsid w:val="00B06478"/>
    <w:rsid w:val="00B0689A"/>
    <w:rsid w:val="00B07533"/>
    <w:rsid w:val="00B07CFB"/>
    <w:rsid w:val="00B1059E"/>
    <w:rsid w:val="00B14A36"/>
    <w:rsid w:val="00B16273"/>
    <w:rsid w:val="00B16D12"/>
    <w:rsid w:val="00B170A5"/>
    <w:rsid w:val="00B1725F"/>
    <w:rsid w:val="00B176C8"/>
    <w:rsid w:val="00B17EE5"/>
    <w:rsid w:val="00B205AA"/>
    <w:rsid w:val="00B21A91"/>
    <w:rsid w:val="00B22E84"/>
    <w:rsid w:val="00B233AD"/>
    <w:rsid w:val="00B23E25"/>
    <w:rsid w:val="00B25F75"/>
    <w:rsid w:val="00B26B3F"/>
    <w:rsid w:val="00B2778F"/>
    <w:rsid w:val="00B30058"/>
    <w:rsid w:val="00B327E2"/>
    <w:rsid w:val="00B33635"/>
    <w:rsid w:val="00B37A23"/>
    <w:rsid w:val="00B37CF8"/>
    <w:rsid w:val="00B42AF4"/>
    <w:rsid w:val="00B43E90"/>
    <w:rsid w:val="00B44308"/>
    <w:rsid w:val="00B45722"/>
    <w:rsid w:val="00B467DC"/>
    <w:rsid w:val="00B47A88"/>
    <w:rsid w:val="00B52303"/>
    <w:rsid w:val="00B5392A"/>
    <w:rsid w:val="00B539EF"/>
    <w:rsid w:val="00B53CA1"/>
    <w:rsid w:val="00B56118"/>
    <w:rsid w:val="00B566E1"/>
    <w:rsid w:val="00B56AFB"/>
    <w:rsid w:val="00B602F6"/>
    <w:rsid w:val="00B62EC1"/>
    <w:rsid w:val="00B64A96"/>
    <w:rsid w:val="00B64DCB"/>
    <w:rsid w:val="00B660A2"/>
    <w:rsid w:val="00B6773F"/>
    <w:rsid w:val="00B70EB3"/>
    <w:rsid w:val="00B72906"/>
    <w:rsid w:val="00B74F48"/>
    <w:rsid w:val="00B7525E"/>
    <w:rsid w:val="00B75433"/>
    <w:rsid w:val="00B760FB"/>
    <w:rsid w:val="00B76765"/>
    <w:rsid w:val="00B767AB"/>
    <w:rsid w:val="00B801BA"/>
    <w:rsid w:val="00B812D6"/>
    <w:rsid w:val="00B84D5C"/>
    <w:rsid w:val="00B85AF6"/>
    <w:rsid w:val="00B90289"/>
    <w:rsid w:val="00B90D6A"/>
    <w:rsid w:val="00B956ED"/>
    <w:rsid w:val="00BA2DA8"/>
    <w:rsid w:val="00BA347C"/>
    <w:rsid w:val="00BA4C79"/>
    <w:rsid w:val="00BA7E9D"/>
    <w:rsid w:val="00BB0B30"/>
    <w:rsid w:val="00BB1ACF"/>
    <w:rsid w:val="00BB298A"/>
    <w:rsid w:val="00BB3469"/>
    <w:rsid w:val="00BB4240"/>
    <w:rsid w:val="00BB46EF"/>
    <w:rsid w:val="00BB5240"/>
    <w:rsid w:val="00BB5C49"/>
    <w:rsid w:val="00BB6240"/>
    <w:rsid w:val="00BB6285"/>
    <w:rsid w:val="00BB69F5"/>
    <w:rsid w:val="00BB7EC3"/>
    <w:rsid w:val="00BC04B1"/>
    <w:rsid w:val="00BC1E0D"/>
    <w:rsid w:val="00BC470E"/>
    <w:rsid w:val="00BC4B9A"/>
    <w:rsid w:val="00BC5A14"/>
    <w:rsid w:val="00BC6DFD"/>
    <w:rsid w:val="00BD02C3"/>
    <w:rsid w:val="00BD0E43"/>
    <w:rsid w:val="00BD7483"/>
    <w:rsid w:val="00BD784C"/>
    <w:rsid w:val="00BE020A"/>
    <w:rsid w:val="00BE13DF"/>
    <w:rsid w:val="00BE1EF0"/>
    <w:rsid w:val="00BE25D7"/>
    <w:rsid w:val="00BF092C"/>
    <w:rsid w:val="00BF27A0"/>
    <w:rsid w:val="00BF4CB6"/>
    <w:rsid w:val="00BF51E1"/>
    <w:rsid w:val="00BF6CBD"/>
    <w:rsid w:val="00C00DA7"/>
    <w:rsid w:val="00C01445"/>
    <w:rsid w:val="00C034FB"/>
    <w:rsid w:val="00C04CDE"/>
    <w:rsid w:val="00C05680"/>
    <w:rsid w:val="00C059D5"/>
    <w:rsid w:val="00C068A6"/>
    <w:rsid w:val="00C11FCF"/>
    <w:rsid w:val="00C12768"/>
    <w:rsid w:val="00C12D70"/>
    <w:rsid w:val="00C16724"/>
    <w:rsid w:val="00C17DBE"/>
    <w:rsid w:val="00C21B09"/>
    <w:rsid w:val="00C2409F"/>
    <w:rsid w:val="00C24F56"/>
    <w:rsid w:val="00C25EFF"/>
    <w:rsid w:val="00C2673A"/>
    <w:rsid w:val="00C26BBC"/>
    <w:rsid w:val="00C278CD"/>
    <w:rsid w:val="00C27B58"/>
    <w:rsid w:val="00C27C1C"/>
    <w:rsid w:val="00C3166C"/>
    <w:rsid w:val="00C31DF5"/>
    <w:rsid w:val="00C33186"/>
    <w:rsid w:val="00C35996"/>
    <w:rsid w:val="00C42BCD"/>
    <w:rsid w:val="00C432C7"/>
    <w:rsid w:val="00C4485F"/>
    <w:rsid w:val="00C45B47"/>
    <w:rsid w:val="00C46C13"/>
    <w:rsid w:val="00C4747E"/>
    <w:rsid w:val="00C5151E"/>
    <w:rsid w:val="00C52256"/>
    <w:rsid w:val="00C5342C"/>
    <w:rsid w:val="00C53B2B"/>
    <w:rsid w:val="00C545E9"/>
    <w:rsid w:val="00C57465"/>
    <w:rsid w:val="00C60272"/>
    <w:rsid w:val="00C603D4"/>
    <w:rsid w:val="00C617D0"/>
    <w:rsid w:val="00C6256A"/>
    <w:rsid w:val="00C63FDA"/>
    <w:rsid w:val="00C64EBC"/>
    <w:rsid w:val="00C664D2"/>
    <w:rsid w:val="00C677E1"/>
    <w:rsid w:val="00C70E6E"/>
    <w:rsid w:val="00C710E2"/>
    <w:rsid w:val="00C71C3F"/>
    <w:rsid w:val="00C7409E"/>
    <w:rsid w:val="00C74BC8"/>
    <w:rsid w:val="00C74D6D"/>
    <w:rsid w:val="00C76E76"/>
    <w:rsid w:val="00C77891"/>
    <w:rsid w:val="00C77B74"/>
    <w:rsid w:val="00C8053B"/>
    <w:rsid w:val="00C82062"/>
    <w:rsid w:val="00C829A9"/>
    <w:rsid w:val="00C878A8"/>
    <w:rsid w:val="00C87B80"/>
    <w:rsid w:val="00C90330"/>
    <w:rsid w:val="00C91449"/>
    <w:rsid w:val="00C92D10"/>
    <w:rsid w:val="00C92F79"/>
    <w:rsid w:val="00C935FE"/>
    <w:rsid w:val="00C95200"/>
    <w:rsid w:val="00C9661C"/>
    <w:rsid w:val="00C96EC0"/>
    <w:rsid w:val="00CA06F9"/>
    <w:rsid w:val="00CA2CF6"/>
    <w:rsid w:val="00CA32DD"/>
    <w:rsid w:val="00CA48D9"/>
    <w:rsid w:val="00CB1193"/>
    <w:rsid w:val="00CB4767"/>
    <w:rsid w:val="00CB493D"/>
    <w:rsid w:val="00CB7B92"/>
    <w:rsid w:val="00CC3B97"/>
    <w:rsid w:val="00CC660D"/>
    <w:rsid w:val="00CD4EE5"/>
    <w:rsid w:val="00CD6257"/>
    <w:rsid w:val="00CD7C0B"/>
    <w:rsid w:val="00CE10C4"/>
    <w:rsid w:val="00CE2343"/>
    <w:rsid w:val="00CE27B5"/>
    <w:rsid w:val="00CE2BDF"/>
    <w:rsid w:val="00CE6D24"/>
    <w:rsid w:val="00CE6DAF"/>
    <w:rsid w:val="00CF19CF"/>
    <w:rsid w:val="00CF410A"/>
    <w:rsid w:val="00CF7528"/>
    <w:rsid w:val="00CF7FDE"/>
    <w:rsid w:val="00D012AF"/>
    <w:rsid w:val="00D0321E"/>
    <w:rsid w:val="00D05457"/>
    <w:rsid w:val="00D069EB"/>
    <w:rsid w:val="00D07A8A"/>
    <w:rsid w:val="00D10726"/>
    <w:rsid w:val="00D10E31"/>
    <w:rsid w:val="00D11199"/>
    <w:rsid w:val="00D1455A"/>
    <w:rsid w:val="00D14573"/>
    <w:rsid w:val="00D14A70"/>
    <w:rsid w:val="00D14E4A"/>
    <w:rsid w:val="00D160A3"/>
    <w:rsid w:val="00D170CF"/>
    <w:rsid w:val="00D207EA"/>
    <w:rsid w:val="00D20EB1"/>
    <w:rsid w:val="00D216E2"/>
    <w:rsid w:val="00D22093"/>
    <w:rsid w:val="00D2278F"/>
    <w:rsid w:val="00D31150"/>
    <w:rsid w:val="00D3138B"/>
    <w:rsid w:val="00D31FCE"/>
    <w:rsid w:val="00D3280C"/>
    <w:rsid w:val="00D3406A"/>
    <w:rsid w:val="00D34C32"/>
    <w:rsid w:val="00D34D24"/>
    <w:rsid w:val="00D35E7A"/>
    <w:rsid w:val="00D362AC"/>
    <w:rsid w:val="00D40642"/>
    <w:rsid w:val="00D40B11"/>
    <w:rsid w:val="00D42864"/>
    <w:rsid w:val="00D429EC"/>
    <w:rsid w:val="00D4375E"/>
    <w:rsid w:val="00D441F1"/>
    <w:rsid w:val="00D454E6"/>
    <w:rsid w:val="00D4572C"/>
    <w:rsid w:val="00D469B2"/>
    <w:rsid w:val="00D52B24"/>
    <w:rsid w:val="00D52ECF"/>
    <w:rsid w:val="00D540AF"/>
    <w:rsid w:val="00D54B09"/>
    <w:rsid w:val="00D6193F"/>
    <w:rsid w:val="00D6243E"/>
    <w:rsid w:val="00D65658"/>
    <w:rsid w:val="00D67EB2"/>
    <w:rsid w:val="00D70349"/>
    <w:rsid w:val="00D72B6F"/>
    <w:rsid w:val="00D741EB"/>
    <w:rsid w:val="00D755B7"/>
    <w:rsid w:val="00D7679C"/>
    <w:rsid w:val="00D820F3"/>
    <w:rsid w:val="00D83605"/>
    <w:rsid w:val="00D84934"/>
    <w:rsid w:val="00D866EB"/>
    <w:rsid w:val="00D87D1A"/>
    <w:rsid w:val="00D906DA"/>
    <w:rsid w:val="00D91271"/>
    <w:rsid w:val="00D919F5"/>
    <w:rsid w:val="00D92941"/>
    <w:rsid w:val="00D945F6"/>
    <w:rsid w:val="00D94F03"/>
    <w:rsid w:val="00D95161"/>
    <w:rsid w:val="00D95C23"/>
    <w:rsid w:val="00DA0A82"/>
    <w:rsid w:val="00DA0D14"/>
    <w:rsid w:val="00DA1FC9"/>
    <w:rsid w:val="00DA2CB5"/>
    <w:rsid w:val="00DA383E"/>
    <w:rsid w:val="00DA4BAC"/>
    <w:rsid w:val="00DA722E"/>
    <w:rsid w:val="00DA792A"/>
    <w:rsid w:val="00DB0151"/>
    <w:rsid w:val="00DB04D7"/>
    <w:rsid w:val="00DB50E1"/>
    <w:rsid w:val="00DB618E"/>
    <w:rsid w:val="00DC0566"/>
    <w:rsid w:val="00DC05E1"/>
    <w:rsid w:val="00DC1499"/>
    <w:rsid w:val="00DC16CF"/>
    <w:rsid w:val="00DC2C3E"/>
    <w:rsid w:val="00DC3137"/>
    <w:rsid w:val="00DC4880"/>
    <w:rsid w:val="00DC5E90"/>
    <w:rsid w:val="00DD0BE9"/>
    <w:rsid w:val="00DD0E8F"/>
    <w:rsid w:val="00DD26F9"/>
    <w:rsid w:val="00DD42AB"/>
    <w:rsid w:val="00DD5C17"/>
    <w:rsid w:val="00DD6478"/>
    <w:rsid w:val="00DE06AF"/>
    <w:rsid w:val="00DE6D27"/>
    <w:rsid w:val="00DE76EA"/>
    <w:rsid w:val="00DF01F8"/>
    <w:rsid w:val="00DF021D"/>
    <w:rsid w:val="00DF14EE"/>
    <w:rsid w:val="00DF217D"/>
    <w:rsid w:val="00DF26A7"/>
    <w:rsid w:val="00DF3277"/>
    <w:rsid w:val="00DF32EB"/>
    <w:rsid w:val="00DF3A27"/>
    <w:rsid w:val="00DF6A31"/>
    <w:rsid w:val="00DF764C"/>
    <w:rsid w:val="00DF77A1"/>
    <w:rsid w:val="00DF7919"/>
    <w:rsid w:val="00E0207E"/>
    <w:rsid w:val="00E02AE6"/>
    <w:rsid w:val="00E03912"/>
    <w:rsid w:val="00E04748"/>
    <w:rsid w:val="00E078D9"/>
    <w:rsid w:val="00E10293"/>
    <w:rsid w:val="00E103A0"/>
    <w:rsid w:val="00E1043F"/>
    <w:rsid w:val="00E11F44"/>
    <w:rsid w:val="00E13E60"/>
    <w:rsid w:val="00E15627"/>
    <w:rsid w:val="00E164B3"/>
    <w:rsid w:val="00E16910"/>
    <w:rsid w:val="00E21164"/>
    <w:rsid w:val="00E239E2"/>
    <w:rsid w:val="00E23B58"/>
    <w:rsid w:val="00E24E09"/>
    <w:rsid w:val="00E27234"/>
    <w:rsid w:val="00E3495C"/>
    <w:rsid w:val="00E42BDB"/>
    <w:rsid w:val="00E53F1A"/>
    <w:rsid w:val="00E54C54"/>
    <w:rsid w:val="00E57211"/>
    <w:rsid w:val="00E5726D"/>
    <w:rsid w:val="00E5785B"/>
    <w:rsid w:val="00E57EEB"/>
    <w:rsid w:val="00E62D94"/>
    <w:rsid w:val="00E62ECC"/>
    <w:rsid w:val="00E64F37"/>
    <w:rsid w:val="00E65091"/>
    <w:rsid w:val="00E65393"/>
    <w:rsid w:val="00E65E54"/>
    <w:rsid w:val="00E661C7"/>
    <w:rsid w:val="00E66679"/>
    <w:rsid w:val="00E7181F"/>
    <w:rsid w:val="00E719A4"/>
    <w:rsid w:val="00E732C4"/>
    <w:rsid w:val="00E73DD5"/>
    <w:rsid w:val="00E74B9F"/>
    <w:rsid w:val="00E74DF5"/>
    <w:rsid w:val="00E74E41"/>
    <w:rsid w:val="00E80155"/>
    <w:rsid w:val="00E8134B"/>
    <w:rsid w:val="00E81E0D"/>
    <w:rsid w:val="00E81F28"/>
    <w:rsid w:val="00E83098"/>
    <w:rsid w:val="00E848C0"/>
    <w:rsid w:val="00E84BB8"/>
    <w:rsid w:val="00E86F92"/>
    <w:rsid w:val="00E86FE9"/>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C0EA7"/>
    <w:rsid w:val="00EC2726"/>
    <w:rsid w:val="00EC291E"/>
    <w:rsid w:val="00EC3C13"/>
    <w:rsid w:val="00EC681C"/>
    <w:rsid w:val="00EC7B87"/>
    <w:rsid w:val="00ED1644"/>
    <w:rsid w:val="00ED2593"/>
    <w:rsid w:val="00ED3709"/>
    <w:rsid w:val="00ED7D55"/>
    <w:rsid w:val="00ED7D9C"/>
    <w:rsid w:val="00EE00A7"/>
    <w:rsid w:val="00EE2966"/>
    <w:rsid w:val="00EE31A2"/>
    <w:rsid w:val="00EE3E4E"/>
    <w:rsid w:val="00EE4329"/>
    <w:rsid w:val="00EE6203"/>
    <w:rsid w:val="00EF0069"/>
    <w:rsid w:val="00EF0F1C"/>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3214"/>
    <w:rsid w:val="00F13C07"/>
    <w:rsid w:val="00F1559A"/>
    <w:rsid w:val="00F17ED6"/>
    <w:rsid w:val="00F20676"/>
    <w:rsid w:val="00F209E2"/>
    <w:rsid w:val="00F2398F"/>
    <w:rsid w:val="00F25578"/>
    <w:rsid w:val="00F258E5"/>
    <w:rsid w:val="00F25B9C"/>
    <w:rsid w:val="00F25F54"/>
    <w:rsid w:val="00F2675A"/>
    <w:rsid w:val="00F26CC6"/>
    <w:rsid w:val="00F300BC"/>
    <w:rsid w:val="00F305FA"/>
    <w:rsid w:val="00F31E27"/>
    <w:rsid w:val="00F3263C"/>
    <w:rsid w:val="00F3334E"/>
    <w:rsid w:val="00F3414B"/>
    <w:rsid w:val="00F3573A"/>
    <w:rsid w:val="00F36CCB"/>
    <w:rsid w:val="00F374E5"/>
    <w:rsid w:val="00F37B93"/>
    <w:rsid w:val="00F37BAD"/>
    <w:rsid w:val="00F37ECA"/>
    <w:rsid w:val="00F40A1C"/>
    <w:rsid w:val="00F43AF2"/>
    <w:rsid w:val="00F43DE0"/>
    <w:rsid w:val="00F44CD7"/>
    <w:rsid w:val="00F451B1"/>
    <w:rsid w:val="00F45216"/>
    <w:rsid w:val="00F5007E"/>
    <w:rsid w:val="00F508F6"/>
    <w:rsid w:val="00F50EC4"/>
    <w:rsid w:val="00F52232"/>
    <w:rsid w:val="00F527B1"/>
    <w:rsid w:val="00F52DC2"/>
    <w:rsid w:val="00F5408A"/>
    <w:rsid w:val="00F54AF9"/>
    <w:rsid w:val="00F550CF"/>
    <w:rsid w:val="00F553D2"/>
    <w:rsid w:val="00F56A2D"/>
    <w:rsid w:val="00F57085"/>
    <w:rsid w:val="00F57A6D"/>
    <w:rsid w:val="00F6044B"/>
    <w:rsid w:val="00F6232C"/>
    <w:rsid w:val="00F62F19"/>
    <w:rsid w:val="00F638CC"/>
    <w:rsid w:val="00F64C9E"/>
    <w:rsid w:val="00F64CC1"/>
    <w:rsid w:val="00F708B1"/>
    <w:rsid w:val="00F72317"/>
    <w:rsid w:val="00F73468"/>
    <w:rsid w:val="00F73DC1"/>
    <w:rsid w:val="00F751FE"/>
    <w:rsid w:val="00F75BB8"/>
    <w:rsid w:val="00F771E1"/>
    <w:rsid w:val="00F77714"/>
    <w:rsid w:val="00F80475"/>
    <w:rsid w:val="00F80E6E"/>
    <w:rsid w:val="00F81390"/>
    <w:rsid w:val="00F81F7A"/>
    <w:rsid w:val="00F8247A"/>
    <w:rsid w:val="00F82E5C"/>
    <w:rsid w:val="00F83E86"/>
    <w:rsid w:val="00F83F58"/>
    <w:rsid w:val="00F85206"/>
    <w:rsid w:val="00F87CEA"/>
    <w:rsid w:val="00F9265D"/>
    <w:rsid w:val="00F9629A"/>
    <w:rsid w:val="00F9754F"/>
    <w:rsid w:val="00F97EFC"/>
    <w:rsid w:val="00FA0B04"/>
    <w:rsid w:val="00FA0C7C"/>
    <w:rsid w:val="00FA1BDD"/>
    <w:rsid w:val="00FA305C"/>
    <w:rsid w:val="00FA462E"/>
    <w:rsid w:val="00FA4DD5"/>
    <w:rsid w:val="00FA5883"/>
    <w:rsid w:val="00FA6055"/>
    <w:rsid w:val="00FB0B39"/>
    <w:rsid w:val="00FB322F"/>
    <w:rsid w:val="00FB442F"/>
    <w:rsid w:val="00FB4DA1"/>
    <w:rsid w:val="00FC0261"/>
    <w:rsid w:val="00FC0D3E"/>
    <w:rsid w:val="00FC118C"/>
    <w:rsid w:val="00FC1929"/>
    <w:rsid w:val="00FC5B46"/>
    <w:rsid w:val="00FC7B69"/>
    <w:rsid w:val="00FD1D4F"/>
    <w:rsid w:val="00FD24BF"/>
    <w:rsid w:val="00FD2835"/>
    <w:rsid w:val="00FD3B6E"/>
    <w:rsid w:val="00FD4140"/>
    <w:rsid w:val="00FD57EB"/>
    <w:rsid w:val="00FD6D8E"/>
    <w:rsid w:val="00FE00E8"/>
    <w:rsid w:val="00FE0663"/>
    <w:rsid w:val="00FE0E94"/>
    <w:rsid w:val="00FE2C04"/>
    <w:rsid w:val="00FE369C"/>
    <w:rsid w:val="00FE3CD9"/>
    <w:rsid w:val="00FE6559"/>
    <w:rsid w:val="00FF00BD"/>
    <w:rsid w:val="00FF0B13"/>
    <w:rsid w:val="00FF1ED4"/>
    <w:rsid w:val="00FF2801"/>
    <w:rsid w:val="00FF29B9"/>
    <w:rsid w:val="00FF799B"/>
    <w:rsid w:val="00FF7BCD"/>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660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jc w:val="both"/>
      </w:pPr>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Summary box,Table Gridbeth,CMA Table Templat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uiPriority w:val="11"/>
    <w:qFormat/>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Table Legend,Bullet1,Bullet 1,Section 5"/>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aliases w:val="- H19,Comment Text Char1 Char,Comment Text Char Char Char"/>
    <w:basedOn w:val="Normal"/>
    <w:link w:val="CommentTextChar"/>
    <w:uiPriority w:val="99"/>
    <w:qFormat/>
    <w:rsid w:val="00BB7EC3"/>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customStyle="1" w:styleId="KMC16-Caption">
    <w:name w:val="KMC16 - Caption"/>
    <w:basedOn w:val="Normal"/>
    <w:qFormat/>
    <w:rsid w:val="00764236"/>
    <w:pPr>
      <w:keepNext/>
      <w:tabs>
        <w:tab w:val="left" w:pos="567"/>
      </w:tabs>
      <w:spacing w:before="240" w:after="40"/>
      <w:ind w:left="992" w:hanging="992"/>
      <w:contextualSpacing/>
      <w:jc w:val="left"/>
    </w:pPr>
    <w:rPr>
      <w:rFonts w:ascii="Arial" w:hAnsi="Arial"/>
      <w:b/>
      <w:color w:val="000000"/>
      <w:sz w:val="20"/>
      <w:szCs w:val="20"/>
    </w:rPr>
  </w:style>
  <w:style w:type="paragraph" w:customStyle="1" w:styleId="KMC16-Tablecontent">
    <w:name w:val="KMC16 - Table content"/>
    <w:basedOn w:val="Normal"/>
    <w:link w:val="KMC16-TablecontentChar"/>
    <w:qFormat/>
    <w:rsid w:val="00764236"/>
    <w:pPr>
      <w:spacing w:before="40" w:after="40"/>
      <w:jc w:val="left"/>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764236"/>
    <w:rPr>
      <w:rFonts w:ascii="Arial Narrow" w:hAnsi="Arial Narrow" w:cs="Arial"/>
      <w:color w:val="000000"/>
      <w:szCs w:val="22"/>
      <w:lang w:val="en-GB" w:eastAsia="en-US"/>
    </w:rPr>
  </w:style>
  <w:style w:type="paragraph" w:customStyle="1" w:styleId="KMC16-TableHeading">
    <w:name w:val="KMC16 - Table Heading"/>
    <w:basedOn w:val="Normal"/>
    <w:qFormat/>
    <w:rsid w:val="00764236"/>
    <w:pPr>
      <w:spacing w:before="40" w:after="40"/>
      <w:jc w:val="center"/>
    </w:pPr>
    <w:rPr>
      <w:rFonts w:ascii="Arial Narrow" w:hAnsi="Arial Narrow" w:cs="Arial"/>
      <w:b/>
      <w:color w:val="000000"/>
      <w:sz w:val="20"/>
      <w:szCs w:val="22"/>
      <w:lang w:eastAsia="en-US"/>
    </w:rPr>
  </w:style>
  <w:style w:type="paragraph" w:customStyle="1" w:styleId="KMC16ES-text">
    <w:name w:val="KMC16 ES - text"/>
    <w:basedOn w:val="Normal"/>
    <w:qFormat/>
    <w:rsid w:val="003C21A2"/>
    <w:pPr>
      <w:spacing w:after="40"/>
      <w:jc w:val="left"/>
    </w:pPr>
    <w:rPr>
      <w:rFonts w:ascii="Arial Narrow" w:eastAsia="Batang" w:hAnsi="Arial Narrow" w:cstheme="minorBidi"/>
      <w:sz w:val="22"/>
      <w:szCs w:val="22"/>
      <w:lang w:val="en-GB" w:eastAsia="en-US"/>
    </w:rPr>
  </w:style>
  <w:style w:type="paragraph" w:styleId="NormalWeb">
    <w:name w:val="Normal (Web)"/>
    <w:basedOn w:val="Normal"/>
    <w:uiPriority w:val="99"/>
    <w:unhideWhenUsed/>
    <w:rsid w:val="0007409C"/>
    <w:pPr>
      <w:spacing w:before="100" w:beforeAutospacing="1" w:after="100" w:afterAutospacing="1"/>
      <w:jc w:val="left"/>
    </w:pPr>
    <w:rPr>
      <w:rFonts w:ascii="Times New Roman" w:hAnsi="Times New Roman"/>
    </w:rPr>
  </w:style>
  <w:style w:type="paragraph" w:customStyle="1" w:styleId="KMC16ES-Tableheading">
    <w:name w:val="KMC16 ES - Table heading"/>
    <w:basedOn w:val="Normal"/>
    <w:qFormat/>
    <w:rsid w:val="007612A7"/>
    <w:pPr>
      <w:spacing w:before="40" w:after="40"/>
      <w:jc w:val="left"/>
    </w:pPr>
    <w:rPr>
      <w:rFonts w:ascii="Arial Narrow" w:hAnsi="Arial Narrow" w:cs="Arial"/>
      <w:b/>
      <w:color w:val="000000"/>
      <w:sz w:val="20"/>
      <w:szCs w:val="22"/>
      <w:lang w:eastAsia="en-US"/>
    </w:rPr>
  </w:style>
  <w:style w:type="paragraph" w:styleId="FootnoteText">
    <w:name w:val="footnote text"/>
    <w:basedOn w:val="Normal"/>
    <w:link w:val="FootnoteTextChar"/>
    <w:semiHidden/>
    <w:unhideWhenUsed/>
    <w:rsid w:val="00E86FE9"/>
    <w:rPr>
      <w:sz w:val="20"/>
      <w:szCs w:val="20"/>
    </w:rPr>
  </w:style>
  <w:style w:type="character" w:customStyle="1" w:styleId="FootnoteTextChar">
    <w:name w:val="Footnote Text Char"/>
    <w:basedOn w:val="DefaultParagraphFont"/>
    <w:link w:val="FootnoteText"/>
    <w:semiHidden/>
    <w:rsid w:val="00E86FE9"/>
    <w:rPr>
      <w:rFonts w:ascii="Calibri" w:hAnsi="Calibri"/>
    </w:rPr>
  </w:style>
  <w:style w:type="character" w:styleId="FootnoteReference">
    <w:name w:val="footnote reference"/>
    <w:basedOn w:val="DefaultParagraphFont"/>
    <w:semiHidden/>
    <w:unhideWhenUsed/>
    <w:rsid w:val="00E86FE9"/>
    <w:rPr>
      <w:vertAlign w:val="superscript"/>
    </w:rPr>
  </w:style>
  <w:style w:type="character" w:customStyle="1" w:styleId="CaptionChar">
    <w:name w:val="Caption Char"/>
    <w:link w:val="Caption"/>
    <w:rsid w:val="002D0613"/>
    <w:rPr>
      <w:rFonts w:ascii="Calibri" w:hAnsi="Calibri"/>
      <w:i/>
      <w:iCs/>
      <w:color w:val="000000" w:themeColor="text1"/>
      <w:sz w:val="18"/>
      <w:szCs w:val="18"/>
    </w:rPr>
  </w:style>
  <w:style w:type="character" w:styleId="Strong">
    <w:name w:val="Strong"/>
    <w:basedOn w:val="DefaultParagraphFont"/>
    <w:uiPriority w:val="22"/>
    <w:qFormat/>
    <w:rsid w:val="00B16D12"/>
    <w:rPr>
      <w:b/>
      <w:bCs/>
    </w:rPr>
  </w:style>
  <w:style w:type="character" w:customStyle="1" w:styleId="3-SubsectionHeadingChar">
    <w:name w:val="3-Subsection Heading Char"/>
    <w:basedOn w:val="DefaultParagraphFont"/>
    <w:link w:val="3-SubsectionHeading"/>
    <w:locked/>
    <w:rsid w:val="00401F8B"/>
    <w:rPr>
      <w:rFonts w:ascii="Calibri" w:eastAsia="MS Gothic" w:hAnsi="Calibri"/>
      <w:b/>
      <w:i/>
      <w:color w:val="365F91" w:themeColor="accent1" w:themeShade="BF"/>
      <w:spacing w:val="5"/>
      <w:kern w:val="28"/>
      <w:sz w:val="28"/>
      <w:szCs w:val="36"/>
    </w:rPr>
  </w:style>
  <w:style w:type="paragraph" w:customStyle="1" w:styleId="3-SubsectionHeading">
    <w:name w:val="3-Subsection Heading"/>
    <w:basedOn w:val="Heading2"/>
    <w:next w:val="Normal"/>
    <w:link w:val="3-SubsectionHeadingChar"/>
    <w:qFormat/>
    <w:rsid w:val="00401F8B"/>
    <w:pPr>
      <w:spacing w:before="120" w:after="120"/>
    </w:pPr>
    <w:rPr>
      <w:rFonts w:ascii="Calibri" w:eastAsia="MS Gothic" w:hAnsi="Calibri"/>
      <w:color w:val="365F91" w:themeColor="accent1" w:themeShade="BF"/>
      <w:spacing w:val="5"/>
      <w:kern w:val="28"/>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208">
      <w:bodyDiv w:val="1"/>
      <w:marLeft w:val="0"/>
      <w:marRight w:val="0"/>
      <w:marTop w:val="0"/>
      <w:marBottom w:val="0"/>
      <w:divBdr>
        <w:top w:val="none" w:sz="0" w:space="0" w:color="auto"/>
        <w:left w:val="none" w:sz="0" w:space="0" w:color="auto"/>
        <w:bottom w:val="none" w:sz="0" w:space="0" w:color="auto"/>
        <w:right w:val="none" w:sz="0" w:space="0" w:color="auto"/>
      </w:divBdr>
      <w:divsChild>
        <w:div w:id="1022167717">
          <w:marLeft w:val="0"/>
          <w:marRight w:val="0"/>
          <w:marTop w:val="0"/>
          <w:marBottom w:val="0"/>
          <w:divBdr>
            <w:top w:val="none" w:sz="0" w:space="0" w:color="auto"/>
            <w:left w:val="none" w:sz="0" w:space="0" w:color="auto"/>
            <w:bottom w:val="none" w:sz="0" w:space="0" w:color="auto"/>
            <w:right w:val="none" w:sz="0" w:space="0" w:color="auto"/>
          </w:divBdr>
          <w:divsChild>
            <w:div w:id="449014143">
              <w:marLeft w:val="0"/>
              <w:marRight w:val="0"/>
              <w:marTop w:val="0"/>
              <w:marBottom w:val="0"/>
              <w:divBdr>
                <w:top w:val="none" w:sz="0" w:space="0" w:color="auto"/>
                <w:left w:val="none" w:sz="0" w:space="0" w:color="auto"/>
                <w:bottom w:val="none" w:sz="0" w:space="0" w:color="auto"/>
                <w:right w:val="none" w:sz="0" w:space="0" w:color="auto"/>
              </w:divBdr>
              <w:divsChild>
                <w:div w:id="7565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710">
      <w:bodyDiv w:val="1"/>
      <w:marLeft w:val="0"/>
      <w:marRight w:val="0"/>
      <w:marTop w:val="0"/>
      <w:marBottom w:val="0"/>
      <w:divBdr>
        <w:top w:val="none" w:sz="0" w:space="0" w:color="auto"/>
        <w:left w:val="none" w:sz="0" w:space="0" w:color="auto"/>
        <w:bottom w:val="none" w:sz="0" w:space="0" w:color="auto"/>
        <w:right w:val="none" w:sz="0" w:space="0" w:color="auto"/>
      </w:divBdr>
    </w:div>
    <w:div w:id="16274065">
      <w:bodyDiv w:val="1"/>
      <w:marLeft w:val="0"/>
      <w:marRight w:val="0"/>
      <w:marTop w:val="0"/>
      <w:marBottom w:val="0"/>
      <w:divBdr>
        <w:top w:val="none" w:sz="0" w:space="0" w:color="auto"/>
        <w:left w:val="none" w:sz="0" w:space="0" w:color="auto"/>
        <w:bottom w:val="none" w:sz="0" w:space="0" w:color="auto"/>
        <w:right w:val="none" w:sz="0" w:space="0" w:color="auto"/>
      </w:divBdr>
      <w:divsChild>
        <w:div w:id="1607882841">
          <w:marLeft w:val="0"/>
          <w:marRight w:val="0"/>
          <w:marTop w:val="0"/>
          <w:marBottom w:val="0"/>
          <w:divBdr>
            <w:top w:val="none" w:sz="0" w:space="0" w:color="auto"/>
            <w:left w:val="none" w:sz="0" w:space="0" w:color="auto"/>
            <w:bottom w:val="none" w:sz="0" w:space="0" w:color="auto"/>
            <w:right w:val="none" w:sz="0" w:space="0" w:color="auto"/>
          </w:divBdr>
          <w:divsChild>
            <w:div w:id="1859199838">
              <w:marLeft w:val="0"/>
              <w:marRight w:val="0"/>
              <w:marTop w:val="0"/>
              <w:marBottom w:val="0"/>
              <w:divBdr>
                <w:top w:val="none" w:sz="0" w:space="0" w:color="auto"/>
                <w:left w:val="none" w:sz="0" w:space="0" w:color="auto"/>
                <w:bottom w:val="none" w:sz="0" w:space="0" w:color="auto"/>
                <w:right w:val="none" w:sz="0" w:space="0" w:color="auto"/>
              </w:divBdr>
              <w:divsChild>
                <w:div w:id="34945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0811">
          <w:marLeft w:val="0"/>
          <w:marRight w:val="0"/>
          <w:marTop w:val="0"/>
          <w:marBottom w:val="0"/>
          <w:divBdr>
            <w:top w:val="none" w:sz="0" w:space="0" w:color="auto"/>
            <w:left w:val="none" w:sz="0" w:space="0" w:color="auto"/>
            <w:bottom w:val="none" w:sz="0" w:space="0" w:color="auto"/>
            <w:right w:val="none" w:sz="0" w:space="0" w:color="auto"/>
          </w:divBdr>
          <w:divsChild>
            <w:div w:id="369689345">
              <w:marLeft w:val="0"/>
              <w:marRight w:val="0"/>
              <w:marTop w:val="0"/>
              <w:marBottom w:val="0"/>
              <w:divBdr>
                <w:top w:val="none" w:sz="0" w:space="0" w:color="auto"/>
                <w:left w:val="none" w:sz="0" w:space="0" w:color="auto"/>
                <w:bottom w:val="none" w:sz="0" w:space="0" w:color="auto"/>
                <w:right w:val="none" w:sz="0" w:space="0" w:color="auto"/>
              </w:divBdr>
              <w:divsChild>
                <w:div w:id="351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5828">
          <w:marLeft w:val="0"/>
          <w:marRight w:val="0"/>
          <w:marTop w:val="0"/>
          <w:marBottom w:val="0"/>
          <w:divBdr>
            <w:top w:val="none" w:sz="0" w:space="0" w:color="auto"/>
            <w:left w:val="none" w:sz="0" w:space="0" w:color="auto"/>
            <w:bottom w:val="none" w:sz="0" w:space="0" w:color="auto"/>
            <w:right w:val="none" w:sz="0" w:space="0" w:color="auto"/>
          </w:divBdr>
          <w:divsChild>
            <w:div w:id="781194928">
              <w:marLeft w:val="0"/>
              <w:marRight w:val="0"/>
              <w:marTop w:val="0"/>
              <w:marBottom w:val="0"/>
              <w:divBdr>
                <w:top w:val="none" w:sz="0" w:space="0" w:color="auto"/>
                <w:left w:val="none" w:sz="0" w:space="0" w:color="auto"/>
                <w:bottom w:val="none" w:sz="0" w:space="0" w:color="auto"/>
                <w:right w:val="none" w:sz="0" w:space="0" w:color="auto"/>
              </w:divBdr>
              <w:divsChild>
                <w:div w:id="372845302">
                  <w:marLeft w:val="0"/>
                  <w:marRight w:val="0"/>
                  <w:marTop w:val="0"/>
                  <w:marBottom w:val="0"/>
                  <w:divBdr>
                    <w:top w:val="none" w:sz="0" w:space="0" w:color="auto"/>
                    <w:left w:val="none" w:sz="0" w:space="0" w:color="auto"/>
                    <w:bottom w:val="none" w:sz="0" w:space="0" w:color="auto"/>
                    <w:right w:val="none" w:sz="0" w:space="0" w:color="auto"/>
                  </w:divBdr>
                </w:div>
              </w:divsChild>
            </w:div>
            <w:div w:id="689602220">
              <w:marLeft w:val="0"/>
              <w:marRight w:val="0"/>
              <w:marTop w:val="0"/>
              <w:marBottom w:val="0"/>
              <w:divBdr>
                <w:top w:val="none" w:sz="0" w:space="0" w:color="auto"/>
                <w:left w:val="none" w:sz="0" w:space="0" w:color="auto"/>
                <w:bottom w:val="none" w:sz="0" w:space="0" w:color="auto"/>
                <w:right w:val="none" w:sz="0" w:space="0" w:color="auto"/>
              </w:divBdr>
              <w:divsChild>
                <w:div w:id="189434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89243">
          <w:marLeft w:val="0"/>
          <w:marRight w:val="0"/>
          <w:marTop w:val="0"/>
          <w:marBottom w:val="0"/>
          <w:divBdr>
            <w:top w:val="none" w:sz="0" w:space="0" w:color="auto"/>
            <w:left w:val="none" w:sz="0" w:space="0" w:color="auto"/>
            <w:bottom w:val="none" w:sz="0" w:space="0" w:color="auto"/>
            <w:right w:val="none" w:sz="0" w:space="0" w:color="auto"/>
          </w:divBdr>
          <w:divsChild>
            <w:div w:id="1004474423">
              <w:marLeft w:val="0"/>
              <w:marRight w:val="0"/>
              <w:marTop w:val="0"/>
              <w:marBottom w:val="0"/>
              <w:divBdr>
                <w:top w:val="none" w:sz="0" w:space="0" w:color="auto"/>
                <w:left w:val="none" w:sz="0" w:space="0" w:color="auto"/>
                <w:bottom w:val="none" w:sz="0" w:space="0" w:color="auto"/>
                <w:right w:val="none" w:sz="0" w:space="0" w:color="auto"/>
              </w:divBdr>
              <w:divsChild>
                <w:div w:id="17065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99403">
          <w:marLeft w:val="0"/>
          <w:marRight w:val="0"/>
          <w:marTop w:val="0"/>
          <w:marBottom w:val="0"/>
          <w:divBdr>
            <w:top w:val="none" w:sz="0" w:space="0" w:color="auto"/>
            <w:left w:val="none" w:sz="0" w:space="0" w:color="auto"/>
            <w:bottom w:val="none" w:sz="0" w:space="0" w:color="auto"/>
            <w:right w:val="none" w:sz="0" w:space="0" w:color="auto"/>
          </w:divBdr>
          <w:divsChild>
            <w:div w:id="1506168256">
              <w:marLeft w:val="0"/>
              <w:marRight w:val="0"/>
              <w:marTop w:val="0"/>
              <w:marBottom w:val="0"/>
              <w:divBdr>
                <w:top w:val="none" w:sz="0" w:space="0" w:color="auto"/>
                <w:left w:val="none" w:sz="0" w:space="0" w:color="auto"/>
                <w:bottom w:val="none" w:sz="0" w:space="0" w:color="auto"/>
                <w:right w:val="none" w:sz="0" w:space="0" w:color="auto"/>
              </w:divBdr>
              <w:divsChild>
                <w:div w:id="14361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07253">
          <w:marLeft w:val="0"/>
          <w:marRight w:val="0"/>
          <w:marTop w:val="0"/>
          <w:marBottom w:val="0"/>
          <w:divBdr>
            <w:top w:val="none" w:sz="0" w:space="0" w:color="auto"/>
            <w:left w:val="none" w:sz="0" w:space="0" w:color="auto"/>
            <w:bottom w:val="none" w:sz="0" w:space="0" w:color="auto"/>
            <w:right w:val="none" w:sz="0" w:space="0" w:color="auto"/>
          </w:divBdr>
          <w:divsChild>
            <w:div w:id="392504833">
              <w:marLeft w:val="0"/>
              <w:marRight w:val="0"/>
              <w:marTop w:val="0"/>
              <w:marBottom w:val="0"/>
              <w:divBdr>
                <w:top w:val="none" w:sz="0" w:space="0" w:color="auto"/>
                <w:left w:val="none" w:sz="0" w:space="0" w:color="auto"/>
                <w:bottom w:val="none" w:sz="0" w:space="0" w:color="auto"/>
                <w:right w:val="none" w:sz="0" w:space="0" w:color="auto"/>
              </w:divBdr>
              <w:divsChild>
                <w:div w:id="684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8729">
          <w:marLeft w:val="0"/>
          <w:marRight w:val="0"/>
          <w:marTop w:val="0"/>
          <w:marBottom w:val="0"/>
          <w:divBdr>
            <w:top w:val="none" w:sz="0" w:space="0" w:color="auto"/>
            <w:left w:val="none" w:sz="0" w:space="0" w:color="auto"/>
            <w:bottom w:val="none" w:sz="0" w:space="0" w:color="auto"/>
            <w:right w:val="none" w:sz="0" w:space="0" w:color="auto"/>
          </w:divBdr>
          <w:divsChild>
            <w:div w:id="1109549640">
              <w:marLeft w:val="0"/>
              <w:marRight w:val="0"/>
              <w:marTop w:val="0"/>
              <w:marBottom w:val="0"/>
              <w:divBdr>
                <w:top w:val="none" w:sz="0" w:space="0" w:color="auto"/>
                <w:left w:val="none" w:sz="0" w:space="0" w:color="auto"/>
                <w:bottom w:val="none" w:sz="0" w:space="0" w:color="auto"/>
                <w:right w:val="none" w:sz="0" w:space="0" w:color="auto"/>
              </w:divBdr>
              <w:divsChild>
                <w:div w:id="14814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2289">
          <w:marLeft w:val="0"/>
          <w:marRight w:val="0"/>
          <w:marTop w:val="0"/>
          <w:marBottom w:val="0"/>
          <w:divBdr>
            <w:top w:val="none" w:sz="0" w:space="0" w:color="auto"/>
            <w:left w:val="none" w:sz="0" w:space="0" w:color="auto"/>
            <w:bottom w:val="none" w:sz="0" w:space="0" w:color="auto"/>
            <w:right w:val="none" w:sz="0" w:space="0" w:color="auto"/>
          </w:divBdr>
          <w:divsChild>
            <w:div w:id="1572695632">
              <w:marLeft w:val="0"/>
              <w:marRight w:val="0"/>
              <w:marTop w:val="0"/>
              <w:marBottom w:val="0"/>
              <w:divBdr>
                <w:top w:val="none" w:sz="0" w:space="0" w:color="auto"/>
                <w:left w:val="none" w:sz="0" w:space="0" w:color="auto"/>
                <w:bottom w:val="none" w:sz="0" w:space="0" w:color="auto"/>
                <w:right w:val="none" w:sz="0" w:space="0" w:color="auto"/>
              </w:divBdr>
              <w:divsChild>
                <w:div w:id="8236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7278">
          <w:marLeft w:val="0"/>
          <w:marRight w:val="0"/>
          <w:marTop w:val="0"/>
          <w:marBottom w:val="0"/>
          <w:divBdr>
            <w:top w:val="none" w:sz="0" w:space="0" w:color="auto"/>
            <w:left w:val="none" w:sz="0" w:space="0" w:color="auto"/>
            <w:bottom w:val="none" w:sz="0" w:space="0" w:color="auto"/>
            <w:right w:val="none" w:sz="0" w:space="0" w:color="auto"/>
          </w:divBdr>
          <w:divsChild>
            <w:div w:id="1753578173">
              <w:marLeft w:val="0"/>
              <w:marRight w:val="0"/>
              <w:marTop w:val="0"/>
              <w:marBottom w:val="0"/>
              <w:divBdr>
                <w:top w:val="none" w:sz="0" w:space="0" w:color="auto"/>
                <w:left w:val="none" w:sz="0" w:space="0" w:color="auto"/>
                <w:bottom w:val="none" w:sz="0" w:space="0" w:color="auto"/>
                <w:right w:val="none" w:sz="0" w:space="0" w:color="auto"/>
              </w:divBdr>
              <w:divsChild>
                <w:div w:id="157091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45848603">
      <w:bodyDiv w:val="1"/>
      <w:marLeft w:val="0"/>
      <w:marRight w:val="0"/>
      <w:marTop w:val="0"/>
      <w:marBottom w:val="0"/>
      <w:divBdr>
        <w:top w:val="none" w:sz="0" w:space="0" w:color="auto"/>
        <w:left w:val="none" w:sz="0" w:space="0" w:color="auto"/>
        <w:bottom w:val="none" w:sz="0" w:space="0" w:color="auto"/>
        <w:right w:val="none" w:sz="0" w:space="0" w:color="auto"/>
      </w:divBdr>
      <w:divsChild>
        <w:div w:id="175578509">
          <w:marLeft w:val="0"/>
          <w:marRight w:val="0"/>
          <w:marTop w:val="0"/>
          <w:marBottom w:val="0"/>
          <w:divBdr>
            <w:top w:val="none" w:sz="0" w:space="0" w:color="auto"/>
            <w:left w:val="none" w:sz="0" w:space="0" w:color="auto"/>
            <w:bottom w:val="none" w:sz="0" w:space="0" w:color="auto"/>
            <w:right w:val="none" w:sz="0" w:space="0" w:color="auto"/>
          </w:divBdr>
          <w:divsChild>
            <w:div w:id="797380320">
              <w:marLeft w:val="0"/>
              <w:marRight w:val="0"/>
              <w:marTop w:val="0"/>
              <w:marBottom w:val="0"/>
              <w:divBdr>
                <w:top w:val="none" w:sz="0" w:space="0" w:color="auto"/>
                <w:left w:val="none" w:sz="0" w:space="0" w:color="auto"/>
                <w:bottom w:val="none" w:sz="0" w:space="0" w:color="auto"/>
                <w:right w:val="none" w:sz="0" w:space="0" w:color="auto"/>
              </w:divBdr>
              <w:divsChild>
                <w:div w:id="880825501">
                  <w:marLeft w:val="0"/>
                  <w:marRight w:val="0"/>
                  <w:marTop w:val="0"/>
                  <w:marBottom w:val="0"/>
                  <w:divBdr>
                    <w:top w:val="none" w:sz="0" w:space="0" w:color="auto"/>
                    <w:left w:val="none" w:sz="0" w:space="0" w:color="auto"/>
                    <w:bottom w:val="none" w:sz="0" w:space="0" w:color="auto"/>
                    <w:right w:val="none" w:sz="0" w:space="0" w:color="auto"/>
                  </w:divBdr>
                </w:div>
              </w:divsChild>
            </w:div>
            <w:div w:id="617565952">
              <w:marLeft w:val="0"/>
              <w:marRight w:val="0"/>
              <w:marTop w:val="0"/>
              <w:marBottom w:val="0"/>
              <w:divBdr>
                <w:top w:val="none" w:sz="0" w:space="0" w:color="auto"/>
                <w:left w:val="none" w:sz="0" w:space="0" w:color="auto"/>
                <w:bottom w:val="none" w:sz="0" w:space="0" w:color="auto"/>
                <w:right w:val="none" w:sz="0" w:space="0" w:color="auto"/>
              </w:divBdr>
              <w:divsChild>
                <w:div w:id="829564351">
                  <w:marLeft w:val="0"/>
                  <w:marRight w:val="0"/>
                  <w:marTop w:val="0"/>
                  <w:marBottom w:val="0"/>
                  <w:divBdr>
                    <w:top w:val="none" w:sz="0" w:space="0" w:color="auto"/>
                    <w:left w:val="none" w:sz="0" w:space="0" w:color="auto"/>
                    <w:bottom w:val="none" w:sz="0" w:space="0" w:color="auto"/>
                    <w:right w:val="none" w:sz="0" w:space="0" w:color="auto"/>
                  </w:divBdr>
                </w:div>
              </w:divsChild>
            </w:div>
            <w:div w:id="857233911">
              <w:marLeft w:val="0"/>
              <w:marRight w:val="0"/>
              <w:marTop w:val="0"/>
              <w:marBottom w:val="0"/>
              <w:divBdr>
                <w:top w:val="none" w:sz="0" w:space="0" w:color="auto"/>
                <w:left w:val="none" w:sz="0" w:space="0" w:color="auto"/>
                <w:bottom w:val="none" w:sz="0" w:space="0" w:color="auto"/>
                <w:right w:val="none" w:sz="0" w:space="0" w:color="auto"/>
              </w:divBdr>
              <w:divsChild>
                <w:div w:id="15014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75123">
      <w:bodyDiv w:val="1"/>
      <w:marLeft w:val="0"/>
      <w:marRight w:val="0"/>
      <w:marTop w:val="0"/>
      <w:marBottom w:val="0"/>
      <w:divBdr>
        <w:top w:val="none" w:sz="0" w:space="0" w:color="auto"/>
        <w:left w:val="none" w:sz="0" w:space="0" w:color="auto"/>
        <w:bottom w:val="none" w:sz="0" w:space="0" w:color="auto"/>
        <w:right w:val="none" w:sz="0" w:space="0" w:color="auto"/>
      </w:divBdr>
    </w:div>
    <w:div w:id="251819827">
      <w:bodyDiv w:val="1"/>
      <w:marLeft w:val="0"/>
      <w:marRight w:val="0"/>
      <w:marTop w:val="0"/>
      <w:marBottom w:val="0"/>
      <w:divBdr>
        <w:top w:val="none" w:sz="0" w:space="0" w:color="auto"/>
        <w:left w:val="none" w:sz="0" w:space="0" w:color="auto"/>
        <w:bottom w:val="none" w:sz="0" w:space="0" w:color="auto"/>
        <w:right w:val="none" w:sz="0" w:space="0" w:color="auto"/>
      </w:divBdr>
      <w:divsChild>
        <w:div w:id="841240248">
          <w:marLeft w:val="0"/>
          <w:marRight w:val="0"/>
          <w:marTop w:val="0"/>
          <w:marBottom w:val="0"/>
          <w:divBdr>
            <w:top w:val="none" w:sz="0" w:space="0" w:color="auto"/>
            <w:left w:val="none" w:sz="0" w:space="0" w:color="auto"/>
            <w:bottom w:val="none" w:sz="0" w:space="0" w:color="auto"/>
            <w:right w:val="none" w:sz="0" w:space="0" w:color="auto"/>
          </w:divBdr>
          <w:divsChild>
            <w:div w:id="1525628957">
              <w:marLeft w:val="0"/>
              <w:marRight w:val="0"/>
              <w:marTop w:val="0"/>
              <w:marBottom w:val="0"/>
              <w:divBdr>
                <w:top w:val="none" w:sz="0" w:space="0" w:color="auto"/>
                <w:left w:val="none" w:sz="0" w:space="0" w:color="auto"/>
                <w:bottom w:val="none" w:sz="0" w:space="0" w:color="auto"/>
                <w:right w:val="none" w:sz="0" w:space="0" w:color="auto"/>
              </w:divBdr>
              <w:divsChild>
                <w:div w:id="120397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5449">
      <w:bodyDiv w:val="1"/>
      <w:marLeft w:val="0"/>
      <w:marRight w:val="0"/>
      <w:marTop w:val="0"/>
      <w:marBottom w:val="0"/>
      <w:divBdr>
        <w:top w:val="none" w:sz="0" w:space="0" w:color="auto"/>
        <w:left w:val="none" w:sz="0" w:space="0" w:color="auto"/>
        <w:bottom w:val="none" w:sz="0" w:space="0" w:color="auto"/>
        <w:right w:val="none" w:sz="0" w:space="0" w:color="auto"/>
      </w:divBdr>
    </w:div>
    <w:div w:id="256598609">
      <w:bodyDiv w:val="1"/>
      <w:marLeft w:val="0"/>
      <w:marRight w:val="0"/>
      <w:marTop w:val="0"/>
      <w:marBottom w:val="0"/>
      <w:divBdr>
        <w:top w:val="none" w:sz="0" w:space="0" w:color="auto"/>
        <w:left w:val="none" w:sz="0" w:space="0" w:color="auto"/>
        <w:bottom w:val="none" w:sz="0" w:space="0" w:color="auto"/>
        <w:right w:val="none" w:sz="0" w:space="0" w:color="auto"/>
      </w:divBdr>
    </w:div>
    <w:div w:id="284430130">
      <w:bodyDiv w:val="1"/>
      <w:marLeft w:val="0"/>
      <w:marRight w:val="0"/>
      <w:marTop w:val="0"/>
      <w:marBottom w:val="0"/>
      <w:divBdr>
        <w:top w:val="none" w:sz="0" w:space="0" w:color="auto"/>
        <w:left w:val="none" w:sz="0" w:space="0" w:color="auto"/>
        <w:bottom w:val="none" w:sz="0" w:space="0" w:color="auto"/>
        <w:right w:val="none" w:sz="0" w:space="0" w:color="auto"/>
      </w:divBdr>
      <w:divsChild>
        <w:div w:id="1522160835">
          <w:marLeft w:val="0"/>
          <w:marRight w:val="0"/>
          <w:marTop w:val="0"/>
          <w:marBottom w:val="0"/>
          <w:divBdr>
            <w:top w:val="none" w:sz="0" w:space="0" w:color="auto"/>
            <w:left w:val="none" w:sz="0" w:space="0" w:color="auto"/>
            <w:bottom w:val="none" w:sz="0" w:space="0" w:color="auto"/>
            <w:right w:val="none" w:sz="0" w:space="0" w:color="auto"/>
          </w:divBdr>
          <w:divsChild>
            <w:div w:id="60830174">
              <w:marLeft w:val="0"/>
              <w:marRight w:val="0"/>
              <w:marTop w:val="0"/>
              <w:marBottom w:val="0"/>
              <w:divBdr>
                <w:top w:val="none" w:sz="0" w:space="0" w:color="auto"/>
                <w:left w:val="none" w:sz="0" w:space="0" w:color="auto"/>
                <w:bottom w:val="none" w:sz="0" w:space="0" w:color="auto"/>
                <w:right w:val="none" w:sz="0" w:space="0" w:color="auto"/>
              </w:divBdr>
              <w:divsChild>
                <w:div w:id="3983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2150">
      <w:bodyDiv w:val="1"/>
      <w:marLeft w:val="0"/>
      <w:marRight w:val="0"/>
      <w:marTop w:val="0"/>
      <w:marBottom w:val="0"/>
      <w:divBdr>
        <w:top w:val="none" w:sz="0" w:space="0" w:color="auto"/>
        <w:left w:val="none" w:sz="0" w:space="0" w:color="auto"/>
        <w:bottom w:val="none" w:sz="0" w:space="0" w:color="auto"/>
        <w:right w:val="none" w:sz="0" w:space="0" w:color="auto"/>
      </w:divBdr>
      <w:divsChild>
        <w:div w:id="420638428">
          <w:marLeft w:val="0"/>
          <w:marRight w:val="0"/>
          <w:marTop w:val="0"/>
          <w:marBottom w:val="0"/>
          <w:divBdr>
            <w:top w:val="none" w:sz="0" w:space="0" w:color="auto"/>
            <w:left w:val="none" w:sz="0" w:space="0" w:color="auto"/>
            <w:bottom w:val="none" w:sz="0" w:space="0" w:color="auto"/>
            <w:right w:val="none" w:sz="0" w:space="0" w:color="auto"/>
          </w:divBdr>
          <w:divsChild>
            <w:div w:id="326909143">
              <w:marLeft w:val="0"/>
              <w:marRight w:val="0"/>
              <w:marTop w:val="0"/>
              <w:marBottom w:val="0"/>
              <w:divBdr>
                <w:top w:val="none" w:sz="0" w:space="0" w:color="auto"/>
                <w:left w:val="none" w:sz="0" w:space="0" w:color="auto"/>
                <w:bottom w:val="none" w:sz="0" w:space="0" w:color="auto"/>
                <w:right w:val="none" w:sz="0" w:space="0" w:color="auto"/>
              </w:divBdr>
              <w:divsChild>
                <w:div w:id="460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63266">
          <w:marLeft w:val="0"/>
          <w:marRight w:val="0"/>
          <w:marTop w:val="0"/>
          <w:marBottom w:val="0"/>
          <w:divBdr>
            <w:top w:val="none" w:sz="0" w:space="0" w:color="auto"/>
            <w:left w:val="none" w:sz="0" w:space="0" w:color="auto"/>
            <w:bottom w:val="none" w:sz="0" w:space="0" w:color="auto"/>
            <w:right w:val="none" w:sz="0" w:space="0" w:color="auto"/>
          </w:divBdr>
          <w:divsChild>
            <w:div w:id="12801">
              <w:marLeft w:val="0"/>
              <w:marRight w:val="0"/>
              <w:marTop w:val="0"/>
              <w:marBottom w:val="0"/>
              <w:divBdr>
                <w:top w:val="none" w:sz="0" w:space="0" w:color="auto"/>
                <w:left w:val="none" w:sz="0" w:space="0" w:color="auto"/>
                <w:bottom w:val="none" w:sz="0" w:space="0" w:color="auto"/>
                <w:right w:val="none" w:sz="0" w:space="0" w:color="auto"/>
              </w:divBdr>
              <w:divsChild>
                <w:div w:id="6566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29398501">
      <w:bodyDiv w:val="1"/>
      <w:marLeft w:val="0"/>
      <w:marRight w:val="0"/>
      <w:marTop w:val="0"/>
      <w:marBottom w:val="0"/>
      <w:divBdr>
        <w:top w:val="none" w:sz="0" w:space="0" w:color="auto"/>
        <w:left w:val="none" w:sz="0" w:space="0" w:color="auto"/>
        <w:bottom w:val="none" w:sz="0" w:space="0" w:color="auto"/>
        <w:right w:val="none" w:sz="0" w:space="0" w:color="auto"/>
      </w:divBdr>
    </w:div>
    <w:div w:id="46789400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48881555">
      <w:bodyDiv w:val="1"/>
      <w:marLeft w:val="0"/>
      <w:marRight w:val="0"/>
      <w:marTop w:val="0"/>
      <w:marBottom w:val="0"/>
      <w:divBdr>
        <w:top w:val="none" w:sz="0" w:space="0" w:color="auto"/>
        <w:left w:val="none" w:sz="0" w:space="0" w:color="auto"/>
        <w:bottom w:val="none" w:sz="0" w:space="0" w:color="auto"/>
        <w:right w:val="none" w:sz="0" w:space="0" w:color="auto"/>
      </w:divBdr>
    </w:div>
    <w:div w:id="596256028">
      <w:bodyDiv w:val="1"/>
      <w:marLeft w:val="0"/>
      <w:marRight w:val="0"/>
      <w:marTop w:val="0"/>
      <w:marBottom w:val="0"/>
      <w:divBdr>
        <w:top w:val="none" w:sz="0" w:space="0" w:color="auto"/>
        <w:left w:val="none" w:sz="0" w:space="0" w:color="auto"/>
        <w:bottom w:val="none" w:sz="0" w:space="0" w:color="auto"/>
        <w:right w:val="none" w:sz="0" w:space="0" w:color="auto"/>
      </w:divBdr>
      <w:divsChild>
        <w:div w:id="2013680528">
          <w:marLeft w:val="0"/>
          <w:marRight w:val="0"/>
          <w:marTop w:val="0"/>
          <w:marBottom w:val="0"/>
          <w:divBdr>
            <w:top w:val="none" w:sz="0" w:space="0" w:color="auto"/>
            <w:left w:val="none" w:sz="0" w:space="0" w:color="auto"/>
            <w:bottom w:val="none" w:sz="0" w:space="0" w:color="auto"/>
            <w:right w:val="none" w:sz="0" w:space="0" w:color="auto"/>
          </w:divBdr>
          <w:divsChild>
            <w:div w:id="97340374">
              <w:marLeft w:val="0"/>
              <w:marRight w:val="0"/>
              <w:marTop w:val="0"/>
              <w:marBottom w:val="0"/>
              <w:divBdr>
                <w:top w:val="none" w:sz="0" w:space="0" w:color="auto"/>
                <w:left w:val="none" w:sz="0" w:space="0" w:color="auto"/>
                <w:bottom w:val="none" w:sz="0" w:space="0" w:color="auto"/>
                <w:right w:val="none" w:sz="0" w:space="0" w:color="auto"/>
              </w:divBdr>
              <w:divsChild>
                <w:div w:id="177027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6662">
          <w:marLeft w:val="0"/>
          <w:marRight w:val="0"/>
          <w:marTop w:val="0"/>
          <w:marBottom w:val="0"/>
          <w:divBdr>
            <w:top w:val="none" w:sz="0" w:space="0" w:color="auto"/>
            <w:left w:val="none" w:sz="0" w:space="0" w:color="auto"/>
            <w:bottom w:val="none" w:sz="0" w:space="0" w:color="auto"/>
            <w:right w:val="none" w:sz="0" w:space="0" w:color="auto"/>
          </w:divBdr>
          <w:divsChild>
            <w:div w:id="1337489713">
              <w:marLeft w:val="0"/>
              <w:marRight w:val="0"/>
              <w:marTop w:val="0"/>
              <w:marBottom w:val="0"/>
              <w:divBdr>
                <w:top w:val="none" w:sz="0" w:space="0" w:color="auto"/>
                <w:left w:val="none" w:sz="0" w:space="0" w:color="auto"/>
                <w:bottom w:val="none" w:sz="0" w:space="0" w:color="auto"/>
                <w:right w:val="none" w:sz="0" w:space="0" w:color="auto"/>
              </w:divBdr>
              <w:divsChild>
                <w:div w:id="13827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5814">
          <w:marLeft w:val="0"/>
          <w:marRight w:val="0"/>
          <w:marTop w:val="0"/>
          <w:marBottom w:val="0"/>
          <w:divBdr>
            <w:top w:val="none" w:sz="0" w:space="0" w:color="auto"/>
            <w:left w:val="none" w:sz="0" w:space="0" w:color="auto"/>
            <w:bottom w:val="none" w:sz="0" w:space="0" w:color="auto"/>
            <w:right w:val="none" w:sz="0" w:space="0" w:color="auto"/>
          </w:divBdr>
          <w:divsChild>
            <w:div w:id="1308969180">
              <w:marLeft w:val="0"/>
              <w:marRight w:val="0"/>
              <w:marTop w:val="0"/>
              <w:marBottom w:val="0"/>
              <w:divBdr>
                <w:top w:val="none" w:sz="0" w:space="0" w:color="auto"/>
                <w:left w:val="none" w:sz="0" w:space="0" w:color="auto"/>
                <w:bottom w:val="none" w:sz="0" w:space="0" w:color="auto"/>
                <w:right w:val="none" w:sz="0" w:space="0" w:color="auto"/>
              </w:divBdr>
              <w:divsChild>
                <w:div w:id="1957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91496">
          <w:marLeft w:val="0"/>
          <w:marRight w:val="0"/>
          <w:marTop w:val="0"/>
          <w:marBottom w:val="0"/>
          <w:divBdr>
            <w:top w:val="none" w:sz="0" w:space="0" w:color="auto"/>
            <w:left w:val="none" w:sz="0" w:space="0" w:color="auto"/>
            <w:bottom w:val="none" w:sz="0" w:space="0" w:color="auto"/>
            <w:right w:val="none" w:sz="0" w:space="0" w:color="auto"/>
          </w:divBdr>
          <w:divsChild>
            <w:div w:id="1313027035">
              <w:marLeft w:val="0"/>
              <w:marRight w:val="0"/>
              <w:marTop w:val="0"/>
              <w:marBottom w:val="0"/>
              <w:divBdr>
                <w:top w:val="none" w:sz="0" w:space="0" w:color="auto"/>
                <w:left w:val="none" w:sz="0" w:space="0" w:color="auto"/>
                <w:bottom w:val="none" w:sz="0" w:space="0" w:color="auto"/>
                <w:right w:val="none" w:sz="0" w:space="0" w:color="auto"/>
              </w:divBdr>
              <w:divsChild>
                <w:div w:id="18493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3875">
          <w:marLeft w:val="0"/>
          <w:marRight w:val="0"/>
          <w:marTop w:val="0"/>
          <w:marBottom w:val="0"/>
          <w:divBdr>
            <w:top w:val="none" w:sz="0" w:space="0" w:color="auto"/>
            <w:left w:val="none" w:sz="0" w:space="0" w:color="auto"/>
            <w:bottom w:val="none" w:sz="0" w:space="0" w:color="auto"/>
            <w:right w:val="none" w:sz="0" w:space="0" w:color="auto"/>
          </w:divBdr>
          <w:divsChild>
            <w:div w:id="1464539786">
              <w:marLeft w:val="0"/>
              <w:marRight w:val="0"/>
              <w:marTop w:val="0"/>
              <w:marBottom w:val="0"/>
              <w:divBdr>
                <w:top w:val="none" w:sz="0" w:space="0" w:color="auto"/>
                <w:left w:val="none" w:sz="0" w:space="0" w:color="auto"/>
                <w:bottom w:val="none" w:sz="0" w:space="0" w:color="auto"/>
                <w:right w:val="none" w:sz="0" w:space="0" w:color="auto"/>
              </w:divBdr>
              <w:divsChild>
                <w:div w:id="7853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7066">
          <w:marLeft w:val="0"/>
          <w:marRight w:val="0"/>
          <w:marTop w:val="0"/>
          <w:marBottom w:val="0"/>
          <w:divBdr>
            <w:top w:val="none" w:sz="0" w:space="0" w:color="auto"/>
            <w:left w:val="none" w:sz="0" w:space="0" w:color="auto"/>
            <w:bottom w:val="none" w:sz="0" w:space="0" w:color="auto"/>
            <w:right w:val="none" w:sz="0" w:space="0" w:color="auto"/>
          </w:divBdr>
          <w:divsChild>
            <w:div w:id="1043939620">
              <w:marLeft w:val="0"/>
              <w:marRight w:val="0"/>
              <w:marTop w:val="0"/>
              <w:marBottom w:val="0"/>
              <w:divBdr>
                <w:top w:val="none" w:sz="0" w:space="0" w:color="auto"/>
                <w:left w:val="none" w:sz="0" w:space="0" w:color="auto"/>
                <w:bottom w:val="none" w:sz="0" w:space="0" w:color="auto"/>
                <w:right w:val="none" w:sz="0" w:space="0" w:color="auto"/>
              </w:divBdr>
              <w:divsChild>
                <w:div w:id="8718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10143">
          <w:marLeft w:val="0"/>
          <w:marRight w:val="0"/>
          <w:marTop w:val="0"/>
          <w:marBottom w:val="0"/>
          <w:divBdr>
            <w:top w:val="none" w:sz="0" w:space="0" w:color="auto"/>
            <w:left w:val="none" w:sz="0" w:space="0" w:color="auto"/>
            <w:bottom w:val="none" w:sz="0" w:space="0" w:color="auto"/>
            <w:right w:val="none" w:sz="0" w:space="0" w:color="auto"/>
          </w:divBdr>
          <w:divsChild>
            <w:div w:id="794371899">
              <w:marLeft w:val="0"/>
              <w:marRight w:val="0"/>
              <w:marTop w:val="0"/>
              <w:marBottom w:val="0"/>
              <w:divBdr>
                <w:top w:val="none" w:sz="0" w:space="0" w:color="auto"/>
                <w:left w:val="none" w:sz="0" w:space="0" w:color="auto"/>
                <w:bottom w:val="none" w:sz="0" w:space="0" w:color="auto"/>
                <w:right w:val="none" w:sz="0" w:space="0" w:color="auto"/>
              </w:divBdr>
              <w:divsChild>
                <w:div w:id="36563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3481">
          <w:marLeft w:val="0"/>
          <w:marRight w:val="0"/>
          <w:marTop w:val="0"/>
          <w:marBottom w:val="0"/>
          <w:divBdr>
            <w:top w:val="none" w:sz="0" w:space="0" w:color="auto"/>
            <w:left w:val="none" w:sz="0" w:space="0" w:color="auto"/>
            <w:bottom w:val="none" w:sz="0" w:space="0" w:color="auto"/>
            <w:right w:val="none" w:sz="0" w:space="0" w:color="auto"/>
          </w:divBdr>
          <w:divsChild>
            <w:div w:id="66459983">
              <w:marLeft w:val="0"/>
              <w:marRight w:val="0"/>
              <w:marTop w:val="0"/>
              <w:marBottom w:val="0"/>
              <w:divBdr>
                <w:top w:val="none" w:sz="0" w:space="0" w:color="auto"/>
                <w:left w:val="none" w:sz="0" w:space="0" w:color="auto"/>
                <w:bottom w:val="none" w:sz="0" w:space="0" w:color="auto"/>
                <w:right w:val="none" w:sz="0" w:space="0" w:color="auto"/>
              </w:divBdr>
              <w:divsChild>
                <w:div w:id="2605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833">
          <w:marLeft w:val="0"/>
          <w:marRight w:val="0"/>
          <w:marTop w:val="0"/>
          <w:marBottom w:val="0"/>
          <w:divBdr>
            <w:top w:val="none" w:sz="0" w:space="0" w:color="auto"/>
            <w:left w:val="none" w:sz="0" w:space="0" w:color="auto"/>
            <w:bottom w:val="none" w:sz="0" w:space="0" w:color="auto"/>
            <w:right w:val="none" w:sz="0" w:space="0" w:color="auto"/>
          </w:divBdr>
          <w:divsChild>
            <w:div w:id="805045019">
              <w:marLeft w:val="0"/>
              <w:marRight w:val="0"/>
              <w:marTop w:val="0"/>
              <w:marBottom w:val="0"/>
              <w:divBdr>
                <w:top w:val="none" w:sz="0" w:space="0" w:color="auto"/>
                <w:left w:val="none" w:sz="0" w:space="0" w:color="auto"/>
                <w:bottom w:val="none" w:sz="0" w:space="0" w:color="auto"/>
                <w:right w:val="none" w:sz="0" w:space="0" w:color="auto"/>
              </w:divBdr>
              <w:divsChild>
                <w:div w:id="15708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5266">
          <w:marLeft w:val="0"/>
          <w:marRight w:val="0"/>
          <w:marTop w:val="0"/>
          <w:marBottom w:val="0"/>
          <w:divBdr>
            <w:top w:val="none" w:sz="0" w:space="0" w:color="auto"/>
            <w:left w:val="none" w:sz="0" w:space="0" w:color="auto"/>
            <w:bottom w:val="none" w:sz="0" w:space="0" w:color="auto"/>
            <w:right w:val="none" w:sz="0" w:space="0" w:color="auto"/>
          </w:divBdr>
          <w:divsChild>
            <w:div w:id="198708151">
              <w:marLeft w:val="0"/>
              <w:marRight w:val="0"/>
              <w:marTop w:val="0"/>
              <w:marBottom w:val="0"/>
              <w:divBdr>
                <w:top w:val="none" w:sz="0" w:space="0" w:color="auto"/>
                <w:left w:val="none" w:sz="0" w:space="0" w:color="auto"/>
                <w:bottom w:val="none" w:sz="0" w:space="0" w:color="auto"/>
                <w:right w:val="none" w:sz="0" w:space="0" w:color="auto"/>
              </w:divBdr>
              <w:divsChild>
                <w:div w:id="12692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1891">
          <w:marLeft w:val="0"/>
          <w:marRight w:val="0"/>
          <w:marTop w:val="0"/>
          <w:marBottom w:val="0"/>
          <w:divBdr>
            <w:top w:val="none" w:sz="0" w:space="0" w:color="auto"/>
            <w:left w:val="none" w:sz="0" w:space="0" w:color="auto"/>
            <w:bottom w:val="none" w:sz="0" w:space="0" w:color="auto"/>
            <w:right w:val="none" w:sz="0" w:space="0" w:color="auto"/>
          </w:divBdr>
          <w:divsChild>
            <w:div w:id="758062321">
              <w:marLeft w:val="0"/>
              <w:marRight w:val="0"/>
              <w:marTop w:val="0"/>
              <w:marBottom w:val="0"/>
              <w:divBdr>
                <w:top w:val="none" w:sz="0" w:space="0" w:color="auto"/>
                <w:left w:val="none" w:sz="0" w:space="0" w:color="auto"/>
                <w:bottom w:val="none" w:sz="0" w:space="0" w:color="auto"/>
                <w:right w:val="none" w:sz="0" w:space="0" w:color="auto"/>
              </w:divBdr>
              <w:divsChild>
                <w:div w:id="19752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35275">
          <w:marLeft w:val="0"/>
          <w:marRight w:val="0"/>
          <w:marTop w:val="0"/>
          <w:marBottom w:val="0"/>
          <w:divBdr>
            <w:top w:val="none" w:sz="0" w:space="0" w:color="auto"/>
            <w:left w:val="none" w:sz="0" w:space="0" w:color="auto"/>
            <w:bottom w:val="none" w:sz="0" w:space="0" w:color="auto"/>
            <w:right w:val="none" w:sz="0" w:space="0" w:color="auto"/>
          </w:divBdr>
          <w:divsChild>
            <w:div w:id="1600599866">
              <w:marLeft w:val="0"/>
              <w:marRight w:val="0"/>
              <w:marTop w:val="0"/>
              <w:marBottom w:val="0"/>
              <w:divBdr>
                <w:top w:val="none" w:sz="0" w:space="0" w:color="auto"/>
                <w:left w:val="none" w:sz="0" w:space="0" w:color="auto"/>
                <w:bottom w:val="none" w:sz="0" w:space="0" w:color="auto"/>
                <w:right w:val="none" w:sz="0" w:space="0" w:color="auto"/>
              </w:divBdr>
              <w:divsChild>
                <w:div w:id="71954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3667">
          <w:marLeft w:val="0"/>
          <w:marRight w:val="0"/>
          <w:marTop w:val="0"/>
          <w:marBottom w:val="0"/>
          <w:divBdr>
            <w:top w:val="none" w:sz="0" w:space="0" w:color="auto"/>
            <w:left w:val="none" w:sz="0" w:space="0" w:color="auto"/>
            <w:bottom w:val="none" w:sz="0" w:space="0" w:color="auto"/>
            <w:right w:val="none" w:sz="0" w:space="0" w:color="auto"/>
          </w:divBdr>
          <w:divsChild>
            <w:div w:id="1715812315">
              <w:marLeft w:val="0"/>
              <w:marRight w:val="0"/>
              <w:marTop w:val="0"/>
              <w:marBottom w:val="0"/>
              <w:divBdr>
                <w:top w:val="none" w:sz="0" w:space="0" w:color="auto"/>
                <w:left w:val="none" w:sz="0" w:space="0" w:color="auto"/>
                <w:bottom w:val="none" w:sz="0" w:space="0" w:color="auto"/>
                <w:right w:val="none" w:sz="0" w:space="0" w:color="auto"/>
              </w:divBdr>
              <w:divsChild>
                <w:div w:id="17364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8060">
          <w:marLeft w:val="0"/>
          <w:marRight w:val="0"/>
          <w:marTop w:val="0"/>
          <w:marBottom w:val="0"/>
          <w:divBdr>
            <w:top w:val="none" w:sz="0" w:space="0" w:color="auto"/>
            <w:left w:val="none" w:sz="0" w:space="0" w:color="auto"/>
            <w:bottom w:val="none" w:sz="0" w:space="0" w:color="auto"/>
            <w:right w:val="none" w:sz="0" w:space="0" w:color="auto"/>
          </w:divBdr>
          <w:divsChild>
            <w:div w:id="758867426">
              <w:marLeft w:val="0"/>
              <w:marRight w:val="0"/>
              <w:marTop w:val="0"/>
              <w:marBottom w:val="0"/>
              <w:divBdr>
                <w:top w:val="none" w:sz="0" w:space="0" w:color="auto"/>
                <w:left w:val="none" w:sz="0" w:space="0" w:color="auto"/>
                <w:bottom w:val="none" w:sz="0" w:space="0" w:color="auto"/>
                <w:right w:val="none" w:sz="0" w:space="0" w:color="auto"/>
              </w:divBdr>
              <w:divsChild>
                <w:div w:id="9534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9992">
      <w:bodyDiv w:val="1"/>
      <w:marLeft w:val="0"/>
      <w:marRight w:val="0"/>
      <w:marTop w:val="0"/>
      <w:marBottom w:val="0"/>
      <w:divBdr>
        <w:top w:val="none" w:sz="0" w:space="0" w:color="auto"/>
        <w:left w:val="none" w:sz="0" w:space="0" w:color="auto"/>
        <w:bottom w:val="none" w:sz="0" w:space="0" w:color="auto"/>
        <w:right w:val="none" w:sz="0" w:space="0" w:color="auto"/>
      </w:divBdr>
    </w:div>
    <w:div w:id="709188845">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8461582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0947577">
      <w:bodyDiv w:val="1"/>
      <w:marLeft w:val="0"/>
      <w:marRight w:val="0"/>
      <w:marTop w:val="0"/>
      <w:marBottom w:val="0"/>
      <w:divBdr>
        <w:top w:val="none" w:sz="0" w:space="0" w:color="auto"/>
        <w:left w:val="none" w:sz="0" w:space="0" w:color="auto"/>
        <w:bottom w:val="none" w:sz="0" w:space="0" w:color="auto"/>
        <w:right w:val="none" w:sz="0" w:space="0" w:color="auto"/>
      </w:divBdr>
    </w:div>
    <w:div w:id="835072301">
      <w:bodyDiv w:val="1"/>
      <w:marLeft w:val="0"/>
      <w:marRight w:val="0"/>
      <w:marTop w:val="0"/>
      <w:marBottom w:val="0"/>
      <w:divBdr>
        <w:top w:val="none" w:sz="0" w:space="0" w:color="auto"/>
        <w:left w:val="none" w:sz="0" w:space="0" w:color="auto"/>
        <w:bottom w:val="none" w:sz="0" w:space="0" w:color="auto"/>
        <w:right w:val="none" w:sz="0" w:space="0" w:color="auto"/>
      </w:divBdr>
    </w:div>
    <w:div w:id="898712895">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90138873">
      <w:bodyDiv w:val="1"/>
      <w:marLeft w:val="0"/>
      <w:marRight w:val="0"/>
      <w:marTop w:val="0"/>
      <w:marBottom w:val="0"/>
      <w:divBdr>
        <w:top w:val="none" w:sz="0" w:space="0" w:color="auto"/>
        <w:left w:val="none" w:sz="0" w:space="0" w:color="auto"/>
        <w:bottom w:val="none" w:sz="0" w:space="0" w:color="auto"/>
        <w:right w:val="none" w:sz="0" w:space="0" w:color="auto"/>
      </w:divBdr>
      <w:divsChild>
        <w:div w:id="1047879330">
          <w:marLeft w:val="0"/>
          <w:marRight w:val="0"/>
          <w:marTop w:val="0"/>
          <w:marBottom w:val="0"/>
          <w:divBdr>
            <w:top w:val="none" w:sz="0" w:space="0" w:color="auto"/>
            <w:left w:val="none" w:sz="0" w:space="0" w:color="auto"/>
            <w:bottom w:val="none" w:sz="0" w:space="0" w:color="auto"/>
            <w:right w:val="none" w:sz="0" w:space="0" w:color="auto"/>
          </w:divBdr>
          <w:divsChild>
            <w:div w:id="1546525640">
              <w:marLeft w:val="0"/>
              <w:marRight w:val="0"/>
              <w:marTop w:val="0"/>
              <w:marBottom w:val="0"/>
              <w:divBdr>
                <w:top w:val="none" w:sz="0" w:space="0" w:color="auto"/>
                <w:left w:val="none" w:sz="0" w:space="0" w:color="auto"/>
                <w:bottom w:val="none" w:sz="0" w:space="0" w:color="auto"/>
                <w:right w:val="none" w:sz="0" w:space="0" w:color="auto"/>
              </w:divBdr>
              <w:divsChild>
                <w:div w:id="990252445">
                  <w:marLeft w:val="0"/>
                  <w:marRight w:val="0"/>
                  <w:marTop w:val="0"/>
                  <w:marBottom w:val="0"/>
                  <w:divBdr>
                    <w:top w:val="none" w:sz="0" w:space="0" w:color="auto"/>
                    <w:left w:val="none" w:sz="0" w:space="0" w:color="auto"/>
                    <w:bottom w:val="none" w:sz="0" w:space="0" w:color="auto"/>
                    <w:right w:val="none" w:sz="0" w:space="0" w:color="auto"/>
                  </w:divBdr>
                </w:div>
              </w:divsChild>
            </w:div>
            <w:div w:id="1241016472">
              <w:marLeft w:val="0"/>
              <w:marRight w:val="0"/>
              <w:marTop w:val="0"/>
              <w:marBottom w:val="0"/>
              <w:divBdr>
                <w:top w:val="none" w:sz="0" w:space="0" w:color="auto"/>
                <w:left w:val="none" w:sz="0" w:space="0" w:color="auto"/>
                <w:bottom w:val="none" w:sz="0" w:space="0" w:color="auto"/>
                <w:right w:val="none" w:sz="0" w:space="0" w:color="auto"/>
              </w:divBdr>
              <w:divsChild>
                <w:div w:id="160688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58977">
      <w:bodyDiv w:val="1"/>
      <w:marLeft w:val="0"/>
      <w:marRight w:val="0"/>
      <w:marTop w:val="0"/>
      <w:marBottom w:val="0"/>
      <w:divBdr>
        <w:top w:val="none" w:sz="0" w:space="0" w:color="auto"/>
        <w:left w:val="none" w:sz="0" w:space="0" w:color="auto"/>
        <w:bottom w:val="none" w:sz="0" w:space="0" w:color="auto"/>
        <w:right w:val="none" w:sz="0" w:space="0" w:color="auto"/>
      </w:divBdr>
    </w:div>
    <w:div w:id="1063719752">
      <w:bodyDiv w:val="1"/>
      <w:marLeft w:val="0"/>
      <w:marRight w:val="0"/>
      <w:marTop w:val="0"/>
      <w:marBottom w:val="0"/>
      <w:divBdr>
        <w:top w:val="none" w:sz="0" w:space="0" w:color="auto"/>
        <w:left w:val="none" w:sz="0" w:space="0" w:color="auto"/>
        <w:bottom w:val="none" w:sz="0" w:space="0" w:color="auto"/>
        <w:right w:val="none" w:sz="0" w:space="0" w:color="auto"/>
      </w:divBdr>
    </w:div>
    <w:div w:id="1165246327">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08253151">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56824101">
      <w:bodyDiv w:val="1"/>
      <w:marLeft w:val="0"/>
      <w:marRight w:val="0"/>
      <w:marTop w:val="0"/>
      <w:marBottom w:val="0"/>
      <w:divBdr>
        <w:top w:val="none" w:sz="0" w:space="0" w:color="auto"/>
        <w:left w:val="none" w:sz="0" w:space="0" w:color="auto"/>
        <w:bottom w:val="none" w:sz="0" w:space="0" w:color="auto"/>
        <w:right w:val="none" w:sz="0" w:space="0" w:color="auto"/>
      </w:divBdr>
    </w:div>
    <w:div w:id="149502536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1201233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3646097">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1202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7278</Words>
  <Characters>42984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2023-02-27T05:12:00Z</dcterms:created>
  <dcterms:modified xsi:type="dcterms:W3CDTF">2023-02-27T05:13:00Z</dcterms:modified>
</cp:coreProperties>
</file>