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9E3A" w14:textId="67A2F564" w:rsidR="00683FF6" w:rsidRPr="00FB5EAE" w:rsidRDefault="00683FF6" w:rsidP="00683FF6">
      <w:pPr>
        <w:rPr>
          <w:rFonts w:cs="Calibri"/>
          <w:color w:val="FF0000"/>
        </w:rPr>
      </w:pPr>
      <w:bookmarkStart w:id="0" w:name="_Toc114059196"/>
      <w:bookmarkStart w:id="1" w:name="_Toc107927616"/>
      <w:r w:rsidRPr="00FB5EAE">
        <w:rPr>
          <w:color w:val="FF0000"/>
        </w:rPr>
        <w:t>An addendum to th</w:t>
      </w:r>
      <w:r>
        <w:rPr>
          <w:color w:val="FF0000"/>
        </w:rPr>
        <w:t>i</w:t>
      </w:r>
      <w:r w:rsidRPr="00FB5EAE">
        <w:rPr>
          <w:color w:val="FF0000"/>
        </w:rPr>
        <w:t xml:space="preserve">s </w:t>
      </w:r>
      <w:r>
        <w:rPr>
          <w:color w:val="FF0000"/>
        </w:rPr>
        <w:t>public summary document</w:t>
      </w:r>
      <w:r w:rsidRPr="00FB5EAE">
        <w:rPr>
          <w:color w:val="FF0000"/>
        </w:rPr>
        <w:t xml:space="preserve"> ha</w:t>
      </w:r>
      <w:r>
        <w:rPr>
          <w:color w:val="FF0000"/>
        </w:rPr>
        <w:t>s</w:t>
      </w:r>
      <w:r w:rsidRPr="00FB5EAE">
        <w:rPr>
          <w:color w:val="FF0000"/>
        </w:rPr>
        <w:t xml:space="preserve"> been included at the end of the document.</w:t>
      </w:r>
    </w:p>
    <w:p w14:paraId="51C6701A" w14:textId="7856B8AE" w:rsidR="00B60939" w:rsidRPr="004A6040" w:rsidRDefault="00841EAA" w:rsidP="004A6040">
      <w:pPr>
        <w:pStyle w:val="1-MainHeading"/>
      </w:pPr>
      <w:r>
        <w:t>6.03</w:t>
      </w:r>
      <w:r w:rsidR="00163F66">
        <w:tab/>
      </w:r>
      <w:r w:rsidR="001E1F90">
        <w:t>F</w:t>
      </w:r>
      <w:r>
        <w:t>REMANEZUMAB</w:t>
      </w:r>
      <w:r w:rsidR="00163F66">
        <w:t>,</w:t>
      </w:r>
      <w:r w:rsidR="00163F66">
        <w:br/>
      </w:r>
      <w:r w:rsidR="006A1A84" w:rsidRPr="006A1A84">
        <w:t>Solution for injection 225 mg in 1.5 mL single dose pre-filled syringe</w:t>
      </w:r>
      <w:r w:rsidR="00163F66">
        <w:br/>
      </w:r>
      <w:r w:rsidR="006A1A84" w:rsidRPr="006A1A84">
        <w:t>Solution for injection 225 mg in 1.5 mL single dose autoinjector</w:t>
      </w:r>
      <w:r w:rsidR="00163F66">
        <w:t>,</w:t>
      </w:r>
      <w:r w:rsidR="00163F66">
        <w:br/>
      </w:r>
      <w:r w:rsidR="001E1F90">
        <w:t>Ajovy</w:t>
      </w:r>
      <w:r w:rsidR="00372A37">
        <w:t>®</w:t>
      </w:r>
      <w:r w:rsidR="004A6040" w:rsidRPr="004A6040">
        <w:t>,</w:t>
      </w:r>
      <w:r w:rsidR="004A6040" w:rsidRPr="004A6040">
        <w:br/>
      </w:r>
      <w:r w:rsidR="006A1A84" w:rsidRPr="006A1A84">
        <w:t>Teva Pharma Australia Pty Ltd</w:t>
      </w:r>
      <w:bookmarkEnd w:id="0"/>
      <w:bookmarkEnd w:id="1"/>
    </w:p>
    <w:p w14:paraId="11C00795" w14:textId="37D3CFDE" w:rsidR="00B50DB8" w:rsidRPr="00407F2D" w:rsidRDefault="00B50DB8" w:rsidP="004A6040">
      <w:pPr>
        <w:pStyle w:val="2-SectionHeading"/>
      </w:pPr>
      <w:bookmarkStart w:id="2" w:name="_Toc107927618"/>
      <w:bookmarkStart w:id="3" w:name="_Toc114059198"/>
      <w:r w:rsidRPr="00407F2D">
        <w:t xml:space="preserve">Purpose of </w:t>
      </w:r>
      <w:bookmarkEnd w:id="2"/>
      <w:bookmarkEnd w:id="3"/>
      <w:r w:rsidR="00D96842">
        <w:t>s</w:t>
      </w:r>
      <w:r w:rsidR="004921F7">
        <w:t>ubmission</w:t>
      </w:r>
    </w:p>
    <w:p w14:paraId="19414AA1" w14:textId="6D46086A" w:rsidR="002C2775" w:rsidRPr="008B1757" w:rsidRDefault="007170DA" w:rsidP="004E18E9">
      <w:pPr>
        <w:pStyle w:val="3-BodyText"/>
      </w:pPr>
      <w:r>
        <w:t xml:space="preserve">The </w:t>
      </w:r>
      <w:r w:rsidR="001037C5">
        <w:t xml:space="preserve">submission requested </w:t>
      </w:r>
      <w:r w:rsidR="00C33A7D">
        <w:t xml:space="preserve">a </w:t>
      </w:r>
      <w:r w:rsidR="001E71CA">
        <w:t xml:space="preserve">Category 2 </w:t>
      </w:r>
      <w:r w:rsidR="00933D96" w:rsidRPr="00933D96">
        <w:t xml:space="preserve">General Schedule Authority Required (STREAMLINED) listing </w:t>
      </w:r>
      <w:r w:rsidR="00225248">
        <w:t xml:space="preserve">of fremanezumab </w:t>
      </w:r>
      <w:r w:rsidR="00933D96" w:rsidRPr="00933D96">
        <w:t>for the treatment of high frequency episodic migraine</w:t>
      </w:r>
      <w:r w:rsidR="002B0766">
        <w:t xml:space="preserve"> (HFEM)</w:t>
      </w:r>
      <w:r w:rsidR="00933D96" w:rsidRPr="00933D96">
        <w:t xml:space="preserve"> in patients who have had an inadequate response, </w:t>
      </w:r>
      <w:r w:rsidR="005651B5" w:rsidRPr="00933D96">
        <w:t>intolerance,</w:t>
      </w:r>
      <w:r w:rsidR="00933D96" w:rsidRPr="00933D96">
        <w:t xml:space="preserve"> or a contraindication to at least three prophylactic migraine medications</w:t>
      </w:r>
      <w:r w:rsidR="00933D96">
        <w:t>.</w:t>
      </w:r>
    </w:p>
    <w:p w14:paraId="4E9FBCB5" w14:textId="62363EA0" w:rsidR="00C2778B" w:rsidRDefault="00933D96" w:rsidP="004E18E9">
      <w:pPr>
        <w:pStyle w:val="3-BodyText"/>
      </w:pPr>
      <w:r>
        <w:t>The l</w:t>
      </w:r>
      <w:r w:rsidR="005750C5" w:rsidRPr="005750C5">
        <w:t xml:space="preserve">isting was requested </w:t>
      </w:r>
      <w:proofErr w:type="gramStart"/>
      <w:r w:rsidR="005750C5" w:rsidRPr="005750C5">
        <w:t>on the basis of</w:t>
      </w:r>
      <w:proofErr w:type="gramEnd"/>
      <w:r w:rsidR="005750C5" w:rsidRPr="005750C5">
        <w:t xml:space="preserve"> a cost-minimisation</w:t>
      </w:r>
      <w:r w:rsidR="001D71F4">
        <w:t xml:space="preserve"> approach</w:t>
      </w:r>
      <w:r w:rsidR="005750C5" w:rsidRPr="005750C5">
        <w:t xml:space="preserve"> </w:t>
      </w:r>
      <w:r w:rsidR="00441653">
        <w:t xml:space="preserve">(CMA) </w:t>
      </w:r>
      <w:r w:rsidR="005750C5" w:rsidRPr="005750C5">
        <w:t>versus</w:t>
      </w:r>
      <w:r w:rsidR="005750C5">
        <w:t xml:space="preserve"> </w:t>
      </w:r>
      <w:r>
        <w:t>galcanezumab</w:t>
      </w:r>
      <w:r w:rsidR="005750C5">
        <w:t>.</w:t>
      </w:r>
      <w:r w:rsidR="008174EC">
        <w:t xml:space="preserve"> </w:t>
      </w:r>
      <w:r w:rsidR="008174EC" w:rsidRPr="008174EC">
        <w:t xml:space="preserve">The key components of the clinical issue addressed in the submission are presented in </w:t>
      </w:r>
      <w:r w:rsidR="00654DC3">
        <w:fldChar w:fldCharType="begin" w:fldLock="1"/>
      </w:r>
      <w:r w:rsidR="00654DC3">
        <w:instrText xml:space="preserve"> REF _Ref111655866 \h </w:instrText>
      </w:r>
      <w:r w:rsidR="00654DC3">
        <w:fldChar w:fldCharType="separate"/>
      </w:r>
      <w:r w:rsidR="00B97129">
        <w:t xml:space="preserve">Table </w:t>
      </w:r>
      <w:r w:rsidR="00B97129">
        <w:rPr>
          <w:noProof/>
        </w:rPr>
        <w:t>1</w:t>
      </w:r>
      <w:r w:rsidR="00654DC3">
        <w:fldChar w:fldCharType="end"/>
      </w:r>
      <w:r w:rsidR="008174EC">
        <w:t>.</w:t>
      </w:r>
    </w:p>
    <w:p w14:paraId="3718DE61" w14:textId="33F06203" w:rsidR="008B1757" w:rsidRPr="004A6040" w:rsidRDefault="00696EF9" w:rsidP="004A6040">
      <w:pPr>
        <w:pStyle w:val="TableFigureHeading"/>
        <w:rPr>
          <w:rStyle w:val="CommentReference"/>
          <w:b/>
          <w:szCs w:val="24"/>
        </w:rPr>
      </w:pPr>
      <w:bookmarkStart w:id="4" w:name="_Ref111655866"/>
      <w:r>
        <w:t xml:space="preserve">Table </w:t>
      </w:r>
      <w:fldSimple w:instr=" SEQ Table \* ARABIC " w:fldLock="1">
        <w:r w:rsidR="00B97129">
          <w:rPr>
            <w:noProof/>
          </w:rPr>
          <w:t>1</w:t>
        </w:r>
      </w:fldSimple>
      <w:bookmarkEnd w:id="4"/>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7170DA" w:rsidRPr="004A6040">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004E7793">
        <w:trPr>
          <w:cantSplit/>
          <w:tblHeader/>
        </w:trPr>
        <w:tc>
          <w:tcPr>
            <w:tcW w:w="924" w:type="pct"/>
            <w:shd w:val="clear" w:color="auto" w:fill="auto"/>
          </w:tcPr>
          <w:p w14:paraId="501803FB" w14:textId="77777777" w:rsidR="008B1757" w:rsidRPr="008B1757" w:rsidRDefault="008B1757" w:rsidP="004E7793">
            <w:pPr>
              <w:pStyle w:val="In-tableHeading"/>
              <w:rPr>
                <w:szCs w:val="20"/>
              </w:rPr>
            </w:pPr>
            <w:r w:rsidRPr="008B1757">
              <w:t>Component</w:t>
            </w:r>
          </w:p>
        </w:tc>
        <w:tc>
          <w:tcPr>
            <w:tcW w:w="4076" w:type="pct"/>
            <w:shd w:val="clear" w:color="auto" w:fill="auto"/>
          </w:tcPr>
          <w:p w14:paraId="445D9EBB" w14:textId="77777777" w:rsidR="008B1757" w:rsidRPr="008B1757" w:rsidRDefault="008B1757" w:rsidP="004E7793">
            <w:pPr>
              <w:pStyle w:val="In-tableHeading"/>
            </w:pPr>
            <w:r w:rsidRPr="008B1757">
              <w:t>Description</w:t>
            </w:r>
          </w:p>
        </w:tc>
      </w:tr>
      <w:tr w:rsidR="008B1757" w:rsidRPr="00691913" w14:paraId="2EB546E2" w14:textId="77777777" w:rsidTr="002A2ADE">
        <w:trPr>
          <w:cantSplit/>
        </w:trPr>
        <w:tc>
          <w:tcPr>
            <w:tcW w:w="924" w:type="pct"/>
            <w:shd w:val="clear" w:color="auto" w:fill="auto"/>
          </w:tcPr>
          <w:p w14:paraId="38F3BB34" w14:textId="77777777" w:rsidR="008B1757" w:rsidRPr="00691913" w:rsidRDefault="008B1757" w:rsidP="004A6040">
            <w:pPr>
              <w:pStyle w:val="TableText0"/>
            </w:pPr>
            <w:r w:rsidRPr="00691913">
              <w:t>Population</w:t>
            </w:r>
          </w:p>
        </w:tc>
        <w:tc>
          <w:tcPr>
            <w:tcW w:w="4076" w:type="pct"/>
            <w:shd w:val="clear" w:color="auto" w:fill="auto"/>
          </w:tcPr>
          <w:p w14:paraId="79618EEE" w14:textId="49BA79F2" w:rsidR="00233C01" w:rsidRPr="001E1E86" w:rsidRDefault="008174EC" w:rsidP="00233C01">
            <w:pPr>
              <w:pStyle w:val="TableText0"/>
              <w:rPr>
                <w:szCs w:val="20"/>
              </w:rPr>
            </w:pPr>
            <w:r w:rsidRPr="008174EC">
              <w:t>Adult patients with high frequency episodic migraine</w:t>
            </w:r>
            <w:r w:rsidR="008613F3">
              <w:t xml:space="preserve"> (HFEM)</w:t>
            </w:r>
            <w:r w:rsidRPr="008174EC">
              <w:t>, defined as patients having an average 8 to 14 headache days per month, and who have had an inadequate response, intolerance, or a contraindication to at least three prophylactic migraine medications</w:t>
            </w:r>
          </w:p>
        </w:tc>
      </w:tr>
      <w:tr w:rsidR="008B1757" w:rsidRPr="00691913" w14:paraId="0CA523AF" w14:textId="77777777" w:rsidTr="002A2ADE">
        <w:trPr>
          <w:cantSplit/>
        </w:trPr>
        <w:tc>
          <w:tcPr>
            <w:tcW w:w="924" w:type="pct"/>
            <w:shd w:val="clear" w:color="auto" w:fill="auto"/>
          </w:tcPr>
          <w:p w14:paraId="7B6D20D8" w14:textId="77777777" w:rsidR="008B1757" w:rsidRPr="00691913" w:rsidRDefault="008B1757" w:rsidP="004A6040">
            <w:pPr>
              <w:pStyle w:val="TableText0"/>
            </w:pPr>
            <w:r w:rsidRPr="00691913">
              <w:t>Intervention</w:t>
            </w:r>
          </w:p>
        </w:tc>
        <w:tc>
          <w:tcPr>
            <w:tcW w:w="4076" w:type="pct"/>
            <w:shd w:val="clear" w:color="auto" w:fill="auto"/>
          </w:tcPr>
          <w:p w14:paraId="2491E905" w14:textId="77FCC451" w:rsidR="00233C01" w:rsidRPr="00691913" w:rsidRDefault="008174EC" w:rsidP="00D43D83">
            <w:pPr>
              <w:pStyle w:val="TableText0"/>
            </w:pPr>
            <w:r w:rsidRPr="008174EC">
              <w:t>Fremanezumab</w:t>
            </w:r>
          </w:p>
        </w:tc>
      </w:tr>
      <w:tr w:rsidR="008B1757" w:rsidRPr="00691913" w14:paraId="0F81EBE4" w14:textId="77777777" w:rsidTr="002A2ADE">
        <w:trPr>
          <w:cantSplit/>
        </w:trPr>
        <w:tc>
          <w:tcPr>
            <w:tcW w:w="924" w:type="pct"/>
            <w:shd w:val="clear" w:color="auto" w:fill="auto"/>
          </w:tcPr>
          <w:p w14:paraId="3656B343" w14:textId="77777777" w:rsidR="008B1757" w:rsidRPr="00691913" w:rsidRDefault="008B1757" w:rsidP="004A6040">
            <w:pPr>
              <w:pStyle w:val="TableText0"/>
            </w:pPr>
            <w:r w:rsidRPr="00691913">
              <w:t>Comparator</w:t>
            </w:r>
          </w:p>
        </w:tc>
        <w:tc>
          <w:tcPr>
            <w:tcW w:w="4076" w:type="pct"/>
            <w:shd w:val="clear" w:color="auto" w:fill="auto"/>
          </w:tcPr>
          <w:p w14:paraId="3727DE24" w14:textId="37045A7A" w:rsidR="00233C01" w:rsidRPr="00691913" w:rsidRDefault="008174EC" w:rsidP="001E1E86">
            <w:pPr>
              <w:pStyle w:val="TableText0"/>
            </w:pPr>
            <w:r w:rsidRPr="008174EC">
              <w:t xml:space="preserve">Galcanezumab </w:t>
            </w:r>
          </w:p>
        </w:tc>
      </w:tr>
      <w:tr w:rsidR="008B1757" w:rsidRPr="00691913" w14:paraId="02F86F0D" w14:textId="77777777" w:rsidTr="002A2ADE">
        <w:trPr>
          <w:cantSplit/>
        </w:trPr>
        <w:tc>
          <w:tcPr>
            <w:tcW w:w="924" w:type="pct"/>
            <w:shd w:val="clear" w:color="auto" w:fill="auto"/>
          </w:tcPr>
          <w:p w14:paraId="06433105" w14:textId="77777777" w:rsidR="008B1757" w:rsidRPr="00691913" w:rsidRDefault="008B1757" w:rsidP="004A6040">
            <w:pPr>
              <w:pStyle w:val="TableText0"/>
            </w:pPr>
            <w:r w:rsidRPr="00691913">
              <w:t>Outcomes</w:t>
            </w:r>
          </w:p>
        </w:tc>
        <w:tc>
          <w:tcPr>
            <w:tcW w:w="4076" w:type="pct"/>
            <w:shd w:val="clear" w:color="auto" w:fill="auto"/>
          </w:tcPr>
          <w:p w14:paraId="2CABD200" w14:textId="150CCFA5" w:rsidR="008174EC" w:rsidRDefault="008174EC" w:rsidP="008174EC">
            <w:pPr>
              <w:pStyle w:val="TableText0"/>
            </w:pPr>
            <w:r>
              <w:t xml:space="preserve">Mean change from baseline in </w:t>
            </w:r>
            <w:r w:rsidR="00A80C39">
              <w:t xml:space="preserve">the </w:t>
            </w:r>
            <w:r>
              <w:t xml:space="preserve">number of monthly </w:t>
            </w:r>
            <w:proofErr w:type="gramStart"/>
            <w:r>
              <w:t>migraine</w:t>
            </w:r>
            <w:proofErr w:type="gramEnd"/>
            <w:r>
              <w:t xml:space="preserve"> days</w:t>
            </w:r>
          </w:p>
          <w:p w14:paraId="56A40412" w14:textId="7BADD55F" w:rsidR="008174EC" w:rsidRDefault="008174EC" w:rsidP="008174EC">
            <w:pPr>
              <w:pStyle w:val="TableText0"/>
            </w:pPr>
            <w:r>
              <w:t>≥50% response rate in terms of monthly migraine days</w:t>
            </w:r>
          </w:p>
          <w:p w14:paraId="5ABC4037" w14:textId="6D3CF79C" w:rsidR="00233C01" w:rsidRPr="001E1E86" w:rsidRDefault="008174EC" w:rsidP="008174EC">
            <w:pPr>
              <w:pStyle w:val="TableText0"/>
              <w:rPr>
                <w:rFonts w:eastAsia="Times New Roman" w:cs="Arial"/>
                <w:bCs w:val="0"/>
                <w:snapToGrid w:val="0"/>
                <w:color w:val="0066FF"/>
                <w:szCs w:val="20"/>
              </w:rPr>
            </w:pPr>
            <w:r>
              <w:t>Treatment emergent adverse events</w:t>
            </w:r>
          </w:p>
        </w:tc>
      </w:tr>
      <w:tr w:rsidR="008B1757" w:rsidRPr="00691913" w14:paraId="22223890" w14:textId="77777777" w:rsidTr="002A2ADE">
        <w:trPr>
          <w:cantSplit/>
        </w:trPr>
        <w:tc>
          <w:tcPr>
            <w:tcW w:w="924" w:type="pct"/>
            <w:shd w:val="clear" w:color="auto" w:fill="auto"/>
          </w:tcPr>
          <w:p w14:paraId="0FC8FCE0" w14:textId="77777777" w:rsidR="008B1757" w:rsidRPr="00691913" w:rsidRDefault="008B1757" w:rsidP="004A6040">
            <w:pPr>
              <w:pStyle w:val="TableText0"/>
            </w:pPr>
            <w:r w:rsidRPr="00691913">
              <w:t>Clinical claim</w:t>
            </w:r>
          </w:p>
        </w:tc>
        <w:tc>
          <w:tcPr>
            <w:tcW w:w="4076" w:type="pct"/>
            <w:shd w:val="clear" w:color="auto" w:fill="auto"/>
          </w:tcPr>
          <w:p w14:paraId="2C99C4DE" w14:textId="176C26E2" w:rsidR="00233C01" w:rsidRPr="001E1E86" w:rsidRDefault="008174EC" w:rsidP="00D43D83">
            <w:pPr>
              <w:pStyle w:val="TableText0"/>
              <w:rPr>
                <w:rFonts w:eastAsia="Times New Roman" w:cs="Arial"/>
                <w:bCs w:val="0"/>
                <w:snapToGrid w:val="0"/>
                <w:color w:val="0066FF"/>
                <w:szCs w:val="20"/>
              </w:rPr>
            </w:pPr>
            <w:r w:rsidRPr="008174EC">
              <w:t>Fremanezumab is non-inferior to galcanezumab in terms of efficacy and safety in HFEM patients who have an inadequate response, intolerance, or a contraindication to at least three prophylactic migraine medications</w:t>
            </w:r>
          </w:p>
        </w:tc>
      </w:tr>
    </w:tbl>
    <w:p w14:paraId="2A9D506A" w14:textId="77777777" w:rsidR="001F5DBA" w:rsidRDefault="008B1757" w:rsidP="001F5DBA">
      <w:pPr>
        <w:pStyle w:val="TableFooter"/>
      </w:pPr>
      <w:r w:rsidRPr="00D85F46">
        <w:t>Source: Table</w:t>
      </w:r>
      <w:r w:rsidR="00D85F46">
        <w:t xml:space="preserve"> 1-1</w:t>
      </w:r>
      <w:r w:rsidRPr="00D85F46">
        <w:t>, p</w:t>
      </w:r>
      <w:r w:rsidR="00D85F46">
        <w:t>1</w:t>
      </w:r>
      <w:r w:rsidRPr="00D85F46">
        <w:t xml:space="preserve"> of the submission.</w:t>
      </w:r>
    </w:p>
    <w:p w14:paraId="6B4AB6C2" w14:textId="7F01D731" w:rsidR="005C25FF" w:rsidRPr="00407F2D" w:rsidRDefault="005C25FF" w:rsidP="004A6040">
      <w:pPr>
        <w:pStyle w:val="2-SectionHeading"/>
      </w:pPr>
      <w:bookmarkStart w:id="5" w:name="_Toc107927619"/>
      <w:bookmarkStart w:id="6" w:name="_Toc114059199"/>
      <w:r w:rsidRPr="00407F2D">
        <w:t>Background</w:t>
      </w:r>
      <w:bookmarkEnd w:id="5"/>
      <w:bookmarkEnd w:id="6"/>
    </w:p>
    <w:p w14:paraId="2C521D6D" w14:textId="78CF03EE" w:rsidR="005C25FF" w:rsidRPr="004151CF" w:rsidRDefault="005C25FF" w:rsidP="004A6040">
      <w:pPr>
        <w:pStyle w:val="4-SubsectionHeading"/>
      </w:pPr>
      <w:bookmarkStart w:id="7" w:name="_Toc22897638"/>
      <w:bookmarkStart w:id="8" w:name="_Toc107927620"/>
      <w:bookmarkStart w:id="9" w:name="_Toc114059200"/>
      <w:r w:rsidRPr="004151CF">
        <w:t>Registration status</w:t>
      </w:r>
      <w:bookmarkEnd w:id="7"/>
      <w:bookmarkEnd w:id="8"/>
      <w:bookmarkEnd w:id="9"/>
    </w:p>
    <w:p w14:paraId="0D76606F" w14:textId="275316A2" w:rsidR="002B5464" w:rsidRPr="002B5464" w:rsidRDefault="000F08DE" w:rsidP="009514D8">
      <w:pPr>
        <w:pStyle w:val="3-BodyText"/>
        <w:rPr>
          <w:color w:val="0066FF"/>
        </w:rPr>
      </w:pPr>
      <w:r>
        <w:t>F</w:t>
      </w:r>
      <w:r w:rsidR="009514D8" w:rsidRPr="009514D8">
        <w:t xml:space="preserve">remanezumab </w:t>
      </w:r>
      <w:r>
        <w:t>(pre</w:t>
      </w:r>
      <w:r w:rsidR="00621013">
        <w:t>-</w:t>
      </w:r>
      <w:r>
        <w:t xml:space="preserve">filled syringe) </w:t>
      </w:r>
      <w:r w:rsidR="009514D8" w:rsidRPr="009514D8">
        <w:t>was registered on the Australian Register of Therapeutic Goods on 20 September 2019 for the preventive treatment of migraine in adults. The pre-filled pen device suitable for patient self-administration was registered on 2 June 2021</w:t>
      </w:r>
      <w:r w:rsidR="009514D8" w:rsidRPr="002B5464">
        <w:t>.</w:t>
      </w:r>
    </w:p>
    <w:p w14:paraId="68261C42" w14:textId="77777777" w:rsidR="002B5464" w:rsidRDefault="002B5464" w:rsidP="002B5464">
      <w:pPr>
        <w:pStyle w:val="4-SubsectionHeading"/>
      </w:pPr>
      <w:bookmarkStart w:id="10" w:name="_Toc22897639"/>
      <w:bookmarkStart w:id="11" w:name="_Toc107927621"/>
      <w:bookmarkStart w:id="12" w:name="_Toc114059201"/>
      <w:r w:rsidRPr="00621ADA">
        <w:lastRenderedPageBreak/>
        <w:t>Previous PBAC consideration</w:t>
      </w:r>
      <w:bookmarkEnd w:id="10"/>
      <w:bookmarkEnd w:id="11"/>
      <w:bookmarkEnd w:id="12"/>
    </w:p>
    <w:p w14:paraId="0732F4AA" w14:textId="60DE49D6" w:rsidR="006E1EEB" w:rsidRDefault="006E1EEB" w:rsidP="009514D8">
      <w:pPr>
        <w:pStyle w:val="3-BodyText"/>
      </w:pPr>
      <w:r>
        <w:t>Fremanezumab has not</w:t>
      </w:r>
      <w:r w:rsidR="00842394">
        <w:t xml:space="preserve"> previously</w:t>
      </w:r>
      <w:r>
        <w:t xml:space="preserve"> been considered for the proposed PBS population, i.e., patients with HFEM (8 to 14 monthly migraine days) who have failed/tried </w:t>
      </w:r>
      <w:r w:rsidRPr="000A2357">
        <w:t>≥3 prophylactic migraine medications</w:t>
      </w:r>
      <w:r>
        <w:t>.</w:t>
      </w:r>
    </w:p>
    <w:p w14:paraId="0A3F494C" w14:textId="3D1F4747" w:rsidR="0008387F" w:rsidRDefault="00683366" w:rsidP="00B55776">
      <w:pPr>
        <w:pStyle w:val="3-BodyText"/>
      </w:pPr>
      <w:r>
        <w:t>Fremanezumab</w:t>
      </w:r>
      <w:r w:rsidR="008E315B">
        <w:t xml:space="preserve"> was recommended for </w:t>
      </w:r>
      <w:r w:rsidR="000A2357">
        <w:t>chronic migraine</w:t>
      </w:r>
      <w:r w:rsidR="008E315B">
        <w:t xml:space="preserve"> </w:t>
      </w:r>
      <w:r w:rsidR="005050D6">
        <w:t xml:space="preserve">at </w:t>
      </w:r>
      <w:r w:rsidR="0054483A">
        <w:t>the March 2020 PBAC meeting</w:t>
      </w:r>
      <w:r w:rsidR="00D16448">
        <w:t xml:space="preserve"> based on a cost-minimisation approach to Botox (para 6.1, Fremanezumab </w:t>
      </w:r>
      <w:r w:rsidR="00DC20EF">
        <w:t>Public Summary Document [</w:t>
      </w:r>
      <w:r w:rsidR="00D16448">
        <w:t>PSD</w:t>
      </w:r>
      <w:r w:rsidR="00DC20EF">
        <w:t>]</w:t>
      </w:r>
      <w:r w:rsidR="00D16448">
        <w:t>, March 2020 PBAC meeting)</w:t>
      </w:r>
      <w:r w:rsidR="0054483A">
        <w:t>.</w:t>
      </w:r>
      <w:r w:rsidR="004B4176">
        <w:t xml:space="preserve"> It was listed on the PBS</w:t>
      </w:r>
      <w:r w:rsidR="00CC7A8B">
        <w:t xml:space="preserve"> on 1 August 2021</w:t>
      </w:r>
      <w:r w:rsidR="004B4176">
        <w:t xml:space="preserve">. </w:t>
      </w:r>
    </w:p>
    <w:p w14:paraId="21EECE57" w14:textId="0C262DB8" w:rsidR="000C0F42" w:rsidRPr="00DC20EF" w:rsidRDefault="001037C5" w:rsidP="00DC20EF">
      <w:pPr>
        <w:pStyle w:val="3-BodyText"/>
      </w:pPr>
      <w:r>
        <w:t>The proposed comparator, g</w:t>
      </w:r>
      <w:r w:rsidR="006D49E8">
        <w:t>alcanezumab</w:t>
      </w:r>
      <w:r w:rsidR="00011BB6">
        <w:t xml:space="preserve"> (GALC)</w:t>
      </w:r>
      <w:r>
        <w:t>,</w:t>
      </w:r>
      <w:r w:rsidR="006D49E8">
        <w:t xml:space="preserve"> was recommended by the PBAC </w:t>
      </w:r>
      <w:r w:rsidR="00B15039">
        <w:t xml:space="preserve">in March 2022 for </w:t>
      </w:r>
      <w:r w:rsidR="00C341FA">
        <w:t>patients with HFEM</w:t>
      </w:r>
      <w:r w:rsidR="00B15039">
        <w:t xml:space="preserve"> (8</w:t>
      </w:r>
      <w:r w:rsidR="00C01D89">
        <w:t xml:space="preserve"> to </w:t>
      </w:r>
      <w:r w:rsidR="00B15039">
        <w:t>14 migraine days</w:t>
      </w:r>
      <w:r w:rsidR="00C01D89">
        <w:t xml:space="preserve"> per month</w:t>
      </w:r>
      <w:r w:rsidR="00C341FA">
        <w:t>) who have</w:t>
      </w:r>
      <w:r w:rsidR="00B15039">
        <w:t xml:space="preserve"> failed/tried </w:t>
      </w:r>
      <w:r w:rsidR="00B15039" w:rsidRPr="000A2357">
        <w:t>≥3 prophylactic migraine medications</w:t>
      </w:r>
      <w:r w:rsidR="0008387F">
        <w:t>.</w:t>
      </w:r>
      <w:r w:rsidR="000A2357" w:rsidRPr="000A2357">
        <w:t xml:space="preserve"> </w:t>
      </w:r>
      <w:r w:rsidR="00842394">
        <w:t>T</w:t>
      </w:r>
      <w:r w:rsidR="006D49E8" w:rsidRPr="006D49E8">
        <w:t>he PBAC considered galcanezumab would be cost</w:t>
      </w:r>
      <w:r w:rsidR="00FC0AA3">
        <w:t>-</w:t>
      </w:r>
      <w:r w:rsidR="006D49E8" w:rsidRPr="006D49E8">
        <w:t xml:space="preserve">effective for the </w:t>
      </w:r>
      <w:r w:rsidR="00E12B47">
        <w:t>HFEM</w:t>
      </w:r>
      <w:r w:rsidR="006D49E8" w:rsidRPr="006D49E8">
        <w:t xml:space="preserve"> patient population at a price no higher than the current effective price for patients with chronic migraine</w:t>
      </w:r>
      <w:r w:rsidR="00E12B47">
        <w:t xml:space="preserve"> (para 7.1, Galcanezumab PSD, March 2022 PBAC meeting).</w:t>
      </w:r>
      <w:r w:rsidR="00F37C69">
        <w:t xml:space="preserve"> </w:t>
      </w:r>
      <w:r w:rsidR="00846B13">
        <w:t xml:space="preserve">Galcanezumab </w:t>
      </w:r>
      <w:r w:rsidR="00700C3C">
        <w:t xml:space="preserve">was not </w:t>
      </w:r>
      <w:r w:rsidR="00846B13">
        <w:t>listed on the PBS for HFEM</w:t>
      </w:r>
      <w:r w:rsidR="00700C3C">
        <w:t xml:space="preserve"> at the time of PBAC consideration</w:t>
      </w:r>
      <w:r w:rsidR="00846B13">
        <w:t xml:space="preserve">. </w:t>
      </w:r>
    </w:p>
    <w:p w14:paraId="4185A309" w14:textId="1A5ACF66" w:rsidR="00B60939" w:rsidRDefault="00B50DB8" w:rsidP="00FC03E4">
      <w:pPr>
        <w:pStyle w:val="2-SectionHeading"/>
      </w:pPr>
      <w:bookmarkStart w:id="13" w:name="_Toc107927622"/>
      <w:bookmarkStart w:id="14" w:name="_Toc114059202"/>
      <w:r w:rsidRPr="00407F2D">
        <w:t xml:space="preserve">Requested </w:t>
      </w:r>
      <w:proofErr w:type="gramStart"/>
      <w:r w:rsidRPr="00407F2D">
        <w:t>listing</w:t>
      </w:r>
      <w:bookmarkEnd w:id="13"/>
      <w:bookmarkEnd w:id="14"/>
      <w:proofErr w:type="gramEnd"/>
    </w:p>
    <w:p w14:paraId="7C4C6255" w14:textId="77777777" w:rsidR="008C6677" w:rsidRPr="00340E3E" w:rsidRDefault="008C6677" w:rsidP="008C6677">
      <w:pPr>
        <w:pStyle w:val="3-BodyText"/>
      </w:pPr>
      <w:r w:rsidRPr="00340E3E">
        <w:t>Suggestions and additions proposed by the Secretariat are added in italics and suggested deletions are crossed out with strikethrough.</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5"/>
        <w:gridCol w:w="2549"/>
        <w:gridCol w:w="851"/>
        <w:gridCol w:w="709"/>
        <w:gridCol w:w="709"/>
        <w:gridCol w:w="1086"/>
      </w:tblGrid>
      <w:tr w:rsidR="00100F0F" w:rsidRPr="003B6D3A" w14:paraId="06CDB1CE" w14:textId="77777777" w:rsidTr="00DC20EF">
        <w:tc>
          <w:tcPr>
            <w:tcW w:w="1727" w:type="pct"/>
            <w:tcBorders>
              <w:left w:val="single" w:sz="4" w:space="0" w:color="auto"/>
              <w:right w:val="single" w:sz="4" w:space="0" w:color="auto"/>
            </w:tcBorders>
            <w:shd w:val="clear" w:color="auto" w:fill="auto"/>
            <w:tcMar>
              <w:top w:w="0" w:type="dxa"/>
              <w:left w:w="108" w:type="dxa"/>
              <w:bottom w:w="0" w:type="dxa"/>
              <w:right w:w="108" w:type="dxa"/>
            </w:tcMar>
            <w:hideMark/>
          </w:tcPr>
          <w:p w14:paraId="45DF83E8" w14:textId="77777777" w:rsidR="00CA2E3C" w:rsidRPr="00CA2E3C" w:rsidRDefault="00CA2E3C" w:rsidP="00100F0F">
            <w:pPr>
              <w:pStyle w:val="KMC16-TableHeading"/>
              <w:spacing w:before="0" w:after="0"/>
              <w:jc w:val="left"/>
              <w:rPr>
                <w:color w:val="auto"/>
              </w:rPr>
            </w:pPr>
            <w:r w:rsidRPr="00CA2E3C">
              <w:rPr>
                <w:color w:val="auto"/>
              </w:rPr>
              <w:t>MEDICINAL PRODUCT</w:t>
            </w:r>
          </w:p>
          <w:p w14:paraId="5B7868A2" w14:textId="2AD44382" w:rsidR="00CA2E3C" w:rsidRPr="003B6D3A" w:rsidRDefault="00CA2E3C" w:rsidP="00100F0F">
            <w:pPr>
              <w:pStyle w:val="KMC16-TableHeading"/>
              <w:spacing w:before="0" w:after="0"/>
              <w:jc w:val="left"/>
              <w:rPr>
                <w:color w:val="auto"/>
              </w:rPr>
            </w:pPr>
            <w:r w:rsidRPr="00CA2E3C">
              <w:rPr>
                <w:color w:val="auto"/>
              </w:rPr>
              <w:t>medicinal product pack</w:t>
            </w:r>
          </w:p>
        </w:tc>
        <w:tc>
          <w:tcPr>
            <w:tcW w:w="1413" w:type="pct"/>
            <w:tcBorders>
              <w:left w:val="single" w:sz="4" w:space="0" w:color="auto"/>
              <w:right w:val="single" w:sz="4" w:space="0" w:color="auto"/>
            </w:tcBorders>
            <w:vAlign w:val="center"/>
          </w:tcPr>
          <w:p w14:paraId="64AD8ED6" w14:textId="47B2E10E" w:rsidR="00CA2E3C" w:rsidRPr="003B6D3A" w:rsidRDefault="00CA2E3C" w:rsidP="00DC20EF">
            <w:pPr>
              <w:pStyle w:val="KMC16-TableHeading"/>
              <w:spacing w:before="0" w:after="0"/>
              <w:rPr>
                <w:color w:val="auto"/>
              </w:rPr>
            </w:pPr>
            <w:r w:rsidRPr="002E3BE2">
              <w:t xml:space="preserve">Dispensed </w:t>
            </w:r>
            <w:r w:rsidR="003527C3">
              <w:t>P</w:t>
            </w:r>
            <w:r w:rsidRPr="002E3BE2">
              <w:t xml:space="preserve">rice for </w:t>
            </w:r>
            <w:r w:rsidR="003527C3" w:rsidRPr="003527C3">
              <w:t>Max. Qty</w:t>
            </w:r>
          </w:p>
        </w:tc>
        <w:tc>
          <w:tcPr>
            <w:tcW w:w="472" w:type="pct"/>
            <w:tcBorders>
              <w:left w:val="single" w:sz="4" w:space="0" w:color="auto"/>
              <w:right w:val="single" w:sz="4" w:space="0" w:color="auto"/>
            </w:tcBorders>
            <w:shd w:val="clear" w:color="auto" w:fill="auto"/>
            <w:tcMar>
              <w:top w:w="0" w:type="dxa"/>
              <w:left w:w="108" w:type="dxa"/>
              <w:bottom w:w="0" w:type="dxa"/>
              <w:right w:w="108" w:type="dxa"/>
            </w:tcMar>
            <w:hideMark/>
          </w:tcPr>
          <w:p w14:paraId="49621836" w14:textId="0B89456F" w:rsidR="00CA2E3C" w:rsidRPr="003B6D3A" w:rsidRDefault="00CA2E3C" w:rsidP="00DC20EF">
            <w:pPr>
              <w:pStyle w:val="KMC16-TableHeading"/>
              <w:spacing w:before="0" w:after="0"/>
              <w:rPr>
                <w:color w:val="auto"/>
              </w:rPr>
            </w:pPr>
            <w:r w:rsidRPr="003B6D3A">
              <w:rPr>
                <w:color w:val="auto"/>
              </w:rPr>
              <w:t>Max</w:t>
            </w:r>
            <w:r w:rsidR="00100F0F">
              <w:rPr>
                <w:color w:val="auto"/>
              </w:rPr>
              <w:t>.</w:t>
            </w:r>
            <w:r w:rsidRPr="003B6D3A">
              <w:rPr>
                <w:color w:val="auto"/>
              </w:rPr>
              <w:t xml:space="preserve"> qty pack</w:t>
            </w:r>
            <w:r w:rsidR="00100F0F">
              <w:rPr>
                <w:color w:val="auto"/>
              </w:rPr>
              <w:t>s</w:t>
            </w:r>
          </w:p>
        </w:tc>
        <w:tc>
          <w:tcPr>
            <w:tcW w:w="393" w:type="pct"/>
            <w:tcBorders>
              <w:left w:val="single" w:sz="4" w:space="0" w:color="auto"/>
              <w:right w:val="single" w:sz="4" w:space="0" w:color="auto"/>
            </w:tcBorders>
            <w:shd w:val="clear" w:color="auto" w:fill="auto"/>
            <w:tcMar>
              <w:top w:w="0" w:type="dxa"/>
              <w:left w:w="108" w:type="dxa"/>
              <w:bottom w:w="0" w:type="dxa"/>
              <w:right w:w="108" w:type="dxa"/>
            </w:tcMar>
            <w:hideMark/>
          </w:tcPr>
          <w:p w14:paraId="5347BE49" w14:textId="79FB32E2" w:rsidR="00CA2E3C" w:rsidRPr="003B6D3A" w:rsidRDefault="00CA2E3C" w:rsidP="00DC20EF">
            <w:pPr>
              <w:pStyle w:val="KMC16-TableHeading"/>
              <w:spacing w:before="0" w:after="0"/>
              <w:rPr>
                <w:color w:val="auto"/>
              </w:rPr>
            </w:pPr>
            <w:r w:rsidRPr="003B6D3A">
              <w:rPr>
                <w:color w:val="auto"/>
              </w:rPr>
              <w:t>Max</w:t>
            </w:r>
            <w:r w:rsidR="00100F0F">
              <w:rPr>
                <w:color w:val="auto"/>
              </w:rPr>
              <w:t>.</w:t>
            </w:r>
            <w:r w:rsidRPr="003B6D3A">
              <w:rPr>
                <w:color w:val="auto"/>
              </w:rPr>
              <w:t xml:space="preserve"> qty units</w:t>
            </w:r>
          </w:p>
        </w:tc>
        <w:tc>
          <w:tcPr>
            <w:tcW w:w="393" w:type="pct"/>
            <w:tcBorders>
              <w:left w:val="single" w:sz="4" w:space="0" w:color="auto"/>
              <w:right w:val="single" w:sz="4" w:space="0" w:color="auto"/>
            </w:tcBorders>
            <w:shd w:val="clear" w:color="auto" w:fill="auto"/>
            <w:tcMar>
              <w:top w:w="0" w:type="dxa"/>
              <w:left w:w="108" w:type="dxa"/>
              <w:bottom w:w="0" w:type="dxa"/>
              <w:right w:w="108" w:type="dxa"/>
            </w:tcMar>
            <w:vAlign w:val="center"/>
            <w:hideMark/>
          </w:tcPr>
          <w:p w14:paraId="025BDB3A" w14:textId="34DC0203" w:rsidR="00CA2E3C" w:rsidRPr="003B6D3A" w:rsidRDefault="00CA2E3C" w:rsidP="00DC20EF">
            <w:pPr>
              <w:pStyle w:val="KMC16-TableHeading"/>
              <w:spacing w:before="0" w:after="0"/>
              <w:jc w:val="left"/>
              <w:rPr>
                <w:color w:val="auto"/>
              </w:rPr>
            </w:pPr>
            <w:r w:rsidRPr="003B6D3A">
              <w:rPr>
                <w:color w:val="auto"/>
              </w:rPr>
              <w:t xml:space="preserve">No. of </w:t>
            </w:r>
            <w:r w:rsidR="00100F0F">
              <w:rPr>
                <w:color w:val="auto"/>
              </w:rPr>
              <w:t>Rpts</w:t>
            </w:r>
          </w:p>
        </w:tc>
        <w:tc>
          <w:tcPr>
            <w:tcW w:w="602" w:type="pct"/>
            <w:tcBorders>
              <w:left w:val="single" w:sz="4" w:space="0" w:color="auto"/>
              <w:right w:val="single" w:sz="4" w:space="0" w:color="auto"/>
            </w:tcBorders>
            <w:shd w:val="clear" w:color="auto" w:fill="auto"/>
            <w:tcMar>
              <w:top w:w="0" w:type="dxa"/>
              <w:left w:w="108" w:type="dxa"/>
              <w:bottom w:w="0" w:type="dxa"/>
              <w:right w:w="108" w:type="dxa"/>
            </w:tcMar>
            <w:vAlign w:val="center"/>
            <w:hideMark/>
          </w:tcPr>
          <w:p w14:paraId="2F450B42" w14:textId="5DE8B873" w:rsidR="00CA2E3C" w:rsidRPr="003B6D3A" w:rsidRDefault="00CA2E3C" w:rsidP="00DC20EF">
            <w:pPr>
              <w:pStyle w:val="KMC16-TableHeading"/>
              <w:spacing w:before="0" w:after="0"/>
              <w:rPr>
                <w:color w:val="auto"/>
              </w:rPr>
            </w:pPr>
            <w:r>
              <w:rPr>
                <w:color w:val="auto"/>
              </w:rPr>
              <w:t>Available brands</w:t>
            </w:r>
          </w:p>
        </w:tc>
      </w:tr>
      <w:tr w:rsidR="00100F0F" w:rsidRPr="003B6D3A" w14:paraId="16A661EF" w14:textId="77777777" w:rsidTr="00100F0F">
        <w:tc>
          <w:tcPr>
            <w:tcW w:w="1727" w:type="pct"/>
            <w:tcBorders>
              <w:left w:val="single" w:sz="4" w:space="0" w:color="auto"/>
              <w:right w:val="nil"/>
            </w:tcBorders>
            <w:shd w:val="clear" w:color="auto" w:fill="auto"/>
            <w:tcMar>
              <w:top w:w="0" w:type="dxa"/>
              <w:left w:w="108" w:type="dxa"/>
              <w:bottom w:w="0" w:type="dxa"/>
              <w:right w:w="108" w:type="dxa"/>
            </w:tcMar>
          </w:tcPr>
          <w:p w14:paraId="24E025F5" w14:textId="12B36B87" w:rsidR="003527C3" w:rsidRPr="00CA2E3C" w:rsidRDefault="00BD0A1D" w:rsidP="00100F0F">
            <w:pPr>
              <w:pStyle w:val="KMC16-TableHeading"/>
              <w:spacing w:before="0" w:after="0"/>
              <w:jc w:val="left"/>
              <w:rPr>
                <w:color w:val="auto"/>
              </w:rPr>
            </w:pPr>
            <w:r>
              <w:rPr>
                <w:color w:val="auto"/>
              </w:rPr>
              <w:t>FREMANEZUMAB</w:t>
            </w:r>
          </w:p>
        </w:tc>
        <w:tc>
          <w:tcPr>
            <w:tcW w:w="1413" w:type="pct"/>
            <w:tcBorders>
              <w:left w:val="nil"/>
              <w:right w:val="nil"/>
            </w:tcBorders>
          </w:tcPr>
          <w:p w14:paraId="461CFBFD" w14:textId="77777777" w:rsidR="003527C3" w:rsidRPr="002E3BE2" w:rsidRDefault="003527C3" w:rsidP="00100F0F">
            <w:pPr>
              <w:pStyle w:val="KMC16-TableHeading"/>
              <w:spacing w:before="0" w:after="0"/>
            </w:pPr>
          </w:p>
        </w:tc>
        <w:tc>
          <w:tcPr>
            <w:tcW w:w="472" w:type="pct"/>
            <w:tcBorders>
              <w:left w:val="nil"/>
              <w:right w:val="nil"/>
            </w:tcBorders>
            <w:shd w:val="clear" w:color="auto" w:fill="auto"/>
            <w:tcMar>
              <w:top w:w="0" w:type="dxa"/>
              <w:left w:w="108" w:type="dxa"/>
              <w:bottom w:w="0" w:type="dxa"/>
              <w:right w:w="108" w:type="dxa"/>
            </w:tcMar>
          </w:tcPr>
          <w:p w14:paraId="60FBFB40" w14:textId="77777777" w:rsidR="003527C3" w:rsidRPr="003B6D3A" w:rsidRDefault="003527C3" w:rsidP="00100F0F">
            <w:pPr>
              <w:pStyle w:val="KMC16-TableHeading"/>
              <w:spacing w:before="0" w:after="0"/>
              <w:rPr>
                <w:color w:val="auto"/>
              </w:rPr>
            </w:pPr>
          </w:p>
        </w:tc>
        <w:tc>
          <w:tcPr>
            <w:tcW w:w="393" w:type="pct"/>
            <w:tcBorders>
              <w:left w:val="nil"/>
              <w:right w:val="nil"/>
            </w:tcBorders>
            <w:shd w:val="clear" w:color="auto" w:fill="auto"/>
            <w:tcMar>
              <w:top w:w="0" w:type="dxa"/>
              <w:left w:w="108" w:type="dxa"/>
              <w:bottom w:w="0" w:type="dxa"/>
              <w:right w:w="108" w:type="dxa"/>
            </w:tcMar>
          </w:tcPr>
          <w:p w14:paraId="3DE2C2C8" w14:textId="77777777" w:rsidR="003527C3" w:rsidRPr="003B6D3A" w:rsidRDefault="003527C3" w:rsidP="00100F0F">
            <w:pPr>
              <w:pStyle w:val="KMC16-TableHeading"/>
              <w:spacing w:before="0" w:after="0"/>
              <w:rPr>
                <w:color w:val="auto"/>
              </w:rPr>
            </w:pPr>
          </w:p>
        </w:tc>
        <w:tc>
          <w:tcPr>
            <w:tcW w:w="393" w:type="pct"/>
            <w:tcBorders>
              <w:left w:val="nil"/>
              <w:right w:val="nil"/>
            </w:tcBorders>
            <w:shd w:val="clear" w:color="auto" w:fill="auto"/>
            <w:tcMar>
              <w:top w:w="0" w:type="dxa"/>
              <w:left w:w="108" w:type="dxa"/>
              <w:bottom w:w="0" w:type="dxa"/>
              <w:right w:w="108" w:type="dxa"/>
            </w:tcMar>
          </w:tcPr>
          <w:p w14:paraId="3F574826" w14:textId="77777777" w:rsidR="003527C3" w:rsidRPr="003B6D3A" w:rsidRDefault="003527C3" w:rsidP="00100F0F">
            <w:pPr>
              <w:pStyle w:val="KMC16-TableHeading"/>
              <w:spacing w:before="0" w:after="0"/>
              <w:rPr>
                <w:color w:val="auto"/>
              </w:rPr>
            </w:pPr>
          </w:p>
        </w:tc>
        <w:tc>
          <w:tcPr>
            <w:tcW w:w="602" w:type="pct"/>
            <w:tcBorders>
              <w:left w:val="nil"/>
              <w:right w:val="single" w:sz="4" w:space="0" w:color="auto"/>
            </w:tcBorders>
            <w:shd w:val="clear" w:color="auto" w:fill="auto"/>
            <w:tcMar>
              <w:top w:w="0" w:type="dxa"/>
              <w:left w:w="108" w:type="dxa"/>
              <w:bottom w:w="0" w:type="dxa"/>
              <w:right w:w="108" w:type="dxa"/>
            </w:tcMar>
          </w:tcPr>
          <w:p w14:paraId="1277BD50" w14:textId="77777777" w:rsidR="003527C3" w:rsidRDefault="003527C3" w:rsidP="00100F0F">
            <w:pPr>
              <w:pStyle w:val="KMC16-TableHeading"/>
              <w:spacing w:before="0" w:after="0"/>
              <w:rPr>
                <w:color w:val="auto"/>
              </w:rPr>
            </w:pPr>
          </w:p>
        </w:tc>
      </w:tr>
      <w:tr w:rsidR="00100F0F" w:rsidRPr="003B6D3A" w14:paraId="49CFC9BF" w14:textId="77777777" w:rsidTr="00100F0F">
        <w:trPr>
          <w:trHeight w:val="222"/>
        </w:trPr>
        <w:tc>
          <w:tcPr>
            <w:tcW w:w="1727" w:type="pct"/>
            <w:tcBorders>
              <w:left w:val="single" w:sz="4" w:space="0" w:color="auto"/>
              <w:right w:val="nil"/>
            </w:tcBorders>
            <w:shd w:val="clear" w:color="auto" w:fill="auto"/>
            <w:tcMar>
              <w:top w:w="0" w:type="dxa"/>
              <w:left w:w="108" w:type="dxa"/>
              <w:bottom w:w="0" w:type="dxa"/>
              <w:right w:w="108" w:type="dxa"/>
            </w:tcMar>
          </w:tcPr>
          <w:p w14:paraId="7048B4EC" w14:textId="760442BA" w:rsidR="00CA2E3C" w:rsidRPr="003B6D3A" w:rsidRDefault="00CA2E3C" w:rsidP="00100F0F">
            <w:pPr>
              <w:pStyle w:val="In-tableHeading"/>
            </w:pPr>
            <w:r>
              <w:t>Initial</w:t>
            </w:r>
          </w:p>
        </w:tc>
        <w:tc>
          <w:tcPr>
            <w:tcW w:w="1413" w:type="pct"/>
            <w:tcBorders>
              <w:left w:val="nil"/>
              <w:right w:val="nil"/>
            </w:tcBorders>
          </w:tcPr>
          <w:p w14:paraId="4A85B83E" w14:textId="77777777" w:rsidR="00CA2E3C" w:rsidRPr="003B6D3A" w:rsidRDefault="00CA2E3C" w:rsidP="00100F0F">
            <w:pPr>
              <w:pStyle w:val="KMC16-TableHeading"/>
              <w:spacing w:before="0" w:after="0"/>
              <w:rPr>
                <w:color w:val="auto"/>
              </w:rPr>
            </w:pPr>
          </w:p>
        </w:tc>
        <w:tc>
          <w:tcPr>
            <w:tcW w:w="472" w:type="pct"/>
            <w:tcBorders>
              <w:left w:val="nil"/>
              <w:right w:val="nil"/>
            </w:tcBorders>
            <w:shd w:val="clear" w:color="auto" w:fill="auto"/>
            <w:tcMar>
              <w:top w:w="0" w:type="dxa"/>
              <w:left w:w="108" w:type="dxa"/>
              <w:bottom w:w="0" w:type="dxa"/>
              <w:right w:w="108" w:type="dxa"/>
            </w:tcMar>
          </w:tcPr>
          <w:p w14:paraId="3051A9A9" w14:textId="714DA37C" w:rsidR="00CA2E3C" w:rsidRPr="003B6D3A" w:rsidRDefault="00CA2E3C" w:rsidP="00100F0F">
            <w:pPr>
              <w:pStyle w:val="KMC16-TableHeading"/>
              <w:spacing w:before="0" w:after="0"/>
              <w:rPr>
                <w:color w:val="auto"/>
              </w:rPr>
            </w:pPr>
          </w:p>
        </w:tc>
        <w:tc>
          <w:tcPr>
            <w:tcW w:w="393" w:type="pct"/>
            <w:tcBorders>
              <w:left w:val="nil"/>
              <w:right w:val="nil"/>
            </w:tcBorders>
            <w:shd w:val="clear" w:color="auto" w:fill="auto"/>
            <w:tcMar>
              <w:top w:w="0" w:type="dxa"/>
              <w:left w:w="108" w:type="dxa"/>
              <w:bottom w:w="0" w:type="dxa"/>
              <w:right w:w="108" w:type="dxa"/>
            </w:tcMar>
          </w:tcPr>
          <w:p w14:paraId="47E68FD6" w14:textId="77777777" w:rsidR="00CA2E3C" w:rsidRPr="003B6D3A" w:rsidRDefault="00CA2E3C" w:rsidP="00100F0F">
            <w:pPr>
              <w:pStyle w:val="KMC16-TableHeading"/>
              <w:spacing w:before="0" w:after="0"/>
              <w:rPr>
                <w:color w:val="auto"/>
              </w:rPr>
            </w:pPr>
          </w:p>
        </w:tc>
        <w:tc>
          <w:tcPr>
            <w:tcW w:w="393" w:type="pct"/>
            <w:tcBorders>
              <w:left w:val="nil"/>
              <w:right w:val="nil"/>
            </w:tcBorders>
            <w:shd w:val="clear" w:color="auto" w:fill="auto"/>
            <w:tcMar>
              <w:top w:w="0" w:type="dxa"/>
              <w:left w:w="108" w:type="dxa"/>
              <w:bottom w:w="0" w:type="dxa"/>
              <w:right w:w="108" w:type="dxa"/>
            </w:tcMar>
          </w:tcPr>
          <w:p w14:paraId="7328DD9B" w14:textId="77777777" w:rsidR="00CA2E3C" w:rsidRPr="003B6D3A" w:rsidRDefault="00CA2E3C" w:rsidP="00100F0F">
            <w:pPr>
              <w:pStyle w:val="KMC16-TableHeading"/>
              <w:spacing w:before="0" w:after="0"/>
              <w:rPr>
                <w:color w:val="auto"/>
              </w:rPr>
            </w:pPr>
          </w:p>
        </w:tc>
        <w:tc>
          <w:tcPr>
            <w:tcW w:w="602" w:type="pct"/>
            <w:tcBorders>
              <w:left w:val="nil"/>
              <w:right w:val="single" w:sz="4" w:space="0" w:color="auto"/>
            </w:tcBorders>
            <w:shd w:val="clear" w:color="auto" w:fill="auto"/>
            <w:tcMar>
              <w:top w:w="0" w:type="dxa"/>
              <w:left w:w="108" w:type="dxa"/>
              <w:bottom w:w="0" w:type="dxa"/>
              <w:right w:w="108" w:type="dxa"/>
            </w:tcMar>
          </w:tcPr>
          <w:p w14:paraId="4DD6F05C" w14:textId="77777777" w:rsidR="00CA2E3C" w:rsidRPr="003B6D3A" w:rsidRDefault="00CA2E3C" w:rsidP="00100F0F">
            <w:pPr>
              <w:pStyle w:val="KMC16-TableHeading"/>
              <w:spacing w:before="0" w:after="0"/>
              <w:rPr>
                <w:color w:val="auto"/>
              </w:rPr>
            </w:pPr>
          </w:p>
        </w:tc>
      </w:tr>
      <w:tr w:rsidR="00516DD1" w:rsidRPr="001F6654" w14:paraId="342B2BF3" w14:textId="77777777" w:rsidTr="005B73B3">
        <w:trPr>
          <w:trHeight w:val="510"/>
        </w:trPr>
        <w:tc>
          <w:tcPr>
            <w:tcW w:w="1727" w:type="pct"/>
            <w:tcBorders>
              <w:left w:val="single" w:sz="4" w:space="0" w:color="auto"/>
              <w:right w:val="single" w:sz="4" w:space="0" w:color="auto"/>
            </w:tcBorders>
            <w:tcMar>
              <w:top w:w="0" w:type="dxa"/>
              <w:left w:w="108" w:type="dxa"/>
              <w:bottom w:w="0" w:type="dxa"/>
              <w:right w:w="108" w:type="dxa"/>
            </w:tcMar>
            <w:vAlign w:val="center"/>
          </w:tcPr>
          <w:p w14:paraId="14D2D340" w14:textId="1F11FCC4" w:rsidR="00516DD1" w:rsidRPr="00F93055" w:rsidRDefault="00516DD1" w:rsidP="00100F0F">
            <w:pPr>
              <w:pStyle w:val="KMC16-Tablecontent"/>
              <w:spacing w:before="0" w:after="0"/>
              <w:rPr>
                <w:rStyle w:val="drug-name"/>
              </w:rPr>
            </w:pPr>
            <w:r>
              <w:rPr>
                <w:rStyle w:val="form-strength"/>
                <w:rFonts w:eastAsiaTheme="majorEastAsia"/>
              </w:rPr>
              <w:t>f</w:t>
            </w:r>
            <w:r w:rsidRPr="00F93055">
              <w:rPr>
                <w:rStyle w:val="form-strength"/>
                <w:rFonts w:eastAsiaTheme="majorEastAsia"/>
              </w:rPr>
              <w:t>remanezumab</w:t>
            </w:r>
            <w:r>
              <w:rPr>
                <w:rStyle w:val="form-strength"/>
                <w:rFonts w:eastAsiaTheme="majorEastAsia"/>
              </w:rPr>
              <w:t>,</w:t>
            </w:r>
            <w:r w:rsidRPr="00F93055">
              <w:rPr>
                <w:rStyle w:val="form-strength"/>
                <w:rFonts w:eastAsiaTheme="majorEastAsia"/>
              </w:rPr>
              <w:t xml:space="preserve"> 225 mg</w:t>
            </w:r>
            <w:r>
              <w:rPr>
                <w:rStyle w:val="form-strength"/>
                <w:rFonts w:eastAsiaTheme="majorEastAsia"/>
              </w:rPr>
              <w:t xml:space="preserve">/1.5 mL </w:t>
            </w:r>
            <w:r w:rsidRPr="00F93055">
              <w:rPr>
                <w:rStyle w:val="form-strength"/>
                <w:rFonts w:eastAsiaTheme="majorEastAsia"/>
              </w:rPr>
              <w:t>injection,</w:t>
            </w:r>
            <w:r>
              <w:rPr>
                <w:rStyle w:val="form-strength"/>
                <w:rFonts w:eastAsiaTheme="majorEastAsia"/>
              </w:rPr>
              <w:t>1.5 mL</w:t>
            </w:r>
            <w:r w:rsidRPr="00F93055">
              <w:rPr>
                <w:rStyle w:val="form-strength"/>
                <w:rFonts w:eastAsiaTheme="majorEastAsia"/>
              </w:rPr>
              <w:t xml:space="preserve"> syringe</w:t>
            </w:r>
          </w:p>
        </w:tc>
        <w:tc>
          <w:tcPr>
            <w:tcW w:w="1413" w:type="pct"/>
            <w:vMerge w:val="restart"/>
            <w:tcBorders>
              <w:left w:val="single" w:sz="4" w:space="0" w:color="auto"/>
              <w:right w:val="single" w:sz="4" w:space="0" w:color="auto"/>
            </w:tcBorders>
            <w:vAlign w:val="center"/>
          </w:tcPr>
          <w:p w14:paraId="531832EC" w14:textId="2D59FE91" w:rsidR="00516DD1" w:rsidRPr="004D511B" w:rsidRDefault="00516DD1" w:rsidP="00100F0F">
            <w:pPr>
              <w:pStyle w:val="KMC16-Tablecontent"/>
              <w:spacing w:before="0" w:after="0"/>
              <w:jc w:val="center"/>
            </w:pPr>
            <w:r w:rsidRPr="004D511B">
              <w:t>$559.07 published price</w:t>
            </w:r>
          </w:p>
          <w:p w14:paraId="40FCBA51" w14:textId="79858C16" w:rsidR="00516DD1" w:rsidRPr="004D511B" w:rsidRDefault="00516DD1" w:rsidP="005B73B3">
            <w:pPr>
              <w:pStyle w:val="KMC16-Tablecontent"/>
              <w:spacing w:before="0" w:after="0"/>
              <w:jc w:val="center"/>
            </w:pPr>
            <w:r w:rsidRPr="004D511B">
              <w:t>$</w:t>
            </w:r>
            <w:r w:rsidR="007A29C8" w:rsidRPr="007A29C8">
              <w:rPr>
                <w:shd w:val="solid" w:color="000000" w:fill="000000"/>
                <w14:textFill>
                  <w14:solidFill>
                    <w14:srgbClr w14:val="000000">
                      <w14:alpha w14:val="100000"/>
                    </w14:srgbClr>
                  </w14:solidFill>
                </w14:textFill>
              </w:rPr>
              <w:t>|</w:t>
            </w:r>
            <w:r w:rsidR="006640E4" w:rsidRPr="004D511B">
              <w:rPr>
                <w:iCs/>
              </w:rPr>
              <w:t xml:space="preserve"> </w:t>
            </w:r>
            <w:r w:rsidRPr="004D511B">
              <w:rPr>
                <w:iCs/>
              </w:rPr>
              <w:t>effective price</w:t>
            </w:r>
          </w:p>
        </w:tc>
        <w:tc>
          <w:tcPr>
            <w:tcW w:w="472" w:type="pct"/>
            <w:tcBorders>
              <w:left w:val="single" w:sz="4" w:space="0" w:color="auto"/>
              <w:right w:val="single" w:sz="4" w:space="0" w:color="auto"/>
            </w:tcBorders>
            <w:tcMar>
              <w:top w:w="0" w:type="dxa"/>
              <w:left w:w="108" w:type="dxa"/>
              <w:bottom w:w="0" w:type="dxa"/>
              <w:right w:w="108" w:type="dxa"/>
            </w:tcMar>
            <w:vAlign w:val="center"/>
          </w:tcPr>
          <w:p w14:paraId="2D94DDDB" w14:textId="06FA0775" w:rsidR="00516DD1" w:rsidRPr="00365C15" w:rsidRDefault="00516DD1" w:rsidP="00100F0F">
            <w:pPr>
              <w:pStyle w:val="KMC16-Tablecontent"/>
              <w:spacing w:before="0" w:after="0"/>
              <w:jc w:val="center"/>
            </w:pPr>
            <w:r>
              <w:t>1</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430FE7A9" w14:textId="77777777" w:rsidR="00516DD1" w:rsidRPr="00365C15" w:rsidRDefault="00516DD1" w:rsidP="00100F0F">
            <w:pPr>
              <w:pStyle w:val="KMC16-Tablecontent"/>
              <w:spacing w:before="0" w:after="0"/>
              <w:jc w:val="center"/>
            </w:pPr>
            <w:r>
              <w:t>1</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543714B6" w14:textId="77777777" w:rsidR="00516DD1" w:rsidRPr="00365C15" w:rsidRDefault="00516DD1" w:rsidP="00100F0F">
            <w:pPr>
              <w:pStyle w:val="KMC16-Tablecontent"/>
              <w:spacing w:before="0" w:after="0"/>
              <w:jc w:val="center"/>
            </w:pPr>
            <w:r>
              <w:t>2</w:t>
            </w:r>
          </w:p>
        </w:tc>
        <w:tc>
          <w:tcPr>
            <w:tcW w:w="602" w:type="pct"/>
            <w:vMerge w:val="restart"/>
            <w:tcBorders>
              <w:left w:val="single" w:sz="4" w:space="0" w:color="auto"/>
              <w:right w:val="single" w:sz="4" w:space="0" w:color="auto"/>
            </w:tcBorders>
            <w:tcMar>
              <w:top w:w="0" w:type="dxa"/>
              <w:left w:w="108" w:type="dxa"/>
              <w:bottom w:w="0" w:type="dxa"/>
              <w:right w:w="108" w:type="dxa"/>
            </w:tcMar>
            <w:vAlign w:val="center"/>
          </w:tcPr>
          <w:p w14:paraId="1A07B158" w14:textId="4008D62F" w:rsidR="00516DD1" w:rsidRPr="00365C15" w:rsidRDefault="00516DD1" w:rsidP="005B73B3">
            <w:pPr>
              <w:pStyle w:val="KMC16-Tablecontent"/>
              <w:spacing w:before="0" w:after="0"/>
              <w:jc w:val="center"/>
            </w:pPr>
            <w:r>
              <w:t>Ajovy</w:t>
            </w:r>
          </w:p>
        </w:tc>
      </w:tr>
      <w:tr w:rsidR="00516DD1" w:rsidRPr="001F6654" w14:paraId="711DB80B" w14:textId="77777777" w:rsidTr="00100F0F">
        <w:tc>
          <w:tcPr>
            <w:tcW w:w="1727" w:type="pct"/>
            <w:tcBorders>
              <w:left w:val="single" w:sz="4" w:space="0" w:color="auto"/>
              <w:right w:val="single" w:sz="4" w:space="0" w:color="auto"/>
            </w:tcBorders>
            <w:tcMar>
              <w:top w:w="0" w:type="dxa"/>
              <w:left w:w="108" w:type="dxa"/>
              <w:bottom w:w="0" w:type="dxa"/>
              <w:right w:w="108" w:type="dxa"/>
            </w:tcMar>
            <w:vAlign w:val="center"/>
          </w:tcPr>
          <w:p w14:paraId="350EEEF1" w14:textId="101ABE14" w:rsidR="00516DD1" w:rsidRPr="00F93055" w:rsidRDefault="00516DD1" w:rsidP="00100F0F">
            <w:pPr>
              <w:pStyle w:val="KMC16-Tablecontent"/>
              <w:spacing w:before="0" w:after="0"/>
              <w:rPr>
                <w:rStyle w:val="drug-name"/>
              </w:rPr>
            </w:pPr>
            <w:r>
              <w:rPr>
                <w:rStyle w:val="form-strength"/>
                <w:rFonts w:eastAsiaTheme="majorEastAsia"/>
              </w:rPr>
              <w:t>f</w:t>
            </w:r>
            <w:r w:rsidRPr="00F93055">
              <w:rPr>
                <w:rStyle w:val="form-strength"/>
                <w:rFonts w:eastAsiaTheme="majorEastAsia"/>
              </w:rPr>
              <w:t>remanezumab</w:t>
            </w:r>
            <w:r>
              <w:rPr>
                <w:rStyle w:val="form-strength"/>
                <w:rFonts w:eastAsiaTheme="majorEastAsia"/>
              </w:rPr>
              <w:t>,</w:t>
            </w:r>
            <w:r w:rsidRPr="00F93055">
              <w:rPr>
                <w:rStyle w:val="form-strength"/>
                <w:rFonts w:eastAsiaTheme="majorEastAsia"/>
              </w:rPr>
              <w:t xml:space="preserve"> 225 mg</w:t>
            </w:r>
            <w:r>
              <w:rPr>
                <w:rStyle w:val="form-strength"/>
                <w:rFonts w:eastAsiaTheme="majorEastAsia"/>
              </w:rPr>
              <w:t>/1.5 mL</w:t>
            </w:r>
            <w:r w:rsidRPr="00F93055">
              <w:rPr>
                <w:rStyle w:val="form-strength"/>
                <w:rFonts w:eastAsiaTheme="majorEastAsia"/>
              </w:rPr>
              <w:t xml:space="preserve"> injection</w:t>
            </w:r>
            <w:r>
              <w:rPr>
                <w:rStyle w:val="form-strength"/>
                <w:rFonts w:eastAsiaTheme="majorEastAsia"/>
              </w:rPr>
              <w:t>, 1.5 mL pen device</w:t>
            </w:r>
            <w:r w:rsidR="00DB0E63">
              <w:rPr>
                <w:rStyle w:val="form-strength"/>
                <w:rFonts w:eastAsiaTheme="majorEastAsia"/>
                <w:vertAlign w:val="superscript"/>
              </w:rPr>
              <w:t>a</w:t>
            </w:r>
          </w:p>
        </w:tc>
        <w:tc>
          <w:tcPr>
            <w:tcW w:w="1413" w:type="pct"/>
            <w:vMerge/>
            <w:tcBorders>
              <w:left w:val="single" w:sz="4" w:space="0" w:color="auto"/>
              <w:right w:val="single" w:sz="4" w:space="0" w:color="auto"/>
            </w:tcBorders>
            <w:vAlign w:val="center"/>
          </w:tcPr>
          <w:p w14:paraId="0AFD2F6E" w14:textId="70E41559" w:rsidR="00516DD1" w:rsidRPr="004D511B" w:rsidRDefault="00516DD1" w:rsidP="00516DD1">
            <w:pPr>
              <w:pStyle w:val="KMC16-Tablecontent"/>
              <w:spacing w:before="0" w:after="0"/>
              <w:jc w:val="center"/>
            </w:pPr>
          </w:p>
        </w:tc>
        <w:tc>
          <w:tcPr>
            <w:tcW w:w="472" w:type="pct"/>
            <w:tcBorders>
              <w:left w:val="single" w:sz="4" w:space="0" w:color="auto"/>
              <w:right w:val="single" w:sz="4" w:space="0" w:color="auto"/>
            </w:tcBorders>
            <w:tcMar>
              <w:top w:w="0" w:type="dxa"/>
              <w:left w:w="108" w:type="dxa"/>
              <w:bottom w:w="0" w:type="dxa"/>
              <w:right w:w="108" w:type="dxa"/>
            </w:tcMar>
            <w:vAlign w:val="center"/>
          </w:tcPr>
          <w:p w14:paraId="01A51F81" w14:textId="3A8492B6" w:rsidR="00516DD1" w:rsidRDefault="00516DD1" w:rsidP="00100F0F">
            <w:pPr>
              <w:pStyle w:val="KMC16-Tablecontent"/>
              <w:spacing w:before="0" w:after="0"/>
              <w:jc w:val="center"/>
            </w:pPr>
            <w:r>
              <w:t>1</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36B6420C" w14:textId="77777777" w:rsidR="00516DD1" w:rsidRDefault="00516DD1" w:rsidP="00100F0F">
            <w:pPr>
              <w:pStyle w:val="KMC16-Tablecontent"/>
              <w:spacing w:before="0" w:after="0"/>
              <w:jc w:val="center"/>
            </w:pPr>
            <w:r>
              <w:t>1</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0910AA52" w14:textId="77777777" w:rsidR="00516DD1" w:rsidRDefault="00516DD1" w:rsidP="00100F0F">
            <w:pPr>
              <w:pStyle w:val="KMC16-Tablecontent"/>
              <w:spacing w:before="0" w:after="0"/>
              <w:jc w:val="center"/>
            </w:pPr>
            <w:r>
              <w:t>2</w:t>
            </w:r>
          </w:p>
        </w:tc>
        <w:tc>
          <w:tcPr>
            <w:tcW w:w="602" w:type="pct"/>
            <w:vMerge/>
            <w:tcBorders>
              <w:left w:val="single" w:sz="4" w:space="0" w:color="auto"/>
              <w:right w:val="single" w:sz="4" w:space="0" w:color="auto"/>
            </w:tcBorders>
            <w:tcMar>
              <w:top w:w="0" w:type="dxa"/>
              <w:left w:w="108" w:type="dxa"/>
              <w:bottom w:w="0" w:type="dxa"/>
              <w:right w:w="108" w:type="dxa"/>
            </w:tcMar>
            <w:vAlign w:val="center"/>
          </w:tcPr>
          <w:p w14:paraId="16A91F2D" w14:textId="1DE1C0CC" w:rsidR="00516DD1" w:rsidRPr="00365C15" w:rsidRDefault="00516DD1" w:rsidP="00100F0F">
            <w:pPr>
              <w:pStyle w:val="KMC16-Tablecontent"/>
              <w:spacing w:before="0" w:after="0"/>
              <w:jc w:val="center"/>
            </w:pPr>
          </w:p>
        </w:tc>
      </w:tr>
      <w:tr w:rsidR="00100F0F" w:rsidRPr="001F6654" w14:paraId="38547924" w14:textId="77777777" w:rsidTr="00100F0F">
        <w:trPr>
          <w:trHeight w:val="151"/>
        </w:trPr>
        <w:tc>
          <w:tcPr>
            <w:tcW w:w="1727" w:type="pct"/>
            <w:tcBorders>
              <w:left w:val="single" w:sz="4" w:space="0" w:color="auto"/>
              <w:right w:val="nil"/>
            </w:tcBorders>
            <w:tcMar>
              <w:top w:w="0" w:type="dxa"/>
              <w:left w:w="108" w:type="dxa"/>
              <w:bottom w:w="0" w:type="dxa"/>
              <w:right w:w="108" w:type="dxa"/>
            </w:tcMar>
          </w:tcPr>
          <w:p w14:paraId="6C4D6DC5" w14:textId="18149261" w:rsidR="008033D2" w:rsidRPr="00F93055" w:rsidRDefault="008033D2" w:rsidP="00100F0F">
            <w:pPr>
              <w:pStyle w:val="In-tableHeading"/>
              <w:rPr>
                <w:rStyle w:val="form-strength"/>
              </w:rPr>
            </w:pPr>
            <w:r>
              <w:rPr>
                <w:rStyle w:val="form-strength"/>
              </w:rPr>
              <w:t>Continuing</w:t>
            </w:r>
          </w:p>
        </w:tc>
        <w:tc>
          <w:tcPr>
            <w:tcW w:w="1413" w:type="pct"/>
            <w:tcBorders>
              <w:left w:val="nil"/>
              <w:right w:val="nil"/>
            </w:tcBorders>
          </w:tcPr>
          <w:p w14:paraId="71791C38" w14:textId="77777777" w:rsidR="008033D2" w:rsidRPr="004D511B" w:rsidRDefault="008033D2" w:rsidP="00100F0F">
            <w:pPr>
              <w:pStyle w:val="KMC16-Tablecontent"/>
              <w:spacing w:before="0" w:after="0"/>
            </w:pPr>
          </w:p>
        </w:tc>
        <w:tc>
          <w:tcPr>
            <w:tcW w:w="472" w:type="pct"/>
            <w:tcBorders>
              <w:left w:val="nil"/>
              <w:right w:val="nil"/>
            </w:tcBorders>
            <w:tcMar>
              <w:top w:w="0" w:type="dxa"/>
              <w:left w:w="108" w:type="dxa"/>
              <w:bottom w:w="0" w:type="dxa"/>
              <w:right w:w="108" w:type="dxa"/>
            </w:tcMar>
          </w:tcPr>
          <w:p w14:paraId="4E3C81B6" w14:textId="77777777" w:rsidR="008033D2" w:rsidRDefault="008033D2" w:rsidP="00100F0F">
            <w:pPr>
              <w:pStyle w:val="KMC16-Tablecontent"/>
              <w:spacing w:before="0" w:after="0"/>
            </w:pPr>
          </w:p>
        </w:tc>
        <w:tc>
          <w:tcPr>
            <w:tcW w:w="393" w:type="pct"/>
            <w:tcBorders>
              <w:left w:val="nil"/>
              <w:right w:val="nil"/>
            </w:tcBorders>
            <w:tcMar>
              <w:top w:w="0" w:type="dxa"/>
              <w:left w:w="108" w:type="dxa"/>
              <w:bottom w:w="0" w:type="dxa"/>
              <w:right w:w="108" w:type="dxa"/>
            </w:tcMar>
          </w:tcPr>
          <w:p w14:paraId="0248F637" w14:textId="77777777" w:rsidR="008033D2" w:rsidRDefault="008033D2" w:rsidP="00100F0F">
            <w:pPr>
              <w:pStyle w:val="KMC16-Tablecontent"/>
              <w:spacing w:before="0" w:after="0"/>
            </w:pPr>
          </w:p>
        </w:tc>
        <w:tc>
          <w:tcPr>
            <w:tcW w:w="393" w:type="pct"/>
            <w:tcBorders>
              <w:left w:val="nil"/>
              <w:right w:val="single" w:sz="4" w:space="0" w:color="auto"/>
            </w:tcBorders>
            <w:tcMar>
              <w:top w:w="0" w:type="dxa"/>
              <w:left w:w="108" w:type="dxa"/>
              <w:bottom w:w="0" w:type="dxa"/>
              <w:right w:w="108" w:type="dxa"/>
            </w:tcMar>
          </w:tcPr>
          <w:p w14:paraId="441A6051" w14:textId="77777777" w:rsidR="008033D2" w:rsidRDefault="008033D2" w:rsidP="00100F0F">
            <w:pPr>
              <w:pStyle w:val="KMC16-Tablecontent"/>
              <w:spacing w:before="0" w:after="0"/>
            </w:pPr>
          </w:p>
        </w:tc>
        <w:tc>
          <w:tcPr>
            <w:tcW w:w="602" w:type="pct"/>
            <w:vMerge/>
            <w:tcBorders>
              <w:left w:val="single" w:sz="4" w:space="0" w:color="auto"/>
              <w:right w:val="single" w:sz="4" w:space="0" w:color="auto"/>
            </w:tcBorders>
            <w:tcMar>
              <w:top w:w="0" w:type="dxa"/>
              <w:left w:w="108" w:type="dxa"/>
              <w:bottom w:w="0" w:type="dxa"/>
              <w:right w:w="108" w:type="dxa"/>
            </w:tcMar>
          </w:tcPr>
          <w:p w14:paraId="42EDD014" w14:textId="53D19670" w:rsidR="008033D2" w:rsidRPr="00365C15" w:rsidRDefault="008033D2" w:rsidP="00100F0F">
            <w:pPr>
              <w:pStyle w:val="KMC16-Tablecontent"/>
              <w:spacing w:before="0" w:after="0"/>
              <w:jc w:val="center"/>
            </w:pPr>
          </w:p>
        </w:tc>
      </w:tr>
      <w:tr w:rsidR="00516DD1" w:rsidRPr="001F6654" w14:paraId="70D3DF41" w14:textId="77777777" w:rsidTr="005B73B3">
        <w:tc>
          <w:tcPr>
            <w:tcW w:w="1727" w:type="pct"/>
            <w:tcBorders>
              <w:left w:val="single" w:sz="4" w:space="0" w:color="auto"/>
              <w:right w:val="single" w:sz="4" w:space="0" w:color="auto"/>
            </w:tcBorders>
            <w:tcMar>
              <w:top w:w="0" w:type="dxa"/>
              <w:left w:w="108" w:type="dxa"/>
              <w:bottom w:w="0" w:type="dxa"/>
              <w:right w:w="108" w:type="dxa"/>
            </w:tcMar>
          </w:tcPr>
          <w:p w14:paraId="0D8ADD87" w14:textId="43D87F15" w:rsidR="00516DD1" w:rsidRPr="00F93055" w:rsidRDefault="00516DD1" w:rsidP="00CC7A8B">
            <w:pPr>
              <w:pStyle w:val="KMC16-Tablecontent"/>
              <w:spacing w:before="0" w:after="0"/>
              <w:rPr>
                <w:rStyle w:val="drug-name"/>
              </w:rPr>
            </w:pPr>
            <w:r>
              <w:rPr>
                <w:rStyle w:val="form-strength"/>
                <w:rFonts w:eastAsiaTheme="majorEastAsia"/>
              </w:rPr>
              <w:t>f</w:t>
            </w:r>
            <w:r w:rsidRPr="00F93055">
              <w:rPr>
                <w:rStyle w:val="form-strength"/>
                <w:rFonts w:eastAsiaTheme="majorEastAsia"/>
              </w:rPr>
              <w:t>remanezumab</w:t>
            </w:r>
            <w:r>
              <w:rPr>
                <w:rStyle w:val="form-strength"/>
                <w:rFonts w:eastAsiaTheme="majorEastAsia"/>
              </w:rPr>
              <w:t>,</w:t>
            </w:r>
            <w:r w:rsidRPr="00F93055">
              <w:rPr>
                <w:rStyle w:val="form-strength"/>
                <w:rFonts w:eastAsiaTheme="majorEastAsia"/>
              </w:rPr>
              <w:t xml:space="preserve"> 225 mg</w:t>
            </w:r>
            <w:r>
              <w:rPr>
                <w:rStyle w:val="form-strength"/>
                <w:rFonts w:eastAsiaTheme="majorEastAsia"/>
              </w:rPr>
              <w:t xml:space="preserve">/1.5 mL </w:t>
            </w:r>
            <w:r w:rsidRPr="00F93055">
              <w:rPr>
                <w:rStyle w:val="form-strength"/>
                <w:rFonts w:eastAsiaTheme="majorEastAsia"/>
              </w:rPr>
              <w:t xml:space="preserve">injection, </w:t>
            </w:r>
            <w:r>
              <w:rPr>
                <w:rStyle w:val="form-strength"/>
                <w:rFonts w:eastAsiaTheme="majorEastAsia"/>
              </w:rPr>
              <w:t>1.5 mL</w:t>
            </w:r>
            <w:r w:rsidR="00394CD0">
              <w:rPr>
                <w:rStyle w:val="form-strength"/>
                <w:rFonts w:eastAsiaTheme="majorEastAsia"/>
              </w:rPr>
              <w:t xml:space="preserve"> </w:t>
            </w:r>
            <w:r w:rsidRPr="00F93055">
              <w:rPr>
                <w:rStyle w:val="form-strength"/>
                <w:rFonts w:eastAsiaTheme="majorEastAsia"/>
              </w:rPr>
              <w:t>syringe</w:t>
            </w:r>
            <w:r w:rsidRPr="00F93055">
              <w:t> </w:t>
            </w:r>
          </w:p>
        </w:tc>
        <w:tc>
          <w:tcPr>
            <w:tcW w:w="1413" w:type="pct"/>
            <w:vMerge w:val="restart"/>
            <w:tcBorders>
              <w:left w:val="single" w:sz="4" w:space="0" w:color="auto"/>
              <w:right w:val="single" w:sz="4" w:space="0" w:color="auto"/>
            </w:tcBorders>
            <w:vAlign w:val="center"/>
          </w:tcPr>
          <w:p w14:paraId="1B27B27D" w14:textId="7C8D5967" w:rsidR="00516DD1" w:rsidRPr="004D511B" w:rsidRDefault="00516DD1" w:rsidP="005B73B3">
            <w:pPr>
              <w:pStyle w:val="KMC16-Tablecontent"/>
              <w:spacing w:before="0" w:after="0"/>
              <w:jc w:val="center"/>
              <w:rPr>
                <w:vertAlign w:val="superscript"/>
              </w:rPr>
            </w:pPr>
            <w:r w:rsidRPr="004D511B">
              <w:t>$1603.93</w:t>
            </w:r>
            <w:r w:rsidR="002D73B1" w:rsidRPr="004D511B">
              <w:t xml:space="preserve"> </w:t>
            </w:r>
            <w:r w:rsidRPr="004D511B">
              <w:t>published price</w:t>
            </w:r>
          </w:p>
          <w:p w14:paraId="67739141" w14:textId="4503B1C9" w:rsidR="00516DD1" w:rsidRPr="004D511B" w:rsidRDefault="00516DD1" w:rsidP="005B73B3">
            <w:pPr>
              <w:pStyle w:val="KMC16-Tablecontent"/>
              <w:spacing w:before="0" w:after="0"/>
              <w:jc w:val="center"/>
              <w:rPr>
                <w:i/>
                <w:iCs/>
              </w:rPr>
            </w:pPr>
            <w:r w:rsidRPr="004D511B">
              <w:t>$</w:t>
            </w:r>
            <w:r w:rsidR="007A29C8" w:rsidRPr="007A29C8">
              <w:rPr>
                <w:shd w:val="solid" w:color="000000" w:fill="000000"/>
                <w14:textFill>
                  <w14:solidFill>
                    <w14:srgbClr w14:val="000000">
                      <w14:alpha w14:val="100000"/>
                    </w14:srgbClr>
                  </w14:solidFill>
                </w14:textFill>
              </w:rPr>
              <w:t>|</w:t>
            </w:r>
            <w:r w:rsidRPr="004D511B">
              <w:rPr>
                <w:iCs/>
              </w:rPr>
              <w:t xml:space="preserve"> </w:t>
            </w:r>
            <w:r w:rsidRPr="004D511B">
              <w:t>effective price</w:t>
            </w:r>
          </w:p>
        </w:tc>
        <w:tc>
          <w:tcPr>
            <w:tcW w:w="472" w:type="pct"/>
            <w:tcBorders>
              <w:left w:val="single" w:sz="4" w:space="0" w:color="auto"/>
              <w:right w:val="single" w:sz="4" w:space="0" w:color="auto"/>
            </w:tcBorders>
            <w:tcMar>
              <w:top w:w="0" w:type="dxa"/>
              <w:left w:w="108" w:type="dxa"/>
              <w:bottom w:w="0" w:type="dxa"/>
              <w:right w:w="108" w:type="dxa"/>
            </w:tcMar>
            <w:vAlign w:val="center"/>
          </w:tcPr>
          <w:p w14:paraId="64B56E50" w14:textId="75E87FC2" w:rsidR="00516DD1" w:rsidRPr="00507724" w:rsidRDefault="00516DD1" w:rsidP="005B73B3">
            <w:pPr>
              <w:pStyle w:val="KMC16-Tablecontent"/>
              <w:spacing w:before="0" w:after="0"/>
              <w:jc w:val="center"/>
            </w:pPr>
            <w:r>
              <w:t>3</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1F55DE96" w14:textId="2E90323E" w:rsidR="00516DD1" w:rsidRPr="00507724" w:rsidRDefault="00516DD1" w:rsidP="005B73B3">
            <w:pPr>
              <w:pStyle w:val="KMC16-Tablecontent"/>
              <w:spacing w:before="0" w:after="0"/>
              <w:jc w:val="center"/>
            </w:pPr>
            <w:r>
              <w:t>3</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3C48ED12" w14:textId="0CADA253" w:rsidR="00516DD1" w:rsidRPr="00507724" w:rsidRDefault="00516DD1" w:rsidP="005B73B3">
            <w:pPr>
              <w:pStyle w:val="KMC16-Tablecontent"/>
              <w:spacing w:before="0" w:after="0"/>
              <w:jc w:val="center"/>
            </w:pPr>
            <w:r>
              <w:t>1</w:t>
            </w:r>
          </w:p>
        </w:tc>
        <w:tc>
          <w:tcPr>
            <w:tcW w:w="602" w:type="pct"/>
            <w:vMerge/>
            <w:tcBorders>
              <w:left w:val="single" w:sz="4" w:space="0" w:color="auto"/>
              <w:right w:val="single" w:sz="4" w:space="0" w:color="auto"/>
            </w:tcBorders>
            <w:tcMar>
              <w:top w:w="0" w:type="dxa"/>
              <w:left w:w="108" w:type="dxa"/>
              <w:bottom w:w="0" w:type="dxa"/>
              <w:right w:w="108" w:type="dxa"/>
            </w:tcMar>
            <w:vAlign w:val="center"/>
          </w:tcPr>
          <w:p w14:paraId="0C8BF8C9" w14:textId="2D4748B2" w:rsidR="00516DD1" w:rsidRPr="00365C15" w:rsidRDefault="00516DD1" w:rsidP="00100F0F">
            <w:pPr>
              <w:pStyle w:val="KMC16-Tablecontent"/>
              <w:spacing w:before="0" w:after="0"/>
              <w:jc w:val="center"/>
            </w:pPr>
          </w:p>
        </w:tc>
      </w:tr>
      <w:tr w:rsidR="00516DD1" w:rsidRPr="001F6654" w14:paraId="06560F1F" w14:textId="77777777" w:rsidTr="008E117C">
        <w:tc>
          <w:tcPr>
            <w:tcW w:w="1727" w:type="pct"/>
            <w:tcBorders>
              <w:right w:val="single" w:sz="4" w:space="0" w:color="auto"/>
            </w:tcBorders>
            <w:tcMar>
              <w:top w:w="0" w:type="dxa"/>
              <w:left w:w="108" w:type="dxa"/>
              <w:bottom w:w="0" w:type="dxa"/>
              <w:right w:w="108" w:type="dxa"/>
            </w:tcMar>
            <w:vAlign w:val="center"/>
          </w:tcPr>
          <w:p w14:paraId="32D661FE" w14:textId="5CD6752D" w:rsidR="00516DD1" w:rsidRPr="00F93055" w:rsidRDefault="00516DD1" w:rsidP="00100F0F">
            <w:pPr>
              <w:pStyle w:val="KMC16-Tablecontent"/>
              <w:spacing w:before="0" w:after="0"/>
            </w:pPr>
            <w:r>
              <w:rPr>
                <w:rStyle w:val="form-strength"/>
                <w:rFonts w:eastAsiaTheme="majorEastAsia"/>
              </w:rPr>
              <w:t>f</w:t>
            </w:r>
            <w:r w:rsidRPr="00F93055">
              <w:rPr>
                <w:rStyle w:val="form-strength"/>
                <w:rFonts w:eastAsiaTheme="majorEastAsia"/>
              </w:rPr>
              <w:t>remanezumab</w:t>
            </w:r>
            <w:r>
              <w:rPr>
                <w:rStyle w:val="form-strength"/>
                <w:rFonts w:eastAsiaTheme="majorEastAsia"/>
              </w:rPr>
              <w:t>,</w:t>
            </w:r>
            <w:r w:rsidRPr="00F93055">
              <w:rPr>
                <w:rStyle w:val="form-strength"/>
                <w:rFonts w:eastAsiaTheme="majorEastAsia"/>
              </w:rPr>
              <w:t xml:space="preserve"> 225 mg</w:t>
            </w:r>
            <w:r>
              <w:rPr>
                <w:rStyle w:val="form-strength"/>
                <w:rFonts w:eastAsiaTheme="majorEastAsia"/>
              </w:rPr>
              <w:t xml:space="preserve">/1.5 mL </w:t>
            </w:r>
            <w:r w:rsidRPr="00F93055">
              <w:rPr>
                <w:rStyle w:val="form-strength"/>
                <w:rFonts w:eastAsiaTheme="majorEastAsia"/>
              </w:rPr>
              <w:t>injection</w:t>
            </w:r>
            <w:r>
              <w:rPr>
                <w:rStyle w:val="form-strength"/>
                <w:rFonts w:eastAsiaTheme="majorEastAsia"/>
              </w:rPr>
              <w:t>,1.5 mL pen device</w:t>
            </w:r>
            <w:r w:rsidR="00DB0E63">
              <w:rPr>
                <w:rStyle w:val="form-strength"/>
                <w:rFonts w:eastAsiaTheme="majorEastAsia"/>
                <w:vertAlign w:val="superscript"/>
              </w:rPr>
              <w:t>a</w:t>
            </w:r>
          </w:p>
        </w:tc>
        <w:tc>
          <w:tcPr>
            <w:tcW w:w="1413" w:type="pct"/>
            <w:vMerge/>
            <w:tcBorders>
              <w:left w:val="single" w:sz="4" w:space="0" w:color="auto"/>
              <w:right w:val="single" w:sz="4" w:space="0" w:color="auto"/>
            </w:tcBorders>
            <w:vAlign w:val="center"/>
          </w:tcPr>
          <w:p w14:paraId="09E28CA8" w14:textId="5EAB90D0" w:rsidR="00516DD1" w:rsidRDefault="00516DD1" w:rsidP="00100F0F">
            <w:pPr>
              <w:pStyle w:val="KMC16-Tablecontent"/>
              <w:spacing w:before="0" w:after="0"/>
              <w:jc w:val="center"/>
            </w:pPr>
          </w:p>
        </w:tc>
        <w:tc>
          <w:tcPr>
            <w:tcW w:w="472" w:type="pct"/>
            <w:tcBorders>
              <w:left w:val="single" w:sz="4" w:space="0" w:color="auto"/>
              <w:right w:val="single" w:sz="4" w:space="0" w:color="auto"/>
            </w:tcBorders>
            <w:tcMar>
              <w:top w:w="0" w:type="dxa"/>
              <w:left w:w="108" w:type="dxa"/>
              <w:bottom w:w="0" w:type="dxa"/>
              <w:right w:w="108" w:type="dxa"/>
            </w:tcMar>
            <w:vAlign w:val="center"/>
          </w:tcPr>
          <w:p w14:paraId="15D1A809" w14:textId="57985430" w:rsidR="00516DD1" w:rsidRPr="00365C15" w:rsidRDefault="00516DD1" w:rsidP="00100F0F">
            <w:pPr>
              <w:pStyle w:val="KMC16-Tablecontent"/>
              <w:spacing w:before="0" w:after="0"/>
              <w:jc w:val="center"/>
            </w:pPr>
            <w:r>
              <w:t>3</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27281C9D" w14:textId="77777777" w:rsidR="00516DD1" w:rsidRPr="00365C15" w:rsidRDefault="00516DD1" w:rsidP="00100F0F">
            <w:pPr>
              <w:pStyle w:val="KMC16-Tablecontent"/>
              <w:spacing w:before="0" w:after="0"/>
              <w:jc w:val="center"/>
            </w:pPr>
            <w:r>
              <w:t>3</w:t>
            </w:r>
          </w:p>
        </w:tc>
        <w:tc>
          <w:tcPr>
            <w:tcW w:w="393" w:type="pct"/>
            <w:tcBorders>
              <w:left w:val="single" w:sz="4" w:space="0" w:color="auto"/>
              <w:right w:val="single" w:sz="4" w:space="0" w:color="auto"/>
            </w:tcBorders>
            <w:tcMar>
              <w:top w:w="0" w:type="dxa"/>
              <w:left w:w="108" w:type="dxa"/>
              <w:bottom w:w="0" w:type="dxa"/>
              <w:right w:w="108" w:type="dxa"/>
            </w:tcMar>
            <w:vAlign w:val="center"/>
          </w:tcPr>
          <w:p w14:paraId="48DE877B" w14:textId="77777777" w:rsidR="00516DD1" w:rsidRPr="00365C15" w:rsidRDefault="00516DD1" w:rsidP="00100F0F">
            <w:pPr>
              <w:pStyle w:val="KMC16-Tablecontent"/>
              <w:spacing w:before="0" w:after="0"/>
              <w:jc w:val="center"/>
            </w:pPr>
            <w:r>
              <w:t>1</w:t>
            </w:r>
          </w:p>
        </w:tc>
        <w:tc>
          <w:tcPr>
            <w:tcW w:w="602" w:type="pct"/>
            <w:vMerge/>
            <w:tcBorders>
              <w:left w:val="single" w:sz="4" w:space="0" w:color="auto"/>
              <w:right w:val="single" w:sz="4" w:space="0" w:color="auto"/>
            </w:tcBorders>
            <w:tcMar>
              <w:top w:w="0" w:type="dxa"/>
              <w:left w:w="108" w:type="dxa"/>
              <w:bottom w:w="0" w:type="dxa"/>
              <w:right w:w="108" w:type="dxa"/>
            </w:tcMar>
            <w:vAlign w:val="center"/>
          </w:tcPr>
          <w:p w14:paraId="5776DF01" w14:textId="07507299" w:rsidR="00516DD1" w:rsidRPr="00365C15" w:rsidRDefault="00516DD1" w:rsidP="00100F0F">
            <w:pPr>
              <w:pStyle w:val="KMC16-Tablecontent"/>
              <w:spacing w:before="0" w:after="0"/>
              <w:jc w:val="center"/>
            </w:pPr>
          </w:p>
        </w:tc>
      </w:tr>
      <w:tr w:rsidR="00DB0E63" w:rsidRPr="001F6654" w14:paraId="70AB32B7" w14:textId="77777777" w:rsidTr="005B73B3">
        <w:trPr>
          <w:trHeight w:val="454"/>
        </w:trPr>
        <w:tc>
          <w:tcPr>
            <w:tcW w:w="5000" w:type="pct"/>
            <w:gridSpan w:val="6"/>
            <w:tcBorders>
              <w:right w:val="single" w:sz="4" w:space="0" w:color="auto"/>
            </w:tcBorders>
            <w:tcMar>
              <w:top w:w="0" w:type="dxa"/>
              <w:left w:w="108" w:type="dxa"/>
              <w:bottom w:w="0" w:type="dxa"/>
              <w:right w:w="108" w:type="dxa"/>
            </w:tcMar>
            <w:vAlign w:val="center"/>
          </w:tcPr>
          <w:p w14:paraId="71C3694A" w14:textId="0DB37ACB" w:rsidR="00DB0E63" w:rsidRPr="00365C15" w:rsidRDefault="00DB0E63" w:rsidP="005B73B3">
            <w:pPr>
              <w:pStyle w:val="TableFigureFooter"/>
              <w:spacing w:after="0"/>
            </w:pPr>
            <w:r w:rsidRPr="00277996">
              <w:rPr>
                <w:iCs/>
                <w:vertAlign w:val="superscript"/>
              </w:rPr>
              <w:t xml:space="preserve">a </w:t>
            </w:r>
            <w:proofErr w:type="gramStart"/>
            <w:r w:rsidRPr="00277996">
              <w:rPr>
                <w:iCs/>
              </w:rPr>
              <w:t>The</w:t>
            </w:r>
            <w:proofErr w:type="gramEnd"/>
            <w:r w:rsidRPr="00277996">
              <w:rPr>
                <w:iCs/>
              </w:rPr>
              <w:t xml:space="preserve"> application </w:t>
            </w:r>
            <w:r w:rsidR="00394CD0">
              <w:rPr>
                <w:iCs/>
              </w:rPr>
              <w:t xml:space="preserve">for </w:t>
            </w:r>
            <w:r w:rsidRPr="00277996">
              <w:rPr>
                <w:iCs/>
              </w:rPr>
              <w:t>quarterly doses w</w:t>
            </w:r>
            <w:r w:rsidR="00583362">
              <w:rPr>
                <w:iCs/>
              </w:rPr>
              <w:t>as</w:t>
            </w:r>
            <w:r w:rsidRPr="00277996">
              <w:rPr>
                <w:iCs/>
              </w:rPr>
              <w:t xml:space="preserve"> recommended </w:t>
            </w:r>
            <w:r w:rsidR="00583362">
              <w:rPr>
                <w:iCs/>
              </w:rPr>
              <w:t>at</w:t>
            </w:r>
            <w:r w:rsidRPr="00277996">
              <w:rPr>
                <w:iCs/>
              </w:rPr>
              <w:t xml:space="preserve"> the March 2022 PBAC meeting, but </w:t>
            </w:r>
            <w:r w:rsidR="00700C3C">
              <w:rPr>
                <w:iCs/>
              </w:rPr>
              <w:t xml:space="preserve">was </w:t>
            </w:r>
            <w:r w:rsidRPr="00277996">
              <w:rPr>
                <w:iCs/>
              </w:rPr>
              <w:t>not PBS listed</w:t>
            </w:r>
            <w:r w:rsidR="00700C3C">
              <w:rPr>
                <w:iCs/>
              </w:rPr>
              <w:t xml:space="preserve"> at the time of PBAC consideration</w:t>
            </w:r>
            <w:r w:rsidRPr="00277996">
              <w:rPr>
                <w:iCs/>
              </w:rPr>
              <w:t>.</w:t>
            </w:r>
          </w:p>
        </w:tc>
      </w:tr>
    </w:tbl>
    <w:p w14:paraId="5BB41DB2" w14:textId="77777777" w:rsidR="00A25156" w:rsidRDefault="00A25156" w:rsidP="00DC20EF">
      <w:pPr>
        <w:jc w:val="left"/>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72BFB" w14:paraId="0409B506"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C9DEF9A" w14:textId="77777777" w:rsidR="00C72BFB" w:rsidRDefault="00C72BFB" w:rsidP="00BE12C1">
            <w:pPr>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GENERAL – General Schedule (Code GE)</w:t>
            </w:r>
            <w:r>
              <w:rPr>
                <w:rFonts w:ascii="Arial Narrow" w:hAnsi="Arial Narrow"/>
                <w:color w:val="FF0000"/>
                <w:sz w:val="20"/>
                <w:szCs w:val="20"/>
              </w:rPr>
              <w:t xml:space="preserve"> </w:t>
            </w:r>
          </w:p>
          <w:p w14:paraId="01FDE368" w14:textId="77777777" w:rsidR="00C72BFB" w:rsidRDefault="00C72BFB" w:rsidP="00BE12C1">
            <w:pPr>
              <w:rPr>
                <w:rFonts w:ascii="Arial Narrow" w:hAnsi="Arial Narrow"/>
                <w:sz w:val="20"/>
                <w:szCs w:val="20"/>
              </w:rPr>
            </w:pPr>
          </w:p>
        </w:tc>
      </w:tr>
      <w:tr w:rsidR="00C72BFB" w14:paraId="52694616" w14:textId="77777777" w:rsidTr="00626DAB">
        <w:trPr>
          <w:trHeight w:val="240"/>
        </w:trPr>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372490E" w14:textId="77777777" w:rsidR="00C72BFB" w:rsidRDefault="00C72BFB" w:rsidP="00BE12C1">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C72BFB" w14:paraId="004ED071"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BB2AACA" w14:textId="77777777" w:rsidR="00C72BFB" w:rsidRDefault="00C72BFB" w:rsidP="00BE12C1">
            <w:pPr>
              <w:rPr>
                <w:rFonts w:ascii="Arial Narrow" w:hAnsi="Arial Narrow"/>
                <w:b/>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Authority Required (Streamlined)</w:t>
            </w:r>
            <w:r>
              <w:rPr>
                <w:rFonts w:ascii="Arial Narrow" w:eastAsia="Calibri" w:hAnsi="Arial Narrow"/>
                <w:i/>
                <w:sz w:val="20"/>
                <w:szCs w:val="20"/>
              </w:rPr>
              <w:t xml:space="preserve"> [amendment to existing code]</w:t>
            </w:r>
          </w:p>
        </w:tc>
      </w:tr>
      <w:tr w:rsidR="00C72BFB" w14:paraId="62E10AAE"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9F3658" w14:textId="77777777" w:rsidR="00C72BFB" w:rsidRDefault="00C72BFB" w:rsidP="00BE12C1">
            <w:pPr>
              <w:rPr>
                <w:rFonts w:ascii="Arial Narrow" w:hAnsi="Arial Narrow"/>
                <w:color w:val="333333"/>
                <w:sz w:val="20"/>
                <w:szCs w:val="20"/>
              </w:rPr>
            </w:pPr>
            <w:r>
              <w:rPr>
                <w:rFonts w:ascii="Arial Narrow" w:hAnsi="Arial Narrow"/>
                <w:b/>
                <w:bCs/>
                <w:color w:val="333333"/>
                <w:sz w:val="20"/>
                <w:szCs w:val="20"/>
              </w:rPr>
              <w:t>Administrative Advice:</w:t>
            </w:r>
          </w:p>
          <w:p w14:paraId="78F4D01E" w14:textId="77777777" w:rsidR="00C72BFB" w:rsidRDefault="00C72BFB" w:rsidP="00BE12C1">
            <w:pPr>
              <w:rPr>
                <w:rFonts w:ascii="Arial Narrow" w:hAnsi="Arial Narrow"/>
                <w:color w:val="333333"/>
                <w:sz w:val="20"/>
                <w:szCs w:val="20"/>
              </w:rPr>
            </w:pPr>
            <w:r>
              <w:rPr>
                <w:rFonts w:ascii="Arial Narrow" w:eastAsia="Calibri" w:hAnsi="Arial Narrow"/>
                <w:sz w:val="20"/>
                <w:szCs w:val="20"/>
              </w:rPr>
              <w:t>No increase in the maximum quantity or number of units may be authorised.</w:t>
            </w:r>
          </w:p>
        </w:tc>
      </w:tr>
      <w:tr w:rsidR="00C72BFB" w14:paraId="00365B4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6391BF" w14:textId="77777777" w:rsidR="00C72BFB" w:rsidRDefault="00C72BFB" w:rsidP="00BE12C1">
            <w:pPr>
              <w:rPr>
                <w:rFonts w:ascii="Open Sans" w:eastAsiaTheme="minorHAnsi" w:hAnsi="Open Sans"/>
                <w:color w:val="333333"/>
                <w:sz w:val="20"/>
                <w:szCs w:val="20"/>
                <w:lang w:eastAsia="en-US"/>
              </w:rPr>
            </w:pPr>
            <w:r>
              <w:rPr>
                <w:rFonts w:ascii="Arial Narrow" w:hAnsi="Arial Narrow"/>
                <w:b/>
                <w:bCs/>
                <w:color w:val="333333"/>
                <w:sz w:val="20"/>
                <w:szCs w:val="20"/>
              </w:rPr>
              <w:t>Administrative Advice</w:t>
            </w:r>
          </w:p>
          <w:p w14:paraId="7CDB32BC" w14:textId="77777777" w:rsidR="00C72BFB" w:rsidRDefault="00C72BFB" w:rsidP="00BE12C1">
            <w:pPr>
              <w:rPr>
                <w:rFonts w:ascii="Arial Narrow" w:eastAsia="Calibri" w:hAnsi="Arial Narrow"/>
                <w:sz w:val="20"/>
                <w:szCs w:val="20"/>
              </w:rPr>
            </w:pPr>
            <w:r>
              <w:rPr>
                <w:rFonts w:ascii="Arial Narrow" w:eastAsia="Calibri" w:hAnsi="Arial Narrow"/>
                <w:sz w:val="20"/>
                <w:szCs w:val="20"/>
              </w:rPr>
              <w:t>No increase in the maximum number of repeats may be authorised.</w:t>
            </w:r>
          </w:p>
        </w:tc>
      </w:tr>
      <w:tr w:rsidR="00C72BFB" w14:paraId="57AB715A"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5935F8"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lastRenderedPageBreak/>
              <w:t>Administrative Advice:</w:t>
            </w:r>
          </w:p>
          <w:p w14:paraId="39785040" w14:textId="77777777" w:rsidR="00C72BFB" w:rsidRDefault="00C72BFB" w:rsidP="00BE12C1">
            <w:pPr>
              <w:rPr>
                <w:rFonts w:ascii="Arial Narrow" w:hAnsi="Arial Narrow"/>
                <w:bCs/>
                <w:color w:val="333333"/>
                <w:sz w:val="20"/>
                <w:szCs w:val="20"/>
              </w:rPr>
            </w:pPr>
            <w:r>
              <w:rPr>
                <w:rFonts w:ascii="Arial Narrow" w:eastAsia="Calibri" w:hAnsi="Arial Narrow"/>
                <w:sz w:val="20"/>
                <w:szCs w:val="20"/>
              </w:rPr>
              <w:t>Special Pricing Arrangements apply.</w:t>
            </w:r>
          </w:p>
        </w:tc>
      </w:tr>
      <w:tr w:rsidR="00C72BFB" w14:paraId="173105E5"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287C2F" w14:textId="77777777" w:rsidR="00C72BFB" w:rsidRDefault="00C72BFB" w:rsidP="00BE12C1">
            <w:pPr>
              <w:rPr>
                <w:rFonts w:ascii="Arial Narrow" w:hAnsi="Arial Narrow"/>
                <w:b/>
                <w:bCs/>
                <w:strike/>
                <w:color w:val="333333"/>
                <w:sz w:val="20"/>
                <w:szCs w:val="20"/>
              </w:rPr>
            </w:pPr>
            <w:r>
              <w:rPr>
                <w:rFonts w:ascii="Arial Narrow" w:hAnsi="Arial Narrow"/>
                <w:b/>
                <w:bCs/>
                <w:strike/>
                <w:color w:val="333333"/>
                <w:sz w:val="20"/>
                <w:szCs w:val="20"/>
              </w:rPr>
              <w:t>Episodicity: -</w:t>
            </w:r>
          </w:p>
        </w:tc>
      </w:tr>
      <w:tr w:rsidR="00C72BFB" w14:paraId="1AB847FD"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BBEE78" w14:textId="77777777" w:rsidR="00C72BFB" w:rsidRDefault="00C72BFB" w:rsidP="00BE12C1">
            <w:pPr>
              <w:rPr>
                <w:rFonts w:ascii="Arial Narrow" w:hAnsi="Arial Narrow"/>
                <w:b/>
                <w:bCs/>
                <w:strike/>
                <w:color w:val="333333"/>
                <w:sz w:val="20"/>
                <w:szCs w:val="20"/>
              </w:rPr>
            </w:pPr>
            <w:r>
              <w:rPr>
                <w:rFonts w:ascii="Arial Narrow" w:hAnsi="Arial Narrow"/>
                <w:b/>
                <w:bCs/>
                <w:strike/>
                <w:color w:val="333333"/>
                <w:sz w:val="20"/>
                <w:szCs w:val="20"/>
              </w:rPr>
              <w:t xml:space="preserve">Severity: </w:t>
            </w:r>
            <w:r>
              <w:rPr>
                <w:rFonts w:ascii="Arial Narrow" w:hAnsi="Arial Narrow"/>
                <w:strike/>
                <w:color w:val="333333"/>
                <w:sz w:val="20"/>
                <w:szCs w:val="20"/>
              </w:rPr>
              <w:t>Chronic and High Frequency Episodic Migraine</w:t>
            </w:r>
          </w:p>
        </w:tc>
      </w:tr>
      <w:tr w:rsidR="00C72BFB" w14:paraId="0262B30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AE78F2" w14:textId="77777777" w:rsidR="00C72BFB" w:rsidRDefault="00C72BFB" w:rsidP="00BE12C1">
            <w:pPr>
              <w:rPr>
                <w:rFonts w:ascii="Arial Narrow" w:hAnsi="Arial Narrow"/>
                <w:strike/>
                <w:color w:val="333333"/>
                <w:sz w:val="20"/>
                <w:szCs w:val="20"/>
              </w:rPr>
            </w:pPr>
            <w:r>
              <w:rPr>
                <w:rFonts w:ascii="Arial Narrow" w:hAnsi="Arial Narrow"/>
                <w:b/>
                <w:bCs/>
                <w:strike/>
                <w:color w:val="333333"/>
                <w:sz w:val="20"/>
                <w:szCs w:val="20"/>
              </w:rPr>
              <w:t>Condition:</w:t>
            </w:r>
            <w:r>
              <w:rPr>
                <w:rFonts w:ascii="Arial Narrow" w:hAnsi="Arial Narrow"/>
                <w:strike/>
                <w:color w:val="333333"/>
                <w:sz w:val="20"/>
                <w:szCs w:val="20"/>
              </w:rPr>
              <w:t xml:space="preserve"> Migraine</w:t>
            </w:r>
          </w:p>
        </w:tc>
      </w:tr>
      <w:tr w:rsidR="00C72BFB" w14:paraId="0F7F875B"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716012" w14:textId="77777777" w:rsidR="00C72BFB" w:rsidRDefault="00C72BFB" w:rsidP="00BE12C1">
            <w:pPr>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w:t>
            </w:r>
            <w:r>
              <w:rPr>
                <w:rFonts w:ascii="Arial Narrow" w:hAnsi="Arial Narrow"/>
                <w:i/>
                <w:iCs/>
                <w:color w:val="333333"/>
                <w:sz w:val="20"/>
                <w:szCs w:val="20"/>
              </w:rPr>
              <w:t xml:space="preserve">Treatment-resistant </w:t>
            </w:r>
            <w:r>
              <w:rPr>
                <w:rFonts w:ascii="Arial Narrow" w:hAnsi="Arial Narrow"/>
                <w:color w:val="333333"/>
                <w:sz w:val="20"/>
                <w:szCs w:val="20"/>
              </w:rPr>
              <w:t>migraine</w:t>
            </w:r>
          </w:p>
        </w:tc>
      </w:tr>
      <w:tr w:rsidR="00C72BFB" w14:paraId="3399EA7E"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78685B" w14:textId="77777777" w:rsidR="00C72BFB" w:rsidRDefault="00C72BFB" w:rsidP="00BE12C1">
            <w:pPr>
              <w:rPr>
                <w:rFonts w:ascii="Arial Narrow" w:hAnsi="Arial Narrow"/>
                <w:color w:val="FF0000"/>
                <w:sz w:val="20"/>
                <w:szCs w:val="20"/>
              </w:rPr>
            </w:pPr>
            <w:r>
              <w:rPr>
                <w:rFonts w:ascii="Arial Narrow" w:hAnsi="Arial Narrow"/>
                <w:b/>
                <w:bCs/>
                <w:color w:val="333333"/>
                <w:sz w:val="20"/>
                <w:szCs w:val="20"/>
              </w:rPr>
              <w:t>Treatment Phase:</w:t>
            </w:r>
            <w:r>
              <w:rPr>
                <w:rFonts w:ascii="Arial Narrow" w:hAnsi="Arial Narrow"/>
                <w:color w:val="FF0000"/>
                <w:sz w:val="20"/>
                <w:szCs w:val="20"/>
              </w:rPr>
              <w:t xml:space="preserve"> </w:t>
            </w:r>
          </w:p>
          <w:p w14:paraId="68482AAC" w14:textId="77777777" w:rsidR="00C72BFB" w:rsidRDefault="00C72BFB" w:rsidP="00BE12C1">
            <w:pPr>
              <w:rPr>
                <w:rFonts w:ascii="Arial Narrow" w:hAnsi="Arial Narrow"/>
                <w:color w:val="FF00FF"/>
                <w:sz w:val="20"/>
                <w:szCs w:val="20"/>
              </w:rPr>
            </w:pPr>
            <w:r>
              <w:rPr>
                <w:rFonts w:ascii="Arial Narrow" w:hAnsi="Arial Narrow"/>
                <w:bCs/>
                <w:color w:val="333333"/>
                <w:sz w:val="20"/>
                <w:szCs w:val="20"/>
              </w:rPr>
              <w:t>Initial treatment</w:t>
            </w:r>
            <w:r>
              <w:rPr>
                <w:rFonts w:ascii="Arial Narrow" w:hAnsi="Arial Narrow"/>
                <w:color w:val="FF0000"/>
                <w:sz w:val="20"/>
                <w:szCs w:val="20"/>
              </w:rPr>
              <w:t xml:space="preserve">     </w:t>
            </w:r>
          </w:p>
        </w:tc>
      </w:tr>
      <w:tr w:rsidR="00C72BFB" w14:paraId="39612CAE"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E6A552" w14:textId="77777777" w:rsidR="00C72BFB" w:rsidRDefault="00C72BFB" w:rsidP="00BE12C1">
            <w:pPr>
              <w:rPr>
                <w:rFonts w:ascii="Arial Narrow" w:hAnsi="Arial Narrow"/>
                <w:b/>
                <w:bCs/>
                <w:color w:val="333333"/>
                <w:sz w:val="20"/>
                <w:szCs w:val="20"/>
              </w:rPr>
            </w:pPr>
            <w:r>
              <w:rPr>
                <w:rFonts w:ascii="Arial Narrow" w:hAnsi="Arial Narrow"/>
                <w:b/>
                <w:sz w:val="20"/>
                <w:szCs w:val="20"/>
              </w:rPr>
              <w:t>Treatment criteria:</w:t>
            </w:r>
          </w:p>
        </w:tc>
      </w:tr>
      <w:tr w:rsidR="00C72BFB" w14:paraId="5EB2632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FBECA5" w14:textId="77777777" w:rsidR="00C72BFB" w:rsidRDefault="00C72BFB" w:rsidP="00BE12C1">
            <w:pPr>
              <w:rPr>
                <w:rFonts w:ascii="Arial Narrow" w:hAnsi="Arial Narrow"/>
                <w:b/>
                <w:bCs/>
                <w:color w:val="333333"/>
                <w:sz w:val="20"/>
                <w:szCs w:val="20"/>
              </w:rPr>
            </w:pPr>
            <w:r>
              <w:rPr>
                <w:rFonts w:ascii="Arial Narrow" w:hAnsi="Arial Narrow"/>
                <w:bCs/>
                <w:color w:val="333333"/>
                <w:sz w:val="20"/>
                <w:szCs w:val="20"/>
              </w:rPr>
              <w:t>Must be treated by a neurologist</w:t>
            </w:r>
          </w:p>
        </w:tc>
      </w:tr>
      <w:tr w:rsidR="00C72BFB" w14:paraId="5430FA96"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3FBD4"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7FBACD8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A2F05" w14:textId="77777777" w:rsidR="00C72BFB" w:rsidRDefault="00C72BFB" w:rsidP="00BE12C1">
            <w:pPr>
              <w:rPr>
                <w:rFonts w:ascii="Arial Narrow" w:hAnsi="Arial Narrow"/>
                <w:b/>
                <w:bCs/>
                <w:color w:val="333333"/>
                <w:sz w:val="20"/>
                <w:szCs w:val="20"/>
              </w:rPr>
            </w:pPr>
            <w:r>
              <w:rPr>
                <w:rFonts w:ascii="Arial Narrow" w:hAnsi="Arial Narrow"/>
                <w:b/>
                <w:sz w:val="20"/>
                <w:szCs w:val="20"/>
              </w:rPr>
              <w:t>Treatment criteria:</w:t>
            </w:r>
          </w:p>
        </w:tc>
      </w:tr>
      <w:tr w:rsidR="00C72BFB" w14:paraId="24FB7A99"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6C6214" w14:textId="77777777" w:rsidR="00C72BFB" w:rsidRDefault="00C72BFB" w:rsidP="00BE12C1">
            <w:pPr>
              <w:rPr>
                <w:rFonts w:ascii="Arial Narrow" w:hAnsi="Arial Narrow"/>
                <w:color w:val="333333"/>
                <w:sz w:val="20"/>
                <w:szCs w:val="20"/>
              </w:rPr>
            </w:pPr>
            <w:r>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C72BFB" w14:paraId="0CA145A5"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13E767"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7B0C2532"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1F97BB9" w14:textId="77777777" w:rsidR="00C72BFB" w:rsidRDefault="00C72BFB" w:rsidP="00BE12C1">
            <w:pPr>
              <w:rPr>
                <w:rFonts w:ascii="Arial Narrow" w:hAnsi="Arial Narrow"/>
                <w:b/>
                <w:sz w:val="20"/>
                <w:szCs w:val="20"/>
              </w:rPr>
            </w:pPr>
            <w:r>
              <w:rPr>
                <w:rFonts w:ascii="Arial Narrow" w:hAnsi="Arial Narrow"/>
                <w:b/>
                <w:sz w:val="20"/>
                <w:szCs w:val="20"/>
              </w:rPr>
              <w:t>Clinical criteria:</w:t>
            </w:r>
          </w:p>
        </w:tc>
      </w:tr>
      <w:tr w:rsidR="00C72BFB" w14:paraId="2A460478"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FBE9D3" w14:textId="50E76C96" w:rsidR="00C72BFB" w:rsidRDefault="00C72BFB" w:rsidP="00BE12C1">
            <w:pPr>
              <w:rPr>
                <w:rFonts w:ascii="Arial Narrow" w:hAnsi="Arial Narrow"/>
                <w:b/>
                <w:bCs/>
                <w:color w:val="333333"/>
                <w:sz w:val="20"/>
                <w:szCs w:val="20"/>
              </w:rPr>
            </w:pPr>
            <w:r>
              <w:rPr>
                <w:rFonts w:ascii="Arial Narrow" w:hAnsi="Arial Narrow"/>
                <w:color w:val="333333"/>
                <w:sz w:val="20"/>
                <w:szCs w:val="20"/>
              </w:rPr>
              <w:t xml:space="preserve">Patient must have experienced at least 8 </w:t>
            </w:r>
            <w:r>
              <w:rPr>
                <w:rFonts w:ascii="Arial Narrow" w:hAnsi="Arial Narrow"/>
                <w:strike/>
                <w:color w:val="333333"/>
                <w:sz w:val="20"/>
                <w:szCs w:val="20"/>
              </w:rPr>
              <w:t>days o</w:t>
            </w:r>
            <w:r>
              <w:rPr>
                <w:rFonts w:ascii="Arial Narrow" w:hAnsi="Arial Narrow"/>
                <w:color w:val="333333"/>
                <w:sz w:val="20"/>
                <w:szCs w:val="20"/>
              </w:rPr>
              <w:t>f</w:t>
            </w:r>
            <w:r>
              <w:rPr>
                <w:rFonts w:ascii="Arial Narrow" w:hAnsi="Arial Narrow"/>
                <w:strike/>
                <w:color w:val="333333"/>
                <w:sz w:val="20"/>
                <w:szCs w:val="20"/>
              </w:rPr>
              <w:t xml:space="preserve"> </w:t>
            </w:r>
            <w:r>
              <w:rPr>
                <w:rFonts w:ascii="Arial Narrow" w:hAnsi="Arial Narrow"/>
                <w:color w:val="333333"/>
                <w:sz w:val="20"/>
                <w:szCs w:val="20"/>
              </w:rPr>
              <w:t xml:space="preserve">migraine </w:t>
            </w:r>
            <w:r w:rsidR="00626DAB" w:rsidRPr="003831B0">
              <w:rPr>
                <w:rFonts w:ascii="Arial Narrow" w:hAnsi="Arial Narrow"/>
                <w:strike/>
                <w:color w:val="333333"/>
                <w:sz w:val="20"/>
                <w:szCs w:val="20"/>
              </w:rPr>
              <w:t>headache</w:t>
            </w:r>
            <w:r w:rsidR="00626DAB">
              <w:rPr>
                <w:rFonts w:ascii="Arial Narrow" w:hAnsi="Arial Narrow"/>
                <w:color w:val="333333"/>
                <w:sz w:val="20"/>
                <w:szCs w:val="20"/>
              </w:rPr>
              <w:t xml:space="preserve"> </w:t>
            </w:r>
            <w:r>
              <w:rPr>
                <w:rFonts w:ascii="Arial Narrow" w:hAnsi="Arial Narrow"/>
                <w:color w:val="333333"/>
                <w:sz w:val="20"/>
                <w:szCs w:val="20"/>
              </w:rPr>
              <w:t>days</w:t>
            </w:r>
            <w:r>
              <w:rPr>
                <w:rFonts w:ascii="Arial Narrow" w:hAnsi="Arial Narrow"/>
                <w:i/>
                <w:iCs/>
                <w:color w:val="333333"/>
                <w:sz w:val="20"/>
                <w:szCs w:val="20"/>
              </w:rPr>
              <w:t xml:space="preserve"> </w:t>
            </w:r>
            <w:r>
              <w:rPr>
                <w:rFonts w:ascii="Arial Narrow" w:hAnsi="Arial Narrow"/>
                <w:color w:val="333333"/>
                <w:sz w:val="20"/>
                <w:szCs w:val="20"/>
              </w:rPr>
              <w:t>per month, over a period of at least 6 months, prior to commencement of treatment with this medicine for this condition</w:t>
            </w:r>
          </w:p>
        </w:tc>
      </w:tr>
      <w:tr w:rsidR="00C72BFB" w14:paraId="61CB9352"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2627A4"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72571751"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DF9B56" w14:textId="77777777" w:rsidR="00C72BFB" w:rsidRDefault="00C72BFB" w:rsidP="00BE12C1">
            <w:pPr>
              <w:rPr>
                <w:rFonts w:ascii="Arial Narrow" w:hAnsi="Arial Narrow"/>
                <w:b/>
                <w:bCs/>
                <w:color w:val="333333"/>
                <w:sz w:val="20"/>
                <w:szCs w:val="20"/>
              </w:rPr>
            </w:pPr>
            <w:r>
              <w:rPr>
                <w:rFonts w:ascii="Arial Narrow" w:hAnsi="Arial Narrow"/>
                <w:b/>
                <w:sz w:val="20"/>
                <w:szCs w:val="20"/>
              </w:rPr>
              <w:t>Clinical criteria:</w:t>
            </w:r>
          </w:p>
        </w:tc>
      </w:tr>
      <w:tr w:rsidR="00C72BFB" w14:paraId="6A0595F6"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267FE8" w14:textId="77777777" w:rsidR="00C72BFB" w:rsidRDefault="00C72BFB" w:rsidP="00BE12C1">
            <w:pPr>
              <w:rPr>
                <w:rFonts w:ascii="Arial Narrow" w:hAnsi="Arial Narrow"/>
                <w:color w:val="333333"/>
                <w:sz w:val="20"/>
                <w:szCs w:val="20"/>
              </w:rPr>
            </w:pPr>
            <w:r>
              <w:rPr>
                <w:rFonts w:ascii="Arial Narrow" w:hAnsi="Arial Narrow"/>
                <w:color w:val="333333"/>
                <w:sz w:val="20"/>
                <w:szCs w:val="20"/>
              </w:rPr>
              <w:t>Patient must have experienced an inadequate response, intolerance or a contraindication to at least three prophylactic migraine medications prior to commencement of treatment with this drug for this condition</w:t>
            </w:r>
          </w:p>
        </w:tc>
      </w:tr>
      <w:tr w:rsidR="00C72BFB" w14:paraId="669FD031"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56DE6C"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3138BD56"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02C47D" w14:textId="77777777" w:rsidR="00C72BFB" w:rsidRDefault="00C72BFB" w:rsidP="00BE12C1">
            <w:pPr>
              <w:rPr>
                <w:rFonts w:ascii="Arial Narrow" w:hAnsi="Arial Narrow"/>
                <w:b/>
                <w:bCs/>
                <w:color w:val="333333"/>
                <w:sz w:val="20"/>
                <w:szCs w:val="20"/>
              </w:rPr>
            </w:pPr>
            <w:r>
              <w:rPr>
                <w:rFonts w:ascii="Arial Narrow" w:hAnsi="Arial Narrow"/>
                <w:b/>
                <w:sz w:val="20"/>
                <w:szCs w:val="20"/>
              </w:rPr>
              <w:t>Clinical criteria:</w:t>
            </w:r>
          </w:p>
        </w:tc>
      </w:tr>
      <w:tr w:rsidR="00C72BFB" w14:paraId="51030B82" w14:textId="77777777" w:rsidTr="00626DAB">
        <w:trPr>
          <w:trHeight w:val="373"/>
        </w:trPr>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C4627C" w14:textId="77777777" w:rsidR="00C72BFB" w:rsidRDefault="00C72BFB" w:rsidP="00BE12C1">
            <w:pPr>
              <w:rPr>
                <w:rFonts w:ascii="Open Sans" w:eastAsiaTheme="minorHAnsi" w:hAnsi="Open Sans"/>
                <w:color w:val="333333"/>
                <w:sz w:val="20"/>
                <w:szCs w:val="20"/>
                <w:lang w:eastAsia="en-US"/>
              </w:rPr>
            </w:pPr>
            <w:r>
              <w:rPr>
                <w:rFonts w:ascii="Arial Narrow" w:hAnsi="Arial Narrow"/>
                <w:color w:val="333333"/>
                <w:sz w:val="20"/>
                <w:szCs w:val="20"/>
              </w:rPr>
              <w:t>Patient must be appropriately managed by his or her practitioner for medication overuse headache, prior to initiation of treatment with this drug</w:t>
            </w:r>
          </w:p>
        </w:tc>
      </w:tr>
      <w:tr w:rsidR="00C72BFB" w14:paraId="52C39847"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D599B"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621C9BD1"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AF708E2"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Population criteria:</w:t>
            </w:r>
          </w:p>
        </w:tc>
      </w:tr>
      <w:tr w:rsidR="00C72BFB" w14:paraId="59114E1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29955" w14:textId="77777777" w:rsidR="00C72BFB" w:rsidRDefault="00C72BFB" w:rsidP="00BE12C1">
            <w:pPr>
              <w:rPr>
                <w:rFonts w:ascii="Arial Narrow" w:hAnsi="Arial Narrow"/>
                <w:b/>
                <w:bCs/>
                <w:color w:val="333333"/>
                <w:sz w:val="20"/>
                <w:szCs w:val="20"/>
              </w:rPr>
            </w:pPr>
            <w:r>
              <w:rPr>
                <w:rFonts w:ascii="Arial Narrow" w:hAnsi="Arial Narrow"/>
                <w:color w:val="333333"/>
                <w:sz w:val="20"/>
                <w:szCs w:val="20"/>
              </w:rPr>
              <w:t>Patient must be aged 18 years or older</w:t>
            </w:r>
          </w:p>
        </w:tc>
      </w:tr>
      <w:tr w:rsidR="00C72BFB" w14:paraId="602453E6"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EE684F"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679ED9E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083325"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C72BFB" w14:paraId="2E61E232"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B1783" w14:textId="77777777" w:rsidR="00C72BFB" w:rsidRDefault="00C72BFB" w:rsidP="00BE12C1">
            <w:pPr>
              <w:rPr>
                <w:rFonts w:ascii="Arial Narrow" w:hAnsi="Arial Narrow"/>
                <w:b/>
                <w:bCs/>
                <w:color w:val="333333"/>
                <w:sz w:val="20"/>
                <w:szCs w:val="20"/>
              </w:rPr>
            </w:pPr>
            <w:r>
              <w:rPr>
                <w:rFonts w:ascii="Arial Narrow" w:hAnsi="Arial Narrow"/>
                <w:color w:val="333333"/>
                <w:sz w:val="20"/>
                <w:szCs w:val="20"/>
              </w:rPr>
              <w:t>Prophylactic migraine medications are propranolol, amitriptyline, pizotifen, candesartan, verapamil, nortriptyline, sodium valproate or topiramate.</w:t>
            </w:r>
          </w:p>
        </w:tc>
      </w:tr>
      <w:tr w:rsidR="00C72BFB" w14:paraId="3F361013"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2F5753"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40E4752D"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138BBC"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C72BFB" w14:paraId="4312D1A5"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701CF0" w14:textId="77777777" w:rsidR="00C72BFB" w:rsidRDefault="00C72BFB" w:rsidP="00BE12C1">
            <w:pPr>
              <w:rPr>
                <w:rFonts w:ascii="Arial Narrow" w:hAnsi="Arial Narrow"/>
                <w:b/>
                <w:bCs/>
                <w:color w:val="333333"/>
                <w:sz w:val="20"/>
                <w:szCs w:val="20"/>
              </w:rPr>
            </w:pPr>
            <w:r>
              <w:rPr>
                <w:rFonts w:ascii="Arial Narrow" w:hAnsi="Arial Narrow"/>
                <w:color w:val="333333"/>
                <w:sz w:val="20"/>
                <w:szCs w:val="20"/>
              </w:rPr>
              <w:t>Patient must have the number of migraine days per month documented in their medical records.</w:t>
            </w:r>
          </w:p>
        </w:tc>
      </w:tr>
    </w:tbl>
    <w:p w14:paraId="69B87468" w14:textId="77777777" w:rsidR="00BD5CE7" w:rsidRDefault="00BD5CE7"/>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C72BFB" w14:paraId="2D9C7B6A"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86F56E" w14:textId="77777777" w:rsidR="00C72BFB" w:rsidRDefault="00C72BFB" w:rsidP="00BE12C1">
            <w:pPr>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GENERAL – General Schedule (Code GE)</w:t>
            </w:r>
            <w:r>
              <w:rPr>
                <w:rFonts w:ascii="Arial Narrow" w:hAnsi="Arial Narrow"/>
                <w:color w:val="FF0000"/>
                <w:sz w:val="20"/>
                <w:szCs w:val="20"/>
              </w:rPr>
              <w:t xml:space="preserve"> </w:t>
            </w:r>
          </w:p>
          <w:p w14:paraId="7C824BA2" w14:textId="77777777" w:rsidR="00C72BFB" w:rsidRDefault="00C72BFB" w:rsidP="00BE12C1">
            <w:pPr>
              <w:rPr>
                <w:rFonts w:ascii="Arial Narrow" w:hAnsi="Arial Narrow"/>
                <w:sz w:val="20"/>
                <w:szCs w:val="20"/>
              </w:rPr>
            </w:pPr>
          </w:p>
        </w:tc>
      </w:tr>
      <w:tr w:rsidR="00C72BFB" w14:paraId="54184743" w14:textId="77777777" w:rsidTr="00626DAB">
        <w:trPr>
          <w:trHeight w:val="240"/>
        </w:trPr>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7376B32" w14:textId="77777777" w:rsidR="00C72BFB" w:rsidRDefault="00C72BFB" w:rsidP="00BE12C1">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C72BFB" w14:paraId="45E23BE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72B6F9" w14:textId="77777777" w:rsidR="00C72BFB" w:rsidRDefault="00C72BFB" w:rsidP="00BE12C1">
            <w:pPr>
              <w:rPr>
                <w:rFonts w:ascii="Arial Narrow" w:hAnsi="Arial Narrow"/>
                <w:b/>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Authority Required (Streamlined) </w:t>
            </w:r>
            <w:r>
              <w:rPr>
                <w:rFonts w:ascii="Arial Narrow" w:eastAsia="Calibri" w:hAnsi="Arial Narrow"/>
                <w:i/>
                <w:iCs/>
                <w:sz w:val="20"/>
                <w:szCs w:val="20"/>
              </w:rPr>
              <w:t>[</w:t>
            </w:r>
            <w:r>
              <w:rPr>
                <w:rFonts w:ascii="Arial Narrow" w:eastAsia="Calibri" w:hAnsi="Arial Narrow"/>
                <w:i/>
                <w:sz w:val="20"/>
                <w:szCs w:val="20"/>
              </w:rPr>
              <w:t>amendment to existing code]</w:t>
            </w:r>
          </w:p>
        </w:tc>
      </w:tr>
      <w:tr w:rsidR="00C72BFB" w14:paraId="028853A2"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22129F" w14:textId="77777777" w:rsidR="00C72BFB" w:rsidRDefault="00C72BFB" w:rsidP="00BE12C1">
            <w:pPr>
              <w:rPr>
                <w:rFonts w:ascii="Arial Narrow" w:hAnsi="Arial Narrow"/>
                <w:color w:val="333333"/>
                <w:sz w:val="20"/>
                <w:szCs w:val="20"/>
              </w:rPr>
            </w:pPr>
            <w:r>
              <w:rPr>
                <w:rFonts w:ascii="Arial Narrow" w:hAnsi="Arial Narrow"/>
                <w:b/>
                <w:bCs/>
                <w:color w:val="333333"/>
                <w:sz w:val="20"/>
                <w:szCs w:val="20"/>
              </w:rPr>
              <w:t>Administrative Advice:</w:t>
            </w:r>
          </w:p>
          <w:p w14:paraId="1D312C97" w14:textId="77777777" w:rsidR="00C72BFB" w:rsidRDefault="00C72BFB" w:rsidP="00BE12C1">
            <w:pPr>
              <w:rPr>
                <w:rFonts w:ascii="Arial Narrow" w:hAnsi="Arial Narrow"/>
                <w:color w:val="333333"/>
                <w:sz w:val="20"/>
                <w:szCs w:val="20"/>
              </w:rPr>
            </w:pPr>
            <w:r>
              <w:rPr>
                <w:rFonts w:ascii="Arial Narrow" w:eastAsia="Calibri" w:hAnsi="Arial Narrow"/>
                <w:sz w:val="20"/>
                <w:szCs w:val="20"/>
              </w:rPr>
              <w:t>No increase in the maximum quantity or number of units may be authorised.</w:t>
            </w:r>
          </w:p>
        </w:tc>
      </w:tr>
      <w:tr w:rsidR="00C72BFB" w14:paraId="24C61530"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FD18DC" w14:textId="77777777" w:rsidR="00C72BFB" w:rsidRDefault="00C72BFB" w:rsidP="00BE12C1">
            <w:pPr>
              <w:rPr>
                <w:rFonts w:ascii="Open Sans" w:eastAsiaTheme="minorHAnsi" w:hAnsi="Open Sans"/>
                <w:color w:val="333333"/>
                <w:sz w:val="20"/>
                <w:szCs w:val="20"/>
                <w:lang w:eastAsia="en-US"/>
              </w:rPr>
            </w:pPr>
            <w:r>
              <w:rPr>
                <w:rFonts w:ascii="Arial Narrow" w:hAnsi="Arial Narrow"/>
                <w:b/>
                <w:bCs/>
                <w:color w:val="333333"/>
                <w:sz w:val="20"/>
                <w:szCs w:val="20"/>
              </w:rPr>
              <w:t>Administrative Advice</w:t>
            </w:r>
          </w:p>
          <w:p w14:paraId="02AF93CF" w14:textId="77777777" w:rsidR="00C72BFB" w:rsidRDefault="00C72BFB" w:rsidP="00BE12C1">
            <w:pPr>
              <w:rPr>
                <w:rFonts w:ascii="Arial Narrow" w:eastAsia="Calibri" w:hAnsi="Arial Narrow"/>
                <w:sz w:val="20"/>
                <w:szCs w:val="20"/>
              </w:rPr>
            </w:pPr>
            <w:r>
              <w:rPr>
                <w:rFonts w:ascii="Arial Narrow" w:eastAsia="Calibri" w:hAnsi="Arial Narrow"/>
                <w:sz w:val="20"/>
                <w:szCs w:val="20"/>
              </w:rPr>
              <w:t>No increase in the maximum number of repeats may be authorised.</w:t>
            </w:r>
          </w:p>
        </w:tc>
      </w:tr>
      <w:tr w:rsidR="00C72BFB" w14:paraId="44189DE4"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2793A0"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Administrative Advice:</w:t>
            </w:r>
          </w:p>
          <w:p w14:paraId="2F575304" w14:textId="77777777" w:rsidR="00C72BFB" w:rsidRDefault="00C72BFB" w:rsidP="00BE12C1">
            <w:pPr>
              <w:rPr>
                <w:rFonts w:ascii="Arial Narrow" w:hAnsi="Arial Narrow"/>
                <w:bCs/>
                <w:color w:val="333333"/>
                <w:sz w:val="20"/>
                <w:szCs w:val="20"/>
              </w:rPr>
            </w:pPr>
            <w:r>
              <w:rPr>
                <w:rFonts w:ascii="Arial Narrow" w:eastAsia="Calibri" w:hAnsi="Arial Narrow"/>
                <w:sz w:val="20"/>
                <w:szCs w:val="20"/>
              </w:rPr>
              <w:t>Special Pricing Arrangements apply.</w:t>
            </w:r>
          </w:p>
        </w:tc>
      </w:tr>
      <w:tr w:rsidR="00C72BFB" w14:paraId="3937EB83"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6DFAB5" w14:textId="77777777" w:rsidR="00C72BFB" w:rsidRDefault="00C72BFB" w:rsidP="00BE12C1">
            <w:pPr>
              <w:rPr>
                <w:rFonts w:ascii="Arial Narrow" w:hAnsi="Arial Narrow"/>
                <w:b/>
                <w:bCs/>
                <w:strike/>
                <w:color w:val="333333"/>
                <w:sz w:val="20"/>
                <w:szCs w:val="20"/>
              </w:rPr>
            </w:pPr>
            <w:r>
              <w:rPr>
                <w:rFonts w:ascii="Arial Narrow" w:hAnsi="Arial Narrow"/>
                <w:b/>
                <w:bCs/>
                <w:strike/>
                <w:color w:val="333333"/>
                <w:sz w:val="20"/>
                <w:szCs w:val="20"/>
              </w:rPr>
              <w:lastRenderedPageBreak/>
              <w:t>Episodicity: -</w:t>
            </w:r>
          </w:p>
        </w:tc>
      </w:tr>
      <w:tr w:rsidR="00C72BFB" w14:paraId="5389B483"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52E0E0" w14:textId="77777777" w:rsidR="00C72BFB" w:rsidRDefault="00C72BFB" w:rsidP="00BE12C1">
            <w:pPr>
              <w:rPr>
                <w:rFonts w:ascii="Arial Narrow" w:hAnsi="Arial Narrow"/>
                <w:b/>
                <w:bCs/>
                <w:strike/>
                <w:color w:val="333333"/>
                <w:sz w:val="20"/>
                <w:szCs w:val="20"/>
              </w:rPr>
            </w:pPr>
            <w:r>
              <w:rPr>
                <w:rFonts w:ascii="Arial Narrow" w:hAnsi="Arial Narrow"/>
                <w:b/>
                <w:bCs/>
                <w:strike/>
                <w:color w:val="333333"/>
                <w:sz w:val="20"/>
                <w:szCs w:val="20"/>
              </w:rPr>
              <w:t xml:space="preserve">Severity: </w:t>
            </w:r>
            <w:r>
              <w:rPr>
                <w:rFonts w:ascii="Arial Narrow" w:hAnsi="Arial Narrow"/>
                <w:strike/>
                <w:color w:val="333333"/>
                <w:sz w:val="20"/>
                <w:szCs w:val="20"/>
              </w:rPr>
              <w:t>Chronic and High Frequency Episodic Migraine</w:t>
            </w:r>
          </w:p>
        </w:tc>
      </w:tr>
      <w:tr w:rsidR="00C72BFB" w14:paraId="53BE6130"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DED5D6" w14:textId="77777777" w:rsidR="00C72BFB" w:rsidRDefault="00C72BFB" w:rsidP="00BE12C1">
            <w:pPr>
              <w:rPr>
                <w:rFonts w:ascii="Arial Narrow" w:hAnsi="Arial Narrow"/>
                <w:b/>
                <w:bCs/>
                <w:strike/>
                <w:color w:val="333333"/>
                <w:sz w:val="20"/>
                <w:szCs w:val="20"/>
              </w:rPr>
            </w:pPr>
            <w:r>
              <w:rPr>
                <w:rFonts w:ascii="Arial Narrow" w:hAnsi="Arial Narrow"/>
                <w:b/>
                <w:bCs/>
                <w:strike/>
                <w:color w:val="333333"/>
                <w:sz w:val="20"/>
                <w:szCs w:val="20"/>
              </w:rPr>
              <w:t>Condition:</w:t>
            </w:r>
            <w:r>
              <w:rPr>
                <w:rFonts w:ascii="Arial Narrow" w:hAnsi="Arial Narrow"/>
                <w:strike/>
                <w:color w:val="333333"/>
                <w:sz w:val="20"/>
                <w:szCs w:val="20"/>
              </w:rPr>
              <w:t xml:space="preserve"> Migraine</w:t>
            </w:r>
          </w:p>
        </w:tc>
      </w:tr>
      <w:tr w:rsidR="00C72BFB" w14:paraId="036821D2"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824A45" w14:textId="77777777" w:rsidR="00C72BFB" w:rsidRDefault="00C72BFB" w:rsidP="00BE12C1">
            <w:pPr>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w:t>
            </w:r>
            <w:r>
              <w:rPr>
                <w:rFonts w:ascii="Arial Narrow" w:hAnsi="Arial Narrow"/>
                <w:i/>
                <w:iCs/>
                <w:color w:val="333333"/>
                <w:sz w:val="20"/>
                <w:szCs w:val="20"/>
              </w:rPr>
              <w:t>Treatment-resistant</w:t>
            </w:r>
            <w:r>
              <w:rPr>
                <w:rFonts w:ascii="Arial Narrow" w:hAnsi="Arial Narrow"/>
                <w:color w:val="333333"/>
                <w:sz w:val="20"/>
                <w:szCs w:val="20"/>
              </w:rPr>
              <w:t xml:space="preserve"> migraine</w:t>
            </w:r>
          </w:p>
        </w:tc>
      </w:tr>
      <w:tr w:rsidR="00C72BFB" w14:paraId="3B85327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E62637" w14:textId="77777777" w:rsidR="00C72BFB" w:rsidRDefault="00C72BFB" w:rsidP="00BE12C1">
            <w:pPr>
              <w:rPr>
                <w:rFonts w:ascii="Arial Narrow" w:hAnsi="Arial Narrow"/>
                <w:color w:val="FF0000"/>
                <w:sz w:val="20"/>
                <w:szCs w:val="20"/>
              </w:rPr>
            </w:pPr>
            <w:r>
              <w:rPr>
                <w:rFonts w:ascii="Arial Narrow" w:hAnsi="Arial Narrow"/>
                <w:b/>
                <w:bCs/>
                <w:color w:val="333333"/>
                <w:sz w:val="20"/>
                <w:szCs w:val="20"/>
              </w:rPr>
              <w:t>Treatment Phase:</w:t>
            </w:r>
            <w:r>
              <w:rPr>
                <w:rFonts w:ascii="Arial Narrow" w:hAnsi="Arial Narrow"/>
                <w:color w:val="FF0000"/>
                <w:sz w:val="20"/>
                <w:szCs w:val="20"/>
              </w:rPr>
              <w:t xml:space="preserve"> </w:t>
            </w:r>
          </w:p>
          <w:p w14:paraId="3454FD46" w14:textId="77777777" w:rsidR="00C72BFB" w:rsidRDefault="00C72BFB" w:rsidP="00BE12C1">
            <w:pPr>
              <w:rPr>
                <w:rFonts w:ascii="Arial Narrow" w:hAnsi="Arial Narrow"/>
                <w:color w:val="FF00FF"/>
                <w:sz w:val="20"/>
                <w:szCs w:val="20"/>
              </w:rPr>
            </w:pPr>
            <w:r>
              <w:rPr>
                <w:rFonts w:ascii="Arial Narrow" w:hAnsi="Arial Narrow"/>
                <w:bCs/>
                <w:color w:val="333333"/>
                <w:sz w:val="20"/>
                <w:szCs w:val="20"/>
              </w:rPr>
              <w:t>Continuing treatment</w:t>
            </w:r>
            <w:r>
              <w:rPr>
                <w:rFonts w:ascii="Arial Narrow" w:hAnsi="Arial Narrow"/>
                <w:color w:val="FF0000"/>
                <w:sz w:val="20"/>
                <w:szCs w:val="20"/>
              </w:rPr>
              <w:t xml:space="preserve">     </w:t>
            </w:r>
          </w:p>
        </w:tc>
      </w:tr>
      <w:tr w:rsidR="00C72BFB" w14:paraId="34819E15"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002BFB6" w14:textId="77777777" w:rsidR="00C72BFB" w:rsidRDefault="00C72BFB" w:rsidP="00BE12C1">
            <w:pPr>
              <w:rPr>
                <w:rFonts w:ascii="Arial Narrow" w:hAnsi="Arial Narrow"/>
                <w:b/>
                <w:bCs/>
                <w:color w:val="333333"/>
                <w:sz w:val="20"/>
                <w:szCs w:val="20"/>
              </w:rPr>
            </w:pPr>
            <w:r>
              <w:rPr>
                <w:rFonts w:ascii="Arial Narrow" w:hAnsi="Arial Narrow"/>
                <w:b/>
                <w:sz w:val="20"/>
                <w:szCs w:val="20"/>
              </w:rPr>
              <w:t>Treatment criteria:</w:t>
            </w:r>
          </w:p>
        </w:tc>
      </w:tr>
      <w:tr w:rsidR="00C72BFB" w14:paraId="1A92DC88"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A53EF" w14:textId="77777777" w:rsidR="00C72BFB" w:rsidRDefault="00C72BFB" w:rsidP="00BE12C1">
            <w:pPr>
              <w:rPr>
                <w:rFonts w:ascii="Arial Narrow" w:hAnsi="Arial Narrow"/>
                <w:b/>
                <w:bCs/>
                <w:color w:val="333333"/>
                <w:sz w:val="20"/>
                <w:szCs w:val="20"/>
              </w:rPr>
            </w:pPr>
            <w:r>
              <w:rPr>
                <w:rFonts w:ascii="Arial Narrow" w:hAnsi="Arial Narrow"/>
                <w:color w:val="333333"/>
                <w:sz w:val="20"/>
                <w:szCs w:val="20"/>
              </w:rPr>
              <w:t>Must be treated by a neurologist or in consultation with a neurologist</w:t>
            </w:r>
          </w:p>
        </w:tc>
      </w:tr>
      <w:tr w:rsidR="00C72BFB" w14:paraId="4D9DA77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2305AE"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1FE6DCFE"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2F9153" w14:textId="77777777" w:rsidR="00C72BFB" w:rsidRDefault="00C72BFB" w:rsidP="00BE12C1">
            <w:pPr>
              <w:rPr>
                <w:rFonts w:ascii="Arial Narrow" w:hAnsi="Arial Narrow"/>
                <w:b/>
                <w:bCs/>
                <w:color w:val="333333"/>
                <w:sz w:val="20"/>
                <w:szCs w:val="20"/>
              </w:rPr>
            </w:pPr>
            <w:r>
              <w:rPr>
                <w:rFonts w:ascii="Arial Narrow" w:hAnsi="Arial Narrow"/>
                <w:b/>
                <w:sz w:val="20"/>
                <w:szCs w:val="20"/>
              </w:rPr>
              <w:t>Treatment criteria:</w:t>
            </w:r>
          </w:p>
        </w:tc>
      </w:tr>
      <w:tr w:rsidR="00C72BFB" w14:paraId="2A96783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B8CCD1" w14:textId="77777777" w:rsidR="00C72BFB" w:rsidRDefault="00C72BFB" w:rsidP="00BE12C1">
            <w:pPr>
              <w:rPr>
                <w:rFonts w:ascii="Arial Narrow" w:hAnsi="Arial Narrow"/>
                <w:color w:val="333333"/>
                <w:sz w:val="20"/>
                <w:szCs w:val="20"/>
              </w:rPr>
            </w:pPr>
            <w:r>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C72BFB" w14:paraId="5D7DB1DC"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254967"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09E17423"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1D1CAA" w14:textId="77777777" w:rsidR="00C72BFB" w:rsidRDefault="00C72BFB" w:rsidP="00BE12C1">
            <w:pPr>
              <w:rPr>
                <w:rFonts w:ascii="Arial Narrow" w:hAnsi="Arial Narrow"/>
                <w:b/>
                <w:sz w:val="20"/>
                <w:szCs w:val="20"/>
              </w:rPr>
            </w:pPr>
            <w:r>
              <w:rPr>
                <w:rFonts w:ascii="Arial Narrow" w:hAnsi="Arial Narrow"/>
                <w:b/>
                <w:sz w:val="20"/>
                <w:szCs w:val="20"/>
              </w:rPr>
              <w:t>Clinical criteria:</w:t>
            </w:r>
          </w:p>
        </w:tc>
      </w:tr>
      <w:tr w:rsidR="00C72BFB" w14:paraId="5B2767BB"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31160B" w14:textId="77777777" w:rsidR="00C72BFB" w:rsidRDefault="00C72BFB" w:rsidP="00BE12C1">
            <w:pPr>
              <w:rPr>
                <w:rFonts w:ascii="Arial Narrow" w:hAnsi="Arial Narrow"/>
                <w:b/>
                <w:bCs/>
                <w:color w:val="333333"/>
                <w:sz w:val="20"/>
                <w:szCs w:val="20"/>
                <w:highlight w:val="yellow"/>
              </w:rPr>
            </w:pPr>
            <w:r>
              <w:rPr>
                <w:rFonts w:ascii="Arial Narrow" w:hAnsi="Arial Narrow"/>
                <w:color w:val="333333"/>
                <w:sz w:val="20"/>
                <w:szCs w:val="20"/>
              </w:rPr>
              <w:t>Patient must have previously received PBS-subsidised treatment with this drug for this condition</w:t>
            </w:r>
          </w:p>
        </w:tc>
      </w:tr>
      <w:tr w:rsidR="00C72BFB" w14:paraId="0D435228"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C35291"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019AF68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374F6" w14:textId="77777777" w:rsidR="00C72BFB" w:rsidRDefault="00C72BFB" w:rsidP="00BE12C1">
            <w:pPr>
              <w:rPr>
                <w:rFonts w:ascii="Arial Narrow" w:hAnsi="Arial Narrow"/>
                <w:b/>
                <w:bCs/>
                <w:color w:val="333333"/>
                <w:sz w:val="20"/>
                <w:szCs w:val="20"/>
              </w:rPr>
            </w:pPr>
            <w:r>
              <w:rPr>
                <w:rFonts w:ascii="Arial Narrow" w:hAnsi="Arial Narrow"/>
                <w:b/>
                <w:sz w:val="20"/>
                <w:szCs w:val="20"/>
              </w:rPr>
              <w:t>Clinical criteria:</w:t>
            </w:r>
          </w:p>
        </w:tc>
      </w:tr>
      <w:tr w:rsidR="00C72BFB" w14:paraId="3C30C495"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F182B9" w14:textId="77777777" w:rsidR="00C72BFB" w:rsidRDefault="00C72BFB" w:rsidP="00BE12C1">
            <w:pPr>
              <w:rPr>
                <w:rFonts w:ascii="Arial Narrow" w:hAnsi="Arial Narrow"/>
                <w:color w:val="333333"/>
                <w:sz w:val="20"/>
                <w:szCs w:val="20"/>
              </w:rPr>
            </w:pPr>
            <w:r>
              <w:rPr>
                <w:rFonts w:ascii="Arial Narrow" w:hAnsi="Arial Narrow"/>
                <w:color w:val="333333"/>
                <w:sz w:val="20"/>
                <w:szCs w:val="20"/>
              </w:rPr>
              <w:t>Patient must have achieved and maintained a 50% or greater reduction from baseline in the number of migraine days per month</w:t>
            </w:r>
          </w:p>
        </w:tc>
      </w:tr>
      <w:tr w:rsidR="00C72BFB" w14:paraId="2C1FE5D7"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F25126"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3291C4DF"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C12413" w14:textId="77777777" w:rsidR="00C72BFB" w:rsidRDefault="00C72BFB" w:rsidP="00BE12C1">
            <w:pPr>
              <w:rPr>
                <w:rFonts w:ascii="Arial Narrow" w:hAnsi="Arial Narrow"/>
                <w:b/>
                <w:bCs/>
                <w:color w:val="333333"/>
                <w:sz w:val="20"/>
                <w:szCs w:val="20"/>
              </w:rPr>
            </w:pPr>
            <w:r>
              <w:rPr>
                <w:rFonts w:ascii="Arial Narrow" w:hAnsi="Arial Narrow"/>
                <w:b/>
                <w:sz w:val="20"/>
                <w:szCs w:val="20"/>
              </w:rPr>
              <w:t>Clinical criteria:</w:t>
            </w:r>
          </w:p>
        </w:tc>
      </w:tr>
      <w:tr w:rsidR="00C72BFB" w14:paraId="62E586C9" w14:textId="77777777" w:rsidTr="00626DAB">
        <w:trPr>
          <w:trHeight w:val="373"/>
        </w:trPr>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3A5BEE" w14:textId="77777777" w:rsidR="00C72BFB" w:rsidRDefault="00C72BFB" w:rsidP="00BE12C1">
            <w:pPr>
              <w:rPr>
                <w:rFonts w:ascii="Arial Narrow" w:hAnsi="Arial Narrow"/>
                <w:color w:val="333333"/>
                <w:sz w:val="20"/>
                <w:szCs w:val="20"/>
              </w:rPr>
            </w:pPr>
            <w:r>
              <w:rPr>
                <w:rFonts w:ascii="Arial Narrow" w:hAnsi="Arial Narrow"/>
                <w:color w:val="333333"/>
                <w:sz w:val="20"/>
                <w:szCs w:val="20"/>
              </w:rPr>
              <w:t>Patient must continue to be appropriately managed for medication overuse headache</w:t>
            </w:r>
          </w:p>
        </w:tc>
      </w:tr>
      <w:tr w:rsidR="00C72BFB" w14:paraId="31390D04"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6BF23D"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AND</w:t>
            </w:r>
          </w:p>
        </w:tc>
      </w:tr>
      <w:tr w:rsidR="00C72BFB" w14:paraId="62ADEABB"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519DB" w14:textId="77777777" w:rsidR="00C72BFB" w:rsidRDefault="00C72BFB"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C72BFB" w14:paraId="02CD9F30" w14:textId="77777777" w:rsidTr="00626DAB">
        <w:tc>
          <w:tcPr>
            <w:tcW w:w="90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2F1A8" w14:textId="77777777" w:rsidR="00C72BFB" w:rsidRDefault="00C72BFB" w:rsidP="00BE12C1">
            <w:pPr>
              <w:rPr>
                <w:rFonts w:ascii="Arial Narrow" w:hAnsi="Arial Narrow"/>
                <w:b/>
                <w:bCs/>
                <w:color w:val="333333"/>
                <w:sz w:val="20"/>
                <w:szCs w:val="20"/>
              </w:rPr>
            </w:pPr>
            <w:r>
              <w:rPr>
                <w:rFonts w:ascii="Arial Narrow" w:hAnsi="Arial Narrow"/>
                <w:color w:val="333333"/>
                <w:sz w:val="20"/>
                <w:szCs w:val="20"/>
              </w:rPr>
              <w:t>Patient must have the number of migraine days per month documented in their medical records.</w:t>
            </w:r>
          </w:p>
        </w:tc>
      </w:tr>
    </w:tbl>
    <w:p w14:paraId="083520CE" w14:textId="35060267" w:rsidR="00EF6A1A" w:rsidRPr="002E760C" w:rsidRDefault="00EF6A1A" w:rsidP="002E760C">
      <w:pPr>
        <w:jc w:val="left"/>
        <w:rPr>
          <w:rFonts w:ascii="Arial Narrow" w:hAnsi="Arial Narrow"/>
          <w:sz w:val="18"/>
          <w:szCs w:val="18"/>
        </w:rPr>
      </w:pPr>
      <w:r w:rsidRPr="002E760C">
        <w:rPr>
          <w:rFonts w:ascii="Arial Narrow" w:hAnsi="Arial Narrow"/>
          <w:sz w:val="18"/>
          <w:szCs w:val="18"/>
        </w:rPr>
        <w:t>Source: Tables 1-8 to 1-10, pp10-12 of the submission, and Table 3-1, p102 of the submission.</w:t>
      </w:r>
    </w:p>
    <w:p w14:paraId="7213632C" w14:textId="2CBA4665" w:rsidR="00D85F8F" w:rsidRPr="00277996" w:rsidRDefault="000A341D" w:rsidP="00E53585">
      <w:pPr>
        <w:pStyle w:val="TableFigureFooter"/>
        <w:rPr>
          <w:iCs/>
        </w:rPr>
      </w:pPr>
      <w:r w:rsidRPr="00277996">
        <w:rPr>
          <w:iCs/>
        </w:rPr>
        <w:t xml:space="preserve">Effective DPMQs using the markups </w:t>
      </w:r>
      <w:r w:rsidR="00583362">
        <w:rPr>
          <w:iCs/>
        </w:rPr>
        <w:t xml:space="preserve">that applied from 1 July 2022 </w:t>
      </w:r>
      <w:r w:rsidRPr="00277996">
        <w:rPr>
          <w:iCs/>
        </w:rPr>
        <w:t xml:space="preserve">for initial and continuing criteria are </w:t>
      </w:r>
      <w:r w:rsidRPr="004D511B">
        <w:rPr>
          <w:iCs/>
        </w:rPr>
        <w:t>$</w:t>
      </w:r>
      <w:proofErr w:type="gramStart"/>
      <w:r w:rsidR="007A29C8" w:rsidRPr="00683FF6">
        <w:rPr>
          <w:iCs/>
          <w:color w:val="000000"/>
          <w:spacing w:val="22"/>
          <w:shd w:val="solid" w:color="000000" w:fill="000000"/>
          <w:fitText w:val="226" w:id="-1303650560"/>
          <w14:textFill>
            <w14:solidFill>
              <w14:srgbClr w14:val="000000">
                <w14:alpha w14:val="100000"/>
              </w14:srgbClr>
            </w14:solidFill>
          </w14:textFill>
        </w:rPr>
        <w:t xml:space="preserve">|  </w:t>
      </w:r>
      <w:r w:rsidR="007A29C8" w:rsidRPr="00683FF6">
        <w:rPr>
          <w:iCs/>
          <w:color w:val="000000"/>
          <w:spacing w:val="2"/>
          <w:shd w:val="solid" w:color="000000" w:fill="000000"/>
          <w:fitText w:val="226" w:id="-1303650560"/>
          <w14:textFill>
            <w14:solidFill>
              <w14:srgbClr w14:val="000000">
                <w14:alpha w14:val="100000"/>
              </w14:srgbClr>
            </w14:solidFill>
          </w14:textFill>
        </w:rPr>
        <w:t>|</w:t>
      </w:r>
      <w:proofErr w:type="gramEnd"/>
      <w:r w:rsidRPr="004D511B">
        <w:rPr>
          <w:iCs/>
        </w:rPr>
        <w:t xml:space="preserve"> and $</w:t>
      </w:r>
      <w:r w:rsidR="007A29C8" w:rsidRPr="00683FF6">
        <w:rPr>
          <w:iCs/>
          <w:color w:val="000000"/>
          <w:spacing w:val="22"/>
          <w:shd w:val="solid" w:color="000000" w:fill="000000"/>
          <w:fitText w:val="227" w:id="-1303650559"/>
          <w14:textFill>
            <w14:solidFill>
              <w14:srgbClr w14:val="000000">
                <w14:alpha w14:val="100000"/>
              </w14:srgbClr>
            </w14:solidFill>
          </w14:textFill>
        </w:rPr>
        <w:t xml:space="preserve">|  </w:t>
      </w:r>
      <w:r w:rsidR="007A29C8" w:rsidRPr="00683FF6">
        <w:rPr>
          <w:iCs/>
          <w:color w:val="000000"/>
          <w:spacing w:val="3"/>
          <w:shd w:val="solid" w:color="000000" w:fill="000000"/>
          <w:fitText w:val="227" w:id="-1303650559"/>
          <w14:textFill>
            <w14:solidFill>
              <w14:srgbClr w14:val="000000">
                <w14:alpha w14:val="100000"/>
              </w14:srgbClr>
            </w14:solidFill>
          </w14:textFill>
        </w:rPr>
        <w:t>|</w:t>
      </w:r>
      <w:r w:rsidRPr="004D511B">
        <w:rPr>
          <w:iCs/>
        </w:rPr>
        <w:t>,</w:t>
      </w:r>
      <w:r w:rsidRPr="00BD5CE7">
        <w:rPr>
          <w:iCs/>
        </w:rPr>
        <w:t xml:space="preserve"> respectively</w:t>
      </w:r>
      <w:r w:rsidRPr="00277996">
        <w:rPr>
          <w:iCs/>
        </w:rPr>
        <w:t xml:space="preserve">. </w:t>
      </w:r>
    </w:p>
    <w:p w14:paraId="3A8D4A92" w14:textId="08FAEACD" w:rsidR="002D0FE1" w:rsidRPr="00BA0166" w:rsidRDefault="002D0FE1" w:rsidP="00764F81">
      <w:pPr>
        <w:pStyle w:val="3-BodyText"/>
        <w:rPr>
          <w:color w:val="0066FF"/>
        </w:rPr>
      </w:pPr>
      <w:r w:rsidRPr="004E1049">
        <w:t>Th</w:t>
      </w:r>
      <w:r w:rsidR="00D97234">
        <w:t xml:space="preserve">e </w:t>
      </w:r>
      <w:r w:rsidRPr="004E1049">
        <w:t>submission requested a maximum quantity of one 225</w:t>
      </w:r>
      <w:r w:rsidR="00DC20EF">
        <w:t> </w:t>
      </w:r>
      <w:r w:rsidRPr="004E1049">
        <w:t xml:space="preserve">mg pre-filled syringe (or autoinjector pen) with </w:t>
      </w:r>
      <w:r w:rsidR="00B85078">
        <w:t>two</w:t>
      </w:r>
      <w:r w:rsidRPr="004E1049">
        <w:t xml:space="preserve"> repeats under the initial treatment restriction,</w:t>
      </w:r>
      <w:r w:rsidR="00F461C1">
        <w:t xml:space="preserve"> providing up to </w:t>
      </w:r>
      <w:r w:rsidR="002F555A">
        <w:t>3</w:t>
      </w:r>
      <w:r w:rsidR="00F461C1">
        <w:t xml:space="preserve"> months of treatment.</w:t>
      </w:r>
      <w:r w:rsidRPr="004E1049">
        <w:t xml:space="preserve"> </w:t>
      </w:r>
      <w:r w:rsidR="002F555A">
        <w:t xml:space="preserve">For the </w:t>
      </w:r>
      <w:r w:rsidR="002F555A" w:rsidRPr="004E1049">
        <w:t>continuing treatment restriction</w:t>
      </w:r>
      <w:r w:rsidR="002F555A">
        <w:t>, a</w:t>
      </w:r>
      <w:r w:rsidRPr="004E1049">
        <w:t xml:space="preserve"> maximum quantity of three 225</w:t>
      </w:r>
      <w:r w:rsidR="00DC20EF">
        <w:t> </w:t>
      </w:r>
      <w:r w:rsidRPr="004E1049">
        <w:t xml:space="preserve">mg pre-filled syringes (or autoinjector pens) with one repeat </w:t>
      </w:r>
      <w:r w:rsidR="002F555A">
        <w:t>w</w:t>
      </w:r>
      <w:r w:rsidR="00A80C39">
        <w:t>as</w:t>
      </w:r>
      <w:r w:rsidR="002F555A">
        <w:t xml:space="preserve"> requested, providing up to 6 months of treatment</w:t>
      </w:r>
      <w:r w:rsidRPr="004E1049">
        <w:t>.</w:t>
      </w:r>
      <w:r w:rsidR="001C0FBE">
        <w:t xml:space="preserve"> </w:t>
      </w:r>
      <w:r w:rsidR="001C0FBE" w:rsidRPr="00277996">
        <w:rPr>
          <w:iCs/>
        </w:rPr>
        <w:t>This is consistent with the current fremanezumab listing for chronic migraine, and the recommend</w:t>
      </w:r>
      <w:r w:rsidR="00762C26" w:rsidRPr="00277996">
        <w:rPr>
          <w:iCs/>
        </w:rPr>
        <w:t xml:space="preserve">ations made by the PBAC </w:t>
      </w:r>
      <w:r w:rsidR="001647DE" w:rsidRPr="00277996">
        <w:rPr>
          <w:iCs/>
        </w:rPr>
        <w:t xml:space="preserve">for fremanezumab </w:t>
      </w:r>
      <w:r w:rsidR="0058713A">
        <w:rPr>
          <w:iCs/>
        </w:rPr>
        <w:t xml:space="preserve">(quarterly dosing) </w:t>
      </w:r>
      <w:r w:rsidR="00762C26" w:rsidRPr="00277996">
        <w:rPr>
          <w:iCs/>
        </w:rPr>
        <w:t>in March 2022</w:t>
      </w:r>
      <w:r w:rsidR="001C0FBE" w:rsidRPr="00277996">
        <w:rPr>
          <w:iCs/>
        </w:rPr>
        <w:t xml:space="preserve">. </w:t>
      </w:r>
    </w:p>
    <w:p w14:paraId="0EF8279C" w14:textId="55837582" w:rsidR="002E530B" w:rsidRPr="00277996" w:rsidRDefault="00855163" w:rsidP="009E78F7">
      <w:pPr>
        <w:pStyle w:val="3-BodyText"/>
        <w:rPr>
          <w:iCs/>
        </w:rPr>
      </w:pPr>
      <w:r w:rsidRPr="00654900">
        <w:t xml:space="preserve">Fremanezumab is currently subject to a Special Pricing Arrangement </w:t>
      </w:r>
      <w:r w:rsidR="00924A60">
        <w:t xml:space="preserve">(SPA) </w:t>
      </w:r>
      <w:r w:rsidR="00654900" w:rsidRPr="00654900">
        <w:t xml:space="preserve">for chronic migraine, </w:t>
      </w:r>
      <w:r w:rsidRPr="00654900">
        <w:t xml:space="preserve">with </w:t>
      </w:r>
      <w:r w:rsidR="005D02AB">
        <w:t>a</w:t>
      </w:r>
      <w:r w:rsidR="005D02AB" w:rsidRPr="00654900">
        <w:t xml:space="preserve"> </w:t>
      </w:r>
      <w:r w:rsidRPr="00654900">
        <w:t>published</w:t>
      </w:r>
      <w:r w:rsidR="006467E5">
        <w:t xml:space="preserve"> </w:t>
      </w:r>
      <w:r w:rsidR="00AC1CDE">
        <w:t>Approved</w:t>
      </w:r>
      <w:r w:rsidR="006467E5">
        <w:t xml:space="preserve"> </w:t>
      </w:r>
      <w:r w:rsidR="00AC1CDE">
        <w:t>Ex-</w:t>
      </w:r>
      <w:r w:rsidR="00CC7A38">
        <w:t>M</w:t>
      </w:r>
      <w:r w:rsidR="00AC1CDE">
        <w:t xml:space="preserve">anufacturer </w:t>
      </w:r>
      <w:r w:rsidR="00CC7A38">
        <w:t>P</w:t>
      </w:r>
      <w:r w:rsidR="00AC1CDE">
        <w:t>rice</w:t>
      </w:r>
      <w:r w:rsidR="006467E5">
        <w:t xml:space="preserve"> </w:t>
      </w:r>
      <w:r w:rsidR="00AC1CDE">
        <w:t>(</w:t>
      </w:r>
      <w:r w:rsidRPr="00654900">
        <w:t>AEMP</w:t>
      </w:r>
      <w:r w:rsidR="00AC1CDE">
        <w:t>)</w:t>
      </w:r>
      <w:r w:rsidRPr="00654900">
        <w:t xml:space="preserve"> </w:t>
      </w:r>
      <w:r w:rsidRPr="004D511B">
        <w:t xml:space="preserve">of $488.89 </w:t>
      </w:r>
      <w:r w:rsidR="0021280F" w:rsidRPr="004D511B">
        <w:t>(</w:t>
      </w:r>
      <w:r w:rsidR="006467E5" w:rsidRPr="004D511B">
        <w:t xml:space="preserve">published </w:t>
      </w:r>
      <w:r w:rsidR="0040491B" w:rsidRPr="004D511B">
        <w:t>Dispensed Price for Maximum Quantity (DPMQ)</w:t>
      </w:r>
      <w:r w:rsidR="0021280F" w:rsidRPr="004D511B">
        <w:t xml:space="preserve"> of </w:t>
      </w:r>
      <w:r w:rsidR="006467E5" w:rsidRPr="004D511B">
        <w:t>$559.07</w:t>
      </w:r>
      <w:r w:rsidR="0021280F" w:rsidRPr="004D511B">
        <w:t>)</w:t>
      </w:r>
      <w:r w:rsidR="00700C3C">
        <w:t>.</w:t>
      </w:r>
      <w:r w:rsidR="0021280F" w:rsidRPr="004D511B">
        <w:t xml:space="preserve"> </w:t>
      </w:r>
      <w:r w:rsidR="0058713A" w:rsidRPr="00130995">
        <w:t>The proposed published D</w:t>
      </w:r>
      <w:r w:rsidR="005F7B60" w:rsidRPr="00130995">
        <w:t>PM</w:t>
      </w:r>
      <w:r w:rsidR="0058713A" w:rsidRPr="00130995">
        <w:t>Q for the quarterly dose listing for patients on continuing treatment (675</w:t>
      </w:r>
      <w:r w:rsidR="00DC20EF" w:rsidRPr="00130995">
        <w:t> </w:t>
      </w:r>
      <w:r w:rsidR="0058713A" w:rsidRPr="00130995">
        <w:t>mg, given as 3 x 225</w:t>
      </w:r>
      <w:r w:rsidR="00DC20EF" w:rsidRPr="00130995">
        <w:t> </w:t>
      </w:r>
      <w:r w:rsidR="0058713A" w:rsidRPr="00130995">
        <w:t>mg injections)</w:t>
      </w:r>
      <w:r w:rsidR="0058713A" w:rsidRPr="00130995">
        <w:rPr>
          <w:iCs/>
        </w:rPr>
        <w:t xml:space="preserve"> </w:t>
      </w:r>
      <w:r w:rsidR="0058713A" w:rsidRPr="00130995">
        <w:t>is $</w:t>
      </w:r>
      <w:r w:rsidR="00130995" w:rsidRPr="004D511B">
        <w:t>1603.93</w:t>
      </w:r>
      <w:r w:rsidR="0058713A" w:rsidRPr="00130995">
        <w:t>.</w:t>
      </w:r>
      <w:r w:rsidR="0058713A">
        <w:t xml:space="preserve"> </w:t>
      </w:r>
    </w:p>
    <w:p w14:paraId="5C763A0D" w14:textId="26D47A18" w:rsidR="001D0800" w:rsidRPr="007B6175" w:rsidRDefault="001D0800" w:rsidP="001D0800">
      <w:pPr>
        <w:pStyle w:val="ExecSumBodyText"/>
        <w:numPr>
          <w:ilvl w:val="1"/>
          <w:numId w:val="1"/>
        </w:numPr>
        <w:ind w:left="720"/>
      </w:pPr>
      <w:r w:rsidRPr="00B663F3">
        <w:t>The proposed restriction includes patients with treatment-resistant chronic and high frequency episodic migraine and would replace the current chronic migraine listing</w:t>
      </w:r>
      <w:r w:rsidRPr="007B6175">
        <w:rPr>
          <w:i/>
        </w:rPr>
        <w:t>.</w:t>
      </w:r>
    </w:p>
    <w:p w14:paraId="483E5702" w14:textId="4F40D173" w:rsidR="0019234B" w:rsidRPr="0019234B" w:rsidRDefault="0019234B" w:rsidP="001C00ED">
      <w:pPr>
        <w:pStyle w:val="3-BodyText"/>
      </w:pPr>
      <w:r w:rsidRPr="0019234B">
        <w:t xml:space="preserve">The PBAC </w:t>
      </w:r>
      <w:r>
        <w:t xml:space="preserve">previously </w:t>
      </w:r>
      <w:r w:rsidRPr="0019234B">
        <w:t xml:space="preserve">considered </w:t>
      </w:r>
      <w:r>
        <w:t xml:space="preserve">that </w:t>
      </w:r>
      <w:r w:rsidRPr="0019234B">
        <w:t xml:space="preserve">it would be appropriate to </w:t>
      </w:r>
      <w:r w:rsidR="00DD3050">
        <w:t xml:space="preserve">amend the phrase ‘migraine days’ to </w:t>
      </w:r>
      <w:r w:rsidRPr="0019234B">
        <w:t xml:space="preserve">‘migraine headache days’ </w:t>
      </w:r>
      <w:r w:rsidR="00DD3050">
        <w:t>in the restriction for galcanezumab</w:t>
      </w:r>
      <w:r w:rsidRPr="0019234B">
        <w:t xml:space="preserve"> in </w:t>
      </w:r>
      <w:r w:rsidRPr="0019234B">
        <w:lastRenderedPageBreak/>
        <w:t xml:space="preserve">order to align </w:t>
      </w:r>
      <w:r w:rsidR="00DD3050">
        <w:t xml:space="preserve">the clinical criteria </w:t>
      </w:r>
      <w:r w:rsidRPr="0019234B">
        <w:t>with the definitions used in the CONQUER trial</w:t>
      </w:r>
      <w:r>
        <w:t xml:space="preserve"> (para 3.5, Ga</w:t>
      </w:r>
      <w:r w:rsidR="004215DD">
        <w:t>l</w:t>
      </w:r>
      <w:r>
        <w:t xml:space="preserve">canezumab PSD, March 2022 PBAC meeting). </w:t>
      </w:r>
      <w:r w:rsidR="00DA64D3" w:rsidRPr="001B1D5F">
        <w:rPr>
          <w:iCs/>
        </w:rPr>
        <w:t>T</w:t>
      </w:r>
      <w:r w:rsidRPr="001B1D5F">
        <w:rPr>
          <w:iCs/>
        </w:rPr>
        <w:t xml:space="preserve">he proposed restriction criteria </w:t>
      </w:r>
      <w:r w:rsidR="00DA64D3" w:rsidRPr="001B1D5F">
        <w:rPr>
          <w:iCs/>
        </w:rPr>
        <w:t>include</w:t>
      </w:r>
      <w:r w:rsidR="00A52012" w:rsidRPr="001B1D5F">
        <w:rPr>
          <w:iCs/>
        </w:rPr>
        <w:t>d</w:t>
      </w:r>
      <w:r w:rsidRPr="001B1D5F">
        <w:rPr>
          <w:iCs/>
        </w:rPr>
        <w:t xml:space="preserve"> </w:t>
      </w:r>
      <w:r w:rsidR="004A134E" w:rsidRPr="001B1D5F">
        <w:rPr>
          <w:iCs/>
        </w:rPr>
        <w:t>the phrase ‘</w:t>
      </w:r>
      <w:r w:rsidRPr="001B1D5F">
        <w:rPr>
          <w:iCs/>
        </w:rPr>
        <w:t xml:space="preserve">migraine headache </w:t>
      </w:r>
      <w:proofErr w:type="gramStart"/>
      <w:r w:rsidRPr="001B1D5F">
        <w:rPr>
          <w:iCs/>
        </w:rPr>
        <w:t>days</w:t>
      </w:r>
      <w:r w:rsidR="004A134E" w:rsidRPr="001B1D5F">
        <w:rPr>
          <w:iCs/>
        </w:rPr>
        <w:t>’</w:t>
      </w:r>
      <w:proofErr w:type="gramEnd"/>
      <w:r w:rsidR="00033A63" w:rsidRPr="001B1D5F">
        <w:rPr>
          <w:iCs/>
        </w:rPr>
        <w:t>.</w:t>
      </w:r>
      <w:r w:rsidR="004A134E" w:rsidRPr="001B1D5F">
        <w:rPr>
          <w:iCs/>
        </w:rPr>
        <w:t xml:space="preserve"> While this is </w:t>
      </w:r>
      <w:r w:rsidRPr="001B1D5F">
        <w:rPr>
          <w:iCs/>
        </w:rPr>
        <w:t>consistent with the galcanezumab submission</w:t>
      </w:r>
      <w:r w:rsidR="004A134E" w:rsidRPr="001B1D5F">
        <w:rPr>
          <w:iCs/>
        </w:rPr>
        <w:t xml:space="preserve">, </w:t>
      </w:r>
      <w:r w:rsidR="00700C3C">
        <w:rPr>
          <w:iCs/>
        </w:rPr>
        <w:t xml:space="preserve">the evaluation noted </w:t>
      </w:r>
      <w:r w:rsidR="004A134E" w:rsidRPr="001B1D5F">
        <w:rPr>
          <w:iCs/>
        </w:rPr>
        <w:t>it is not consistent with the evidence presented in the submission for fremanezumab</w:t>
      </w:r>
      <w:r w:rsidR="00DA64D3" w:rsidRPr="001B1D5F">
        <w:rPr>
          <w:iCs/>
        </w:rPr>
        <w:t xml:space="preserve"> where the primary outcome in the FOCUS trial </w:t>
      </w:r>
      <w:proofErr w:type="gramStart"/>
      <w:r w:rsidR="00DA64D3" w:rsidRPr="001B1D5F">
        <w:rPr>
          <w:iCs/>
        </w:rPr>
        <w:t xml:space="preserve">was the change from baseline in the number of </w:t>
      </w:r>
      <w:r w:rsidR="007F5EDA" w:rsidRPr="001B1D5F">
        <w:rPr>
          <w:iCs/>
        </w:rPr>
        <w:t xml:space="preserve">monthly </w:t>
      </w:r>
      <w:r w:rsidR="00DA64D3" w:rsidRPr="001B1D5F">
        <w:rPr>
          <w:iCs/>
        </w:rPr>
        <w:t>migraine days</w:t>
      </w:r>
      <w:proofErr w:type="gramEnd"/>
      <w:r w:rsidRPr="001B1D5F">
        <w:rPr>
          <w:iCs/>
        </w:rPr>
        <w:t xml:space="preserve">. </w:t>
      </w:r>
      <w:r w:rsidR="00CA5918">
        <w:t>The PBAC noted the difference in terminology</w:t>
      </w:r>
      <w:r w:rsidR="005F7B60">
        <w:t xml:space="preserve">; however, </w:t>
      </w:r>
      <w:r w:rsidR="00CA5918">
        <w:t xml:space="preserve">considered it would be appropriate to use the phrase ‘migraine headache days’ in the </w:t>
      </w:r>
      <w:r w:rsidR="005F7B60">
        <w:t xml:space="preserve">fremanezumab </w:t>
      </w:r>
      <w:r w:rsidR="00CA5918">
        <w:t xml:space="preserve">restriction </w:t>
      </w:r>
      <w:r w:rsidR="00924A60">
        <w:t xml:space="preserve">in order </w:t>
      </w:r>
      <w:r w:rsidR="00CA5918">
        <w:t xml:space="preserve">to align the terminology with that recommended for galcanezumab. </w:t>
      </w:r>
    </w:p>
    <w:p w14:paraId="7075B85C" w14:textId="62A47B7B" w:rsidR="00B50DB8" w:rsidRPr="00407F2D" w:rsidDel="00195452" w:rsidRDefault="00203181" w:rsidP="004E18E9">
      <w:pPr>
        <w:pStyle w:val="2-SectionHeading"/>
      </w:pPr>
      <w:bookmarkStart w:id="15" w:name="_Toc107927623"/>
      <w:bookmarkStart w:id="16" w:name="_Toc114059203"/>
      <w:r w:rsidDel="00195452">
        <w:t xml:space="preserve">Population and </w:t>
      </w:r>
      <w:r w:rsidR="008E0D3C" w:rsidDel="00195452">
        <w:t>d</w:t>
      </w:r>
      <w:r w:rsidDel="00195452">
        <w:t>isease</w:t>
      </w:r>
      <w:bookmarkEnd w:id="15"/>
      <w:bookmarkEnd w:id="16"/>
    </w:p>
    <w:p w14:paraId="410E0AD4" w14:textId="7330E58A" w:rsidR="0016246C" w:rsidRDefault="0016246C" w:rsidP="004E18E9">
      <w:pPr>
        <w:pStyle w:val="3-BodyText"/>
      </w:pPr>
      <w:r w:rsidRPr="0016246C">
        <w:t xml:space="preserve">Migraine is a </w:t>
      </w:r>
      <w:r>
        <w:t>distinct</w:t>
      </w:r>
      <w:r w:rsidRPr="0016246C">
        <w:t xml:space="preserve"> neurological condition characterised by recurrent episodes of headache </w:t>
      </w:r>
      <w:r w:rsidR="00636726">
        <w:t>that</w:t>
      </w:r>
      <w:r w:rsidRPr="0016246C">
        <w:t xml:space="preserve"> are typically unilateral, pulsating, and associated with moderate or severe pain. The headaches </w:t>
      </w:r>
      <w:r>
        <w:t>could be</w:t>
      </w:r>
      <w:r w:rsidRPr="0016246C">
        <w:t xml:space="preserve"> exacerbated by routine physical activity and are often associated with other symptoms such as photophobia, phonophobia, nausea, and vomiting. Migraine episodes can significantly impair functional ability at work or school, at home, and in social situations (American Headache Society Consensus Statement 2018).</w:t>
      </w:r>
    </w:p>
    <w:p w14:paraId="79C9C69A" w14:textId="7379D852" w:rsidR="000D59DE" w:rsidRPr="000D59DE" w:rsidRDefault="0016246C" w:rsidP="000D59DE">
      <w:pPr>
        <w:pStyle w:val="3-BodyText"/>
        <w:rPr>
          <w:iCs/>
        </w:rPr>
      </w:pPr>
      <w:r w:rsidRPr="0016246C">
        <w:t xml:space="preserve">The submission positioned </w:t>
      </w:r>
      <w:r>
        <w:t>frem</w:t>
      </w:r>
      <w:r w:rsidRPr="0016246C">
        <w:t xml:space="preserve">anezumab as an </w:t>
      </w:r>
      <w:r>
        <w:t>additional option</w:t>
      </w:r>
      <w:r w:rsidRPr="0016246C">
        <w:t xml:space="preserve"> to </w:t>
      </w:r>
      <w:r>
        <w:t>galcanezumab</w:t>
      </w:r>
      <w:r w:rsidRPr="0016246C">
        <w:t xml:space="preserve"> for use in patients with </w:t>
      </w:r>
      <w:proofErr w:type="gramStart"/>
      <w:r w:rsidR="00636726">
        <w:t>treatment-resistant</w:t>
      </w:r>
      <w:proofErr w:type="gramEnd"/>
      <w:r w:rsidR="00636726">
        <w:t xml:space="preserve"> </w:t>
      </w:r>
      <w:r w:rsidR="00654DC3">
        <w:t>HFEM</w:t>
      </w:r>
      <w:r>
        <w:t xml:space="preserve">. </w:t>
      </w:r>
      <w:r w:rsidR="004418B2">
        <w:t xml:space="preserve">This subgroup </w:t>
      </w:r>
      <w:r w:rsidR="004E1F0E">
        <w:t>has been</w:t>
      </w:r>
      <w:r w:rsidR="004418B2">
        <w:t xml:space="preserve"> previously considered by the PBAC (para 7.1, Galcanezumab PSD, March 2022 PBAC meeting).</w:t>
      </w:r>
      <w:r w:rsidR="00D668CA">
        <w:t xml:space="preserve"> </w:t>
      </w:r>
      <w:r w:rsidR="00D668CA" w:rsidRPr="00277996">
        <w:rPr>
          <w:iCs/>
        </w:rPr>
        <w:t>I</w:t>
      </w:r>
      <w:r w:rsidR="008B39F4" w:rsidRPr="00277996">
        <w:rPr>
          <w:iCs/>
        </w:rPr>
        <w:t>t is unclear whether HFEM represent</w:t>
      </w:r>
      <w:r w:rsidR="00610E7F" w:rsidRPr="00277996">
        <w:rPr>
          <w:iCs/>
        </w:rPr>
        <w:t>s</w:t>
      </w:r>
      <w:r w:rsidR="008B39F4" w:rsidRPr="00277996">
        <w:rPr>
          <w:iCs/>
        </w:rPr>
        <w:t xml:space="preserve"> a clinically distinct subgroup of migraine. </w:t>
      </w:r>
      <w:r w:rsidR="000D59DE" w:rsidRPr="000D59DE">
        <w:rPr>
          <w:iCs/>
        </w:rPr>
        <w:t>I</w:t>
      </w:r>
      <w:r w:rsidR="008C0FED">
        <w:rPr>
          <w:iCs/>
        </w:rPr>
        <w:t>n some cases</w:t>
      </w:r>
      <w:r w:rsidR="00E117EE">
        <w:rPr>
          <w:iCs/>
        </w:rPr>
        <w:t>,</w:t>
      </w:r>
      <w:r w:rsidR="008C0FED">
        <w:rPr>
          <w:iCs/>
        </w:rPr>
        <w:t xml:space="preserve"> i</w:t>
      </w:r>
      <w:r w:rsidR="000D59DE" w:rsidRPr="000D59DE">
        <w:rPr>
          <w:iCs/>
        </w:rPr>
        <w:t>t may not be possible to make a definitive diagnosis separating HFEM patients from the episodic migraine population due to the subjective nature of migraine diagnosis and severity, increasing the chance of use in patients with less frequent migraine. The PBAC considered that there would be a risk of use outside the restriction as the HFEM population may not be well defined.</w:t>
      </w:r>
    </w:p>
    <w:p w14:paraId="0A7260C9" w14:textId="7D6D0C26" w:rsidR="004418B2" w:rsidRDefault="002755B3" w:rsidP="004E18E9">
      <w:pPr>
        <w:pStyle w:val="3-BodyText"/>
      </w:pPr>
      <w:r>
        <w:t>Frem</w:t>
      </w:r>
      <w:r w:rsidRPr="002755B3">
        <w:t>anezumab is a humanised monoclonal antibody that binds the calcitonin gene-related peptide</w:t>
      </w:r>
      <w:r>
        <w:t xml:space="preserve">. </w:t>
      </w:r>
      <w:r w:rsidR="008F33CD" w:rsidRPr="008F33CD">
        <w:t xml:space="preserve">The recommended dose of </w:t>
      </w:r>
      <w:r w:rsidR="008F33CD">
        <w:t>frem</w:t>
      </w:r>
      <w:r w:rsidR="008F33CD" w:rsidRPr="008F33CD">
        <w:t>anezumab is</w:t>
      </w:r>
      <w:r w:rsidR="008F33CD">
        <w:t xml:space="preserve"> </w:t>
      </w:r>
      <w:r w:rsidR="00DC20EF" w:rsidRPr="00B93D22">
        <w:t>225</w:t>
      </w:r>
      <w:r w:rsidR="00DC20EF">
        <w:t> </w:t>
      </w:r>
      <w:r w:rsidR="00B93D22" w:rsidRPr="00B93D22">
        <w:t xml:space="preserve">mg monthly </w:t>
      </w:r>
      <w:r w:rsidR="00481AB9">
        <w:t xml:space="preserve">(FREM M) </w:t>
      </w:r>
      <w:r w:rsidR="00B93D22" w:rsidRPr="00B93D22">
        <w:t>or 675</w:t>
      </w:r>
      <w:r w:rsidR="00DC20EF">
        <w:t> </w:t>
      </w:r>
      <w:r w:rsidR="00B93D22" w:rsidRPr="00B93D22">
        <w:t xml:space="preserve">mg every three months </w:t>
      </w:r>
      <w:r w:rsidR="00481AB9">
        <w:t xml:space="preserve">(FREM Q) </w:t>
      </w:r>
      <w:r w:rsidR="00B93D22" w:rsidRPr="00B93D22">
        <w:t>by subcutaneous injection</w:t>
      </w:r>
      <w:r w:rsidR="00B93D22">
        <w:t>.</w:t>
      </w:r>
    </w:p>
    <w:p w14:paraId="0EA305CA" w14:textId="77777777" w:rsidR="000D59DE" w:rsidRPr="00277996" w:rsidRDefault="000D59DE" w:rsidP="000D59DE">
      <w:pPr>
        <w:pStyle w:val="3-BodyText"/>
        <w:numPr>
          <w:ilvl w:val="0"/>
          <w:numId w:val="0"/>
        </w:numPr>
        <w:ind w:left="720"/>
        <w:rPr>
          <w:iCs/>
        </w:rPr>
      </w:pPr>
      <w:r w:rsidRPr="00C33D30">
        <w:rPr>
          <w:i/>
        </w:rPr>
        <w:t>For more detail on PBAC’s view, see section 7 PBAC outcome.</w:t>
      </w:r>
    </w:p>
    <w:p w14:paraId="51E5AE96" w14:textId="136A63B1" w:rsidR="00B50DB8" w:rsidRPr="00407F2D" w:rsidRDefault="00B50DB8" w:rsidP="004E18E9">
      <w:pPr>
        <w:pStyle w:val="2-SectionHeading"/>
      </w:pPr>
      <w:bookmarkStart w:id="17" w:name="_Toc107927624"/>
      <w:bookmarkStart w:id="18" w:name="_Toc114059204"/>
      <w:r w:rsidRPr="00407F2D">
        <w:t>Comparator</w:t>
      </w:r>
      <w:bookmarkEnd w:id="17"/>
      <w:bookmarkEnd w:id="18"/>
    </w:p>
    <w:p w14:paraId="1AB156B1" w14:textId="298E3D91" w:rsidR="00033A63" w:rsidRDefault="00C71994" w:rsidP="00D15C26">
      <w:pPr>
        <w:pStyle w:val="3-BodyText"/>
        <w:numPr>
          <w:ilvl w:val="1"/>
          <w:numId w:val="5"/>
        </w:numPr>
        <w:ind w:left="720"/>
        <w:rPr>
          <w:snapToGrid/>
          <w:lang w:val="en-US"/>
        </w:rPr>
      </w:pPr>
      <w:r w:rsidRPr="00E117EE">
        <w:rPr>
          <w:snapToGrid/>
          <w:lang w:val="en-US"/>
        </w:rPr>
        <w:t>The submission nominated galcanezumab as the main comparator</w:t>
      </w:r>
      <w:r w:rsidR="00ED3E1C" w:rsidRPr="00E117EE">
        <w:rPr>
          <w:snapToGrid/>
          <w:lang w:val="en-US"/>
        </w:rPr>
        <w:t xml:space="preserve"> because </w:t>
      </w:r>
      <w:r w:rsidR="000F3D16" w:rsidRPr="00E117EE">
        <w:rPr>
          <w:snapToGrid/>
          <w:lang w:val="en-US"/>
        </w:rPr>
        <w:t xml:space="preserve">it </w:t>
      </w:r>
      <w:proofErr w:type="gramStart"/>
      <w:r w:rsidR="007C3408" w:rsidRPr="00E117EE">
        <w:rPr>
          <w:snapToGrid/>
          <w:lang w:val="en-US"/>
        </w:rPr>
        <w:t>was</w:t>
      </w:r>
      <w:r w:rsidR="000F3D16" w:rsidRPr="00E117EE">
        <w:rPr>
          <w:snapToGrid/>
          <w:lang w:val="en-US"/>
        </w:rPr>
        <w:t xml:space="preserve"> recommended</w:t>
      </w:r>
      <w:proofErr w:type="gramEnd"/>
      <w:r w:rsidR="000F3D16" w:rsidRPr="00E117EE">
        <w:rPr>
          <w:snapToGrid/>
          <w:lang w:val="en-US"/>
        </w:rPr>
        <w:t xml:space="preserve"> </w:t>
      </w:r>
      <w:r w:rsidR="004D2F87" w:rsidRPr="00E117EE">
        <w:rPr>
          <w:snapToGrid/>
          <w:lang w:val="en-US"/>
        </w:rPr>
        <w:t xml:space="preserve">by the PBAC </w:t>
      </w:r>
      <w:r w:rsidR="000F3D16" w:rsidRPr="00E117EE">
        <w:rPr>
          <w:snapToGrid/>
          <w:lang w:val="en-US"/>
        </w:rPr>
        <w:t>for the proposed population (para 7.1, Galcanezumab PSD, March 2022 PBAC meeting)</w:t>
      </w:r>
      <w:r w:rsidRPr="00E117EE">
        <w:rPr>
          <w:snapToGrid/>
          <w:lang w:val="en-US"/>
        </w:rPr>
        <w:t xml:space="preserve">. </w:t>
      </w:r>
      <w:r w:rsidR="007A0A51" w:rsidRPr="00E117EE">
        <w:rPr>
          <w:iCs/>
          <w:snapToGrid/>
          <w:lang w:val="en-US"/>
        </w:rPr>
        <w:t>Th</w:t>
      </w:r>
      <w:r w:rsidR="00E47A3D" w:rsidRPr="00E117EE">
        <w:rPr>
          <w:iCs/>
          <w:snapToGrid/>
          <w:lang w:val="en-US"/>
        </w:rPr>
        <w:t xml:space="preserve">e </w:t>
      </w:r>
      <w:r w:rsidR="00E117EE">
        <w:rPr>
          <w:iCs/>
          <w:snapToGrid/>
          <w:lang w:val="en-US"/>
        </w:rPr>
        <w:t>PBAC agreed with the ESC that galcanezumab was the appropriate comparator</w:t>
      </w:r>
      <w:r w:rsidR="00BE3793">
        <w:rPr>
          <w:iCs/>
          <w:snapToGrid/>
          <w:lang w:val="en-US"/>
        </w:rPr>
        <w:t>, although the PBAC noted it was not currently PBS listed for the proposed population</w:t>
      </w:r>
      <w:r w:rsidR="001A22D1" w:rsidRPr="00E117EE">
        <w:rPr>
          <w:snapToGrid/>
          <w:lang w:val="en-US"/>
        </w:rPr>
        <w:t xml:space="preserve">. </w:t>
      </w:r>
    </w:p>
    <w:p w14:paraId="254F10A4" w14:textId="384743ED" w:rsidR="00654DC3" w:rsidRPr="00E117EE" w:rsidRDefault="00ED016A" w:rsidP="00D15C26">
      <w:pPr>
        <w:pStyle w:val="3-BodyText"/>
        <w:numPr>
          <w:ilvl w:val="1"/>
          <w:numId w:val="5"/>
        </w:numPr>
        <w:ind w:left="720"/>
        <w:rPr>
          <w:snapToGrid/>
          <w:lang w:val="en-US"/>
        </w:rPr>
      </w:pPr>
      <w:r w:rsidRPr="00E117EE">
        <w:rPr>
          <w:snapToGrid/>
          <w:lang w:val="en-US"/>
        </w:rPr>
        <w:lastRenderedPageBreak/>
        <w:t>The PBAC previously considered fremanezumab and galcanezumab to be non-inferior in terms of safety and efficacy for patients with chronic migraine (para 7.4, Fremanezumab PSD, November 2019 PBAC meeting).</w:t>
      </w:r>
    </w:p>
    <w:p w14:paraId="5331FAB6" w14:textId="1D990D94" w:rsidR="009D7BE5" w:rsidRDefault="009D7BE5" w:rsidP="009D7BE5">
      <w:pPr>
        <w:pStyle w:val="3-BodyText"/>
        <w:numPr>
          <w:ilvl w:val="0"/>
          <w:numId w:val="0"/>
        </w:numPr>
        <w:ind w:left="720"/>
        <w:rPr>
          <w:snapToGrid/>
          <w:lang w:val="en-US"/>
        </w:rPr>
      </w:pPr>
      <w:r w:rsidRPr="00C33D30">
        <w:rPr>
          <w:i/>
        </w:rPr>
        <w:t>For more detail on PBAC’s view, see section 7 PBAC outcome.</w:t>
      </w:r>
    </w:p>
    <w:p w14:paraId="5AE042D1" w14:textId="77777777" w:rsidR="00BC4E63" w:rsidRPr="00407F2D" w:rsidRDefault="00BC4E63" w:rsidP="00033A63">
      <w:pPr>
        <w:pStyle w:val="2-SectionHeading"/>
      </w:pPr>
      <w:bookmarkStart w:id="19" w:name="_Toc107927625"/>
      <w:bookmarkStart w:id="20" w:name="_Toc114059205"/>
      <w:bookmarkStart w:id="21" w:name="_Toc22897640"/>
      <w:r>
        <w:t>C</w:t>
      </w:r>
      <w:r w:rsidRPr="00407F2D">
        <w:t>onsideration of the evidence</w:t>
      </w:r>
      <w:bookmarkEnd w:id="19"/>
      <w:bookmarkEnd w:id="20"/>
    </w:p>
    <w:p w14:paraId="2B1DBD41" w14:textId="77777777" w:rsidR="00C4682E" w:rsidRPr="006E1229" w:rsidRDefault="00C4682E" w:rsidP="00DA57BA">
      <w:pPr>
        <w:pStyle w:val="4-SubsectionHeading"/>
      </w:pPr>
      <w:bookmarkStart w:id="22" w:name="_Hlk76375935"/>
      <w:bookmarkStart w:id="23" w:name="_Toc107927626"/>
      <w:bookmarkStart w:id="24" w:name="_Toc114059206"/>
      <w:r w:rsidRPr="006E1229">
        <w:t>Sponsor hearing</w:t>
      </w:r>
    </w:p>
    <w:p w14:paraId="1D40C398" w14:textId="5041A95E" w:rsidR="00C4682E" w:rsidRPr="00F91542" w:rsidRDefault="00C4682E" w:rsidP="00033A63">
      <w:pPr>
        <w:pStyle w:val="3-BodyText"/>
        <w:rPr>
          <w:rFonts w:cs="Calibri"/>
          <w:bCs/>
        </w:rPr>
      </w:pPr>
      <w:r w:rsidRPr="00F91542">
        <w:rPr>
          <w:rFonts w:cs="Calibri"/>
          <w:bCs/>
        </w:rPr>
        <w:t>There was no hearing for this item.</w:t>
      </w:r>
    </w:p>
    <w:p w14:paraId="0080E522" w14:textId="77777777" w:rsidR="00C4682E" w:rsidRPr="006E1229" w:rsidRDefault="00C4682E" w:rsidP="00DA57BA">
      <w:pPr>
        <w:pStyle w:val="4-SubsectionHeading"/>
      </w:pPr>
      <w:r w:rsidRPr="006E1229">
        <w:t>Consumer comments</w:t>
      </w:r>
    </w:p>
    <w:p w14:paraId="5A3A0C45" w14:textId="68F2E9AD" w:rsidR="00C4682E" w:rsidRPr="00836F75" w:rsidRDefault="00C4682E" w:rsidP="00033A63">
      <w:pPr>
        <w:pStyle w:val="3-BodyText"/>
      </w:pPr>
      <w:bookmarkStart w:id="25" w:name="_Hlk76382618"/>
      <w:r>
        <w:t>The PBAC noted that no consumer comments were received for this item</w:t>
      </w:r>
      <w:r w:rsidR="00C21951">
        <w:t xml:space="preserve"> but recalled the comments received previously regarding this population (para 7.2, </w:t>
      </w:r>
      <w:r w:rsidR="00E117EE">
        <w:t>G</w:t>
      </w:r>
      <w:r w:rsidR="00C21951">
        <w:t>alcanezumab PSD, March 2022 PBAC meeting)</w:t>
      </w:r>
      <w:r>
        <w:t>.</w:t>
      </w:r>
    </w:p>
    <w:bookmarkEnd w:id="22"/>
    <w:bookmarkEnd w:id="25"/>
    <w:p w14:paraId="687020F8" w14:textId="77777777" w:rsidR="00BC4E63" w:rsidRPr="00C9624D" w:rsidRDefault="00BC4E63" w:rsidP="00BC4E63">
      <w:pPr>
        <w:pStyle w:val="4-SubsectionHeading"/>
      </w:pPr>
      <w:r w:rsidRPr="00C9624D">
        <w:t>Clinical trials</w:t>
      </w:r>
      <w:bookmarkEnd w:id="21"/>
      <w:bookmarkEnd w:id="23"/>
      <w:bookmarkEnd w:id="24"/>
    </w:p>
    <w:p w14:paraId="20633A58" w14:textId="77777777" w:rsidR="00BE3793" w:rsidRPr="002B082B" w:rsidRDefault="00BE3793" w:rsidP="00BE3793">
      <w:pPr>
        <w:pStyle w:val="3-BodyText"/>
        <w:numPr>
          <w:ilvl w:val="1"/>
          <w:numId w:val="5"/>
        </w:numPr>
        <w:ind w:left="720"/>
      </w:pPr>
      <w:r w:rsidRPr="00EF42B0">
        <w:rPr>
          <w:snapToGrid/>
          <w:lang w:val="en-US"/>
        </w:rPr>
        <w:t xml:space="preserve">No head-to-head trials comparing fremanezumab to galcanezumab for patients with </w:t>
      </w:r>
      <w:r>
        <w:rPr>
          <w:snapToGrid/>
          <w:lang w:val="en-US"/>
        </w:rPr>
        <w:t>migraine</w:t>
      </w:r>
      <w:r w:rsidRPr="00EF42B0">
        <w:rPr>
          <w:snapToGrid/>
          <w:lang w:val="en-US"/>
        </w:rPr>
        <w:t xml:space="preserve"> </w:t>
      </w:r>
      <w:proofErr w:type="gramStart"/>
      <w:r w:rsidRPr="00EF42B0">
        <w:rPr>
          <w:snapToGrid/>
          <w:lang w:val="en-US"/>
        </w:rPr>
        <w:t>were identified</w:t>
      </w:r>
      <w:proofErr w:type="gramEnd"/>
      <w:r w:rsidRPr="00EF42B0">
        <w:rPr>
          <w:snapToGrid/>
          <w:lang w:val="en-US"/>
        </w:rPr>
        <w:t>.</w:t>
      </w:r>
      <w:r>
        <w:rPr>
          <w:snapToGrid/>
          <w:lang w:val="en-US"/>
        </w:rPr>
        <w:t xml:space="preserve"> </w:t>
      </w:r>
    </w:p>
    <w:p w14:paraId="0D259B2A" w14:textId="44B31F4E" w:rsidR="005424D2" w:rsidRPr="005424D2" w:rsidRDefault="00BC4E63" w:rsidP="00033A63">
      <w:pPr>
        <w:pStyle w:val="3-BodyText"/>
        <w:numPr>
          <w:ilvl w:val="1"/>
          <w:numId w:val="5"/>
        </w:numPr>
        <w:ind w:left="720"/>
      </w:pPr>
      <w:r w:rsidRPr="00EF42B0">
        <w:rPr>
          <w:snapToGrid/>
          <w:lang w:val="en-US"/>
        </w:rPr>
        <w:t xml:space="preserve">The submission was based on </w:t>
      </w:r>
      <w:r w:rsidR="00940BB3">
        <w:rPr>
          <w:snapToGrid/>
          <w:lang w:val="en-US"/>
        </w:rPr>
        <w:t xml:space="preserve">an indirect comparison of </w:t>
      </w:r>
      <w:r w:rsidR="00B70514">
        <w:rPr>
          <w:snapToGrid/>
          <w:lang w:val="en-US"/>
        </w:rPr>
        <w:t>two</w:t>
      </w:r>
      <w:r w:rsidRPr="00EF42B0">
        <w:rPr>
          <w:snapToGrid/>
          <w:lang w:val="en-US"/>
        </w:rPr>
        <w:t xml:space="preserve"> randomised trial</w:t>
      </w:r>
      <w:r w:rsidR="00B70514">
        <w:rPr>
          <w:snapToGrid/>
          <w:lang w:val="en-US"/>
        </w:rPr>
        <w:t>s</w:t>
      </w:r>
      <w:r w:rsidR="005424D2">
        <w:rPr>
          <w:snapToGrid/>
          <w:lang w:val="en-US"/>
        </w:rPr>
        <w:t>:</w:t>
      </w:r>
    </w:p>
    <w:p w14:paraId="1F4D1B4F" w14:textId="77777777" w:rsidR="007F5EDA" w:rsidRDefault="00AC6502" w:rsidP="00A41FA0">
      <w:pPr>
        <w:pStyle w:val="ListParagraph"/>
        <w:numPr>
          <w:ilvl w:val="0"/>
          <w:numId w:val="11"/>
        </w:numPr>
        <w:ind w:left="993"/>
        <w:rPr>
          <w:lang w:val="en-US"/>
        </w:rPr>
      </w:pPr>
      <w:r w:rsidRPr="007F5EDA">
        <w:rPr>
          <w:lang w:val="en-US"/>
        </w:rPr>
        <w:t xml:space="preserve">FOCUS: A </w:t>
      </w:r>
      <w:r w:rsidR="00903F4B" w:rsidRPr="007F5EDA">
        <w:rPr>
          <w:lang w:val="en-US"/>
        </w:rPr>
        <w:t>phase III, multi-</w:t>
      </w:r>
      <w:r w:rsidRPr="007F5EDA">
        <w:rPr>
          <w:lang w:val="en-US"/>
        </w:rPr>
        <w:t>center</w:t>
      </w:r>
      <w:r w:rsidR="00903F4B" w:rsidRPr="007F5EDA">
        <w:rPr>
          <w:lang w:val="en-US"/>
        </w:rPr>
        <w:t>, placebo-controlled randomised trial comparing fremanezumab versus placebo in patients with chronic and episodic migraine who have failed 2-4 prior prophylactic treatments</w:t>
      </w:r>
      <w:r w:rsidRPr="007F5EDA">
        <w:rPr>
          <w:lang w:val="en-US"/>
        </w:rPr>
        <w:t xml:space="preserve"> </w:t>
      </w:r>
      <w:r w:rsidR="00903F4B" w:rsidRPr="007F5EDA">
        <w:rPr>
          <w:lang w:val="en-US"/>
        </w:rPr>
        <w:t>(N=838; N=91 for HFEM subgroup).</w:t>
      </w:r>
    </w:p>
    <w:p w14:paraId="3E9CE5B2" w14:textId="280D3F96" w:rsidR="00903F4B" w:rsidRPr="007F5EDA" w:rsidRDefault="00AC6502" w:rsidP="00A41FA0">
      <w:pPr>
        <w:pStyle w:val="ListParagraph"/>
        <w:numPr>
          <w:ilvl w:val="0"/>
          <w:numId w:val="11"/>
        </w:numPr>
        <w:ind w:left="993"/>
        <w:rPr>
          <w:lang w:val="en-US"/>
        </w:rPr>
      </w:pPr>
      <w:r w:rsidRPr="007F5EDA">
        <w:rPr>
          <w:lang w:val="en-US"/>
        </w:rPr>
        <w:t>CONQUER: A</w:t>
      </w:r>
      <w:r w:rsidR="00903F4B" w:rsidRPr="007F5EDA">
        <w:rPr>
          <w:lang w:val="en-US"/>
        </w:rPr>
        <w:t xml:space="preserve"> phase III, multi-</w:t>
      </w:r>
      <w:r w:rsidRPr="007F5EDA">
        <w:rPr>
          <w:lang w:val="en-US"/>
        </w:rPr>
        <w:t>center</w:t>
      </w:r>
      <w:r w:rsidR="00903F4B" w:rsidRPr="007F5EDA">
        <w:rPr>
          <w:lang w:val="en-US"/>
        </w:rPr>
        <w:t>, placebo-controlled randomised trial comparing galcanezumab versus placebo in patients with chronic and episodic migraine who have failed 2-4 prior prophylactic treatments</w:t>
      </w:r>
      <w:r w:rsidRPr="007F5EDA">
        <w:rPr>
          <w:lang w:val="en-US"/>
        </w:rPr>
        <w:t xml:space="preserve"> </w:t>
      </w:r>
      <w:r w:rsidR="00903F4B" w:rsidRPr="007F5EDA">
        <w:rPr>
          <w:lang w:val="en-US"/>
        </w:rPr>
        <w:t>(N=462; N=80 for HFEM subgroup)</w:t>
      </w:r>
      <w:r w:rsidRPr="007F5EDA">
        <w:rPr>
          <w:lang w:val="en-US"/>
        </w:rPr>
        <w:t>.</w:t>
      </w:r>
    </w:p>
    <w:p w14:paraId="437FE152" w14:textId="30A42FAC" w:rsidR="00903F4B" w:rsidRPr="00903F4B" w:rsidRDefault="00903F4B" w:rsidP="00033A63">
      <w:pPr>
        <w:pStyle w:val="3-BodyText"/>
        <w:numPr>
          <w:ilvl w:val="1"/>
          <w:numId w:val="5"/>
        </w:numPr>
        <w:ind w:left="720"/>
      </w:pPr>
      <w:r w:rsidRPr="00903F4B">
        <w:rPr>
          <w:snapToGrid/>
          <w:lang w:val="en-US"/>
        </w:rPr>
        <w:t>An</w:t>
      </w:r>
      <w:r w:rsidR="00B70514" w:rsidRPr="00903F4B">
        <w:rPr>
          <w:snapToGrid/>
          <w:lang w:val="en-US"/>
        </w:rPr>
        <w:t xml:space="preserve"> </w:t>
      </w:r>
      <w:r w:rsidR="00B70514">
        <w:rPr>
          <w:snapToGrid/>
          <w:lang w:val="en-US"/>
        </w:rPr>
        <w:t xml:space="preserve">indirect </w:t>
      </w:r>
      <w:r>
        <w:rPr>
          <w:snapToGrid/>
          <w:lang w:val="en-US"/>
        </w:rPr>
        <w:t>comparison</w:t>
      </w:r>
      <w:r w:rsidR="00B70514">
        <w:rPr>
          <w:snapToGrid/>
          <w:lang w:val="en-US"/>
        </w:rPr>
        <w:t xml:space="preserve"> </w:t>
      </w:r>
      <w:proofErr w:type="gramStart"/>
      <w:r w:rsidR="00B70514">
        <w:rPr>
          <w:snapToGrid/>
          <w:lang w:val="en-US"/>
        </w:rPr>
        <w:t>was conducted</w:t>
      </w:r>
      <w:proofErr w:type="gramEnd"/>
      <w:r w:rsidR="00BC4E63" w:rsidRPr="00EF42B0">
        <w:rPr>
          <w:snapToGrid/>
          <w:lang w:val="en-US"/>
        </w:rPr>
        <w:t xml:space="preserve"> </w:t>
      </w:r>
      <w:r w:rsidR="00B70514">
        <w:rPr>
          <w:snapToGrid/>
          <w:lang w:val="en-US"/>
        </w:rPr>
        <w:t xml:space="preserve">between fremanezumab and galcanezumab </w:t>
      </w:r>
      <w:r w:rsidR="00BC4E63" w:rsidRPr="00EF42B0">
        <w:rPr>
          <w:snapToGrid/>
          <w:lang w:val="en-US"/>
        </w:rPr>
        <w:t>using placebo as the common comparator</w:t>
      </w:r>
      <w:r w:rsidR="00C654B1">
        <w:rPr>
          <w:snapToGrid/>
          <w:lang w:val="en-US"/>
        </w:rPr>
        <w:t>, based on the HFEM subgroups which were defined post</w:t>
      </w:r>
      <w:r w:rsidR="00D258E8">
        <w:rPr>
          <w:snapToGrid/>
          <w:lang w:val="en-US"/>
        </w:rPr>
        <w:t>-</w:t>
      </w:r>
      <w:r w:rsidR="00C654B1">
        <w:rPr>
          <w:snapToGrid/>
          <w:lang w:val="en-US"/>
        </w:rPr>
        <w:t>hoc</w:t>
      </w:r>
      <w:r w:rsidR="00BC4E63" w:rsidRPr="00EF42B0">
        <w:rPr>
          <w:snapToGrid/>
          <w:lang w:val="en-US"/>
        </w:rPr>
        <w:t>.</w:t>
      </w:r>
    </w:p>
    <w:p w14:paraId="239787A3" w14:textId="5B780F5B" w:rsidR="00A310FD" w:rsidRPr="00A310FD" w:rsidRDefault="00E43EC1" w:rsidP="00033A63">
      <w:pPr>
        <w:pStyle w:val="3-BodyText"/>
        <w:numPr>
          <w:ilvl w:val="1"/>
          <w:numId w:val="5"/>
        </w:numPr>
        <w:ind w:left="720"/>
      </w:pPr>
      <w:r>
        <w:rPr>
          <w:iCs/>
          <w:snapToGrid/>
          <w:lang w:val="en-US"/>
        </w:rPr>
        <w:t xml:space="preserve">The </w:t>
      </w:r>
      <w:r w:rsidR="004A7AE9" w:rsidRPr="00277996">
        <w:rPr>
          <w:iCs/>
          <w:snapToGrid/>
          <w:lang w:val="en-US"/>
        </w:rPr>
        <w:t xml:space="preserve">FOCUS </w:t>
      </w:r>
      <w:r>
        <w:rPr>
          <w:iCs/>
          <w:snapToGrid/>
          <w:lang w:val="en-US"/>
        </w:rPr>
        <w:t xml:space="preserve">trial </w:t>
      </w:r>
      <w:proofErr w:type="gramStart"/>
      <w:r w:rsidR="004A7AE9" w:rsidRPr="00277996">
        <w:rPr>
          <w:iCs/>
          <w:snapToGrid/>
          <w:lang w:val="en-US"/>
        </w:rPr>
        <w:t>was previously considered</w:t>
      </w:r>
      <w:proofErr w:type="gramEnd"/>
      <w:r w:rsidR="004A7AE9" w:rsidRPr="00277996">
        <w:rPr>
          <w:iCs/>
          <w:snapToGrid/>
          <w:lang w:val="en-US"/>
        </w:rPr>
        <w:t xml:space="preserve"> by the PBAC as part of the November 2019</w:t>
      </w:r>
      <w:r w:rsidR="002B1A44" w:rsidRPr="00277996">
        <w:rPr>
          <w:iCs/>
          <w:snapToGrid/>
          <w:lang w:val="en-US"/>
        </w:rPr>
        <w:t>, March 2020,</w:t>
      </w:r>
      <w:r w:rsidR="004A7AE9" w:rsidRPr="00277996">
        <w:rPr>
          <w:iCs/>
          <w:snapToGrid/>
          <w:lang w:val="en-US"/>
        </w:rPr>
        <w:t xml:space="preserve"> and</w:t>
      </w:r>
      <w:r w:rsidR="002B1A44" w:rsidRPr="00277996">
        <w:rPr>
          <w:iCs/>
          <w:snapToGrid/>
          <w:lang w:val="en-US"/>
        </w:rPr>
        <w:t xml:space="preserve"> March 2022 fremanezumab submissions</w:t>
      </w:r>
      <w:r w:rsidR="00F13F38" w:rsidRPr="00277996">
        <w:rPr>
          <w:iCs/>
          <w:snapToGrid/>
          <w:lang w:val="en-US"/>
        </w:rPr>
        <w:t xml:space="preserve"> for chronic migraine</w:t>
      </w:r>
      <w:r w:rsidR="002B1A44" w:rsidRPr="00277996">
        <w:rPr>
          <w:iCs/>
          <w:snapToGrid/>
          <w:lang w:val="en-US"/>
        </w:rPr>
        <w:t xml:space="preserve">. The CONQUER trial </w:t>
      </w:r>
      <w:r w:rsidR="00264CA2" w:rsidRPr="00277996">
        <w:rPr>
          <w:iCs/>
          <w:snapToGrid/>
          <w:lang w:val="en-US"/>
        </w:rPr>
        <w:t xml:space="preserve">for galcanezumab </w:t>
      </w:r>
      <w:proofErr w:type="gramStart"/>
      <w:r w:rsidR="002B1A44" w:rsidRPr="00277996">
        <w:rPr>
          <w:iCs/>
          <w:snapToGrid/>
          <w:lang w:val="en-US"/>
        </w:rPr>
        <w:t>was assessed</w:t>
      </w:r>
      <w:proofErr w:type="gramEnd"/>
      <w:r w:rsidR="002B1A44" w:rsidRPr="00277996">
        <w:rPr>
          <w:iCs/>
          <w:snapToGrid/>
          <w:lang w:val="en-US"/>
        </w:rPr>
        <w:t xml:space="preserve"> in the November 2020 and March 2022 PBAC meetings</w:t>
      </w:r>
      <w:r w:rsidR="00F13F38" w:rsidRPr="00277996">
        <w:rPr>
          <w:iCs/>
          <w:snapToGrid/>
          <w:lang w:val="en-US"/>
        </w:rPr>
        <w:t xml:space="preserve"> for chronic migraine and HFEM</w:t>
      </w:r>
      <w:r w:rsidR="00D23541" w:rsidRPr="00277996">
        <w:rPr>
          <w:iCs/>
          <w:snapToGrid/>
          <w:lang w:val="en-US"/>
        </w:rPr>
        <w:t>,</w:t>
      </w:r>
      <w:r w:rsidR="00F13F38" w:rsidRPr="00277996">
        <w:rPr>
          <w:iCs/>
          <w:snapToGrid/>
          <w:lang w:val="en-US"/>
        </w:rPr>
        <w:t xml:space="preserve"> respectively</w:t>
      </w:r>
      <w:r w:rsidR="002B1A44" w:rsidRPr="002B1A44">
        <w:rPr>
          <w:snapToGrid/>
          <w:lang w:val="en-US"/>
        </w:rPr>
        <w:t>.</w:t>
      </w:r>
    </w:p>
    <w:p w14:paraId="7A790820" w14:textId="04150AC7" w:rsidR="004A7AE9" w:rsidRPr="00BC4E63" w:rsidRDefault="002D3898" w:rsidP="00033A63">
      <w:pPr>
        <w:pStyle w:val="3-BodyText"/>
        <w:numPr>
          <w:ilvl w:val="1"/>
          <w:numId w:val="5"/>
        </w:numPr>
        <w:ind w:left="720"/>
      </w:pPr>
      <w:r w:rsidRPr="002D3898">
        <w:rPr>
          <w:snapToGrid/>
          <w:lang w:val="en-US"/>
        </w:rPr>
        <w:t xml:space="preserve">In </w:t>
      </w:r>
      <w:r>
        <w:rPr>
          <w:snapToGrid/>
          <w:lang w:val="en-US"/>
        </w:rPr>
        <w:t xml:space="preserve">the </w:t>
      </w:r>
      <w:r w:rsidRPr="002D3898">
        <w:rPr>
          <w:snapToGrid/>
          <w:lang w:val="en-US"/>
        </w:rPr>
        <w:t>FOCUS</w:t>
      </w:r>
      <w:r w:rsidR="00EB394E">
        <w:rPr>
          <w:snapToGrid/>
          <w:lang w:val="en-US"/>
        </w:rPr>
        <w:t xml:space="preserve"> trial</w:t>
      </w:r>
      <w:r>
        <w:rPr>
          <w:snapToGrid/>
          <w:lang w:val="en-US"/>
        </w:rPr>
        <w:t>,</w:t>
      </w:r>
      <w:r w:rsidRPr="002D3898">
        <w:rPr>
          <w:snapToGrid/>
          <w:lang w:val="en-US"/>
        </w:rPr>
        <w:t xml:space="preserve"> patients </w:t>
      </w:r>
      <w:proofErr w:type="gramStart"/>
      <w:r w:rsidRPr="002D3898">
        <w:rPr>
          <w:snapToGrid/>
          <w:lang w:val="en-US"/>
        </w:rPr>
        <w:t>were assigned</w:t>
      </w:r>
      <w:proofErr w:type="gramEnd"/>
      <w:r w:rsidRPr="002D3898">
        <w:rPr>
          <w:snapToGrid/>
          <w:lang w:val="en-US"/>
        </w:rPr>
        <w:t xml:space="preserve"> to one of two </w:t>
      </w:r>
      <w:r>
        <w:rPr>
          <w:snapToGrid/>
          <w:lang w:val="en-US"/>
        </w:rPr>
        <w:t>fremanezumab</w:t>
      </w:r>
      <w:r w:rsidRPr="002D3898">
        <w:rPr>
          <w:snapToGrid/>
          <w:lang w:val="en-US"/>
        </w:rPr>
        <w:t xml:space="preserve"> dosing arms</w:t>
      </w:r>
      <w:r w:rsidR="000334BD">
        <w:rPr>
          <w:snapToGrid/>
          <w:lang w:val="en-US"/>
        </w:rPr>
        <w:t xml:space="preserve"> </w:t>
      </w:r>
      <w:r w:rsidR="004D2F87">
        <w:rPr>
          <w:snapToGrid/>
          <w:lang w:val="en-US"/>
        </w:rPr>
        <w:t>(</w:t>
      </w:r>
      <w:r w:rsidR="000334BD">
        <w:rPr>
          <w:snapToGrid/>
          <w:lang w:val="en-US"/>
        </w:rPr>
        <w:t>quarterly</w:t>
      </w:r>
      <w:r w:rsidR="004D2F87">
        <w:rPr>
          <w:snapToGrid/>
          <w:lang w:val="en-US"/>
        </w:rPr>
        <w:t>,</w:t>
      </w:r>
      <w:r w:rsidR="00854EE6">
        <w:rPr>
          <w:snapToGrid/>
          <w:lang w:val="en-US"/>
        </w:rPr>
        <w:t xml:space="preserve"> 675</w:t>
      </w:r>
      <w:r w:rsidR="00661433">
        <w:rPr>
          <w:snapToGrid/>
          <w:lang w:val="en-US"/>
        </w:rPr>
        <w:t> </w:t>
      </w:r>
      <w:r w:rsidR="00854EE6">
        <w:rPr>
          <w:snapToGrid/>
          <w:lang w:val="en-US"/>
        </w:rPr>
        <w:t>mg</w:t>
      </w:r>
      <w:r w:rsidR="000334BD">
        <w:rPr>
          <w:snapToGrid/>
          <w:lang w:val="en-US"/>
        </w:rPr>
        <w:t xml:space="preserve"> and monthly</w:t>
      </w:r>
      <w:r w:rsidR="004D2F87">
        <w:rPr>
          <w:snapToGrid/>
          <w:lang w:val="en-US"/>
        </w:rPr>
        <w:t>,</w:t>
      </w:r>
      <w:r w:rsidR="00854EE6">
        <w:rPr>
          <w:snapToGrid/>
          <w:lang w:val="en-US"/>
        </w:rPr>
        <w:t xml:space="preserve"> 225</w:t>
      </w:r>
      <w:r w:rsidR="00661433">
        <w:rPr>
          <w:snapToGrid/>
          <w:lang w:val="en-US"/>
        </w:rPr>
        <w:t> </w:t>
      </w:r>
      <w:r w:rsidR="00854EE6">
        <w:rPr>
          <w:snapToGrid/>
          <w:lang w:val="en-US"/>
        </w:rPr>
        <w:t>mg</w:t>
      </w:r>
      <w:r w:rsidR="004D2F87">
        <w:rPr>
          <w:snapToGrid/>
          <w:lang w:val="en-US"/>
        </w:rPr>
        <w:t>)</w:t>
      </w:r>
      <w:r w:rsidRPr="002D3898">
        <w:rPr>
          <w:snapToGrid/>
          <w:lang w:val="en-US"/>
        </w:rPr>
        <w:t xml:space="preserve"> or </w:t>
      </w:r>
      <w:r w:rsidR="000334BD">
        <w:rPr>
          <w:snapToGrid/>
          <w:lang w:val="en-US"/>
        </w:rPr>
        <w:t xml:space="preserve">matched </w:t>
      </w:r>
      <w:r w:rsidRPr="002D3898">
        <w:rPr>
          <w:snapToGrid/>
          <w:lang w:val="en-US"/>
        </w:rPr>
        <w:t xml:space="preserve">placebo. </w:t>
      </w:r>
      <w:r w:rsidR="00EB394E">
        <w:rPr>
          <w:snapToGrid/>
          <w:lang w:val="en-US"/>
        </w:rPr>
        <w:t xml:space="preserve">The HFEM subgroups in the FOCUS trial comprised </w:t>
      </w:r>
      <w:proofErr w:type="gramStart"/>
      <w:r w:rsidR="00EB394E">
        <w:rPr>
          <w:snapToGrid/>
          <w:lang w:val="en-US"/>
        </w:rPr>
        <w:t>25</w:t>
      </w:r>
      <w:proofErr w:type="gramEnd"/>
      <w:r w:rsidR="00EB394E">
        <w:rPr>
          <w:snapToGrid/>
          <w:lang w:val="en-US"/>
        </w:rPr>
        <w:t xml:space="preserve"> patients in the fremanezumab quarterly dosing group, 36 patients in the fremanezumab monthly dosing group, and 30 patients in the placebo group. </w:t>
      </w:r>
      <w:r w:rsidR="00A75AFF">
        <w:rPr>
          <w:snapToGrid/>
          <w:lang w:val="en-US"/>
        </w:rPr>
        <w:t xml:space="preserve">The </w:t>
      </w:r>
      <w:r w:rsidR="000334BD">
        <w:rPr>
          <w:snapToGrid/>
          <w:lang w:val="en-US"/>
        </w:rPr>
        <w:t xml:space="preserve">HFEM subgroup of CONQUER included </w:t>
      </w:r>
      <w:proofErr w:type="gramStart"/>
      <w:r w:rsidR="000334BD">
        <w:rPr>
          <w:snapToGrid/>
          <w:lang w:val="en-US"/>
        </w:rPr>
        <w:t>4</w:t>
      </w:r>
      <w:r w:rsidR="00076F50">
        <w:rPr>
          <w:snapToGrid/>
          <w:lang w:val="en-US"/>
        </w:rPr>
        <w:t>8</w:t>
      </w:r>
      <w:proofErr w:type="gramEnd"/>
      <w:r w:rsidR="000334BD">
        <w:rPr>
          <w:snapToGrid/>
          <w:lang w:val="en-US"/>
        </w:rPr>
        <w:t xml:space="preserve"> patients in the galcanezumab arm and 32 patients in the placebo control. </w:t>
      </w:r>
    </w:p>
    <w:p w14:paraId="1480AFBB" w14:textId="2FA6AC61" w:rsidR="00BC4E63" w:rsidRPr="00147A91" w:rsidRDefault="00BC4E63" w:rsidP="00033A63">
      <w:pPr>
        <w:pStyle w:val="3-BodyText"/>
        <w:numPr>
          <w:ilvl w:val="1"/>
          <w:numId w:val="5"/>
        </w:numPr>
        <w:ind w:left="720"/>
      </w:pPr>
      <w:r w:rsidRPr="00537078">
        <w:rPr>
          <w:snapToGrid/>
          <w:lang w:val="en-US"/>
        </w:rPr>
        <w:lastRenderedPageBreak/>
        <w:t xml:space="preserve">Details of the trials presented in the submission </w:t>
      </w:r>
      <w:proofErr w:type="gramStart"/>
      <w:r w:rsidRPr="00537078">
        <w:rPr>
          <w:snapToGrid/>
          <w:lang w:val="en-US"/>
        </w:rPr>
        <w:t>are provided</w:t>
      </w:r>
      <w:proofErr w:type="gramEnd"/>
      <w:r w:rsidRPr="00537078">
        <w:rPr>
          <w:snapToGrid/>
          <w:lang w:val="en-US"/>
        </w:rPr>
        <w:t xml:space="preserve"> in </w:t>
      </w:r>
      <w:r w:rsidR="00094E56">
        <w:rPr>
          <w:snapToGrid/>
          <w:lang w:val="en-US"/>
        </w:rPr>
        <w:fldChar w:fldCharType="begin" w:fldLock="1"/>
      </w:r>
      <w:r w:rsidR="00094E56">
        <w:rPr>
          <w:snapToGrid/>
          <w:lang w:val="en-US"/>
        </w:rPr>
        <w:instrText xml:space="preserve"> REF _Ref114039646 \h </w:instrText>
      </w:r>
      <w:r w:rsidR="00094E56">
        <w:rPr>
          <w:snapToGrid/>
          <w:lang w:val="en-US"/>
        </w:rPr>
      </w:r>
      <w:r w:rsidR="00094E56">
        <w:rPr>
          <w:snapToGrid/>
          <w:lang w:val="en-US"/>
        </w:rPr>
        <w:fldChar w:fldCharType="separate"/>
      </w:r>
      <w:r w:rsidR="00094E56">
        <w:t xml:space="preserve">Table </w:t>
      </w:r>
      <w:r w:rsidR="00094E56">
        <w:rPr>
          <w:noProof/>
        </w:rPr>
        <w:t>2</w:t>
      </w:r>
      <w:r w:rsidR="00094E56">
        <w:rPr>
          <w:snapToGrid/>
          <w:lang w:val="en-US"/>
        </w:rPr>
        <w:fldChar w:fldCharType="end"/>
      </w:r>
      <w:r w:rsidRPr="00537078">
        <w:rPr>
          <w:snapToGrid/>
          <w:lang w:val="en-US"/>
        </w:rPr>
        <w:fldChar w:fldCharType="begin" w:fldLock="1"/>
      </w:r>
      <w:r w:rsidRPr="00537078">
        <w:rPr>
          <w:snapToGrid/>
          <w:lang w:val="en-US"/>
        </w:rPr>
        <w:instrText xml:space="preserve"> REF _Ref104803956 \h </w:instrText>
      </w:r>
      <w:r w:rsidRPr="00537078">
        <w:rPr>
          <w:snapToGrid/>
          <w:lang w:val="en-US"/>
        </w:rPr>
      </w:r>
      <w:r w:rsidR="00D90B4C">
        <w:rPr>
          <w:snapToGrid/>
          <w:lang w:val="en-US"/>
        </w:rPr>
        <w:fldChar w:fldCharType="separate"/>
      </w:r>
      <w:r w:rsidRPr="00537078">
        <w:rPr>
          <w:snapToGrid/>
          <w:lang w:val="en-US"/>
        </w:rPr>
        <w:fldChar w:fldCharType="end"/>
      </w:r>
      <w:r w:rsidRPr="00537078">
        <w:rPr>
          <w:snapToGrid/>
          <w:lang w:val="en-US"/>
        </w:rPr>
        <w:t>.</w:t>
      </w:r>
    </w:p>
    <w:p w14:paraId="44EACC86" w14:textId="182612EB" w:rsidR="00147A91" w:rsidRDefault="00147A91" w:rsidP="002B6923">
      <w:pPr>
        <w:pStyle w:val="TableHeading0"/>
        <w:keepLines/>
        <w:rPr>
          <w:rStyle w:val="CommentReference"/>
          <w:szCs w:val="24"/>
        </w:rPr>
      </w:pPr>
      <w:bookmarkStart w:id="26" w:name="_Ref114039646"/>
      <w:r>
        <w:t xml:space="preserve">Table </w:t>
      </w:r>
      <w:fldSimple w:instr=" SEQ Table \* ARABIC " w:fldLock="1">
        <w:r w:rsidR="00B97129">
          <w:rPr>
            <w:noProof/>
          </w:rPr>
          <w:t>2</w:t>
        </w:r>
      </w:fldSimple>
      <w:bookmarkEnd w:id="26"/>
      <w:r>
        <w:t>:</w:t>
      </w:r>
      <w:r w:rsidRPr="002E4F02">
        <w:rPr>
          <w:rStyle w:val="CommentReference"/>
          <w:b/>
          <w:szCs w:val="24"/>
        </w:rPr>
        <w:t xml:space="preserve"> Trials and associated reports presented in the </w:t>
      </w:r>
      <w:proofErr w:type="gramStart"/>
      <w:r w:rsidRPr="002E4F02">
        <w:rPr>
          <w:rStyle w:val="CommentReference"/>
          <w:b/>
          <w:szCs w:val="24"/>
        </w:rPr>
        <w:t>submission</w:t>
      </w:r>
      <w:proofErr w:type="gramEnd"/>
    </w:p>
    <w:tbl>
      <w:tblPr>
        <w:tblStyle w:val="TableGrid"/>
        <w:tblW w:w="5000" w:type="pct"/>
        <w:tblLook w:val="01E0" w:firstRow="1" w:lastRow="1" w:firstColumn="1" w:lastColumn="1" w:noHBand="0" w:noVBand="0"/>
      </w:tblPr>
      <w:tblGrid>
        <w:gridCol w:w="1434"/>
        <w:gridCol w:w="5055"/>
        <w:gridCol w:w="2528"/>
      </w:tblGrid>
      <w:tr w:rsidR="00BC4E63" w:rsidRPr="00B41614" w14:paraId="0EF1F393" w14:textId="77777777" w:rsidTr="00054408">
        <w:trPr>
          <w:cantSplit/>
          <w:tblHeader/>
        </w:trPr>
        <w:tc>
          <w:tcPr>
            <w:tcW w:w="795" w:type="pct"/>
          </w:tcPr>
          <w:p w14:paraId="0403408B" w14:textId="7977FD05" w:rsidR="00BC4E63" w:rsidRPr="00B41614" w:rsidRDefault="00ED016A" w:rsidP="004E7793">
            <w:pPr>
              <w:pStyle w:val="In-tableHeading"/>
            </w:pPr>
            <w:r>
              <w:t xml:space="preserve"> </w:t>
            </w:r>
            <w:r w:rsidR="00BC4E63" w:rsidRPr="00B41614">
              <w:t>Trial ID</w:t>
            </w:r>
          </w:p>
        </w:tc>
        <w:tc>
          <w:tcPr>
            <w:tcW w:w="2803" w:type="pct"/>
          </w:tcPr>
          <w:p w14:paraId="0BCFB3F8" w14:textId="77777777" w:rsidR="00BC4E63" w:rsidRPr="00B41614" w:rsidRDefault="00BC4E63" w:rsidP="00780E15">
            <w:pPr>
              <w:pStyle w:val="In-tableHeading"/>
              <w:jc w:val="center"/>
            </w:pPr>
            <w:r w:rsidRPr="00B41614">
              <w:t>Protocol title/ Publication title</w:t>
            </w:r>
          </w:p>
        </w:tc>
        <w:tc>
          <w:tcPr>
            <w:tcW w:w="1402" w:type="pct"/>
          </w:tcPr>
          <w:p w14:paraId="3A37EFA9" w14:textId="77777777" w:rsidR="00BC4E63" w:rsidRPr="00B41614" w:rsidRDefault="00BC4E63" w:rsidP="00780E15">
            <w:pPr>
              <w:pStyle w:val="In-tableHeading"/>
              <w:jc w:val="center"/>
            </w:pPr>
            <w:r w:rsidRPr="00B41614">
              <w:t>Publication citation</w:t>
            </w:r>
          </w:p>
        </w:tc>
      </w:tr>
      <w:tr w:rsidR="00BC4E63" w:rsidRPr="00CB38A8" w14:paraId="701EF400" w14:textId="77777777" w:rsidTr="00054408">
        <w:trPr>
          <w:cantSplit/>
          <w:tblHeader/>
        </w:trPr>
        <w:tc>
          <w:tcPr>
            <w:tcW w:w="795" w:type="pct"/>
            <w:tcBorders>
              <w:bottom w:val="nil"/>
            </w:tcBorders>
          </w:tcPr>
          <w:p w14:paraId="731A0552" w14:textId="77777777" w:rsidR="00BC4E63" w:rsidRPr="00DF6341" w:rsidRDefault="00BC4E63" w:rsidP="00BC4A0D">
            <w:pPr>
              <w:pStyle w:val="Tabletext"/>
              <w:rPr>
                <w:szCs w:val="20"/>
              </w:rPr>
            </w:pPr>
            <w:r>
              <w:t>FOCUS (</w:t>
            </w:r>
            <w:r w:rsidRPr="004016E8">
              <w:t>NCT03308968</w:t>
            </w:r>
            <w:r>
              <w:t>)</w:t>
            </w:r>
          </w:p>
          <w:p w14:paraId="484B2076" w14:textId="77777777" w:rsidR="00BC4E63" w:rsidRPr="00DF6341" w:rsidRDefault="00BC4E63" w:rsidP="00BC4A0D">
            <w:pPr>
              <w:pStyle w:val="Tabletext"/>
              <w:rPr>
                <w:szCs w:val="20"/>
              </w:rPr>
            </w:pPr>
          </w:p>
        </w:tc>
        <w:tc>
          <w:tcPr>
            <w:tcW w:w="2803" w:type="pct"/>
            <w:tcBorders>
              <w:bottom w:val="nil"/>
            </w:tcBorders>
          </w:tcPr>
          <w:p w14:paraId="05292A82" w14:textId="77777777" w:rsidR="00BC4E63" w:rsidRPr="00AB6248" w:rsidRDefault="00BC4E63" w:rsidP="00BC4A0D">
            <w:pPr>
              <w:pStyle w:val="Tabletext"/>
            </w:pPr>
            <w:r w:rsidRPr="003C1D7F">
              <w:rPr>
                <w:szCs w:val="18"/>
              </w:rPr>
              <w:t>A Multicenter, Randomized, Double-Blind, Parallel-Group, Placebo-Controlled Study with an Open-Label Period to Evaluate the Efficacy and Safety of Fremanezumab for the Prophylactic Treatment of Migraine in Patients with Inadequate Response to Prior Preventive Treatments</w:t>
            </w:r>
            <w:r>
              <w:rPr>
                <w:szCs w:val="18"/>
              </w:rPr>
              <w:t>.</w:t>
            </w:r>
          </w:p>
        </w:tc>
        <w:tc>
          <w:tcPr>
            <w:tcW w:w="1402" w:type="pct"/>
            <w:tcBorders>
              <w:bottom w:val="nil"/>
            </w:tcBorders>
          </w:tcPr>
          <w:p w14:paraId="17507653" w14:textId="77777777" w:rsidR="00BC4E63" w:rsidRDefault="00BC4E63" w:rsidP="00BC4A0D">
            <w:pPr>
              <w:pStyle w:val="Tabletext"/>
            </w:pPr>
            <w:r>
              <w:t>March 2019</w:t>
            </w:r>
          </w:p>
          <w:p w14:paraId="04D8115E" w14:textId="77777777" w:rsidR="00BC4E63" w:rsidRPr="00CB38A8" w:rsidRDefault="00BC4E63" w:rsidP="00BC4A0D">
            <w:pPr>
              <w:pStyle w:val="Tabletext"/>
              <w:rPr>
                <w:rFonts w:ascii="Times" w:hAnsi="Times"/>
              </w:rPr>
            </w:pPr>
          </w:p>
        </w:tc>
      </w:tr>
      <w:tr w:rsidR="00BC4E63" w:rsidRPr="00CB38A8" w14:paraId="4921DF2B" w14:textId="77777777" w:rsidTr="00054408">
        <w:trPr>
          <w:cantSplit/>
          <w:tblHeader/>
        </w:trPr>
        <w:tc>
          <w:tcPr>
            <w:tcW w:w="795" w:type="pct"/>
            <w:tcBorders>
              <w:top w:val="nil"/>
              <w:bottom w:val="nil"/>
            </w:tcBorders>
          </w:tcPr>
          <w:p w14:paraId="6E838E52" w14:textId="77777777" w:rsidR="00BC4E63" w:rsidRPr="00CB38A8" w:rsidRDefault="00BC4E63" w:rsidP="00BC4A0D">
            <w:pPr>
              <w:pStyle w:val="Tabletext"/>
            </w:pPr>
          </w:p>
        </w:tc>
        <w:tc>
          <w:tcPr>
            <w:tcW w:w="2803" w:type="pct"/>
            <w:tcBorders>
              <w:top w:val="nil"/>
              <w:bottom w:val="nil"/>
            </w:tcBorders>
          </w:tcPr>
          <w:p w14:paraId="47F7D667" w14:textId="77777777" w:rsidR="00BC4E63" w:rsidRPr="00E34A35" w:rsidRDefault="00BC4E63" w:rsidP="00BC4A0D">
            <w:pPr>
              <w:pStyle w:val="Tabletext"/>
            </w:pPr>
            <w:r w:rsidRPr="008725F0">
              <w:rPr>
                <w:szCs w:val="18"/>
              </w:rPr>
              <w:t xml:space="preserve">Spierings EL, Kärppä M, Ning X, Cohen JM, Campos VR, Yang R, Reuter U. Efficacy and safety of fremanezumab in patients with migraine and inadequate response to prior preventive treatment: subgroup analyses by country of a randomized, placebo-controlled trial. </w:t>
            </w:r>
          </w:p>
        </w:tc>
        <w:tc>
          <w:tcPr>
            <w:tcW w:w="1402" w:type="pct"/>
            <w:tcBorders>
              <w:top w:val="nil"/>
              <w:bottom w:val="nil"/>
            </w:tcBorders>
          </w:tcPr>
          <w:p w14:paraId="09E8F594" w14:textId="77777777" w:rsidR="00BC4E63" w:rsidRPr="00E34A35" w:rsidRDefault="00BC4E63" w:rsidP="00BC4A0D">
            <w:pPr>
              <w:pStyle w:val="Tabletext"/>
            </w:pPr>
            <w:r w:rsidRPr="00277996">
              <w:rPr>
                <w:iCs/>
              </w:rPr>
              <w:t xml:space="preserve">The Journal of Headache and Pain. </w:t>
            </w:r>
            <w:r w:rsidRPr="008725F0">
              <w:t>2021 Dec;22(1):1-2</w:t>
            </w:r>
          </w:p>
        </w:tc>
      </w:tr>
      <w:tr w:rsidR="00BC4E63" w:rsidRPr="00CB38A8" w14:paraId="1E027730" w14:textId="77777777" w:rsidTr="00054408">
        <w:trPr>
          <w:cantSplit/>
          <w:tblHeader/>
        </w:trPr>
        <w:tc>
          <w:tcPr>
            <w:tcW w:w="795" w:type="pct"/>
            <w:tcBorders>
              <w:top w:val="nil"/>
              <w:bottom w:val="nil"/>
            </w:tcBorders>
          </w:tcPr>
          <w:p w14:paraId="337B5B80" w14:textId="77777777" w:rsidR="00BC4E63" w:rsidRPr="00CB38A8" w:rsidRDefault="00BC4E63" w:rsidP="00BC4A0D">
            <w:pPr>
              <w:pStyle w:val="Tabletext"/>
            </w:pPr>
          </w:p>
        </w:tc>
        <w:tc>
          <w:tcPr>
            <w:tcW w:w="2803" w:type="pct"/>
            <w:tcBorders>
              <w:top w:val="nil"/>
              <w:bottom w:val="nil"/>
            </w:tcBorders>
          </w:tcPr>
          <w:p w14:paraId="1E72000A" w14:textId="77777777" w:rsidR="00BC4E63" w:rsidRPr="00AB6248" w:rsidRDefault="00BC4E63" w:rsidP="00BC4A0D">
            <w:pPr>
              <w:pStyle w:val="Tabletext"/>
              <w:rPr>
                <w:lang w:val="en-US"/>
              </w:rPr>
            </w:pPr>
            <w:r w:rsidRPr="00CC73D2">
              <w:rPr>
                <w:szCs w:val="18"/>
              </w:rPr>
              <w:t>Ashina M, Cohen JM, Galic M, Campos VR, Barash S, Ning X, Kessler Y, Janka L, Diener HC. Efficacy and safety of fremanezumab in patients with episodic and chronic migraine with documented inadequate response to 2 to 4 classes of migraine preventive medications over 6 months of treatment in the phase 3b FOCUS study</w:t>
            </w:r>
            <w:r>
              <w:rPr>
                <w:szCs w:val="18"/>
              </w:rPr>
              <w:t>.</w:t>
            </w:r>
          </w:p>
        </w:tc>
        <w:tc>
          <w:tcPr>
            <w:tcW w:w="1402" w:type="pct"/>
            <w:tcBorders>
              <w:top w:val="nil"/>
              <w:bottom w:val="nil"/>
            </w:tcBorders>
          </w:tcPr>
          <w:p w14:paraId="16783E80" w14:textId="77777777" w:rsidR="00BC4E63" w:rsidRPr="00AB6248" w:rsidRDefault="00BC4E63" w:rsidP="00BC4A0D">
            <w:pPr>
              <w:pStyle w:val="Tabletext"/>
              <w:rPr>
                <w:i/>
                <w:lang w:val="en-US"/>
              </w:rPr>
            </w:pPr>
            <w:r w:rsidRPr="00277996">
              <w:rPr>
                <w:iCs/>
              </w:rPr>
              <w:t>The Journal of Headache and Pain</w:t>
            </w:r>
            <w:r w:rsidRPr="00C33014">
              <w:t>. 2021 Dec;22(1):1-3</w:t>
            </w:r>
          </w:p>
        </w:tc>
      </w:tr>
      <w:tr w:rsidR="00BC4E63" w:rsidRPr="00CB38A8" w14:paraId="45EB8FB5" w14:textId="77777777" w:rsidTr="00054408">
        <w:trPr>
          <w:cantSplit/>
          <w:tblHeader/>
        </w:trPr>
        <w:tc>
          <w:tcPr>
            <w:tcW w:w="795" w:type="pct"/>
            <w:tcBorders>
              <w:top w:val="nil"/>
              <w:bottom w:val="nil"/>
            </w:tcBorders>
          </w:tcPr>
          <w:p w14:paraId="5FA3393D" w14:textId="77777777" w:rsidR="00BC4E63" w:rsidRPr="00CB38A8" w:rsidRDefault="00BC4E63" w:rsidP="00BC4A0D">
            <w:pPr>
              <w:pStyle w:val="Tabletext"/>
            </w:pPr>
          </w:p>
        </w:tc>
        <w:tc>
          <w:tcPr>
            <w:tcW w:w="2803" w:type="pct"/>
            <w:tcBorders>
              <w:top w:val="nil"/>
              <w:bottom w:val="nil"/>
            </w:tcBorders>
          </w:tcPr>
          <w:p w14:paraId="13D7B9F8" w14:textId="77777777" w:rsidR="00BC4E63" w:rsidRPr="00CC73D2" w:rsidRDefault="00BC4E63" w:rsidP="00BC4A0D">
            <w:pPr>
              <w:pStyle w:val="Tabletext"/>
              <w:rPr>
                <w:szCs w:val="18"/>
              </w:rPr>
            </w:pPr>
            <w:r w:rsidRPr="00C879CA">
              <w:rPr>
                <w:szCs w:val="18"/>
              </w:rPr>
              <w:t>Pazdera L, Cohen JM, Ning X, Campos VR, Yang R, Pozo-Rosich P. Fremanezumab for the preventive treatment of migraine: subgroup analysis by number of prior preventive treatments with inadequate response</w:t>
            </w:r>
          </w:p>
        </w:tc>
        <w:tc>
          <w:tcPr>
            <w:tcW w:w="1402" w:type="pct"/>
            <w:tcBorders>
              <w:top w:val="nil"/>
              <w:bottom w:val="nil"/>
            </w:tcBorders>
          </w:tcPr>
          <w:p w14:paraId="56062CA5" w14:textId="77777777" w:rsidR="00BC4E63" w:rsidRPr="008725F0" w:rsidRDefault="00BC4E63" w:rsidP="00BC4A0D">
            <w:pPr>
              <w:pStyle w:val="Tabletext"/>
              <w:rPr>
                <w:i/>
                <w:iCs/>
              </w:rPr>
            </w:pPr>
            <w:r w:rsidRPr="00277996">
              <w:rPr>
                <w:iCs/>
              </w:rPr>
              <w:t>Cephalalgia</w:t>
            </w:r>
            <w:r w:rsidRPr="00C879CA">
              <w:t>. 2021 Sep;41(10):1075-88</w:t>
            </w:r>
          </w:p>
        </w:tc>
      </w:tr>
      <w:tr w:rsidR="00BC4E63" w:rsidRPr="00CB38A8" w14:paraId="77F4B285" w14:textId="77777777" w:rsidTr="00054408">
        <w:trPr>
          <w:cantSplit/>
          <w:tblHeader/>
        </w:trPr>
        <w:tc>
          <w:tcPr>
            <w:tcW w:w="795" w:type="pct"/>
            <w:tcBorders>
              <w:top w:val="nil"/>
            </w:tcBorders>
          </w:tcPr>
          <w:p w14:paraId="418F2CC1" w14:textId="77777777" w:rsidR="00BC4E63" w:rsidRPr="00CB38A8" w:rsidRDefault="00BC4E63" w:rsidP="00BC4A0D">
            <w:pPr>
              <w:pStyle w:val="Tabletext"/>
            </w:pPr>
          </w:p>
        </w:tc>
        <w:tc>
          <w:tcPr>
            <w:tcW w:w="2803" w:type="pct"/>
            <w:tcBorders>
              <w:top w:val="nil"/>
            </w:tcBorders>
          </w:tcPr>
          <w:p w14:paraId="2CB4B225" w14:textId="77777777" w:rsidR="00BC4E63" w:rsidRPr="000E43FC" w:rsidRDefault="00BC4E63" w:rsidP="00BC4A0D">
            <w:pPr>
              <w:pStyle w:val="Tabletext"/>
              <w:rPr>
                <w:szCs w:val="18"/>
              </w:rPr>
            </w:pPr>
            <w:r w:rsidRPr="00FC5CE9">
              <w:rPr>
                <w:szCs w:val="18"/>
              </w:rPr>
              <w:t>Ferrari MD, Diener HC, Ning X, Galic M, Cohen JM, Yang R, Mueller M, Ahn AH, Schwartz YC, Grozinski-Wolff M, Janka L. Fremanezumab versus placebo for migraine prevention in patients with documented failure to up to four migraine preventive medication classes (FOCUS): a randomised, double-blind, placebo-controlled, phase 3b trial</w:t>
            </w:r>
            <w:r w:rsidRPr="00C879CA">
              <w:rPr>
                <w:szCs w:val="18"/>
              </w:rPr>
              <w:t xml:space="preserve">. </w:t>
            </w:r>
          </w:p>
        </w:tc>
        <w:tc>
          <w:tcPr>
            <w:tcW w:w="1402" w:type="pct"/>
            <w:tcBorders>
              <w:top w:val="nil"/>
            </w:tcBorders>
          </w:tcPr>
          <w:p w14:paraId="2B22FA9A" w14:textId="77777777" w:rsidR="00BC4E63" w:rsidRDefault="00BC4E63" w:rsidP="00BC4A0D">
            <w:pPr>
              <w:pStyle w:val="Tabletext"/>
            </w:pPr>
            <w:r w:rsidRPr="00277996">
              <w:rPr>
                <w:iCs/>
                <w:szCs w:val="18"/>
              </w:rPr>
              <w:t>The Lancet</w:t>
            </w:r>
            <w:r w:rsidRPr="00C879CA">
              <w:rPr>
                <w:szCs w:val="18"/>
              </w:rPr>
              <w:t>. 2019 Sep 21;394(10203):1030-40</w:t>
            </w:r>
          </w:p>
        </w:tc>
      </w:tr>
      <w:tr w:rsidR="00BC4A0D" w:rsidRPr="00CB38A8" w14:paraId="519DC211" w14:textId="77777777" w:rsidTr="00654C9F">
        <w:trPr>
          <w:cantSplit/>
          <w:tblHeader/>
        </w:trPr>
        <w:tc>
          <w:tcPr>
            <w:tcW w:w="795" w:type="pct"/>
            <w:vMerge w:val="restart"/>
          </w:tcPr>
          <w:p w14:paraId="01718A96" w14:textId="77777777" w:rsidR="00BC4A0D" w:rsidRPr="00B42A79" w:rsidRDefault="00BC4A0D" w:rsidP="00BC4A0D">
            <w:pPr>
              <w:pStyle w:val="Tabletext"/>
            </w:pPr>
            <w:r w:rsidRPr="00B42A79">
              <w:t>CONQUER (NCT03559257)</w:t>
            </w:r>
          </w:p>
          <w:p w14:paraId="7BDE501D" w14:textId="77777777" w:rsidR="00BC4A0D" w:rsidRPr="00CB38A8" w:rsidRDefault="00BC4A0D" w:rsidP="00BC4A0D">
            <w:pPr>
              <w:pStyle w:val="Tabletext"/>
              <w:rPr>
                <w:rFonts w:ascii="Times" w:hAnsi="Times"/>
              </w:rPr>
            </w:pPr>
          </w:p>
        </w:tc>
        <w:tc>
          <w:tcPr>
            <w:tcW w:w="2803" w:type="pct"/>
            <w:tcBorders>
              <w:bottom w:val="nil"/>
            </w:tcBorders>
          </w:tcPr>
          <w:p w14:paraId="1AB46E83" w14:textId="77777777" w:rsidR="00BC4A0D" w:rsidRPr="00CB38A8" w:rsidRDefault="00BC4A0D" w:rsidP="00BC4A0D">
            <w:pPr>
              <w:pStyle w:val="Tabletext"/>
              <w:rPr>
                <w:rFonts w:ascii="Times" w:hAnsi="Times"/>
              </w:rPr>
            </w:pPr>
            <w:r w:rsidRPr="00CC73D2">
              <w:rPr>
                <w:szCs w:val="18"/>
              </w:rPr>
              <w:t>Mulleners, W. M., Kim, B. K., Láinez, M. J., Lanteri-Minet, M., Pozo-Rosich, P., Wang, S., ... &amp; Detke, H. C. (2020). Safety and efficacy of galcanezumab in patients for whom previous migraine preventive medication from two to four categories had failed (CONQUER): a multicentre, randomised, double-blind, placebo-controlled, phase 3b trial</w:t>
            </w:r>
            <w:r w:rsidRPr="00E34A35">
              <w:rPr>
                <w:szCs w:val="18"/>
              </w:rPr>
              <w:t>.</w:t>
            </w:r>
          </w:p>
        </w:tc>
        <w:tc>
          <w:tcPr>
            <w:tcW w:w="1402" w:type="pct"/>
            <w:tcBorders>
              <w:bottom w:val="nil"/>
            </w:tcBorders>
          </w:tcPr>
          <w:p w14:paraId="17004DEA" w14:textId="6F088D27" w:rsidR="00BC4A0D" w:rsidRDefault="00BC4A0D" w:rsidP="00BC4A0D">
            <w:pPr>
              <w:pStyle w:val="Tabletext"/>
              <w:rPr>
                <w:iCs/>
                <w:szCs w:val="18"/>
              </w:rPr>
            </w:pPr>
            <w:r w:rsidRPr="00277996">
              <w:rPr>
                <w:szCs w:val="18"/>
              </w:rPr>
              <w:t xml:space="preserve">The Lancet Neurology. </w:t>
            </w:r>
            <w:r w:rsidRPr="00CC73D2">
              <w:rPr>
                <w:iCs/>
                <w:szCs w:val="18"/>
              </w:rPr>
              <w:t>2020 Oct 1;19(10):814-2</w:t>
            </w:r>
          </w:p>
          <w:p w14:paraId="01B9D7F0" w14:textId="77777777" w:rsidR="00BC4A0D" w:rsidRPr="004A2558" w:rsidRDefault="00BC4A0D" w:rsidP="00BC4A0D">
            <w:pPr>
              <w:pStyle w:val="Tabletext"/>
            </w:pPr>
          </w:p>
        </w:tc>
      </w:tr>
      <w:tr w:rsidR="00BC4A0D" w:rsidRPr="00CB38A8" w14:paraId="3732AF36" w14:textId="77777777" w:rsidTr="00654C9F">
        <w:trPr>
          <w:cantSplit/>
          <w:tblHeader/>
        </w:trPr>
        <w:tc>
          <w:tcPr>
            <w:tcW w:w="795" w:type="pct"/>
            <w:vMerge/>
          </w:tcPr>
          <w:p w14:paraId="2C2AE2A4" w14:textId="77777777" w:rsidR="00BC4A0D" w:rsidRPr="00CB38A8" w:rsidRDefault="00BC4A0D" w:rsidP="00BC4A0D">
            <w:pPr>
              <w:pStyle w:val="Tabletext"/>
            </w:pPr>
          </w:p>
        </w:tc>
        <w:tc>
          <w:tcPr>
            <w:tcW w:w="2803" w:type="pct"/>
            <w:tcBorders>
              <w:top w:val="nil"/>
            </w:tcBorders>
          </w:tcPr>
          <w:p w14:paraId="04457D9B" w14:textId="77777777" w:rsidR="00BC4A0D" w:rsidRPr="00E34A35" w:rsidRDefault="00BC4A0D" w:rsidP="00BC4A0D">
            <w:pPr>
              <w:pStyle w:val="Tabletext"/>
            </w:pPr>
            <w:r w:rsidRPr="00BA4293">
              <w:rPr>
                <w:szCs w:val="18"/>
              </w:rPr>
              <w:t xml:space="preserve">Okonkwo R, Tockhorn-Heidenreich A, Stroud C, Paget MA, Matharu MS, Tassorelli C. Efficacy of galcanezumab in patients with migraine and history of failure to 3–4 preventive medication categories: subgroup analysis from CONQUER study. </w:t>
            </w:r>
          </w:p>
        </w:tc>
        <w:tc>
          <w:tcPr>
            <w:tcW w:w="1402" w:type="pct"/>
            <w:tcBorders>
              <w:top w:val="nil"/>
            </w:tcBorders>
          </w:tcPr>
          <w:p w14:paraId="78F0567B" w14:textId="038E1B60" w:rsidR="00BC4A0D" w:rsidRPr="00CB38A8" w:rsidRDefault="00BC4A0D" w:rsidP="00BC4A0D">
            <w:pPr>
              <w:pStyle w:val="Tabletext"/>
              <w:rPr>
                <w:i/>
              </w:rPr>
            </w:pPr>
            <w:r w:rsidRPr="00277996">
              <w:rPr>
                <w:szCs w:val="18"/>
              </w:rPr>
              <w:t xml:space="preserve">The </w:t>
            </w:r>
            <w:r w:rsidR="001D701C" w:rsidRPr="00277996">
              <w:rPr>
                <w:szCs w:val="18"/>
              </w:rPr>
              <w:t>J</w:t>
            </w:r>
            <w:r w:rsidRPr="00277996">
              <w:rPr>
                <w:szCs w:val="18"/>
              </w:rPr>
              <w:t xml:space="preserve">ournal of </w:t>
            </w:r>
            <w:r w:rsidR="001D701C" w:rsidRPr="00277996">
              <w:rPr>
                <w:szCs w:val="18"/>
              </w:rPr>
              <w:t>H</w:t>
            </w:r>
            <w:r w:rsidRPr="00277996">
              <w:rPr>
                <w:szCs w:val="18"/>
              </w:rPr>
              <w:t xml:space="preserve">eadache and </w:t>
            </w:r>
            <w:r w:rsidR="001D701C" w:rsidRPr="00277996">
              <w:rPr>
                <w:szCs w:val="18"/>
              </w:rPr>
              <w:t>P</w:t>
            </w:r>
            <w:r w:rsidRPr="00277996">
              <w:rPr>
                <w:szCs w:val="18"/>
              </w:rPr>
              <w:t>ain</w:t>
            </w:r>
            <w:r w:rsidRPr="00BA4293">
              <w:rPr>
                <w:iCs/>
                <w:szCs w:val="18"/>
              </w:rPr>
              <w:t>. 2021 Dec;22(1):1-1</w:t>
            </w:r>
          </w:p>
        </w:tc>
      </w:tr>
    </w:tbl>
    <w:p w14:paraId="6A407EAC" w14:textId="77777777" w:rsidR="00BC4E63" w:rsidRDefault="00BC4E63" w:rsidP="00BC4E63">
      <w:pPr>
        <w:pStyle w:val="FooterTableFigure"/>
      </w:pPr>
      <w:r>
        <w:t xml:space="preserve">Source: Table 2-5, p17 </w:t>
      </w:r>
      <w:r w:rsidRPr="00D13A3E">
        <w:t xml:space="preserve">of the </w:t>
      </w:r>
      <w:r>
        <w:t>submission.</w:t>
      </w:r>
    </w:p>
    <w:p w14:paraId="13131222" w14:textId="28CC609D" w:rsidR="00BC4E63" w:rsidRPr="00A62E08" w:rsidRDefault="00BC4E63" w:rsidP="00033A63">
      <w:pPr>
        <w:pStyle w:val="3-BodyText"/>
        <w:numPr>
          <w:ilvl w:val="1"/>
          <w:numId w:val="5"/>
        </w:numPr>
        <w:ind w:left="720"/>
      </w:pPr>
      <w:r w:rsidRPr="00B50DB8">
        <w:t>The key features of the randomised trials are summarised in</w:t>
      </w:r>
      <w:r>
        <w:t xml:space="preserve"> </w:t>
      </w:r>
      <w:r w:rsidRPr="00BC4E63">
        <w:rPr>
          <w:rFonts w:cstheme="minorHAnsi"/>
          <w:b/>
          <w:bCs/>
        </w:rPr>
        <w:fldChar w:fldCharType="begin" w:fldLock="1"/>
      </w:r>
      <w:r w:rsidRPr="00BC4E63">
        <w:rPr>
          <w:rFonts w:cstheme="minorHAnsi"/>
          <w:b/>
          <w:bCs/>
        </w:rPr>
        <w:instrText xml:space="preserve"> REF _Ref104804098 \h  \* MERGEFORMAT </w:instrText>
      </w:r>
      <w:r w:rsidRPr="00BC4E63">
        <w:rPr>
          <w:rFonts w:cstheme="minorHAnsi"/>
          <w:b/>
          <w:bCs/>
        </w:rPr>
      </w:r>
      <w:r w:rsidRPr="00BC4E63">
        <w:rPr>
          <w:rFonts w:cstheme="minorHAnsi"/>
          <w:b/>
          <w:bCs/>
        </w:rPr>
        <w:fldChar w:fldCharType="separate"/>
      </w:r>
      <w:r w:rsidR="00094E56" w:rsidRPr="00094E56">
        <w:rPr>
          <w:rStyle w:val="CommentReference"/>
          <w:rFonts w:asciiTheme="minorHAnsi" w:eastAsiaTheme="majorEastAsia" w:hAnsiTheme="minorHAnsi" w:cstheme="minorHAnsi"/>
          <w:b w:val="0"/>
          <w:bCs/>
          <w:sz w:val="24"/>
          <w:szCs w:val="24"/>
        </w:rPr>
        <w:t xml:space="preserve">Table </w:t>
      </w:r>
      <w:r w:rsidR="00094E56" w:rsidRPr="00094E56">
        <w:rPr>
          <w:rStyle w:val="CommentReference"/>
          <w:rFonts w:asciiTheme="minorHAnsi" w:eastAsiaTheme="majorEastAsia" w:hAnsiTheme="minorHAnsi" w:cstheme="minorHAnsi"/>
          <w:b w:val="0"/>
          <w:bCs/>
          <w:noProof/>
          <w:sz w:val="24"/>
          <w:szCs w:val="24"/>
        </w:rPr>
        <w:t>3</w:t>
      </w:r>
      <w:r w:rsidRPr="00BC4E63">
        <w:rPr>
          <w:rFonts w:cstheme="minorHAnsi"/>
          <w:b/>
          <w:bCs/>
        </w:rPr>
        <w:fldChar w:fldCharType="end"/>
      </w:r>
      <w:r w:rsidRPr="00BC4E63">
        <w:rPr>
          <w:rFonts w:cstheme="minorHAnsi"/>
        </w:rPr>
        <w:t>.</w:t>
      </w:r>
    </w:p>
    <w:p w14:paraId="63C2A08F" w14:textId="026C0096" w:rsidR="00A62E08" w:rsidRDefault="00A62E08" w:rsidP="00033A63">
      <w:pPr>
        <w:pStyle w:val="3-BodyText"/>
        <w:numPr>
          <w:ilvl w:val="1"/>
          <w:numId w:val="5"/>
        </w:numPr>
        <w:ind w:left="720"/>
      </w:pPr>
      <w:r>
        <w:t xml:space="preserve">The key primary and secondary outcomes </w:t>
      </w:r>
      <w:r w:rsidR="00D14A65">
        <w:t>wer</w:t>
      </w:r>
      <w:r>
        <w:t xml:space="preserve">e change in monthly migraine days and </w:t>
      </w:r>
      <w:r w:rsidR="00011BB6">
        <w:t xml:space="preserve">the proportion of </w:t>
      </w:r>
      <w:r w:rsidRPr="00E60734">
        <w:t>patients achieving a ≥50% reduction in monthly migraine days</w:t>
      </w:r>
      <w:r>
        <w:t xml:space="preserve">. The PBAC previously considered these outcomes (Table 1, Galcanezumab PSD, March 2022 PBAC meeting; para 6.15, Galcanezumab PSD, November 2020 PBAC meeting; </w:t>
      </w:r>
      <w:r w:rsidR="00937D26">
        <w:t>Table 1, Fremanezumab PSD, November 2019 PBAC meeting</w:t>
      </w:r>
      <w:r>
        <w:t>).</w:t>
      </w:r>
    </w:p>
    <w:p w14:paraId="2D450A8D" w14:textId="78D31A08" w:rsidR="00C41B13" w:rsidRPr="00BC4E63" w:rsidRDefault="00C41B13" w:rsidP="00033A63">
      <w:pPr>
        <w:pStyle w:val="3-BodyText"/>
        <w:numPr>
          <w:ilvl w:val="1"/>
          <w:numId w:val="5"/>
        </w:numPr>
        <w:ind w:left="720"/>
      </w:pPr>
      <w:r w:rsidRPr="00277996">
        <w:rPr>
          <w:iCs/>
        </w:rPr>
        <w:t>The</w:t>
      </w:r>
      <w:r w:rsidR="00011BB6">
        <w:rPr>
          <w:iCs/>
        </w:rPr>
        <w:t>re</w:t>
      </w:r>
      <w:r w:rsidRPr="00277996">
        <w:rPr>
          <w:iCs/>
        </w:rPr>
        <w:t xml:space="preserve"> was a slight difference in the definition of monthly migraine days in both tri</w:t>
      </w:r>
      <w:r w:rsidR="00A256B8" w:rsidRPr="00277996">
        <w:rPr>
          <w:iCs/>
        </w:rPr>
        <w:t>a</w:t>
      </w:r>
      <w:r w:rsidRPr="00277996">
        <w:rPr>
          <w:iCs/>
        </w:rPr>
        <w:t xml:space="preserve">ls. The primary outcome was </w:t>
      </w:r>
      <w:r w:rsidR="001E71CA" w:rsidRPr="00277996">
        <w:rPr>
          <w:iCs/>
        </w:rPr>
        <w:t xml:space="preserve">change from baseline in </w:t>
      </w:r>
      <w:r w:rsidRPr="00277996">
        <w:rPr>
          <w:iCs/>
        </w:rPr>
        <w:t xml:space="preserve">monthly migraine days (MMDs) in FOCUS, while it was </w:t>
      </w:r>
      <w:r w:rsidR="001E71CA" w:rsidRPr="00277996">
        <w:rPr>
          <w:iCs/>
        </w:rPr>
        <w:t>change from baseline in</w:t>
      </w:r>
      <w:r w:rsidRPr="00277996">
        <w:rPr>
          <w:iCs/>
        </w:rPr>
        <w:t xml:space="preserve"> monthly migraine headache days</w:t>
      </w:r>
      <w:r w:rsidR="00D211C6" w:rsidRPr="00277996">
        <w:rPr>
          <w:iCs/>
        </w:rPr>
        <w:t xml:space="preserve"> </w:t>
      </w:r>
      <w:r w:rsidR="00D211C6" w:rsidRPr="00277996">
        <w:rPr>
          <w:iCs/>
        </w:rPr>
        <w:lastRenderedPageBreak/>
        <w:t>(MMHDs)</w:t>
      </w:r>
      <w:r w:rsidRPr="00277996">
        <w:rPr>
          <w:iCs/>
        </w:rPr>
        <w:t xml:space="preserve"> in CONQUER. This difference was due to variability in the duration of migraine </w:t>
      </w:r>
      <w:r w:rsidR="00D52253">
        <w:rPr>
          <w:iCs/>
        </w:rPr>
        <w:t xml:space="preserve">for it </w:t>
      </w:r>
      <w:r w:rsidRPr="00277996">
        <w:rPr>
          <w:iCs/>
        </w:rPr>
        <w:t xml:space="preserve">to be counted as a typical migraine episode. </w:t>
      </w:r>
      <w:r w:rsidR="00897047">
        <w:rPr>
          <w:iCs/>
        </w:rPr>
        <w:t>The term MMDs has been used herein f</w:t>
      </w:r>
      <w:r w:rsidR="00456C59" w:rsidRPr="00277996">
        <w:rPr>
          <w:iCs/>
        </w:rPr>
        <w:t>or consistency</w:t>
      </w:r>
      <w:r w:rsidR="004A6F4F">
        <w:rPr>
          <w:iCs/>
        </w:rPr>
        <w:t>.</w:t>
      </w:r>
    </w:p>
    <w:p w14:paraId="0CBFDB5D" w14:textId="42BB7A12" w:rsidR="00BC4E63" w:rsidRPr="00D6076E" w:rsidRDefault="00BC4E63" w:rsidP="00BC4E63">
      <w:pPr>
        <w:pStyle w:val="Caption"/>
        <w:rPr>
          <w:rStyle w:val="CommentReference"/>
          <w:rFonts w:eastAsiaTheme="majorEastAsia" w:cstheme="majorBidi"/>
          <w:b/>
          <w:szCs w:val="24"/>
        </w:rPr>
      </w:pPr>
      <w:bookmarkStart w:id="27"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B97129">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7"/>
      <w:r w:rsidRPr="00D6076E">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3"/>
        <w:gridCol w:w="1033"/>
        <w:gridCol w:w="1737"/>
        <w:gridCol w:w="1313"/>
        <w:gridCol w:w="1971"/>
        <w:gridCol w:w="1380"/>
      </w:tblGrid>
      <w:tr w:rsidR="00BC4E63" w:rsidRPr="00B41614" w14:paraId="66A2D156" w14:textId="77777777" w:rsidTr="004E7793">
        <w:trPr>
          <w:cantSplit/>
          <w:tblHeader/>
        </w:trPr>
        <w:tc>
          <w:tcPr>
            <w:tcW w:w="878" w:type="pct"/>
            <w:shd w:val="clear" w:color="auto" w:fill="auto"/>
          </w:tcPr>
          <w:p w14:paraId="374F24C6" w14:textId="77777777" w:rsidR="00BC4E63" w:rsidRPr="00B41614" w:rsidRDefault="00BC4E63" w:rsidP="004E7793">
            <w:pPr>
              <w:pStyle w:val="In-tableHeading"/>
            </w:pPr>
            <w:r w:rsidRPr="00B41614">
              <w:t>Trial</w:t>
            </w:r>
          </w:p>
        </w:tc>
        <w:tc>
          <w:tcPr>
            <w:tcW w:w="573" w:type="pct"/>
            <w:shd w:val="clear" w:color="auto" w:fill="auto"/>
          </w:tcPr>
          <w:p w14:paraId="72429D4A" w14:textId="77777777" w:rsidR="00BC4E63" w:rsidRPr="00B41614" w:rsidRDefault="00BC4E63" w:rsidP="00EB394E">
            <w:pPr>
              <w:pStyle w:val="In-tableHeading"/>
              <w:jc w:val="center"/>
            </w:pPr>
            <w:r w:rsidRPr="00B41614">
              <w:t>N</w:t>
            </w:r>
          </w:p>
        </w:tc>
        <w:tc>
          <w:tcPr>
            <w:tcW w:w="963" w:type="pct"/>
            <w:shd w:val="clear" w:color="auto" w:fill="auto"/>
          </w:tcPr>
          <w:p w14:paraId="0099062A" w14:textId="77777777" w:rsidR="00BC4E63" w:rsidRPr="00B41614" w:rsidRDefault="00BC4E63" w:rsidP="00EB394E">
            <w:pPr>
              <w:pStyle w:val="In-tableHeading"/>
              <w:jc w:val="center"/>
            </w:pPr>
            <w:r w:rsidRPr="00B41614">
              <w:t>Design/ duration</w:t>
            </w:r>
          </w:p>
        </w:tc>
        <w:tc>
          <w:tcPr>
            <w:tcW w:w="728" w:type="pct"/>
            <w:shd w:val="clear" w:color="auto" w:fill="auto"/>
          </w:tcPr>
          <w:p w14:paraId="098E2A7D" w14:textId="77777777" w:rsidR="00BC4E63" w:rsidRPr="00B41614" w:rsidRDefault="00BC4E63" w:rsidP="00EB394E">
            <w:pPr>
              <w:pStyle w:val="In-tableHeading"/>
              <w:jc w:val="center"/>
            </w:pPr>
            <w:r w:rsidRPr="00B41614">
              <w:t>Risk of bias</w:t>
            </w:r>
          </w:p>
        </w:tc>
        <w:tc>
          <w:tcPr>
            <w:tcW w:w="1093" w:type="pct"/>
            <w:shd w:val="clear" w:color="auto" w:fill="auto"/>
          </w:tcPr>
          <w:p w14:paraId="2E00BDDA" w14:textId="77777777" w:rsidR="00BC4E63" w:rsidRPr="00B41614" w:rsidRDefault="00BC4E63" w:rsidP="00EB394E">
            <w:pPr>
              <w:pStyle w:val="In-tableHeading"/>
              <w:jc w:val="center"/>
            </w:pPr>
            <w:r w:rsidRPr="00B41614">
              <w:t>Patient population</w:t>
            </w:r>
          </w:p>
        </w:tc>
        <w:tc>
          <w:tcPr>
            <w:tcW w:w="765" w:type="pct"/>
            <w:shd w:val="clear" w:color="auto" w:fill="auto"/>
          </w:tcPr>
          <w:p w14:paraId="6D801B43" w14:textId="77777777" w:rsidR="00BC4E63" w:rsidRPr="00B41614" w:rsidRDefault="00BC4E63" w:rsidP="00EB394E">
            <w:pPr>
              <w:pStyle w:val="In-tableHeading"/>
              <w:jc w:val="center"/>
            </w:pPr>
            <w:r w:rsidRPr="00B41614">
              <w:t>Outcome(s)</w:t>
            </w:r>
          </w:p>
        </w:tc>
      </w:tr>
      <w:tr w:rsidR="00BC4E63" w:rsidRPr="00B41614" w14:paraId="2CEE47A8" w14:textId="77777777" w:rsidTr="007B73BA">
        <w:trPr>
          <w:cantSplit/>
          <w:tblHeader/>
        </w:trPr>
        <w:tc>
          <w:tcPr>
            <w:tcW w:w="2414" w:type="pct"/>
            <w:gridSpan w:val="3"/>
            <w:tcBorders>
              <w:right w:val="nil"/>
            </w:tcBorders>
            <w:shd w:val="clear" w:color="auto" w:fill="auto"/>
            <w:vAlign w:val="center"/>
          </w:tcPr>
          <w:p w14:paraId="0F45B95F" w14:textId="77777777" w:rsidR="00BC4E63" w:rsidRPr="00B41614" w:rsidRDefault="00BC4E63" w:rsidP="007B73BA">
            <w:pPr>
              <w:pStyle w:val="In-tableHeading"/>
            </w:pPr>
            <w:r w:rsidRPr="00480C09">
              <w:t>Fremanezumab vs. placebo</w:t>
            </w:r>
          </w:p>
        </w:tc>
        <w:tc>
          <w:tcPr>
            <w:tcW w:w="728" w:type="pct"/>
            <w:tcBorders>
              <w:left w:val="nil"/>
              <w:right w:val="nil"/>
            </w:tcBorders>
            <w:shd w:val="clear" w:color="auto" w:fill="auto"/>
            <w:vAlign w:val="center"/>
          </w:tcPr>
          <w:p w14:paraId="00E51EEC" w14:textId="77777777" w:rsidR="00BC4E63" w:rsidRPr="00B41614" w:rsidRDefault="00BC4E63" w:rsidP="007B73BA">
            <w:pPr>
              <w:pStyle w:val="In-tableHeading"/>
              <w:jc w:val="center"/>
            </w:pPr>
          </w:p>
        </w:tc>
        <w:tc>
          <w:tcPr>
            <w:tcW w:w="1093" w:type="pct"/>
            <w:tcBorders>
              <w:left w:val="nil"/>
              <w:right w:val="nil"/>
            </w:tcBorders>
            <w:shd w:val="clear" w:color="auto" w:fill="auto"/>
            <w:vAlign w:val="center"/>
          </w:tcPr>
          <w:p w14:paraId="70DFFA0E" w14:textId="77777777" w:rsidR="00BC4E63" w:rsidRPr="00B41614" w:rsidRDefault="00BC4E63" w:rsidP="007B73BA">
            <w:pPr>
              <w:pStyle w:val="In-tableHeading"/>
              <w:jc w:val="center"/>
            </w:pPr>
          </w:p>
        </w:tc>
        <w:tc>
          <w:tcPr>
            <w:tcW w:w="765" w:type="pct"/>
            <w:tcBorders>
              <w:left w:val="nil"/>
            </w:tcBorders>
            <w:shd w:val="clear" w:color="auto" w:fill="auto"/>
            <w:vAlign w:val="center"/>
          </w:tcPr>
          <w:p w14:paraId="5B88DF60" w14:textId="77777777" w:rsidR="00BC4E63" w:rsidRPr="00B41614" w:rsidRDefault="00BC4E63" w:rsidP="007B73BA">
            <w:pPr>
              <w:pStyle w:val="In-tableHeading"/>
              <w:jc w:val="center"/>
            </w:pPr>
          </w:p>
        </w:tc>
      </w:tr>
      <w:tr w:rsidR="00BC4E63" w:rsidRPr="00277996" w14:paraId="2964B13F" w14:textId="77777777" w:rsidTr="007B73BA">
        <w:trPr>
          <w:cantSplit/>
        </w:trPr>
        <w:tc>
          <w:tcPr>
            <w:tcW w:w="878" w:type="pct"/>
            <w:shd w:val="clear" w:color="auto" w:fill="auto"/>
            <w:vAlign w:val="center"/>
          </w:tcPr>
          <w:p w14:paraId="4C3FD371" w14:textId="77777777" w:rsidR="00BC4E63" w:rsidRPr="00277996" w:rsidRDefault="00BC4E63" w:rsidP="007B73BA">
            <w:pPr>
              <w:pStyle w:val="TableText0"/>
              <w:rPr>
                <w:lang w:val="en-US"/>
              </w:rPr>
            </w:pPr>
            <w:r w:rsidRPr="00277996">
              <w:rPr>
                <w:lang w:val="en-US"/>
              </w:rPr>
              <w:t>FOCUS (full trial population)</w:t>
            </w:r>
          </w:p>
        </w:tc>
        <w:tc>
          <w:tcPr>
            <w:tcW w:w="573" w:type="pct"/>
            <w:shd w:val="clear" w:color="auto" w:fill="auto"/>
            <w:vAlign w:val="center"/>
          </w:tcPr>
          <w:p w14:paraId="479F86F8" w14:textId="77777777" w:rsidR="00BC4E63" w:rsidRPr="00277996" w:rsidRDefault="00BC4E63" w:rsidP="007B73BA">
            <w:pPr>
              <w:pStyle w:val="TableText0"/>
              <w:jc w:val="center"/>
              <w:rPr>
                <w:lang w:val="en-US"/>
              </w:rPr>
            </w:pPr>
            <w:r w:rsidRPr="00277996">
              <w:rPr>
                <w:lang w:val="en-US"/>
              </w:rPr>
              <w:t>838</w:t>
            </w:r>
          </w:p>
        </w:tc>
        <w:tc>
          <w:tcPr>
            <w:tcW w:w="963" w:type="pct"/>
            <w:vMerge w:val="restart"/>
            <w:shd w:val="clear" w:color="auto" w:fill="auto"/>
            <w:vAlign w:val="center"/>
          </w:tcPr>
          <w:p w14:paraId="4E09A7AB" w14:textId="77777777" w:rsidR="00BC4E63" w:rsidRPr="00277996" w:rsidRDefault="00BC4E63" w:rsidP="007B73BA">
            <w:pPr>
              <w:pStyle w:val="TableText0"/>
              <w:jc w:val="center"/>
              <w:rPr>
                <w:lang w:val="en-US"/>
              </w:rPr>
            </w:pPr>
            <w:r w:rsidRPr="00277996">
              <w:rPr>
                <w:lang w:val="en-US"/>
              </w:rPr>
              <w:t>R, DB, MC</w:t>
            </w:r>
          </w:p>
          <w:p w14:paraId="63722136" w14:textId="77777777" w:rsidR="00BC4E63" w:rsidRPr="00277996" w:rsidRDefault="00BC4E63" w:rsidP="007B73BA">
            <w:pPr>
              <w:pStyle w:val="TableText0"/>
              <w:jc w:val="center"/>
              <w:rPr>
                <w:lang w:val="en-US"/>
              </w:rPr>
            </w:pPr>
            <w:r w:rsidRPr="00277996">
              <w:rPr>
                <w:lang w:val="en-US"/>
              </w:rPr>
              <w:t>(</w:t>
            </w:r>
            <w:r w:rsidRPr="00277996">
              <w:t>12 weeks with 12-week open-label extension</w:t>
            </w:r>
            <w:r w:rsidRPr="00277996">
              <w:rPr>
                <w:lang w:val="en-US"/>
              </w:rPr>
              <w:t>)</w:t>
            </w:r>
          </w:p>
        </w:tc>
        <w:tc>
          <w:tcPr>
            <w:tcW w:w="728" w:type="pct"/>
            <w:shd w:val="clear" w:color="auto" w:fill="auto"/>
            <w:vAlign w:val="center"/>
          </w:tcPr>
          <w:p w14:paraId="2C710982" w14:textId="3FA41BB9" w:rsidR="00BC4E63" w:rsidRPr="00277996" w:rsidRDefault="00BC4E63" w:rsidP="007B73BA">
            <w:pPr>
              <w:pStyle w:val="TableText0"/>
              <w:jc w:val="center"/>
              <w:rPr>
                <w:vertAlign w:val="superscript"/>
                <w:lang w:val="en-US"/>
              </w:rPr>
            </w:pPr>
            <w:r w:rsidRPr="00277996">
              <w:rPr>
                <w:lang w:val="en-US"/>
              </w:rPr>
              <w:t>Low</w:t>
            </w:r>
            <w:r w:rsidR="00264CA2" w:rsidRPr="00277996">
              <w:rPr>
                <w:vertAlign w:val="superscript"/>
                <w:lang w:val="en-US"/>
              </w:rPr>
              <w:t>a</w:t>
            </w:r>
          </w:p>
        </w:tc>
        <w:tc>
          <w:tcPr>
            <w:tcW w:w="1093" w:type="pct"/>
            <w:shd w:val="clear" w:color="auto" w:fill="auto"/>
            <w:vAlign w:val="center"/>
          </w:tcPr>
          <w:p w14:paraId="0786817E" w14:textId="77777777" w:rsidR="00BC4E63" w:rsidRPr="00277996" w:rsidRDefault="00BC4E63" w:rsidP="00A41FA0">
            <w:pPr>
              <w:pStyle w:val="TableText0"/>
              <w:numPr>
                <w:ilvl w:val="0"/>
                <w:numId w:val="7"/>
              </w:numPr>
              <w:ind w:left="133" w:hanging="189"/>
              <w:jc w:val="center"/>
            </w:pPr>
            <w:r w:rsidRPr="00277996">
              <w:t>≥4 migraine days per month</w:t>
            </w:r>
          </w:p>
          <w:p w14:paraId="4E227A44" w14:textId="77777777" w:rsidR="00BC4E63" w:rsidRPr="00277996" w:rsidRDefault="00BC4E63" w:rsidP="00A41FA0">
            <w:pPr>
              <w:pStyle w:val="TableText0"/>
              <w:numPr>
                <w:ilvl w:val="0"/>
                <w:numId w:val="7"/>
              </w:numPr>
              <w:ind w:left="133" w:hanging="189"/>
              <w:jc w:val="center"/>
            </w:pPr>
            <w:r w:rsidRPr="00277996">
              <w:t>2 to 4 prior treatment failures</w:t>
            </w:r>
          </w:p>
        </w:tc>
        <w:tc>
          <w:tcPr>
            <w:tcW w:w="765" w:type="pct"/>
            <w:vMerge w:val="restart"/>
            <w:shd w:val="clear" w:color="auto" w:fill="auto"/>
            <w:vAlign w:val="center"/>
          </w:tcPr>
          <w:p w14:paraId="1BB96516" w14:textId="6BFD7800" w:rsidR="00BC4E63" w:rsidRPr="00277996" w:rsidRDefault="00172504" w:rsidP="00EB394E">
            <w:pPr>
              <w:pStyle w:val="TableText0"/>
              <w:ind w:left="125"/>
              <w:jc w:val="center"/>
              <w:rPr>
                <w:vertAlign w:val="superscript"/>
              </w:rPr>
            </w:pPr>
            <w:r w:rsidRPr="00277996">
              <w:rPr>
                <w:u w:val="single"/>
                <w:lang w:val="en-US"/>
              </w:rPr>
              <w:t xml:space="preserve">Primary </w:t>
            </w:r>
            <w:r w:rsidR="00C979FB" w:rsidRPr="00277996">
              <w:rPr>
                <w:u w:val="single"/>
                <w:lang w:val="en-US"/>
              </w:rPr>
              <w:t>o</w:t>
            </w:r>
            <w:r w:rsidRPr="00277996">
              <w:rPr>
                <w:u w:val="single"/>
                <w:lang w:val="en-US"/>
              </w:rPr>
              <w:t>utcome</w:t>
            </w:r>
            <w:r w:rsidRPr="00277996">
              <w:rPr>
                <w:lang w:val="en-US"/>
              </w:rPr>
              <w:t>: c</w:t>
            </w:r>
            <w:r w:rsidR="00BC4E63" w:rsidRPr="00277996">
              <w:rPr>
                <w:lang w:val="en-US"/>
              </w:rPr>
              <w:t xml:space="preserve">hange from baseline in </w:t>
            </w:r>
            <w:r w:rsidR="004A6F4F">
              <w:rPr>
                <w:lang w:val="en-US"/>
              </w:rPr>
              <w:t>MMD</w:t>
            </w:r>
            <w:r w:rsidR="000444F0" w:rsidRPr="00277996">
              <w:rPr>
                <w:lang w:val="en-US"/>
              </w:rPr>
              <w:t xml:space="preserve"> or </w:t>
            </w:r>
            <w:r w:rsidR="004A6F4F">
              <w:rPr>
                <w:lang w:val="en-US"/>
              </w:rPr>
              <w:t>MMHD</w:t>
            </w:r>
          </w:p>
          <w:p w14:paraId="3267C36D" w14:textId="2BE976CD" w:rsidR="00BC4E63" w:rsidRPr="00277996" w:rsidRDefault="00172504" w:rsidP="00EB394E">
            <w:pPr>
              <w:pStyle w:val="TableText0"/>
              <w:ind w:left="125"/>
              <w:jc w:val="center"/>
            </w:pPr>
            <w:r w:rsidRPr="00277996">
              <w:rPr>
                <w:rFonts w:eastAsiaTheme="minorEastAsia"/>
                <w:u w:val="single"/>
                <w:lang w:val="en-US"/>
              </w:rPr>
              <w:t>Secondary outcome</w:t>
            </w:r>
            <w:r w:rsidR="00C979FB" w:rsidRPr="00277996">
              <w:rPr>
                <w:rFonts w:eastAsiaTheme="minorEastAsia"/>
                <w:lang w:val="en-US"/>
              </w:rPr>
              <w:t>:</w:t>
            </w:r>
            <w:r w:rsidRPr="00277996">
              <w:rPr>
                <w:rFonts w:eastAsiaTheme="minorEastAsia"/>
                <w:lang w:val="en-US"/>
              </w:rPr>
              <w:t xml:space="preserve"> </w:t>
            </w:r>
            <w:r w:rsidR="00BC4E63" w:rsidRPr="00277996">
              <w:rPr>
                <w:rFonts w:eastAsiaTheme="minorEastAsia"/>
                <w:lang w:val="en-US"/>
              </w:rPr>
              <w:t>≥50% response rate in terms of MMD</w:t>
            </w:r>
            <w:r w:rsidR="000444F0" w:rsidRPr="00277996">
              <w:rPr>
                <w:rFonts w:eastAsiaTheme="minorEastAsia"/>
                <w:lang w:val="en-US"/>
              </w:rPr>
              <w:t xml:space="preserve"> or MMHD</w:t>
            </w:r>
          </w:p>
          <w:p w14:paraId="51C0FC8C" w14:textId="35C87BBA" w:rsidR="00BC4E63" w:rsidRPr="00277996" w:rsidRDefault="00C979FB" w:rsidP="00EB394E">
            <w:pPr>
              <w:pStyle w:val="TableText0"/>
              <w:ind w:left="125"/>
              <w:jc w:val="center"/>
            </w:pPr>
            <w:r w:rsidRPr="00277996">
              <w:rPr>
                <w:rFonts w:eastAsiaTheme="minorEastAsia"/>
                <w:u w:val="single"/>
                <w:lang w:val="en-US"/>
              </w:rPr>
              <w:t>Safety</w:t>
            </w:r>
            <w:r w:rsidRPr="00277996">
              <w:rPr>
                <w:rFonts w:eastAsiaTheme="minorEastAsia"/>
                <w:lang w:val="en-US"/>
              </w:rPr>
              <w:t xml:space="preserve">: </w:t>
            </w:r>
            <w:r w:rsidR="00BC4E63" w:rsidRPr="00277996">
              <w:rPr>
                <w:rFonts w:eastAsiaTheme="minorEastAsia"/>
                <w:lang w:val="en-US"/>
              </w:rPr>
              <w:t>Treatment emergent adverse events</w:t>
            </w:r>
          </w:p>
          <w:p w14:paraId="73A5596D" w14:textId="77777777" w:rsidR="00BC4E63" w:rsidRPr="00277996" w:rsidRDefault="00BC4E63" w:rsidP="007B73BA">
            <w:pPr>
              <w:pStyle w:val="TableText0"/>
              <w:jc w:val="center"/>
              <w:rPr>
                <w:lang w:val="en-US"/>
              </w:rPr>
            </w:pPr>
          </w:p>
        </w:tc>
      </w:tr>
      <w:tr w:rsidR="00BC4E63" w:rsidRPr="00277996" w14:paraId="150106E4" w14:textId="77777777" w:rsidTr="007B73BA">
        <w:trPr>
          <w:cantSplit/>
        </w:trPr>
        <w:tc>
          <w:tcPr>
            <w:tcW w:w="878" w:type="pct"/>
            <w:shd w:val="clear" w:color="auto" w:fill="auto"/>
            <w:vAlign w:val="center"/>
          </w:tcPr>
          <w:p w14:paraId="16F0811A" w14:textId="77777777" w:rsidR="00BC4E63" w:rsidRPr="00277996" w:rsidRDefault="00BC4E63" w:rsidP="007B73BA">
            <w:pPr>
              <w:pStyle w:val="TableText0"/>
              <w:rPr>
                <w:lang w:val="en-US"/>
              </w:rPr>
            </w:pPr>
            <w:r w:rsidRPr="00277996">
              <w:rPr>
                <w:lang w:val="en-US"/>
              </w:rPr>
              <w:t>FOCUS (HFEM ≥3 prior therapies subgroup)</w:t>
            </w:r>
          </w:p>
        </w:tc>
        <w:tc>
          <w:tcPr>
            <w:tcW w:w="573" w:type="pct"/>
            <w:shd w:val="clear" w:color="auto" w:fill="auto"/>
            <w:vAlign w:val="center"/>
          </w:tcPr>
          <w:p w14:paraId="2395734D" w14:textId="77777777" w:rsidR="00BC4E63" w:rsidRPr="00277996" w:rsidRDefault="00BC4E63" w:rsidP="007B73BA">
            <w:pPr>
              <w:pStyle w:val="TableText0"/>
              <w:jc w:val="center"/>
              <w:rPr>
                <w:lang w:val="en-US"/>
              </w:rPr>
            </w:pPr>
            <w:r w:rsidRPr="00277996">
              <w:rPr>
                <w:lang w:val="en-US"/>
              </w:rPr>
              <w:t>91</w:t>
            </w:r>
          </w:p>
        </w:tc>
        <w:tc>
          <w:tcPr>
            <w:tcW w:w="963" w:type="pct"/>
            <w:vMerge/>
            <w:shd w:val="clear" w:color="auto" w:fill="auto"/>
            <w:vAlign w:val="center"/>
          </w:tcPr>
          <w:p w14:paraId="377514EF" w14:textId="77777777" w:rsidR="00BC4E63" w:rsidRPr="00277996" w:rsidRDefault="00BC4E63" w:rsidP="007B73BA">
            <w:pPr>
              <w:pStyle w:val="TableText0"/>
              <w:jc w:val="center"/>
              <w:rPr>
                <w:lang w:val="en-US"/>
              </w:rPr>
            </w:pPr>
          </w:p>
        </w:tc>
        <w:tc>
          <w:tcPr>
            <w:tcW w:w="728" w:type="pct"/>
            <w:shd w:val="clear" w:color="auto" w:fill="auto"/>
            <w:vAlign w:val="center"/>
          </w:tcPr>
          <w:p w14:paraId="21B0E500" w14:textId="474F8BD3" w:rsidR="00BC4E63" w:rsidRPr="00277996" w:rsidRDefault="00BC4E63" w:rsidP="007B73BA">
            <w:pPr>
              <w:pStyle w:val="TableText0"/>
              <w:jc w:val="center"/>
              <w:rPr>
                <w:vertAlign w:val="superscript"/>
                <w:lang w:val="en-US"/>
              </w:rPr>
            </w:pPr>
            <w:r w:rsidRPr="00277996">
              <w:rPr>
                <w:lang w:val="en-US"/>
              </w:rPr>
              <w:t>High</w:t>
            </w:r>
            <w:r w:rsidR="00E04CC2" w:rsidRPr="00277996">
              <w:rPr>
                <w:vertAlign w:val="superscript"/>
                <w:lang w:val="en-US"/>
              </w:rPr>
              <w:t>b</w:t>
            </w:r>
          </w:p>
        </w:tc>
        <w:tc>
          <w:tcPr>
            <w:tcW w:w="1093" w:type="pct"/>
            <w:shd w:val="clear" w:color="auto" w:fill="auto"/>
            <w:vAlign w:val="center"/>
          </w:tcPr>
          <w:p w14:paraId="1A4DF21E" w14:textId="3F58C46D" w:rsidR="00BC4E63" w:rsidRPr="00277996" w:rsidRDefault="00BC4E63" w:rsidP="007B73BA">
            <w:pPr>
              <w:pStyle w:val="TableText0"/>
              <w:jc w:val="center"/>
            </w:pPr>
            <w:r w:rsidRPr="00277996">
              <w:t>- 8 to 14 migraine days per month</w:t>
            </w:r>
          </w:p>
          <w:p w14:paraId="3B4E1675" w14:textId="77777777" w:rsidR="00BC4E63" w:rsidRPr="00277996" w:rsidRDefault="00BC4E63" w:rsidP="007B73BA">
            <w:pPr>
              <w:pStyle w:val="TableText0"/>
              <w:jc w:val="center"/>
              <w:rPr>
                <w:lang w:val="en-US"/>
              </w:rPr>
            </w:pPr>
            <w:r w:rsidRPr="00277996">
              <w:t>- 3 to 4 prior treatment failures</w:t>
            </w:r>
          </w:p>
        </w:tc>
        <w:tc>
          <w:tcPr>
            <w:tcW w:w="765" w:type="pct"/>
            <w:vMerge/>
            <w:shd w:val="clear" w:color="auto" w:fill="auto"/>
            <w:vAlign w:val="center"/>
          </w:tcPr>
          <w:p w14:paraId="3DC04AC4" w14:textId="77777777" w:rsidR="00BC4E63" w:rsidRPr="00277996" w:rsidRDefault="00BC4E63" w:rsidP="007B73BA">
            <w:pPr>
              <w:pStyle w:val="TableText0"/>
              <w:jc w:val="center"/>
              <w:rPr>
                <w:lang w:val="en-US"/>
              </w:rPr>
            </w:pPr>
          </w:p>
        </w:tc>
      </w:tr>
      <w:tr w:rsidR="00BC4E63" w:rsidRPr="00E2771E" w14:paraId="3843C482" w14:textId="77777777" w:rsidTr="007B73BA">
        <w:trPr>
          <w:cantSplit/>
        </w:trPr>
        <w:tc>
          <w:tcPr>
            <w:tcW w:w="2414" w:type="pct"/>
            <w:gridSpan w:val="3"/>
            <w:tcBorders>
              <w:right w:val="nil"/>
            </w:tcBorders>
            <w:shd w:val="clear" w:color="auto" w:fill="auto"/>
            <w:vAlign w:val="center"/>
          </w:tcPr>
          <w:p w14:paraId="63720974" w14:textId="77777777" w:rsidR="00BC4E63" w:rsidRPr="00E2771E" w:rsidRDefault="00BC4E63" w:rsidP="007B73BA">
            <w:pPr>
              <w:pStyle w:val="In-tableHeading"/>
            </w:pPr>
            <w:r>
              <w:t>Galcanezumab vs. placebo</w:t>
            </w:r>
          </w:p>
        </w:tc>
        <w:tc>
          <w:tcPr>
            <w:tcW w:w="728" w:type="pct"/>
            <w:tcBorders>
              <w:left w:val="nil"/>
              <w:right w:val="nil"/>
            </w:tcBorders>
            <w:shd w:val="clear" w:color="auto" w:fill="auto"/>
            <w:vAlign w:val="center"/>
          </w:tcPr>
          <w:p w14:paraId="28E1A2ED" w14:textId="77777777" w:rsidR="00BC4E63" w:rsidRPr="00480C09" w:rsidRDefault="00BC4E63" w:rsidP="007B73BA">
            <w:pPr>
              <w:pStyle w:val="TableText0"/>
              <w:jc w:val="center"/>
              <w:rPr>
                <w:iCs/>
                <w:lang w:val="en-US"/>
              </w:rPr>
            </w:pPr>
          </w:p>
        </w:tc>
        <w:tc>
          <w:tcPr>
            <w:tcW w:w="1093" w:type="pct"/>
            <w:tcBorders>
              <w:left w:val="nil"/>
            </w:tcBorders>
            <w:shd w:val="clear" w:color="auto" w:fill="auto"/>
            <w:vAlign w:val="center"/>
          </w:tcPr>
          <w:p w14:paraId="73341445" w14:textId="77777777" w:rsidR="00BC4E63" w:rsidRPr="00E2771E" w:rsidRDefault="00BC4E63" w:rsidP="007B73BA">
            <w:pPr>
              <w:pStyle w:val="TableText0"/>
              <w:jc w:val="center"/>
              <w:rPr>
                <w:lang w:val="en-US"/>
              </w:rPr>
            </w:pPr>
          </w:p>
        </w:tc>
        <w:tc>
          <w:tcPr>
            <w:tcW w:w="765" w:type="pct"/>
            <w:vMerge/>
            <w:shd w:val="clear" w:color="auto" w:fill="auto"/>
            <w:vAlign w:val="center"/>
          </w:tcPr>
          <w:p w14:paraId="2FFA816B" w14:textId="77777777" w:rsidR="00BC4E63" w:rsidRPr="00E2771E" w:rsidRDefault="00BC4E63" w:rsidP="007B73BA">
            <w:pPr>
              <w:pStyle w:val="TableText0"/>
              <w:jc w:val="center"/>
              <w:rPr>
                <w:lang w:val="en-US"/>
              </w:rPr>
            </w:pPr>
          </w:p>
        </w:tc>
      </w:tr>
      <w:tr w:rsidR="00BC4E63" w:rsidRPr="00277996" w14:paraId="634C1EF8" w14:textId="77777777" w:rsidTr="007B73BA">
        <w:trPr>
          <w:cantSplit/>
        </w:trPr>
        <w:tc>
          <w:tcPr>
            <w:tcW w:w="878" w:type="pct"/>
            <w:shd w:val="clear" w:color="auto" w:fill="auto"/>
            <w:vAlign w:val="center"/>
          </w:tcPr>
          <w:p w14:paraId="1AD67284" w14:textId="77777777" w:rsidR="00BC4E63" w:rsidRPr="00277996" w:rsidRDefault="00BC4E63" w:rsidP="007B73BA">
            <w:pPr>
              <w:pStyle w:val="TableText0"/>
              <w:rPr>
                <w:lang w:val="en-US"/>
              </w:rPr>
            </w:pPr>
            <w:r w:rsidRPr="00277996">
              <w:t>CONQUER (full trial population)</w:t>
            </w:r>
          </w:p>
        </w:tc>
        <w:tc>
          <w:tcPr>
            <w:tcW w:w="573" w:type="pct"/>
            <w:shd w:val="clear" w:color="auto" w:fill="auto"/>
            <w:vAlign w:val="center"/>
          </w:tcPr>
          <w:p w14:paraId="2FF3E9C7" w14:textId="77777777" w:rsidR="00BC4E63" w:rsidRPr="00277996" w:rsidRDefault="00BC4E63" w:rsidP="007B73BA">
            <w:pPr>
              <w:pStyle w:val="TableText0"/>
              <w:jc w:val="center"/>
              <w:rPr>
                <w:lang w:val="en-US"/>
              </w:rPr>
            </w:pPr>
            <w:r w:rsidRPr="00277996">
              <w:rPr>
                <w:lang w:val="en-US"/>
              </w:rPr>
              <w:t>462</w:t>
            </w:r>
          </w:p>
        </w:tc>
        <w:tc>
          <w:tcPr>
            <w:tcW w:w="963" w:type="pct"/>
            <w:vMerge w:val="restart"/>
            <w:shd w:val="clear" w:color="auto" w:fill="auto"/>
            <w:vAlign w:val="center"/>
          </w:tcPr>
          <w:p w14:paraId="3B5C3722" w14:textId="77777777" w:rsidR="00BC4E63" w:rsidRPr="00277996" w:rsidRDefault="00BC4E63" w:rsidP="007B73BA">
            <w:pPr>
              <w:pStyle w:val="TableText0"/>
              <w:jc w:val="center"/>
              <w:rPr>
                <w:lang w:val="en-US"/>
              </w:rPr>
            </w:pPr>
            <w:r w:rsidRPr="00277996">
              <w:rPr>
                <w:lang w:val="en-US"/>
              </w:rPr>
              <w:t>R, DB, MC</w:t>
            </w:r>
          </w:p>
          <w:p w14:paraId="5BBBE3E6" w14:textId="77777777" w:rsidR="00BC4E63" w:rsidRPr="00277996" w:rsidRDefault="00BC4E63" w:rsidP="007B73BA">
            <w:pPr>
              <w:pStyle w:val="TableText0"/>
              <w:jc w:val="center"/>
              <w:rPr>
                <w:lang w:val="en-US"/>
              </w:rPr>
            </w:pPr>
            <w:r w:rsidRPr="00277996">
              <w:rPr>
                <w:lang w:val="en-US"/>
              </w:rPr>
              <w:t>(</w:t>
            </w:r>
            <w:r w:rsidRPr="00277996">
              <w:t>12 weeks with 12-week open-label extension</w:t>
            </w:r>
            <w:r w:rsidRPr="00277996">
              <w:rPr>
                <w:lang w:val="en-US"/>
              </w:rPr>
              <w:t>)</w:t>
            </w:r>
          </w:p>
        </w:tc>
        <w:tc>
          <w:tcPr>
            <w:tcW w:w="728" w:type="pct"/>
            <w:shd w:val="clear" w:color="auto" w:fill="auto"/>
            <w:vAlign w:val="center"/>
          </w:tcPr>
          <w:p w14:paraId="5222D282" w14:textId="35446E77" w:rsidR="00BC4E63" w:rsidRPr="00277996" w:rsidRDefault="00BC4E63" w:rsidP="007B73BA">
            <w:pPr>
              <w:pStyle w:val="TableText0"/>
              <w:jc w:val="center"/>
              <w:rPr>
                <w:vertAlign w:val="superscript"/>
                <w:lang w:val="en-US"/>
              </w:rPr>
            </w:pPr>
            <w:r w:rsidRPr="00277996">
              <w:rPr>
                <w:lang w:val="en-US"/>
              </w:rPr>
              <w:t>Low</w:t>
            </w:r>
            <w:r w:rsidR="00264CA2" w:rsidRPr="00277996">
              <w:rPr>
                <w:vertAlign w:val="superscript"/>
                <w:lang w:val="en-US"/>
              </w:rPr>
              <w:t>a</w:t>
            </w:r>
          </w:p>
        </w:tc>
        <w:tc>
          <w:tcPr>
            <w:tcW w:w="1093" w:type="pct"/>
            <w:shd w:val="clear" w:color="auto" w:fill="auto"/>
            <w:vAlign w:val="center"/>
          </w:tcPr>
          <w:p w14:paraId="1CF2AAE8" w14:textId="77777777" w:rsidR="00BC4E63" w:rsidRPr="00277996" w:rsidRDefault="00BC4E63" w:rsidP="00A41FA0">
            <w:pPr>
              <w:pStyle w:val="TableText0"/>
              <w:numPr>
                <w:ilvl w:val="0"/>
                <w:numId w:val="7"/>
              </w:numPr>
              <w:ind w:left="133" w:hanging="189"/>
              <w:jc w:val="center"/>
            </w:pPr>
            <w:r w:rsidRPr="00277996">
              <w:t>≥4 migraine headache days per month</w:t>
            </w:r>
          </w:p>
          <w:p w14:paraId="24934C6B" w14:textId="77777777" w:rsidR="00BC4E63" w:rsidRPr="00277996" w:rsidRDefault="00BC4E63" w:rsidP="00A41FA0">
            <w:pPr>
              <w:pStyle w:val="TableText0"/>
              <w:numPr>
                <w:ilvl w:val="0"/>
                <w:numId w:val="7"/>
              </w:numPr>
              <w:ind w:left="133" w:hanging="189"/>
              <w:jc w:val="center"/>
            </w:pPr>
            <w:r w:rsidRPr="00277996">
              <w:t>2 to 4 prior treatment failures</w:t>
            </w:r>
          </w:p>
        </w:tc>
        <w:tc>
          <w:tcPr>
            <w:tcW w:w="765" w:type="pct"/>
            <w:vMerge/>
            <w:shd w:val="clear" w:color="auto" w:fill="auto"/>
            <w:vAlign w:val="center"/>
          </w:tcPr>
          <w:p w14:paraId="41E758F2" w14:textId="77777777" w:rsidR="00BC4E63" w:rsidRPr="00277996" w:rsidRDefault="00BC4E63" w:rsidP="007B73BA">
            <w:pPr>
              <w:pStyle w:val="TableText0"/>
              <w:jc w:val="center"/>
              <w:rPr>
                <w:lang w:val="en-US"/>
              </w:rPr>
            </w:pPr>
          </w:p>
        </w:tc>
      </w:tr>
      <w:tr w:rsidR="00BC4E63" w:rsidRPr="00277996" w14:paraId="3D9B8B4E" w14:textId="77777777" w:rsidTr="007B73BA">
        <w:trPr>
          <w:cantSplit/>
        </w:trPr>
        <w:tc>
          <w:tcPr>
            <w:tcW w:w="878" w:type="pct"/>
            <w:shd w:val="clear" w:color="auto" w:fill="auto"/>
            <w:vAlign w:val="center"/>
          </w:tcPr>
          <w:p w14:paraId="7A4CEEE0" w14:textId="77777777" w:rsidR="00BC4E63" w:rsidRPr="00277996" w:rsidRDefault="00BC4E63" w:rsidP="007B73BA">
            <w:pPr>
              <w:pStyle w:val="TableText0"/>
              <w:rPr>
                <w:lang w:val="en-US"/>
              </w:rPr>
            </w:pPr>
            <w:r w:rsidRPr="00277996">
              <w:t>CONQUER (</w:t>
            </w:r>
            <w:r w:rsidRPr="00277996">
              <w:rPr>
                <w:lang w:val="en-US"/>
              </w:rPr>
              <w:t xml:space="preserve">HFEM </w:t>
            </w:r>
            <w:bookmarkStart w:id="28" w:name="_Hlk111542572"/>
            <w:r w:rsidRPr="00277996">
              <w:rPr>
                <w:lang w:val="en-US"/>
              </w:rPr>
              <w:t xml:space="preserve">≥3 </w:t>
            </w:r>
            <w:bookmarkEnd w:id="28"/>
            <w:r w:rsidRPr="00277996">
              <w:rPr>
                <w:lang w:val="en-US"/>
              </w:rPr>
              <w:t>prior therapies subgroup</w:t>
            </w:r>
            <w:r w:rsidRPr="00277996">
              <w:t>)</w:t>
            </w:r>
          </w:p>
        </w:tc>
        <w:tc>
          <w:tcPr>
            <w:tcW w:w="573" w:type="pct"/>
            <w:shd w:val="clear" w:color="auto" w:fill="auto"/>
            <w:vAlign w:val="center"/>
          </w:tcPr>
          <w:p w14:paraId="7474FEF5" w14:textId="77777777" w:rsidR="00BC4E63" w:rsidRPr="00277996" w:rsidRDefault="00BC4E63" w:rsidP="007B73BA">
            <w:pPr>
              <w:pStyle w:val="TableText0"/>
              <w:jc w:val="center"/>
              <w:rPr>
                <w:lang w:val="en-US"/>
              </w:rPr>
            </w:pPr>
            <w:r w:rsidRPr="00277996">
              <w:rPr>
                <w:lang w:val="en-US"/>
              </w:rPr>
              <w:t>80</w:t>
            </w:r>
          </w:p>
        </w:tc>
        <w:tc>
          <w:tcPr>
            <w:tcW w:w="963" w:type="pct"/>
            <w:vMerge/>
            <w:shd w:val="clear" w:color="auto" w:fill="auto"/>
            <w:vAlign w:val="center"/>
          </w:tcPr>
          <w:p w14:paraId="4765F94F" w14:textId="77777777" w:rsidR="00BC4E63" w:rsidRPr="00277996" w:rsidRDefault="00BC4E63" w:rsidP="007B73BA">
            <w:pPr>
              <w:pStyle w:val="TableText0"/>
              <w:jc w:val="center"/>
              <w:rPr>
                <w:lang w:val="en-US"/>
              </w:rPr>
            </w:pPr>
          </w:p>
        </w:tc>
        <w:tc>
          <w:tcPr>
            <w:tcW w:w="728" w:type="pct"/>
            <w:shd w:val="clear" w:color="auto" w:fill="auto"/>
            <w:vAlign w:val="center"/>
          </w:tcPr>
          <w:p w14:paraId="2E1A32BA" w14:textId="5ED965D5" w:rsidR="00BC4E63" w:rsidRPr="00277996" w:rsidRDefault="00BC4E63" w:rsidP="007B73BA">
            <w:pPr>
              <w:pStyle w:val="TableText0"/>
              <w:jc w:val="center"/>
              <w:rPr>
                <w:vertAlign w:val="superscript"/>
                <w:lang w:val="en-US"/>
              </w:rPr>
            </w:pPr>
            <w:r w:rsidRPr="00277996">
              <w:rPr>
                <w:lang w:val="en-US"/>
              </w:rPr>
              <w:t>High</w:t>
            </w:r>
            <w:r w:rsidR="00172CE4" w:rsidRPr="00277996">
              <w:rPr>
                <w:vertAlign w:val="superscript"/>
                <w:lang w:val="en-US"/>
              </w:rPr>
              <w:t>c</w:t>
            </w:r>
          </w:p>
        </w:tc>
        <w:tc>
          <w:tcPr>
            <w:tcW w:w="1093" w:type="pct"/>
            <w:shd w:val="clear" w:color="auto" w:fill="auto"/>
            <w:vAlign w:val="center"/>
          </w:tcPr>
          <w:p w14:paraId="3E18DA0B" w14:textId="77777777" w:rsidR="00BC4E63" w:rsidRPr="00277996" w:rsidRDefault="00BC4E63" w:rsidP="007B73BA">
            <w:pPr>
              <w:pStyle w:val="TableText0"/>
              <w:jc w:val="center"/>
            </w:pPr>
            <w:r w:rsidRPr="00277996">
              <w:t>- 8 to 14 monthly migraine headache days per month</w:t>
            </w:r>
          </w:p>
          <w:p w14:paraId="5A71B4FB" w14:textId="77777777" w:rsidR="00BC4E63" w:rsidRPr="00277996" w:rsidRDefault="00BC4E63" w:rsidP="007B73BA">
            <w:pPr>
              <w:pStyle w:val="TableText0"/>
              <w:jc w:val="center"/>
              <w:rPr>
                <w:lang w:val="en-US"/>
              </w:rPr>
            </w:pPr>
            <w:r w:rsidRPr="00277996">
              <w:t>- 3 to 4 prior treatment failures</w:t>
            </w:r>
          </w:p>
        </w:tc>
        <w:tc>
          <w:tcPr>
            <w:tcW w:w="765" w:type="pct"/>
            <w:vMerge/>
            <w:shd w:val="clear" w:color="auto" w:fill="auto"/>
            <w:vAlign w:val="center"/>
          </w:tcPr>
          <w:p w14:paraId="5738EAFB" w14:textId="77777777" w:rsidR="00BC4E63" w:rsidRPr="00277996" w:rsidRDefault="00BC4E63" w:rsidP="007B73BA">
            <w:pPr>
              <w:pStyle w:val="TableText0"/>
              <w:jc w:val="center"/>
              <w:rPr>
                <w:lang w:val="en-US"/>
              </w:rPr>
            </w:pPr>
          </w:p>
        </w:tc>
      </w:tr>
    </w:tbl>
    <w:p w14:paraId="46ACDDE2" w14:textId="13EDAC9D" w:rsidR="00BC4E63" w:rsidRDefault="00BC4E63" w:rsidP="00BC4E63">
      <w:pPr>
        <w:pStyle w:val="FooterTableFigure"/>
      </w:pPr>
      <w:r>
        <w:t xml:space="preserve">Source: Table 2-8, p24 </w:t>
      </w:r>
      <w:r w:rsidRPr="00D13A3E">
        <w:t xml:space="preserve">of the </w:t>
      </w:r>
      <w:r>
        <w:t xml:space="preserve">submission. </w:t>
      </w:r>
    </w:p>
    <w:p w14:paraId="3DCFB1A5" w14:textId="42FC30C9" w:rsidR="00BC4E63" w:rsidRDefault="00BC4E63" w:rsidP="00BC4E63">
      <w:pPr>
        <w:pStyle w:val="FooterTableFigure"/>
      </w:pPr>
      <w:r w:rsidRPr="0072416F">
        <w:t>DB=</w:t>
      </w:r>
      <w:r>
        <w:t xml:space="preserve"> </w:t>
      </w:r>
      <w:r w:rsidRPr="0072416F">
        <w:t xml:space="preserve">double blind; </w:t>
      </w:r>
      <w:r w:rsidR="000019D5">
        <w:t xml:space="preserve">HFEM= </w:t>
      </w:r>
      <w:r w:rsidR="00172504">
        <w:t>high frequency episodic migraine</w:t>
      </w:r>
      <w:r w:rsidR="000019D5">
        <w:t xml:space="preserve">; </w:t>
      </w:r>
      <w:r w:rsidRPr="0072416F">
        <w:t>MC=</w:t>
      </w:r>
      <w:r>
        <w:t xml:space="preserve"> </w:t>
      </w:r>
      <w:r w:rsidRPr="0072416F">
        <w:t>multi-centre;</w:t>
      </w:r>
      <w:r>
        <w:t xml:space="preserve"> MMD= monthly migraine days</w:t>
      </w:r>
      <w:r w:rsidR="000444F0">
        <w:t>; MMHD= monthly migraine headache days</w:t>
      </w:r>
      <w:r w:rsidR="008613F3">
        <w:t>;</w:t>
      </w:r>
      <w:r w:rsidR="008613F3" w:rsidRPr="008613F3">
        <w:t xml:space="preserve"> </w:t>
      </w:r>
      <w:r w:rsidR="008613F3" w:rsidRPr="0072416F">
        <w:t>R=</w:t>
      </w:r>
      <w:r w:rsidR="008613F3">
        <w:t xml:space="preserve"> </w:t>
      </w:r>
      <w:r w:rsidR="008613F3" w:rsidRPr="0072416F">
        <w:t>randomised</w:t>
      </w:r>
    </w:p>
    <w:p w14:paraId="0004E317" w14:textId="77777777" w:rsidR="00E04CC2" w:rsidRDefault="00264CA2" w:rsidP="00BC4E63">
      <w:pPr>
        <w:pStyle w:val="FooterTableFigure"/>
      </w:pPr>
      <w:r w:rsidRPr="00277996">
        <w:rPr>
          <w:iCs/>
          <w:vertAlign w:val="superscript"/>
        </w:rPr>
        <w:t xml:space="preserve">a </w:t>
      </w:r>
      <w:proofErr w:type="gramStart"/>
      <w:r w:rsidRPr="00277996">
        <w:rPr>
          <w:iCs/>
        </w:rPr>
        <w:t>The</w:t>
      </w:r>
      <w:proofErr w:type="gramEnd"/>
      <w:r w:rsidRPr="00277996">
        <w:rPr>
          <w:iCs/>
        </w:rPr>
        <w:t xml:space="preserve"> risk of bias was considered low in the full trial populations, in line with the November 2019 submission for fremanezumab and July 2019 submission for galcanezumab</w:t>
      </w:r>
      <w:r>
        <w:t>.</w:t>
      </w:r>
    </w:p>
    <w:p w14:paraId="78D4CA09" w14:textId="1153129F" w:rsidR="00172CE4" w:rsidRDefault="00E04CC2" w:rsidP="00BC4E63">
      <w:pPr>
        <w:pStyle w:val="FooterTableFigure"/>
        <w:rPr>
          <w:iCs/>
        </w:rPr>
      </w:pPr>
      <w:r w:rsidRPr="00277996">
        <w:rPr>
          <w:iCs/>
          <w:vertAlign w:val="superscript"/>
        </w:rPr>
        <w:t>b</w:t>
      </w:r>
      <w:r w:rsidRPr="00277996">
        <w:rPr>
          <w:iCs/>
        </w:rPr>
        <w:t xml:space="preserve"> </w:t>
      </w:r>
      <w:proofErr w:type="gramStart"/>
      <w:r w:rsidR="00CE376F" w:rsidRPr="00277996">
        <w:rPr>
          <w:iCs/>
        </w:rPr>
        <w:t>The</w:t>
      </w:r>
      <w:proofErr w:type="gramEnd"/>
      <w:r w:rsidR="00CE376F" w:rsidRPr="00277996">
        <w:rPr>
          <w:iCs/>
        </w:rPr>
        <w:t xml:space="preserve"> submission did not comment on the risk</w:t>
      </w:r>
      <w:r w:rsidR="001C3BD7" w:rsidRPr="00277996">
        <w:rPr>
          <w:iCs/>
        </w:rPr>
        <w:t xml:space="preserve"> of bias</w:t>
      </w:r>
      <w:r w:rsidR="00CE376F" w:rsidRPr="00277996">
        <w:rPr>
          <w:iCs/>
        </w:rPr>
        <w:t xml:space="preserve"> </w:t>
      </w:r>
      <w:r w:rsidR="001C3BD7" w:rsidRPr="00277996">
        <w:rPr>
          <w:iCs/>
        </w:rPr>
        <w:t>in</w:t>
      </w:r>
      <w:r w:rsidR="00CE376F" w:rsidRPr="00277996">
        <w:rPr>
          <w:iCs/>
        </w:rPr>
        <w:t xml:space="preserve"> the HFEM subgroup, however, </w:t>
      </w:r>
      <w:r w:rsidR="001C3BD7" w:rsidRPr="00277996">
        <w:rPr>
          <w:iCs/>
        </w:rPr>
        <w:t>the submission considered it to be</w:t>
      </w:r>
      <w:r w:rsidR="00172CE4" w:rsidRPr="00277996">
        <w:rPr>
          <w:iCs/>
        </w:rPr>
        <w:t xml:space="preserve"> low in the whole trial population. </w:t>
      </w:r>
      <w:r w:rsidR="00CE376F" w:rsidRPr="00277996">
        <w:rPr>
          <w:iCs/>
        </w:rPr>
        <w:t>G</w:t>
      </w:r>
      <w:r w:rsidR="003435CF" w:rsidRPr="00277996">
        <w:rPr>
          <w:iCs/>
        </w:rPr>
        <w:t>iven that the HFEM subgroup was not pre-specified in the trials, the risk of bias was considered high</w:t>
      </w:r>
      <w:r w:rsidR="00172CE4" w:rsidRPr="00277996">
        <w:rPr>
          <w:iCs/>
        </w:rPr>
        <w:t xml:space="preserve"> during the evaluation</w:t>
      </w:r>
      <w:r w:rsidR="003435CF" w:rsidRPr="00277996">
        <w:rPr>
          <w:iCs/>
        </w:rPr>
        <w:t>.</w:t>
      </w:r>
    </w:p>
    <w:p w14:paraId="7681776E" w14:textId="326B9F5B" w:rsidR="00D258E8" w:rsidRPr="00D258E8" w:rsidRDefault="00D258E8" w:rsidP="00D258E8">
      <w:pPr>
        <w:pStyle w:val="FooterTableFigure"/>
      </w:pPr>
      <w:r w:rsidRPr="00D258E8">
        <w:rPr>
          <w:vertAlign w:val="superscript"/>
        </w:rPr>
        <w:t>c</w:t>
      </w:r>
      <w:r w:rsidRPr="00D258E8">
        <w:t xml:space="preserve"> The ESC previously cautioned about the high risk of bias in the HFEM subgroup of the CONQUER trial (para 6.30, Galcanezumab PSD, March 2022 PBAC meeting).</w:t>
      </w:r>
    </w:p>
    <w:p w14:paraId="4E303C32" w14:textId="75F19BDF" w:rsidR="000444F0" w:rsidRDefault="000444F0" w:rsidP="00BC4E63">
      <w:pPr>
        <w:pStyle w:val="FooterTableFigure"/>
      </w:pPr>
      <w:r w:rsidRPr="00277996">
        <w:rPr>
          <w:iCs/>
          <w:vertAlign w:val="superscript"/>
        </w:rPr>
        <w:t>d</w:t>
      </w:r>
      <w:r w:rsidRPr="00277996">
        <w:rPr>
          <w:iCs/>
        </w:rPr>
        <w:t xml:space="preserve"> </w:t>
      </w:r>
      <w:proofErr w:type="gramStart"/>
      <w:r w:rsidRPr="00277996">
        <w:rPr>
          <w:iCs/>
        </w:rPr>
        <w:t>The</w:t>
      </w:r>
      <w:proofErr w:type="gramEnd"/>
      <w:r w:rsidRPr="00277996">
        <w:rPr>
          <w:iCs/>
        </w:rPr>
        <w:t xml:space="preserve"> primary outcome in FOCUS was monthly migraine days compared with monthly migraine headache days in CONQUER.</w:t>
      </w:r>
      <w:r w:rsidR="00A14391" w:rsidRPr="00277996">
        <w:rPr>
          <w:iCs/>
        </w:rPr>
        <w:t xml:space="preserve"> </w:t>
      </w:r>
      <w:r w:rsidR="00BC64A1">
        <w:rPr>
          <w:iCs/>
        </w:rPr>
        <w:t>T</w:t>
      </w:r>
      <w:r w:rsidR="00D211C6" w:rsidRPr="00277996">
        <w:rPr>
          <w:iCs/>
        </w:rPr>
        <w:t xml:space="preserve">he </w:t>
      </w:r>
      <w:r w:rsidR="00BC64A1">
        <w:rPr>
          <w:iCs/>
        </w:rPr>
        <w:t>term MMDs has been used herein</w:t>
      </w:r>
      <w:r w:rsidR="004A6F4F">
        <w:rPr>
          <w:iCs/>
        </w:rPr>
        <w:t xml:space="preserve"> </w:t>
      </w:r>
      <w:r w:rsidR="00BC64A1">
        <w:rPr>
          <w:iCs/>
        </w:rPr>
        <w:t>for consistency</w:t>
      </w:r>
      <w:r w:rsidR="00A14391" w:rsidRPr="00277996">
        <w:rPr>
          <w:iCs/>
        </w:rPr>
        <w:t>.</w:t>
      </w:r>
    </w:p>
    <w:p w14:paraId="13E1320E" w14:textId="7EDC0341" w:rsidR="00EB394E" w:rsidRDefault="00BC4E63" w:rsidP="00033A63">
      <w:pPr>
        <w:pStyle w:val="3-BodyText"/>
        <w:numPr>
          <w:ilvl w:val="1"/>
          <w:numId w:val="5"/>
        </w:numPr>
        <w:ind w:left="720"/>
      </w:pPr>
      <w:r w:rsidRPr="003435CF">
        <w:rPr>
          <w:rFonts w:cstheme="minorHAnsi"/>
        </w:rPr>
        <w:t>The</w:t>
      </w:r>
      <w:r w:rsidRPr="00BC4E63">
        <w:t xml:space="preserve"> </w:t>
      </w:r>
      <w:r w:rsidR="00EB394E">
        <w:t xml:space="preserve">submission considered the </w:t>
      </w:r>
      <w:r w:rsidRPr="00A60448">
        <w:t xml:space="preserve">overall risk of bias in the full trial populations of FOCUS and CONQUER </w:t>
      </w:r>
      <w:r w:rsidR="00EB394E">
        <w:t>to be</w:t>
      </w:r>
      <w:r w:rsidR="00EB394E" w:rsidRPr="00A60448">
        <w:t xml:space="preserve"> </w:t>
      </w:r>
      <w:r w:rsidRPr="00A60448">
        <w:t>low.</w:t>
      </w:r>
      <w:r w:rsidR="00BD51B9">
        <w:t xml:space="preserve"> </w:t>
      </w:r>
      <w:r w:rsidR="00E04CC2" w:rsidRPr="00277996">
        <w:rPr>
          <w:iCs/>
        </w:rPr>
        <w:t>This was consistent with the previous risk of bias considerations for</w:t>
      </w:r>
      <w:r w:rsidR="003435CF" w:rsidRPr="00277996">
        <w:rPr>
          <w:iCs/>
        </w:rPr>
        <w:t xml:space="preserve"> the full trial populations of</w:t>
      </w:r>
      <w:r w:rsidR="00E04CC2" w:rsidRPr="00277996">
        <w:rPr>
          <w:iCs/>
        </w:rPr>
        <w:t xml:space="preserve"> fremanezumab </w:t>
      </w:r>
      <w:r w:rsidR="004C7B29" w:rsidRPr="00277996">
        <w:rPr>
          <w:iCs/>
        </w:rPr>
        <w:t xml:space="preserve">(Table </w:t>
      </w:r>
      <w:r w:rsidR="006C7D71" w:rsidRPr="00277996">
        <w:rPr>
          <w:iCs/>
        </w:rPr>
        <w:t>3, Fremanezumab</w:t>
      </w:r>
      <w:r w:rsidR="004C7B29" w:rsidRPr="00277996">
        <w:rPr>
          <w:iCs/>
        </w:rPr>
        <w:t xml:space="preserve"> PSD, November 2019 PBAC meeting)</w:t>
      </w:r>
      <w:r w:rsidR="00E04CC2" w:rsidRPr="00277996">
        <w:rPr>
          <w:iCs/>
        </w:rPr>
        <w:t xml:space="preserve"> and galcanezumab </w:t>
      </w:r>
      <w:r w:rsidR="004C7B29" w:rsidRPr="00277996">
        <w:rPr>
          <w:iCs/>
        </w:rPr>
        <w:t>(</w:t>
      </w:r>
      <w:r w:rsidR="00BB7E37" w:rsidRPr="00277996">
        <w:rPr>
          <w:iCs/>
        </w:rPr>
        <w:t xml:space="preserve">Table 3, </w:t>
      </w:r>
      <w:r w:rsidR="005E0685" w:rsidRPr="00277996">
        <w:rPr>
          <w:iCs/>
        </w:rPr>
        <w:t>Galcanezumab PSD, November 2020 PBAC meeting)</w:t>
      </w:r>
      <w:r w:rsidR="00E04CC2">
        <w:t xml:space="preserve">. </w:t>
      </w:r>
    </w:p>
    <w:p w14:paraId="537A656C" w14:textId="364B2A18" w:rsidR="00172504" w:rsidRDefault="00EB394E" w:rsidP="00033A63">
      <w:pPr>
        <w:pStyle w:val="3-BodyText"/>
        <w:numPr>
          <w:ilvl w:val="1"/>
          <w:numId w:val="5"/>
        </w:numPr>
        <w:ind w:left="720"/>
      </w:pPr>
      <w:r w:rsidRPr="00277996">
        <w:rPr>
          <w:iCs/>
        </w:rPr>
        <w:t xml:space="preserve">As </w:t>
      </w:r>
      <w:r w:rsidR="00BC4E63" w:rsidRPr="00277996">
        <w:rPr>
          <w:iCs/>
        </w:rPr>
        <w:t>results for the HFEM subgroups presented in the submission were conducted post</w:t>
      </w:r>
      <w:r w:rsidR="00856A27">
        <w:rPr>
          <w:iCs/>
        </w:rPr>
        <w:t>-</w:t>
      </w:r>
      <w:r w:rsidR="00BC4E63" w:rsidRPr="00277996">
        <w:rPr>
          <w:iCs/>
        </w:rPr>
        <w:t>hoc</w:t>
      </w:r>
      <w:r w:rsidRPr="00277996">
        <w:rPr>
          <w:iCs/>
        </w:rPr>
        <w:t>, they</w:t>
      </w:r>
      <w:r w:rsidR="00BC4E63" w:rsidRPr="00277996">
        <w:rPr>
          <w:iCs/>
        </w:rPr>
        <w:t xml:space="preserve"> </w:t>
      </w:r>
      <w:proofErr w:type="gramStart"/>
      <w:r w:rsidR="00BC4E63" w:rsidRPr="00277996">
        <w:rPr>
          <w:iCs/>
        </w:rPr>
        <w:t xml:space="preserve">were </w:t>
      </w:r>
      <w:r w:rsidRPr="00277996">
        <w:rPr>
          <w:iCs/>
        </w:rPr>
        <w:t>considered to be</w:t>
      </w:r>
      <w:proofErr w:type="gramEnd"/>
      <w:r w:rsidRPr="00277996">
        <w:rPr>
          <w:iCs/>
        </w:rPr>
        <w:t xml:space="preserve"> </w:t>
      </w:r>
      <w:r w:rsidR="00BC4E63" w:rsidRPr="00277996">
        <w:rPr>
          <w:iCs/>
        </w:rPr>
        <w:t>at high risk of bias</w:t>
      </w:r>
      <w:r w:rsidR="00BC4E63" w:rsidRPr="00A60448">
        <w:t>.</w:t>
      </w:r>
      <w:r w:rsidR="00BC4E63">
        <w:t xml:space="preserve"> </w:t>
      </w:r>
      <w:bookmarkStart w:id="29" w:name="_Hlk112924728"/>
      <w:r w:rsidR="00BC4E63" w:rsidRPr="00277996">
        <w:rPr>
          <w:iCs/>
        </w:rPr>
        <w:t xml:space="preserve">The ESC previously cautioned about the high risk of bias in the HFEM subgroup </w:t>
      </w:r>
      <w:r w:rsidR="00BA7D81" w:rsidRPr="00277996">
        <w:rPr>
          <w:iCs/>
        </w:rPr>
        <w:t>of</w:t>
      </w:r>
      <w:r w:rsidR="00BC4E63" w:rsidRPr="00277996">
        <w:rPr>
          <w:iCs/>
        </w:rPr>
        <w:t xml:space="preserve"> the CONQUER trial (para 6.30, Galcanezumab PSD, March 2022 PBAC meeting)</w:t>
      </w:r>
      <w:r w:rsidR="00BC4E63">
        <w:t>.</w:t>
      </w:r>
      <w:bookmarkEnd w:id="29"/>
      <w:r w:rsidR="007228E2">
        <w:t xml:space="preserve"> </w:t>
      </w:r>
      <w:r w:rsidR="007228E2" w:rsidRPr="009F62C4">
        <w:rPr>
          <w:iCs/>
        </w:rPr>
        <w:t xml:space="preserve">The </w:t>
      </w:r>
      <w:r w:rsidR="00CB5664">
        <w:rPr>
          <w:iCs/>
        </w:rPr>
        <w:t>Pre-Sub-Committee Response (</w:t>
      </w:r>
      <w:r w:rsidR="007228E2" w:rsidRPr="009F62C4">
        <w:rPr>
          <w:iCs/>
        </w:rPr>
        <w:t>PSCR</w:t>
      </w:r>
      <w:r w:rsidR="00CB5664">
        <w:rPr>
          <w:iCs/>
        </w:rPr>
        <w:t>)</w:t>
      </w:r>
      <w:r w:rsidR="00D258E8" w:rsidRPr="009F62C4">
        <w:rPr>
          <w:iCs/>
        </w:rPr>
        <w:t xml:space="preserve"> </w:t>
      </w:r>
      <w:r w:rsidR="007228E2" w:rsidRPr="009F62C4">
        <w:rPr>
          <w:iCs/>
        </w:rPr>
        <w:t xml:space="preserve">stated that the PBAC made positive recommendations based on subgroup analyses with </w:t>
      </w:r>
      <w:r w:rsidR="007228E2" w:rsidRPr="00927734">
        <w:t>≥</w:t>
      </w:r>
      <w:r w:rsidR="007228E2" w:rsidRPr="009F62C4">
        <w:rPr>
          <w:iCs/>
        </w:rPr>
        <w:t>3 prior treatments previously for Botox and for galcanezumab, despite acknowledging that there was a high risk of bias with the post-hoc analyses. The ESC considered that this response was reasonable.</w:t>
      </w:r>
    </w:p>
    <w:p w14:paraId="1C5B0D73" w14:textId="52B50A29" w:rsidR="000A7615" w:rsidRPr="000A7615" w:rsidRDefault="00EB394E" w:rsidP="00033A63">
      <w:pPr>
        <w:pStyle w:val="3-BodyText"/>
        <w:numPr>
          <w:ilvl w:val="1"/>
          <w:numId w:val="5"/>
        </w:numPr>
        <w:ind w:left="720"/>
      </w:pPr>
      <w:bookmarkStart w:id="30" w:name="_Ref114053229"/>
      <w:r w:rsidRPr="00277996">
        <w:rPr>
          <w:iCs/>
        </w:rPr>
        <w:lastRenderedPageBreak/>
        <w:t>While b</w:t>
      </w:r>
      <w:r w:rsidR="00BC4E63" w:rsidRPr="00277996">
        <w:rPr>
          <w:iCs/>
        </w:rPr>
        <w:t>oth trials had similar eligibility criteria and baseline patient characteristics</w:t>
      </w:r>
      <w:r w:rsidR="00BD51B9" w:rsidRPr="00277996">
        <w:rPr>
          <w:iCs/>
        </w:rPr>
        <w:t xml:space="preserve">, </w:t>
      </w:r>
      <w:r w:rsidRPr="00277996">
        <w:rPr>
          <w:iCs/>
        </w:rPr>
        <w:t>there were</w:t>
      </w:r>
      <w:r w:rsidR="000659A9" w:rsidRPr="00277996">
        <w:rPr>
          <w:iCs/>
        </w:rPr>
        <w:t xml:space="preserve"> </w:t>
      </w:r>
      <w:r w:rsidR="00B704F1" w:rsidRPr="00277996">
        <w:rPr>
          <w:iCs/>
        </w:rPr>
        <w:t xml:space="preserve">some </w:t>
      </w:r>
      <w:r w:rsidR="000659A9" w:rsidRPr="00277996">
        <w:rPr>
          <w:iCs/>
        </w:rPr>
        <w:t>differences</w:t>
      </w:r>
      <w:r w:rsidR="004817A9" w:rsidRPr="00277996">
        <w:rPr>
          <w:iCs/>
        </w:rPr>
        <w:t>:</w:t>
      </w:r>
      <w:bookmarkEnd w:id="30"/>
    </w:p>
    <w:p w14:paraId="3FDF83F2" w14:textId="77777777" w:rsidR="00A2214C" w:rsidRDefault="00BC4E63" w:rsidP="00A41FA0">
      <w:pPr>
        <w:pStyle w:val="3-BodyText"/>
        <w:numPr>
          <w:ilvl w:val="0"/>
          <w:numId w:val="13"/>
        </w:numPr>
        <w:ind w:left="993"/>
      </w:pPr>
      <w:r w:rsidRPr="00277996">
        <w:rPr>
          <w:iCs/>
        </w:rPr>
        <w:t xml:space="preserve">The definition of </w:t>
      </w:r>
      <w:r w:rsidR="000A7615" w:rsidRPr="00277996">
        <w:rPr>
          <w:iCs/>
        </w:rPr>
        <w:t xml:space="preserve">what constituted a </w:t>
      </w:r>
      <w:r w:rsidRPr="00277996">
        <w:rPr>
          <w:iCs/>
        </w:rPr>
        <w:t>failed prior therap</w:t>
      </w:r>
      <w:r w:rsidR="000A7615" w:rsidRPr="00277996">
        <w:rPr>
          <w:iCs/>
        </w:rPr>
        <w:t>y</w:t>
      </w:r>
      <w:r w:rsidRPr="00277996">
        <w:rPr>
          <w:iCs/>
        </w:rPr>
        <w:t xml:space="preserve"> in terms of therapy exposure and contraindications to </w:t>
      </w:r>
      <w:r w:rsidR="000A7615" w:rsidRPr="00277996">
        <w:rPr>
          <w:iCs/>
        </w:rPr>
        <w:t xml:space="preserve">a </w:t>
      </w:r>
      <w:r w:rsidRPr="00277996">
        <w:rPr>
          <w:iCs/>
        </w:rPr>
        <w:t>prior therap</w:t>
      </w:r>
      <w:r w:rsidR="000A7615" w:rsidRPr="00277996">
        <w:rPr>
          <w:iCs/>
        </w:rPr>
        <w:t>y differed between the trials</w:t>
      </w:r>
      <w:r w:rsidRPr="00277996">
        <w:rPr>
          <w:iCs/>
        </w:rPr>
        <w:t xml:space="preserve">. </w:t>
      </w:r>
      <w:r>
        <w:t xml:space="preserve">While both trials required patients to </w:t>
      </w:r>
      <w:r w:rsidR="000659A9">
        <w:t xml:space="preserve">have </w:t>
      </w:r>
      <w:r>
        <w:t>fail</w:t>
      </w:r>
      <w:r w:rsidR="000659A9">
        <w:t>ed</w:t>
      </w:r>
      <w:r>
        <w:t>/tri</w:t>
      </w:r>
      <w:r w:rsidR="000659A9">
        <w:t>ed</w:t>
      </w:r>
      <w:r>
        <w:t xml:space="preserve"> 2-4 prophylactic migraine medications, </w:t>
      </w:r>
      <w:r w:rsidR="00554A74">
        <w:t xml:space="preserve">the </w:t>
      </w:r>
      <w:r>
        <w:t>FOCUS</w:t>
      </w:r>
      <w:r w:rsidR="00554A74">
        <w:t xml:space="preserve"> trial</w:t>
      </w:r>
      <w:r>
        <w:t xml:space="preserve"> defined failure as </w:t>
      </w:r>
      <w:r w:rsidR="00B85078">
        <w:t xml:space="preserve">an </w:t>
      </w:r>
      <w:r>
        <w:t xml:space="preserve">inadequate response to 3 months of treatment, safety/tolerability issues or contraindications to medications. </w:t>
      </w:r>
      <w:r w:rsidR="00554A74">
        <w:t xml:space="preserve">The </w:t>
      </w:r>
      <w:r>
        <w:t xml:space="preserve">CONQUER </w:t>
      </w:r>
      <w:r w:rsidR="00554A74">
        <w:t xml:space="preserve">trial </w:t>
      </w:r>
      <w:r>
        <w:t xml:space="preserve">defined failure as </w:t>
      </w:r>
      <w:r w:rsidR="00B85078">
        <w:t>two</w:t>
      </w:r>
      <w:r>
        <w:t xml:space="preserve"> months of therapy or safety/tolerability issues. Contraindications to prior therapies </w:t>
      </w:r>
      <w:r w:rsidRPr="008F1EEC">
        <w:t xml:space="preserve">did not count as medication failure </w:t>
      </w:r>
      <w:r>
        <w:t>in CONQUER.</w:t>
      </w:r>
      <w:r w:rsidR="006C7D71">
        <w:t xml:space="preserve"> </w:t>
      </w:r>
    </w:p>
    <w:p w14:paraId="2C564F5E" w14:textId="0E54D38A" w:rsidR="00A2214C" w:rsidRDefault="00A004C4" w:rsidP="00A41FA0">
      <w:pPr>
        <w:pStyle w:val="3-BodyText"/>
        <w:numPr>
          <w:ilvl w:val="0"/>
          <w:numId w:val="13"/>
        </w:numPr>
        <w:ind w:left="993"/>
      </w:pPr>
      <w:r>
        <w:t xml:space="preserve">Another key difference was the </w:t>
      </w:r>
      <w:r w:rsidR="00175908">
        <w:t xml:space="preserve">duration </w:t>
      </w:r>
      <w:r w:rsidR="000A7615">
        <w:t>that a</w:t>
      </w:r>
      <w:r w:rsidR="00175908">
        <w:t xml:space="preserve"> migraine</w:t>
      </w:r>
      <w:r w:rsidR="000A7615">
        <w:t xml:space="preserve"> needed to last in order</w:t>
      </w:r>
      <w:r w:rsidR="00175908">
        <w:t xml:space="preserve"> to qualify as</w:t>
      </w:r>
      <w:r w:rsidR="00927734">
        <w:t xml:space="preserve"> </w:t>
      </w:r>
      <w:r w:rsidR="00175908">
        <w:t>a</w:t>
      </w:r>
      <w:r w:rsidR="00927734">
        <w:t xml:space="preserve"> </w:t>
      </w:r>
      <w:r w:rsidR="00175908">
        <w:t xml:space="preserve">typical </w:t>
      </w:r>
      <w:r w:rsidR="00927734">
        <w:t xml:space="preserve">migraine </w:t>
      </w:r>
      <w:r w:rsidR="003254A9">
        <w:t>episode</w:t>
      </w:r>
      <w:r w:rsidR="00BC479B">
        <w:t xml:space="preserve"> for the study inclusion criteria</w:t>
      </w:r>
      <w:r w:rsidR="00927734">
        <w:t>.</w:t>
      </w:r>
      <w:r w:rsidR="00175908">
        <w:t xml:space="preserve"> While </w:t>
      </w:r>
      <w:r w:rsidR="00554A74">
        <w:t xml:space="preserve">the </w:t>
      </w:r>
      <w:r w:rsidR="00175908">
        <w:t xml:space="preserve">FOCUS </w:t>
      </w:r>
      <w:r w:rsidR="00554A74">
        <w:t xml:space="preserve">trial </w:t>
      </w:r>
      <w:r w:rsidR="00175908">
        <w:t xml:space="preserve">required the migraine to last </w:t>
      </w:r>
      <w:r w:rsidR="00175908" w:rsidRPr="00927734">
        <w:t>≥4 hours</w:t>
      </w:r>
      <w:r w:rsidR="00175908">
        <w:t xml:space="preserve"> for a migraine day to be recorded, </w:t>
      </w:r>
      <w:r w:rsidR="00175908" w:rsidRPr="00175908">
        <w:t xml:space="preserve">the migraine had to be of </w:t>
      </w:r>
      <w:r w:rsidR="00554A74" w:rsidRPr="00175908">
        <w:t xml:space="preserve">only </w:t>
      </w:r>
      <w:r w:rsidR="00175908" w:rsidRPr="00175908">
        <w:t>≥30 minutes duration</w:t>
      </w:r>
      <w:r w:rsidR="00175908">
        <w:t xml:space="preserve"> </w:t>
      </w:r>
      <w:r w:rsidR="0024712F">
        <w:t xml:space="preserve">to be recorded as a migraine </w:t>
      </w:r>
      <w:r w:rsidR="00175908">
        <w:t xml:space="preserve">in </w:t>
      </w:r>
      <w:r w:rsidR="00554A74">
        <w:t xml:space="preserve">the </w:t>
      </w:r>
      <w:r w:rsidR="00175908">
        <w:t>CONQUER</w:t>
      </w:r>
      <w:r w:rsidR="00554A74">
        <w:t xml:space="preserve"> trial</w:t>
      </w:r>
      <w:r w:rsidR="00175908">
        <w:t xml:space="preserve">. </w:t>
      </w:r>
      <w:r w:rsidR="00175908" w:rsidRPr="00277996">
        <w:rPr>
          <w:iCs/>
        </w:rPr>
        <w:t>The migraine qualifying criterion was more stringent in the FOCUS trial compared with the CONQUER trial</w:t>
      </w:r>
      <w:r w:rsidR="0024712F">
        <w:rPr>
          <w:iCs/>
        </w:rPr>
        <w:t xml:space="preserve">, and </w:t>
      </w:r>
      <w:r w:rsidR="0024712F" w:rsidRPr="009F62C4">
        <w:t>the ESC</w:t>
      </w:r>
      <w:r w:rsidR="0073658E" w:rsidRPr="009F62C4">
        <w:rPr>
          <w:iCs/>
        </w:rPr>
        <w:t xml:space="preserve"> considered </w:t>
      </w:r>
      <w:r w:rsidR="0024712F" w:rsidRPr="009F62C4">
        <w:rPr>
          <w:iCs/>
        </w:rPr>
        <w:t>this more stringent criterion appropriate</w:t>
      </w:r>
      <w:r w:rsidR="0073658E" w:rsidRPr="009F62C4">
        <w:rPr>
          <w:iCs/>
        </w:rPr>
        <w:t>.</w:t>
      </w:r>
      <w:r w:rsidR="0073658E">
        <w:t xml:space="preserve"> </w:t>
      </w:r>
    </w:p>
    <w:p w14:paraId="48FB3F37" w14:textId="0D344CB8" w:rsidR="00854EE6" w:rsidRDefault="00854EE6" w:rsidP="00A41FA0">
      <w:pPr>
        <w:pStyle w:val="3-BodyText"/>
        <w:numPr>
          <w:ilvl w:val="0"/>
          <w:numId w:val="13"/>
        </w:numPr>
        <w:ind w:left="993"/>
      </w:pPr>
      <w:r w:rsidRPr="00854EE6">
        <w:t xml:space="preserve">The FOCUS trial excluded people who had the most severe, unremitting headaches, clinically significant comorbidities (e.g., major cardiovascular disease) or clinically significant psychiatric issues. </w:t>
      </w:r>
      <w:r w:rsidRPr="00277996">
        <w:rPr>
          <w:iCs/>
        </w:rPr>
        <w:t xml:space="preserve">Therefore, people enrolled in </w:t>
      </w:r>
      <w:r w:rsidR="00C14132" w:rsidRPr="00277996">
        <w:rPr>
          <w:iCs/>
        </w:rPr>
        <w:t xml:space="preserve">the </w:t>
      </w:r>
      <w:r w:rsidRPr="00277996">
        <w:rPr>
          <w:iCs/>
        </w:rPr>
        <w:t>FOCUS</w:t>
      </w:r>
      <w:r w:rsidR="00C14132" w:rsidRPr="00277996">
        <w:rPr>
          <w:iCs/>
        </w:rPr>
        <w:t xml:space="preserve"> trial</w:t>
      </w:r>
      <w:r w:rsidRPr="00277996">
        <w:rPr>
          <w:iCs/>
        </w:rPr>
        <w:t xml:space="preserve"> were on average healthier than </w:t>
      </w:r>
      <w:r w:rsidR="00C14132" w:rsidRPr="00277996">
        <w:rPr>
          <w:iCs/>
        </w:rPr>
        <w:t xml:space="preserve">those </w:t>
      </w:r>
      <w:r w:rsidRPr="00277996">
        <w:rPr>
          <w:iCs/>
        </w:rPr>
        <w:t>who may be eligible for fremanezumab in clinical practice.</w:t>
      </w:r>
      <w:r w:rsidR="006C7D71" w:rsidRPr="00277996">
        <w:rPr>
          <w:iCs/>
        </w:rPr>
        <w:t xml:space="preserve"> </w:t>
      </w:r>
      <w:r w:rsidRPr="00854EE6">
        <w:t xml:space="preserve">The CONQUER trial excluded patients with an abnormal electrocardiogram, patients at serious cardiovascular risk, or those with a history of clinically significant cardiovascular disease. </w:t>
      </w:r>
      <w:r w:rsidRPr="00277996">
        <w:rPr>
          <w:iCs/>
        </w:rPr>
        <w:t xml:space="preserve">The TGA delegate previously noted that there are theoretical concerns suggesting that interfering with </w:t>
      </w:r>
      <w:r w:rsidR="005C60EC" w:rsidRPr="00277996">
        <w:rPr>
          <w:iCs/>
        </w:rPr>
        <w:t>calcitonin gene-related peptide</w:t>
      </w:r>
      <w:r w:rsidRPr="00277996">
        <w:rPr>
          <w:iCs/>
        </w:rPr>
        <w:t xml:space="preserve"> could modify processes relevant to protection against ischaemia, increasing the risk of cardiovascular events</w:t>
      </w:r>
      <w:r w:rsidR="00175570" w:rsidRPr="00277996">
        <w:rPr>
          <w:iCs/>
        </w:rPr>
        <w:t xml:space="preserve"> (p71,</w:t>
      </w:r>
      <w:r w:rsidR="00175570" w:rsidRPr="00175570">
        <w:t xml:space="preserve"> </w:t>
      </w:r>
      <w:r w:rsidR="00175570" w:rsidRPr="00277996">
        <w:rPr>
          <w:iCs/>
        </w:rPr>
        <w:t>AusPAR Emgality galcanezumab Eli Lilly Australia Pty Ltd, September 2019)</w:t>
      </w:r>
      <w:r>
        <w:t>.</w:t>
      </w:r>
      <w:r w:rsidR="00023D01">
        <w:t xml:space="preserve"> </w:t>
      </w:r>
      <w:r w:rsidR="00023D01" w:rsidRPr="009F62C4">
        <w:rPr>
          <w:iCs/>
        </w:rPr>
        <w:t xml:space="preserve">The ESC noted the exclusion criteria in the FOCUS and CONQUER trials and considered </w:t>
      </w:r>
      <w:r w:rsidR="0024712F" w:rsidRPr="009F62C4">
        <w:rPr>
          <w:iCs/>
        </w:rPr>
        <w:t xml:space="preserve">the </w:t>
      </w:r>
      <w:r w:rsidR="002B0344" w:rsidRPr="009F62C4">
        <w:rPr>
          <w:iCs/>
        </w:rPr>
        <w:t xml:space="preserve">differences in </w:t>
      </w:r>
      <w:r w:rsidR="0024712F" w:rsidRPr="009F62C4">
        <w:rPr>
          <w:iCs/>
        </w:rPr>
        <w:t xml:space="preserve">exclusion criteria were </w:t>
      </w:r>
      <w:r w:rsidR="00023D01" w:rsidRPr="009F62C4">
        <w:rPr>
          <w:iCs/>
        </w:rPr>
        <w:t>not a major concern given that these therapies are unlikely to be used in patients with severe ischaemic heart disease or severe psychotic illness</w:t>
      </w:r>
      <w:r w:rsidR="0024712F" w:rsidRPr="009F62C4">
        <w:rPr>
          <w:iCs/>
        </w:rPr>
        <w:t xml:space="preserve"> in clinical practice</w:t>
      </w:r>
      <w:r w:rsidR="00023D01" w:rsidRPr="009F62C4">
        <w:rPr>
          <w:iCs/>
        </w:rPr>
        <w:t>.</w:t>
      </w:r>
    </w:p>
    <w:p w14:paraId="172329D2" w14:textId="674405D6" w:rsidR="00655BB5" w:rsidRPr="00655BB5" w:rsidRDefault="00ED7E30" w:rsidP="00033A63">
      <w:pPr>
        <w:pStyle w:val="3-BodyText"/>
        <w:numPr>
          <w:ilvl w:val="1"/>
          <w:numId w:val="5"/>
        </w:numPr>
        <w:ind w:left="720"/>
      </w:pPr>
      <w:r w:rsidRPr="00ED7E30">
        <w:t>Patients were allowed to use acute medication to treat acute migraine attacks, as needed</w:t>
      </w:r>
      <w:r>
        <w:t xml:space="preserve"> in both trials. However, the use of other preventive migraine medications was not permitted. </w:t>
      </w:r>
      <w:r w:rsidRPr="00277996">
        <w:rPr>
          <w:iCs/>
        </w:rPr>
        <w:t xml:space="preserve">This may not </w:t>
      </w:r>
      <w:r w:rsidR="001B6E91">
        <w:rPr>
          <w:iCs/>
        </w:rPr>
        <w:t xml:space="preserve">be </w:t>
      </w:r>
      <w:r w:rsidRPr="00277996">
        <w:rPr>
          <w:iCs/>
        </w:rPr>
        <w:t>fully represent</w:t>
      </w:r>
      <w:r w:rsidR="001B6E91">
        <w:rPr>
          <w:iCs/>
        </w:rPr>
        <w:t>ative of</w:t>
      </w:r>
      <w:r w:rsidRPr="00277996">
        <w:rPr>
          <w:iCs/>
        </w:rPr>
        <w:t xml:space="preserve"> </w:t>
      </w:r>
      <w:r w:rsidR="001B6E91">
        <w:rPr>
          <w:iCs/>
        </w:rPr>
        <w:t>patients</w:t>
      </w:r>
      <w:r w:rsidRPr="00277996">
        <w:rPr>
          <w:iCs/>
        </w:rPr>
        <w:t xml:space="preserve"> eligible for fremanezumab or galcanezumab in clinical practice</w:t>
      </w:r>
      <w:r>
        <w:t xml:space="preserve">. </w:t>
      </w:r>
    </w:p>
    <w:p w14:paraId="186F97A6" w14:textId="0653A0BD" w:rsidR="000A7615" w:rsidRDefault="000E2F10" w:rsidP="00033A63">
      <w:pPr>
        <w:pStyle w:val="3-BodyText"/>
        <w:numPr>
          <w:ilvl w:val="1"/>
          <w:numId w:val="5"/>
        </w:numPr>
        <w:ind w:left="720"/>
      </w:pPr>
      <w:r>
        <w:t>T</w:t>
      </w:r>
      <w:r w:rsidRPr="00B14629">
        <w:t xml:space="preserve">he </w:t>
      </w:r>
      <w:r w:rsidR="00BC4E63" w:rsidRPr="00B14629">
        <w:t xml:space="preserve">submission nominated a difference of at least </w:t>
      </w:r>
      <w:r w:rsidR="00266B89">
        <w:t>two</w:t>
      </w:r>
      <w:r w:rsidR="00266B89" w:rsidRPr="00B14629">
        <w:t xml:space="preserve"> </w:t>
      </w:r>
      <w:r w:rsidR="00BC4E63" w:rsidRPr="00B14629">
        <w:t xml:space="preserve">headache days between the </w:t>
      </w:r>
      <w:r w:rsidR="0011573B">
        <w:t xml:space="preserve">active </w:t>
      </w:r>
      <w:r w:rsidR="00BC4E63">
        <w:t>treatment</w:t>
      </w:r>
      <w:r w:rsidR="00BC4E63" w:rsidRPr="00B14629">
        <w:t xml:space="preserve"> and placebo arms as a minimal clinically important difference</w:t>
      </w:r>
      <w:r w:rsidR="00BC4E63">
        <w:t xml:space="preserve"> (MCID)</w:t>
      </w:r>
      <w:r w:rsidR="00BC4E63" w:rsidRPr="00B14629">
        <w:t xml:space="preserve">. </w:t>
      </w:r>
      <w:r w:rsidRPr="00277996">
        <w:rPr>
          <w:iCs/>
        </w:rPr>
        <w:t xml:space="preserve">The PBAC previously accepted that a reduction of 2-3 headache days per month could be considered a clinically important benefit in the context of submissions </w:t>
      </w:r>
      <w:r w:rsidRPr="00277996">
        <w:rPr>
          <w:iCs/>
        </w:rPr>
        <w:lastRenderedPageBreak/>
        <w:t xml:space="preserve">for chronic migraine </w:t>
      </w:r>
      <w:r w:rsidR="00011BB6">
        <w:rPr>
          <w:iCs/>
        </w:rPr>
        <w:t>(s</w:t>
      </w:r>
      <w:r w:rsidR="00411B02" w:rsidRPr="00277996">
        <w:rPr>
          <w:iCs/>
        </w:rPr>
        <w:t>ection 12</w:t>
      </w:r>
      <w:r w:rsidRPr="00277996">
        <w:rPr>
          <w:iCs/>
        </w:rPr>
        <w:t xml:space="preserve">, Botox PSD, July 2012 PBAC meeting; para 6.16, </w:t>
      </w:r>
      <w:r w:rsidR="00411B02" w:rsidRPr="00277996">
        <w:rPr>
          <w:iCs/>
        </w:rPr>
        <w:t>G</w:t>
      </w:r>
      <w:r w:rsidRPr="00277996">
        <w:rPr>
          <w:iCs/>
        </w:rPr>
        <w:t>alcanezumab PSD, July 2019 PBAC meeting).</w:t>
      </w:r>
      <w:r>
        <w:t xml:space="preserve"> </w:t>
      </w:r>
      <w:r w:rsidR="00411B02" w:rsidRPr="00277996">
        <w:rPr>
          <w:iCs/>
        </w:rPr>
        <w:t>The</w:t>
      </w:r>
      <w:r w:rsidR="00F306EF" w:rsidRPr="00277996">
        <w:rPr>
          <w:iCs/>
        </w:rPr>
        <w:t xml:space="preserve"> March 2022</w:t>
      </w:r>
      <w:r w:rsidR="00411B02" w:rsidRPr="00277996">
        <w:rPr>
          <w:iCs/>
        </w:rPr>
        <w:t xml:space="preserve"> galcanezumab submission for HFEM also applied an </w:t>
      </w:r>
      <w:r w:rsidRPr="00277996">
        <w:rPr>
          <w:iCs/>
        </w:rPr>
        <w:t>MCID of at least 2 days.</w:t>
      </w:r>
    </w:p>
    <w:p w14:paraId="082EFF1C" w14:textId="0DD382C0" w:rsidR="00BC4E63" w:rsidRPr="00BC4E63" w:rsidRDefault="00BC4E63" w:rsidP="00033A63">
      <w:pPr>
        <w:pStyle w:val="3-BodyText"/>
        <w:numPr>
          <w:ilvl w:val="1"/>
          <w:numId w:val="5"/>
        </w:numPr>
        <w:ind w:left="720"/>
      </w:pPr>
      <w:r w:rsidRPr="00B14629">
        <w:t xml:space="preserve">For the indirect comparison of </w:t>
      </w:r>
      <w:r>
        <w:t>fremanezumab</w:t>
      </w:r>
      <w:r w:rsidRPr="00B14629">
        <w:t xml:space="preserve"> v</w:t>
      </w:r>
      <w:r w:rsidR="001A376F">
        <w:t>ersu</w:t>
      </w:r>
      <w:r w:rsidRPr="00B14629">
        <w:t xml:space="preserve">s </w:t>
      </w:r>
      <w:r>
        <w:t>galcanezumab</w:t>
      </w:r>
      <w:r w:rsidRPr="00B14629">
        <w:t xml:space="preserve">, the nominated MCID of </w:t>
      </w:r>
      <w:r w:rsidR="00266B89">
        <w:t>two</w:t>
      </w:r>
      <w:r w:rsidR="00266B89" w:rsidRPr="00B14629">
        <w:t xml:space="preserve"> </w:t>
      </w:r>
      <w:r w:rsidRPr="00B14629">
        <w:t xml:space="preserve">days </w:t>
      </w:r>
      <w:r>
        <w:t>was</w:t>
      </w:r>
      <w:r w:rsidRPr="00B14629">
        <w:t xml:space="preserve"> also </w:t>
      </w:r>
      <w:r w:rsidR="00640565">
        <w:t>chosen</w:t>
      </w:r>
      <w:r w:rsidR="00640565" w:rsidRPr="00B14629">
        <w:t xml:space="preserve"> </w:t>
      </w:r>
      <w:r w:rsidRPr="00B14629">
        <w:t>as the relevant non-inferiority margin</w:t>
      </w:r>
      <w:r>
        <w:t xml:space="preserve">. </w:t>
      </w:r>
      <w:r w:rsidR="003904FF" w:rsidRPr="00277996">
        <w:rPr>
          <w:iCs/>
        </w:rPr>
        <w:t>Th</w:t>
      </w:r>
      <w:r w:rsidR="002B3CDA">
        <w:rPr>
          <w:iCs/>
        </w:rPr>
        <w:t xml:space="preserve">e PBAC considered this was </w:t>
      </w:r>
      <w:r w:rsidR="00A25A9F" w:rsidRPr="00277996">
        <w:rPr>
          <w:iCs/>
        </w:rPr>
        <w:t>reasonable</w:t>
      </w:r>
      <w:r w:rsidR="000A7615" w:rsidRPr="00277996">
        <w:rPr>
          <w:iCs/>
        </w:rPr>
        <w:t>,</w:t>
      </w:r>
      <w:r w:rsidR="00A25A9F" w:rsidRPr="00277996">
        <w:rPr>
          <w:iCs/>
        </w:rPr>
        <w:t xml:space="preserve"> </w:t>
      </w:r>
      <w:r w:rsidR="000A7615" w:rsidRPr="00277996">
        <w:rPr>
          <w:iCs/>
        </w:rPr>
        <w:t>being</w:t>
      </w:r>
      <w:r w:rsidR="003904FF" w:rsidRPr="00277996">
        <w:rPr>
          <w:iCs/>
        </w:rPr>
        <w:t xml:space="preserve"> consistent with </w:t>
      </w:r>
      <w:r w:rsidR="00E01521" w:rsidRPr="00277996">
        <w:rPr>
          <w:iCs/>
        </w:rPr>
        <w:t>non-inferiority margin</w:t>
      </w:r>
      <w:r w:rsidR="00AB4925" w:rsidRPr="00277996">
        <w:rPr>
          <w:iCs/>
        </w:rPr>
        <w:t>s</w:t>
      </w:r>
      <w:r w:rsidR="00E01521" w:rsidRPr="00277996">
        <w:rPr>
          <w:iCs/>
        </w:rPr>
        <w:t xml:space="preserve"> nominated </w:t>
      </w:r>
      <w:r w:rsidR="000A7615" w:rsidRPr="00277996">
        <w:rPr>
          <w:iCs/>
        </w:rPr>
        <w:t xml:space="preserve">previously </w:t>
      </w:r>
      <w:r w:rsidR="00352A1C" w:rsidRPr="00277996">
        <w:rPr>
          <w:iCs/>
        </w:rPr>
        <w:t>for chronic migraine (para 7.6, Fremanezumab PSD, November 2019 PBAC meeting</w:t>
      </w:r>
      <w:r w:rsidR="009F6612" w:rsidRPr="00277996">
        <w:rPr>
          <w:iCs/>
        </w:rPr>
        <w:t>;</w:t>
      </w:r>
      <w:r w:rsidR="009F6F9E" w:rsidRPr="00277996">
        <w:rPr>
          <w:iCs/>
        </w:rPr>
        <w:t xml:space="preserve"> </w:t>
      </w:r>
      <w:r w:rsidR="00352A1C" w:rsidRPr="00277996">
        <w:rPr>
          <w:iCs/>
        </w:rPr>
        <w:t>para 6.16, Galcanezumab PSD, July 2019 PBAC meeting)</w:t>
      </w:r>
      <w:r w:rsidR="00A25A9F" w:rsidRPr="00277996">
        <w:rPr>
          <w:iCs/>
        </w:rPr>
        <w:t>.</w:t>
      </w:r>
      <w:r w:rsidR="003904FF">
        <w:t xml:space="preserve"> </w:t>
      </w:r>
    </w:p>
    <w:p w14:paraId="277AF90F" w14:textId="77777777" w:rsidR="00BC4E63" w:rsidRPr="00C9624D" w:rsidRDefault="00BC4E63" w:rsidP="00BC4E63">
      <w:pPr>
        <w:pStyle w:val="4-SubsectionHeading"/>
      </w:pPr>
      <w:bookmarkStart w:id="31" w:name="_Toc22897641"/>
      <w:bookmarkStart w:id="32" w:name="_Toc107927627"/>
      <w:bookmarkStart w:id="33" w:name="_Toc114059207"/>
      <w:r w:rsidRPr="00C9624D">
        <w:t>Comparative effectiveness</w:t>
      </w:r>
      <w:bookmarkEnd w:id="31"/>
      <w:bookmarkEnd w:id="32"/>
      <w:bookmarkEnd w:id="33"/>
    </w:p>
    <w:p w14:paraId="514F26A9" w14:textId="5BC70936" w:rsidR="00BC4E63" w:rsidRDefault="00094E56" w:rsidP="00033A63">
      <w:pPr>
        <w:pStyle w:val="3-BodyText"/>
        <w:numPr>
          <w:ilvl w:val="1"/>
          <w:numId w:val="5"/>
        </w:numPr>
        <w:ind w:left="720"/>
      </w:pPr>
      <w:r w:rsidRPr="00094E56">
        <w:fldChar w:fldCharType="begin" w:fldLock="1"/>
      </w:r>
      <w:r w:rsidRPr="00094E56">
        <w:instrText xml:space="preserve"> REF _Ref114039771 \h  \* MERGEFORMAT </w:instrText>
      </w:r>
      <w:r w:rsidRPr="00094E56">
        <w:fldChar w:fldCharType="separate"/>
      </w:r>
      <w:r w:rsidRPr="00094E56">
        <w:t>Table 4</w:t>
      </w:r>
      <w:r w:rsidRPr="00094E56">
        <w:fldChar w:fldCharType="end"/>
      </w:r>
      <w:r w:rsidRPr="00094E56">
        <w:t xml:space="preserve"> </w:t>
      </w:r>
      <w:r w:rsidR="00BC4E63" w:rsidRPr="00094E56">
        <w:t>shows</w:t>
      </w:r>
      <w:r w:rsidR="00BC4E63">
        <w:t xml:space="preserve"> the results for the key primary outcome for all episodic migraine and the proposed PBS population of HFEM with </w:t>
      </w:r>
      <w:r w:rsidR="00BC4E63" w:rsidRPr="00E61C96">
        <w:t xml:space="preserve">≥3 prior prophylactic </w:t>
      </w:r>
      <w:r w:rsidR="00BC4E63">
        <w:t xml:space="preserve">migraine </w:t>
      </w:r>
      <w:r w:rsidR="00BC4E63" w:rsidRPr="00E61C96">
        <w:t>treatments</w:t>
      </w:r>
      <w:r w:rsidR="00BC4E63">
        <w:t>.</w:t>
      </w:r>
      <w:r w:rsidR="001573ED">
        <w:t xml:space="preserve"> </w:t>
      </w:r>
    </w:p>
    <w:p w14:paraId="5EDC4805" w14:textId="0104A647" w:rsidR="00BC4E63" w:rsidRDefault="00BC4E63" w:rsidP="00AB7CA2">
      <w:pPr>
        <w:pStyle w:val="TableHeading0"/>
      </w:pPr>
      <w:bookmarkStart w:id="34" w:name="_Ref114039771"/>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B97129">
        <w:rPr>
          <w:rStyle w:val="CommentReference"/>
          <w:rFonts w:eastAsiaTheme="majorEastAsia" w:cstheme="majorBidi"/>
          <w:b/>
          <w:noProof/>
          <w:szCs w:val="24"/>
        </w:rPr>
        <w:t>4</w:t>
      </w:r>
      <w:r w:rsidRPr="00D6076E">
        <w:rPr>
          <w:rStyle w:val="CommentReference"/>
          <w:rFonts w:eastAsiaTheme="majorEastAsia" w:cstheme="majorBidi"/>
          <w:b/>
          <w:szCs w:val="24"/>
        </w:rPr>
        <w:fldChar w:fldCharType="end"/>
      </w:r>
      <w:bookmarkEnd w:id="34"/>
      <w:r w:rsidRPr="00283DAB">
        <w:t xml:space="preserve">: </w:t>
      </w:r>
      <w:r w:rsidR="003E343F">
        <w:t xml:space="preserve">Change from baseline in </w:t>
      </w:r>
      <w:r w:rsidR="00B71867">
        <w:t>monthly migraine days</w:t>
      </w:r>
      <w:r w:rsidR="00456C59">
        <w:t xml:space="preserve"> </w:t>
      </w:r>
      <w:r w:rsidR="003E343F">
        <w:t>in</w:t>
      </w:r>
      <w:r>
        <w:t xml:space="preserve"> </w:t>
      </w:r>
      <w:r w:rsidR="0003593E">
        <w:t xml:space="preserve">all episodic migraine and HFEM subgroups in </w:t>
      </w:r>
      <w:r>
        <w:t xml:space="preserve">the FOCUS and CONQUER trials </w:t>
      </w:r>
      <w:r w:rsidR="007622FE">
        <w:t xml:space="preserve">over 12 </w:t>
      </w:r>
      <w:proofErr w:type="gramStart"/>
      <w:r w:rsidR="007622FE">
        <w:t>weeks</w:t>
      </w:r>
      <w:proofErr w:type="gramEnd"/>
    </w:p>
    <w:tbl>
      <w:tblPr>
        <w:tblW w:w="5001" w:type="pct"/>
        <w:tblLayout w:type="fixed"/>
        <w:tblLook w:val="04A0" w:firstRow="1" w:lastRow="0" w:firstColumn="1" w:lastColumn="0" w:noHBand="0" w:noVBand="1"/>
      </w:tblPr>
      <w:tblGrid>
        <w:gridCol w:w="930"/>
        <w:gridCol w:w="1191"/>
        <w:gridCol w:w="673"/>
        <w:gridCol w:w="1030"/>
        <w:gridCol w:w="1030"/>
        <w:gridCol w:w="671"/>
        <w:gridCol w:w="992"/>
        <w:gridCol w:w="1135"/>
        <w:gridCol w:w="1367"/>
      </w:tblGrid>
      <w:tr w:rsidR="003E343F" w:rsidRPr="004825E5" w14:paraId="514AC145" w14:textId="77777777" w:rsidTr="00EE18F7">
        <w:trPr>
          <w:tblHeader/>
        </w:trPr>
        <w:tc>
          <w:tcPr>
            <w:tcW w:w="516" w:type="pct"/>
            <w:vMerge w:val="restart"/>
            <w:tcBorders>
              <w:top w:val="single" w:sz="4" w:space="0" w:color="auto"/>
              <w:left w:val="single" w:sz="4" w:space="0" w:color="auto"/>
              <w:right w:val="single" w:sz="4" w:space="0" w:color="auto"/>
            </w:tcBorders>
            <w:tcMar>
              <w:left w:w="28" w:type="dxa"/>
              <w:right w:w="28" w:type="dxa"/>
            </w:tcMar>
            <w:vAlign w:val="center"/>
          </w:tcPr>
          <w:p w14:paraId="76850857" w14:textId="2B5C5659" w:rsidR="003E343F" w:rsidRDefault="006B7C42" w:rsidP="00EE18F7">
            <w:pPr>
              <w:pStyle w:val="In-tableHeading"/>
              <w:keepLines/>
            </w:pPr>
            <w:r>
              <w:t>Trial ID</w:t>
            </w:r>
          </w:p>
        </w:tc>
        <w:tc>
          <w:tcPr>
            <w:tcW w:w="660" w:type="pct"/>
            <w:vMerge w:val="restart"/>
            <w:tcBorders>
              <w:top w:val="single" w:sz="4" w:space="0" w:color="auto"/>
              <w:left w:val="single" w:sz="4" w:space="0" w:color="auto"/>
              <w:right w:val="single" w:sz="4" w:space="0" w:color="auto"/>
            </w:tcBorders>
            <w:tcMar>
              <w:left w:w="28" w:type="dxa"/>
              <w:right w:w="28" w:type="dxa"/>
            </w:tcMar>
            <w:vAlign w:val="center"/>
          </w:tcPr>
          <w:p w14:paraId="689DD841" w14:textId="60FDC0C1" w:rsidR="003E343F" w:rsidRPr="004825E5" w:rsidRDefault="00D93C08" w:rsidP="00EE18F7">
            <w:pPr>
              <w:pStyle w:val="In-tableHeading"/>
              <w:keepLines/>
              <w:jc w:val="center"/>
            </w:pPr>
            <w:r>
              <w:t>Treatment groups</w:t>
            </w:r>
          </w:p>
        </w:tc>
        <w:tc>
          <w:tcPr>
            <w:tcW w:w="1515" w:type="pct"/>
            <w:gridSpan w:val="3"/>
            <w:tcBorders>
              <w:top w:val="single" w:sz="4" w:space="0" w:color="auto"/>
              <w:left w:val="single" w:sz="4" w:space="0" w:color="auto"/>
              <w:right w:val="single" w:sz="4" w:space="0" w:color="auto"/>
            </w:tcBorders>
            <w:tcMar>
              <w:left w:w="28" w:type="dxa"/>
              <w:right w:w="28" w:type="dxa"/>
            </w:tcMar>
            <w:vAlign w:val="center"/>
          </w:tcPr>
          <w:p w14:paraId="0A7E3020" w14:textId="7A9DF3F5" w:rsidR="003E343F" w:rsidRPr="004825E5" w:rsidRDefault="0063649D" w:rsidP="00EE18F7">
            <w:pPr>
              <w:pStyle w:val="In-tableHeading"/>
              <w:keepLines/>
              <w:ind w:left="-98" w:right="-92"/>
              <w:jc w:val="center"/>
            </w:pPr>
            <w:r>
              <w:t>FREM Q</w:t>
            </w:r>
            <w:r w:rsidR="003E343F">
              <w:t>/</w:t>
            </w:r>
            <w:r>
              <w:t>FREM M/</w:t>
            </w:r>
            <w:r w:rsidR="003E343F">
              <w:t>GAL</w:t>
            </w:r>
            <w:r>
              <w:t>C</w:t>
            </w:r>
          </w:p>
        </w:tc>
        <w:tc>
          <w:tcPr>
            <w:tcW w:w="1551"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8EE6E" w14:textId="77777777" w:rsidR="003E343F" w:rsidRPr="004825E5" w:rsidRDefault="003E343F" w:rsidP="00EE18F7">
            <w:pPr>
              <w:pStyle w:val="In-tableHeading"/>
              <w:keepLines/>
              <w:jc w:val="center"/>
            </w:pPr>
            <w:r>
              <w:t>Placebo</w:t>
            </w:r>
          </w:p>
        </w:tc>
        <w:tc>
          <w:tcPr>
            <w:tcW w:w="758" w:type="pct"/>
            <w:vMerge w:val="restart"/>
            <w:tcBorders>
              <w:top w:val="single" w:sz="4" w:space="0" w:color="auto"/>
              <w:left w:val="single" w:sz="4" w:space="0" w:color="auto"/>
              <w:right w:val="single" w:sz="4" w:space="0" w:color="auto"/>
            </w:tcBorders>
            <w:tcMar>
              <w:left w:w="28" w:type="dxa"/>
              <w:right w:w="28" w:type="dxa"/>
            </w:tcMar>
            <w:vAlign w:val="center"/>
          </w:tcPr>
          <w:p w14:paraId="3FAFAB48" w14:textId="338DABCF" w:rsidR="003E343F" w:rsidRPr="004825E5" w:rsidRDefault="003E343F" w:rsidP="00EE18F7">
            <w:pPr>
              <w:pStyle w:val="PbacTableHeading"/>
              <w:keepNext/>
              <w:keepLines/>
              <w:tabs>
                <w:tab w:val="left" w:pos="167"/>
              </w:tabs>
              <w:spacing w:after="0"/>
              <w:jc w:val="center"/>
            </w:pPr>
            <w:r>
              <w:t>LSM</w:t>
            </w:r>
            <w:r w:rsidRPr="004825E5">
              <w:t xml:space="preserve"> </w:t>
            </w:r>
            <w:r>
              <w:t>d</w:t>
            </w:r>
            <w:r w:rsidRPr="004825E5">
              <w:t>ifference</w:t>
            </w:r>
            <w:r w:rsidR="005A512F">
              <w:t xml:space="preserve"> vs. placebo</w:t>
            </w:r>
            <w:r w:rsidRPr="004825E5">
              <w:t xml:space="preserve"> (95% CI)</w:t>
            </w:r>
          </w:p>
        </w:tc>
      </w:tr>
      <w:tr w:rsidR="003E343F" w:rsidRPr="004825E5" w14:paraId="36305349" w14:textId="77777777" w:rsidTr="00EE18F7">
        <w:trPr>
          <w:tblHeader/>
        </w:trPr>
        <w:tc>
          <w:tcPr>
            <w:tcW w:w="516" w:type="pct"/>
            <w:vMerge/>
            <w:tcBorders>
              <w:left w:val="single" w:sz="4" w:space="0" w:color="auto"/>
              <w:bottom w:val="single" w:sz="4" w:space="0" w:color="auto"/>
              <w:right w:val="single" w:sz="4" w:space="0" w:color="auto"/>
            </w:tcBorders>
            <w:tcMar>
              <w:left w:w="28" w:type="dxa"/>
              <w:right w:w="28" w:type="dxa"/>
            </w:tcMar>
          </w:tcPr>
          <w:p w14:paraId="3BE56549" w14:textId="77777777" w:rsidR="003E343F" w:rsidRPr="004825E5" w:rsidRDefault="003E343F" w:rsidP="00EE18F7">
            <w:pPr>
              <w:pStyle w:val="In-tableHeading"/>
              <w:keepLines/>
            </w:pPr>
          </w:p>
        </w:tc>
        <w:tc>
          <w:tcPr>
            <w:tcW w:w="660" w:type="pct"/>
            <w:vMerge/>
            <w:tcBorders>
              <w:left w:val="single" w:sz="4" w:space="0" w:color="auto"/>
              <w:bottom w:val="single" w:sz="4" w:space="0" w:color="auto"/>
              <w:right w:val="single" w:sz="4" w:space="0" w:color="auto"/>
            </w:tcBorders>
            <w:tcMar>
              <w:left w:w="28" w:type="dxa"/>
              <w:right w:w="28" w:type="dxa"/>
            </w:tcMar>
            <w:vAlign w:val="center"/>
          </w:tcPr>
          <w:p w14:paraId="6A6B669A" w14:textId="77777777" w:rsidR="003E343F" w:rsidRPr="004825E5" w:rsidRDefault="003E343F" w:rsidP="00EE18F7">
            <w:pPr>
              <w:pStyle w:val="In-tableHeading"/>
              <w:keepLines/>
              <w:jc w:val="center"/>
            </w:pP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4C0DEB" w14:textId="77777777" w:rsidR="003E343F" w:rsidRPr="004825E5" w:rsidRDefault="003E343F" w:rsidP="00EE18F7">
            <w:pPr>
              <w:pStyle w:val="In-tableHeading"/>
              <w:keepLines/>
              <w:ind w:left="-120" w:right="-161"/>
              <w:jc w:val="center"/>
            </w:pPr>
            <w:r>
              <w:t>N</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BEC065" w14:textId="69AB36F1" w:rsidR="003E343F" w:rsidRPr="004825E5" w:rsidRDefault="003E343F" w:rsidP="00EE18F7">
            <w:pPr>
              <w:pStyle w:val="In-tableHeading"/>
              <w:keepLines/>
              <w:ind w:left="-120" w:right="-161"/>
              <w:jc w:val="center"/>
            </w:pPr>
            <w:r w:rsidRPr="004825E5">
              <w:t>Baseline</w:t>
            </w:r>
            <w:r>
              <w:t xml:space="preserve"> </w:t>
            </w:r>
            <w:r>
              <w:br/>
              <w:t>mean (S</w:t>
            </w:r>
            <w:r w:rsidR="001573ED">
              <w:t>D</w:t>
            </w:r>
            <w:r>
              <w:t>)</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E7BC3B" w14:textId="79D953D2" w:rsidR="003E343F" w:rsidRPr="004825E5" w:rsidRDefault="003E343F" w:rsidP="00EE18F7">
            <w:pPr>
              <w:pStyle w:val="In-tableHeading"/>
              <w:keepLines/>
              <w:ind w:left="-120" w:right="-161"/>
              <w:jc w:val="center"/>
            </w:pPr>
            <w:r>
              <w:t xml:space="preserve">LSM </w:t>
            </w:r>
            <w:r>
              <w:br/>
              <w:t>change (S</w:t>
            </w:r>
            <w:r w:rsidR="00014B7A">
              <w:t>E</w:t>
            </w:r>
            <w:r>
              <w:t>)</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CFF98" w14:textId="77777777" w:rsidR="003E343F" w:rsidRPr="004825E5" w:rsidRDefault="003E343F" w:rsidP="00EE18F7">
            <w:pPr>
              <w:pStyle w:val="In-tableHeading"/>
              <w:keepLines/>
              <w:ind w:left="-120" w:right="-161"/>
              <w:jc w:val="center"/>
            </w:pPr>
            <w:r>
              <w:t>N</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565418" w14:textId="51E0F331" w:rsidR="003E343F" w:rsidRPr="004825E5" w:rsidRDefault="003E343F" w:rsidP="00EE18F7">
            <w:pPr>
              <w:pStyle w:val="In-tableHeading"/>
              <w:keepLines/>
              <w:ind w:left="-120" w:right="-161"/>
              <w:jc w:val="center"/>
            </w:pPr>
            <w:r w:rsidRPr="004825E5">
              <w:t>Baseline</w:t>
            </w:r>
            <w:r>
              <w:t xml:space="preserve"> </w:t>
            </w:r>
            <w:r>
              <w:br/>
              <w:t>mean (S</w:t>
            </w:r>
            <w:r w:rsidR="005A512F">
              <w:t>D</w:t>
            </w:r>
            <w:r w:rsidRPr="004825E5">
              <w:t>)</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E4E973" w14:textId="14DC54B2" w:rsidR="003E343F" w:rsidRPr="004825E5" w:rsidRDefault="003E343F" w:rsidP="00EE18F7">
            <w:pPr>
              <w:pStyle w:val="In-tableHeading"/>
              <w:keepLines/>
              <w:ind w:left="-120" w:right="-161"/>
              <w:jc w:val="center"/>
            </w:pPr>
            <w:r w:rsidRPr="00AC217C">
              <w:t xml:space="preserve">LSM </w:t>
            </w:r>
            <w:r>
              <w:br/>
              <w:t>c</w:t>
            </w:r>
            <w:r w:rsidRPr="00AC217C">
              <w:t xml:space="preserve">hange </w:t>
            </w:r>
            <w:r w:rsidRPr="004825E5">
              <w:t>(</w:t>
            </w:r>
            <w:r>
              <w:t>S</w:t>
            </w:r>
            <w:r w:rsidR="00014B7A">
              <w:t>E</w:t>
            </w:r>
            <w:r w:rsidRPr="004825E5">
              <w:t>)</w:t>
            </w:r>
          </w:p>
        </w:tc>
        <w:tc>
          <w:tcPr>
            <w:tcW w:w="758" w:type="pct"/>
            <w:vMerge/>
            <w:tcBorders>
              <w:left w:val="single" w:sz="4" w:space="0" w:color="auto"/>
              <w:bottom w:val="single" w:sz="4" w:space="0" w:color="auto"/>
              <w:right w:val="single" w:sz="4" w:space="0" w:color="auto"/>
            </w:tcBorders>
            <w:tcMar>
              <w:left w:w="28" w:type="dxa"/>
              <w:right w:w="28" w:type="dxa"/>
            </w:tcMar>
            <w:vAlign w:val="center"/>
          </w:tcPr>
          <w:p w14:paraId="71DC9440" w14:textId="77777777" w:rsidR="003E343F" w:rsidRPr="004825E5" w:rsidRDefault="003E343F" w:rsidP="00EE18F7">
            <w:pPr>
              <w:pStyle w:val="PbacTableHeading"/>
              <w:keepNext/>
              <w:keepLines/>
              <w:tabs>
                <w:tab w:val="left" w:pos="167"/>
              </w:tabs>
              <w:spacing w:after="0"/>
              <w:jc w:val="center"/>
            </w:pPr>
          </w:p>
        </w:tc>
      </w:tr>
      <w:tr w:rsidR="003E343F" w:rsidRPr="004825E5" w14:paraId="20E7A89D" w14:textId="77777777" w:rsidTr="00EE18F7">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F7F10E" w14:textId="27443669" w:rsidR="003E343F" w:rsidRPr="004825E5" w:rsidRDefault="003E343F" w:rsidP="00EE18F7">
            <w:pPr>
              <w:pStyle w:val="PBACTableText"/>
              <w:keepNext/>
              <w:keepLines/>
              <w:tabs>
                <w:tab w:val="left" w:pos="167"/>
              </w:tabs>
              <w:spacing w:before="0" w:after="0"/>
              <w:jc w:val="left"/>
              <w:rPr>
                <w:b/>
              </w:rPr>
            </w:pPr>
            <w:r>
              <w:rPr>
                <w:b/>
              </w:rPr>
              <w:t xml:space="preserve">All </w:t>
            </w:r>
            <w:r w:rsidR="00D93C08">
              <w:rPr>
                <w:b/>
              </w:rPr>
              <w:t>EM</w:t>
            </w:r>
            <w:r>
              <w:rPr>
                <w:b/>
              </w:rPr>
              <w:t xml:space="preserve"> population</w:t>
            </w:r>
          </w:p>
        </w:tc>
      </w:tr>
      <w:tr w:rsidR="00014B7A" w:rsidRPr="004825E5" w14:paraId="6BC3E137" w14:textId="77777777" w:rsidTr="00D93C08">
        <w:trPr>
          <w:trHeight w:val="58"/>
        </w:trPr>
        <w:tc>
          <w:tcPr>
            <w:tcW w:w="516" w:type="pct"/>
            <w:vMerge w:val="restart"/>
            <w:tcBorders>
              <w:top w:val="single" w:sz="4" w:space="0" w:color="auto"/>
              <w:left w:val="single" w:sz="4" w:space="0" w:color="auto"/>
              <w:right w:val="single" w:sz="4" w:space="0" w:color="auto"/>
            </w:tcBorders>
            <w:tcMar>
              <w:left w:w="28" w:type="dxa"/>
              <w:right w:w="28" w:type="dxa"/>
            </w:tcMar>
            <w:vAlign w:val="center"/>
          </w:tcPr>
          <w:p w14:paraId="723C52B1" w14:textId="4CAC1CBB" w:rsidR="00014B7A" w:rsidRPr="00D77B5B" w:rsidRDefault="00014B7A" w:rsidP="00D93C08">
            <w:pPr>
              <w:pStyle w:val="PBACTableText"/>
              <w:keepNext/>
              <w:keepLines/>
              <w:tabs>
                <w:tab w:val="left" w:pos="167"/>
              </w:tabs>
              <w:spacing w:before="0" w:after="0"/>
              <w:jc w:val="left"/>
            </w:pPr>
            <w:r>
              <w:t>FOCUS</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3D5155" w14:textId="7DDE709D" w:rsidR="00014B7A" w:rsidRPr="00D77B5B" w:rsidRDefault="00014B7A" w:rsidP="00D93C08">
            <w:pPr>
              <w:pStyle w:val="PBACTableText"/>
              <w:keepNext/>
              <w:keepLines/>
              <w:tabs>
                <w:tab w:val="left" w:pos="167"/>
              </w:tabs>
              <w:spacing w:before="0" w:after="0"/>
              <w:ind w:right="-119"/>
              <w:jc w:val="left"/>
            </w:pPr>
            <w:r>
              <w:t>FREM Q</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65D543" w14:textId="52D92233" w:rsidR="00014B7A" w:rsidRPr="006B7C42" w:rsidRDefault="00014B7A" w:rsidP="00D93C08">
            <w:pPr>
              <w:pStyle w:val="PBACTableText"/>
              <w:keepNext/>
              <w:keepLines/>
              <w:tabs>
                <w:tab w:val="left" w:pos="167"/>
              </w:tabs>
              <w:spacing w:before="0" w:after="0"/>
              <w:jc w:val="center"/>
            </w:pPr>
            <w:r>
              <w:t>107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B34BB2" w14:textId="38AAD4AF" w:rsidR="00014B7A" w:rsidRPr="00E648F6" w:rsidRDefault="001573ED" w:rsidP="00D93C08">
            <w:pPr>
              <w:pStyle w:val="PBACTableText"/>
              <w:keepNext/>
              <w:keepLines/>
              <w:tabs>
                <w:tab w:val="left" w:pos="167"/>
              </w:tabs>
              <w:spacing w:before="0" w:after="0"/>
              <w:jc w:val="center"/>
            </w:pPr>
            <w:r>
              <w:rPr>
                <w:lang w:eastAsia="en-AU"/>
              </w:rPr>
              <w:t>9.4 (2.67)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6BDC21" w14:textId="0D998278" w:rsidR="00014B7A" w:rsidRPr="00E648F6" w:rsidRDefault="00014B7A" w:rsidP="00D93C08">
            <w:pPr>
              <w:pStyle w:val="PBACTableText"/>
              <w:keepNext/>
              <w:keepLines/>
              <w:spacing w:before="0" w:after="0"/>
              <w:ind w:left="-131"/>
              <w:jc w:val="center"/>
            </w:pPr>
            <w:r>
              <w:t>-3.7 (0.44)</w:t>
            </w:r>
          </w:p>
        </w:tc>
        <w:tc>
          <w:tcPr>
            <w:tcW w:w="372" w:type="pct"/>
            <w:vMerge w:val="restart"/>
            <w:tcBorders>
              <w:top w:val="single" w:sz="4" w:space="0" w:color="auto"/>
              <w:left w:val="single" w:sz="4" w:space="0" w:color="auto"/>
              <w:right w:val="single" w:sz="4" w:space="0" w:color="auto"/>
            </w:tcBorders>
            <w:tcMar>
              <w:left w:w="28" w:type="dxa"/>
              <w:right w:w="28" w:type="dxa"/>
            </w:tcMar>
            <w:vAlign w:val="center"/>
          </w:tcPr>
          <w:p w14:paraId="74E8D07A" w14:textId="57FB8BDC" w:rsidR="00014B7A" w:rsidRPr="00E648F6" w:rsidRDefault="00014B7A" w:rsidP="00D93C08">
            <w:pPr>
              <w:pStyle w:val="PBACTableText"/>
              <w:keepNext/>
              <w:keepLines/>
              <w:tabs>
                <w:tab w:val="left" w:pos="167"/>
              </w:tabs>
              <w:spacing w:before="0" w:after="0"/>
              <w:jc w:val="center"/>
            </w:pPr>
            <w:r>
              <w:t>111</w:t>
            </w:r>
          </w:p>
        </w:tc>
        <w:tc>
          <w:tcPr>
            <w:tcW w:w="550" w:type="pct"/>
            <w:vMerge w:val="restart"/>
            <w:tcBorders>
              <w:top w:val="single" w:sz="4" w:space="0" w:color="auto"/>
              <w:left w:val="single" w:sz="4" w:space="0" w:color="auto"/>
              <w:right w:val="single" w:sz="4" w:space="0" w:color="auto"/>
            </w:tcBorders>
            <w:tcMar>
              <w:left w:w="28" w:type="dxa"/>
              <w:right w:w="28" w:type="dxa"/>
            </w:tcMar>
            <w:vAlign w:val="center"/>
          </w:tcPr>
          <w:p w14:paraId="2292C724" w14:textId="797B0AD5" w:rsidR="00014B7A" w:rsidRPr="00E648F6" w:rsidRDefault="001573ED" w:rsidP="00D93C08">
            <w:pPr>
              <w:pStyle w:val="PBACTableText"/>
              <w:keepNext/>
              <w:keepLines/>
              <w:tabs>
                <w:tab w:val="left" w:pos="167"/>
              </w:tabs>
              <w:spacing w:before="0" w:after="0"/>
              <w:jc w:val="center"/>
            </w:pPr>
            <w:r>
              <w:rPr>
                <w:lang w:eastAsia="en-AU"/>
              </w:rPr>
              <w:t>9.1 (2.61)</w:t>
            </w:r>
          </w:p>
        </w:tc>
        <w:tc>
          <w:tcPr>
            <w:tcW w:w="629" w:type="pct"/>
            <w:vMerge w:val="restart"/>
            <w:tcBorders>
              <w:top w:val="single" w:sz="4" w:space="0" w:color="auto"/>
              <w:left w:val="single" w:sz="4" w:space="0" w:color="auto"/>
              <w:right w:val="single" w:sz="4" w:space="0" w:color="auto"/>
            </w:tcBorders>
            <w:tcMar>
              <w:left w:w="28" w:type="dxa"/>
              <w:right w:w="28" w:type="dxa"/>
            </w:tcMar>
            <w:vAlign w:val="center"/>
          </w:tcPr>
          <w:p w14:paraId="73EE7C6D" w14:textId="09E3495F" w:rsidR="00014B7A" w:rsidRPr="00E648F6" w:rsidRDefault="00014B7A" w:rsidP="00D93C08">
            <w:pPr>
              <w:pStyle w:val="PBACTableText"/>
              <w:keepNext/>
              <w:keepLines/>
              <w:spacing w:before="0" w:after="0"/>
              <w:ind w:left="-131"/>
              <w:jc w:val="center"/>
            </w:pPr>
            <w:r w:rsidRPr="00E648F6">
              <w:t>-</w:t>
            </w:r>
            <w:r>
              <w:t>0.7 (0.43)</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286553" w14:textId="76595A5E" w:rsidR="00014B7A" w:rsidRPr="00E648F6" w:rsidRDefault="00014B7A" w:rsidP="00D93C08">
            <w:pPr>
              <w:pStyle w:val="PBACTableText"/>
              <w:keepNext/>
              <w:keepLines/>
              <w:tabs>
                <w:tab w:val="left" w:pos="167"/>
              </w:tabs>
              <w:spacing w:before="0" w:after="0"/>
              <w:jc w:val="center"/>
            </w:pPr>
            <w:r w:rsidRPr="00AC633D">
              <w:rPr>
                <w:b/>
                <w:bCs/>
              </w:rPr>
              <w:t>-3.1</w:t>
            </w:r>
            <w:r w:rsidRPr="00014B7A">
              <w:t xml:space="preserve"> (-3.93, -2.19)</w:t>
            </w:r>
          </w:p>
        </w:tc>
      </w:tr>
      <w:tr w:rsidR="00014B7A" w:rsidRPr="004825E5" w14:paraId="6CE1D857" w14:textId="77777777" w:rsidTr="00D93C08">
        <w:trPr>
          <w:trHeight w:val="333"/>
        </w:trPr>
        <w:tc>
          <w:tcPr>
            <w:tcW w:w="516" w:type="pct"/>
            <w:vMerge/>
            <w:tcBorders>
              <w:left w:val="single" w:sz="4" w:space="0" w:color="auto"/>
              <w:bottom w:val="single" w:sz="4" w:space="0" w:color="auto"/>
              <w:right w:val="single" w:sz="4" w:space="0" w:color="auto"/>
            </w:tcBorders>
            <w:tcMar>
              <w:left w:w="28" w:type="dxa"/>
              <w:right w:w="28" w:type="dxa"/>
            </w:tcMar>
          </w:tcPr>
          <w:p w14:paraId="155767E0" w14:textId="77777777" w:rsidR="00014B7A" w:rsidRPr="00D77B5B" w:rsidRDefault="00014B7A" w:rsidP="00EE18F7">
            <w:pPr>
              <w:pStyle w:val="PBACTableText"/>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38B9E4" w14:textId="1A194578" w:rsidR="00014B7A" w:rsidRPr="00D77B5B" w:rsidRDefault="00014B7A" w:rsidP="00D93C08">
            <w:pPr>
              <w:pStyle w:val="PBACTableText"/>
              <w:keepNext/>
              <w:keepLines/>
              <w:tabs>
                <w:tab w:val="left" w:pos="167"/>
              </w:tabs>
              <w:spacing w:before="0" w:after="0"/>
              <w:jc w:val="left"/>
            </w:pPr>
            <w:r>
              <w:t>FREM M</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403E89" w14:textId="31BF35E0" w:rsidR="00014B7A" w:rsidRPr="00D77B5B" w:rsidRDefault="00014B7A" w:rsidP="00D93C08">
            <w:pPr>
              <w:pStyle w:val="PBACTableText"/>
              <w:keepNext/>
              <w:keepLines/>
              <w:tabs>
                <w:tab w:val="left" w:pos="167"/>
              </w:tabs>
              <w:spacing w:before="0" w:after="0"/>
              <w:jc w:val="center"/>
            </w:pPr>
            <w:r>
              <w:t>110</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ABFE63" w14:textId="490A3DB2" w:rsidR="00014B7A" w:rsidRPr="00E648F6" w:rsidRDefault="001573ED" w:rsidP="00D93C08">
            <w:pPr>
              <w:pStyle w:val="PBACTableText"/>
              <w:keepNext/>
              <w:keepLines/>
              <w:tabs>
                <w:tab w:val="left" w:pos="167"/>
              </w:tabs>
              <w:spacing w:before="0" w:after="0"/>
              <w:jc w:val="center"/>
            </w:pPr>
            <w:r>
              <w:rPr>
                <w:lang w:eastAsia="en-AU"/>
              </w:rPr>
              <w:t>9.5 (2.73)</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4AF61B" w14:textId="58F3B042" w:rsidR="00014B7A" w:rsidRPr="00E648F6" w:rsidRDefault="00014B7A" w:rsidP="00D93C08">
            <w:pPr>
              <w:pStyle w:val="PBACTableText"/>
              <w:keepNext/>
              <w:keepLines/>
              <w:spacing w:before="0" w:after="0"/>
              <w:ind w:left="-131"/>
              <w:jc w:val="center"/>
            </w:pPr>
            <w:r w:rsidRPr="00E648F6">
              <w:t>-</w:t>
            </w:r>
            <w:r>
              <w:t>3.8 (0.45)</w:t>
            </w:r>
          </w:p>
        </w:tc>
        <w:tc>
          <w:tcPr>
            <w:tcW w:w="372" w:type="pct"/>
            <w:vMerge/>
            <w:tcBorders>
              <w:left w:val="single" w:sz="4" w:space="0" w:color="auto"/>
              <w:bottom w:val="single" w:sz="4" w:space="0" w:color="auto"/>
              <w:right w:val="single" w:sz="4" w:space="0" w:color="auto"/>
            </w:tcBorders>
            <w:tcMar>
              <w:left w:w="28" w:type="dxa"/>
              <w:right w:w="28" w:type="dxa"/>
            </w:tcMar>
            <w:vAlign w:val="center"/>
          </w:tcPr>
          <w:p w14:paraId="52D030FD" w14:textId="31059009" w:rsidR="00014B7A" w:rsidRPr="00E648F6" w:rsidRDefault="00014B7A" w:rsidP="00D93C08">
            <w:pPr>
              <w:pStyle w:val="PBACTableText"/>
              <w:keepNext/>
              <w:keepLines/>
              <w:tabs>
                <w:tab w:val="left" w:pos="167"/>
              </w:tabs>
              <w:spacing w:before="0" w:after="0"/>
              <w:jc w:val="center"/>
            </w:pPr>
          </w:p>
        </w:tc>
        <w:tc>
          <w:tcPr>
            <w:tcW w:w="550" w:type="pct"/>
            <w:vMerge/>
            <w:tcBorders>
              <w:left w:val="single" w:sz="4" w:space="0" w:color="auto"/>
              <w:bottom w:val="single" w:sz="4" w:space="0" w:color="auto"/>
              <w:right w:val="single" w:sz="4" w:space="0" w:color="auto"/>
            </w:tcBorders>
            <w:tcMar>
              <w:left w:w="28" w:type="dxa"/>
              <w:right w:w="28" w:type="dxa"/>
            </w:tcMar>
            <w:vAlign w:val="center"/>
          </w:tcPr>
          <w:p w14:paraId="17F4492E" w14:textId="4C54C284" w:rsidR="00014B7A" w:rsidRPr="00E648F6" w:rsidRDefault="00014B7A" w:rsidP="00D93C08">
            <w:pPr>
              <w:pStyle w:val="PBACTableText"/>
              <w:keepNext/>
              <w:keepLines/>
              <w:tabs>
                <w:tab w:val="left" w:pos="167"/>
              </w:tabs>
              <w:spacing w:before="0" w:after="0"/>
              <w:jc w:val="center"/>
            </w:pPr>
          </w:p>
        </w:tc>
        <w:tc>
          <w:tcPr>
            <w:tcW w:w="629" w:type="pct"/>
            <w:vMerge/>
            <w:tcBorders>
              <w:left w:val="single" w:sz="4" w:space="0" w:color="auto"/>
              <w:bottom w:val="single" w:sz="4" w:space="0" w:color="auto"/>
              <w:right w:val="single" w:sz="4" w:space="0" w:color="auto"/>
            </w:tcBorders>
            <w:tcMar>
              <w:left w:w="28" w:type="dxa"/>
              <w:right w:w="28" w:type="dxa"/>
            </w:tcMar>
            <w:vAlign w:val="center"/>
          </w:tcPr>
          <w:p w14:paraId="11A83970" w14:textId="3B9CCDB3" w:rsidR="00014B7A" w:rsidRPr="00E648F6" w:rsidRDefault="00014B7A" w:rsidP="00D93C08">
            <w:pPr>
              <w:pStyle w:val="PBACTableText"/>
              <w:keepNext/>
              <w:keepLines/>
              <w:spacing w:before="0" w:after="0"/>
              <w:ind w:left="-131"/>
              <w:jc w:val="center"/>
            </w:pP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B03B5A" w14:textId="32239818" w:rsidR="00014B7A" w:rsidRPr="00E648F6" w:rsidRDefault="00014B7A" w:rsidP="00D93C08">
            <w:pPr>
              <w:pStyle w:val="PBACTableText"/>
              <w:keepNext/>
              <w:keepLines/>
              <w:tabs>
                <w:tab w:val="left" w:pos="167"/>
              </w:tabs>
              <w:jc w:val="center"/>
            </w:pPr>
            <w:r w:rsidRPr="00AC633D">
              <w:rPr>
                <w:b/>
                <w:bCs/>
              </w:rPr>
              <w:t>-3.1</w:t>
            </w:r>
            <w:r>
              <w:t xml:space="preserve"> (-4.00, -2.25)</w:t>
            </w:r>
          </w:p>
        </w:tc>
      </w:tr>
      <w:tr w:rsidR="003E343F" w:rsidRPr="004825E5" w14:paraId="5B8329D1" w14:textId="77777777" w:rsidTr="00D93C08">
        <w:trPr>
          <w:trHeight w:val="58"/>
        </w:trPr>
        <w:tc>
          <w:tcPr>
            <w:tcW w:w="516" w:type="pct"/>
            <w:tcBorders>
              <w:top w:val="single" w:sz="4" w:space="0" w:color="auto"/>
              <w:left w:val="single" w:sz="4" w:space="0" w:color="auto"/>
              <w:right w:val="single" w:sz="4" w:space="0" w:color="auto"/>
            </w:tcBorders>
            <w:tcMar>
              <w:left w:w="28" w:type="dxa"/>
              <w:right w:w="28" w:type="dxa"/>
            </w:tcMar>
            <w:vAlign w:val="center"/>
          </w:tcPr>
          <w:p w14:paraId="2F356A22" w14:textId="5E8FC669" w:rsidR="003E343F" w:rsidRPr="00D77B5B" w:rsidRDefault="001573ED" w:rsidP="00D93C08">
            <w:pPr>
              <w:pStyle w:val="PBACTableText"/>
              <w:keepNext/>
              <w:keepLines/>
              <w:tabs>
                <w:tab w:val="left" w:pos="167"/>
              </w:tabs>
              <w:spacing w:before="0" w:after="0"/>
              <w:jc w:val="left"/>
            </w:pPr>
            <w:r>
              <w:t>CONQUER</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355CD0" w14:textId="6433A029" w:rsidR="003E343F" w:rsidRPr="00D77B5B" w:rsidRDefault="009A17C0" w:rsidP="00D93C08">
            <w:pPr>
              <w:pStyle w:val="PBACTableText"/>
              <w:keepNext/>
              <w:keepLines/>
              <w:tabs>
                <w:tab w:val="left" w:pos="167"/>
              </w:tabs>
              <w:spacing w:before="0" w:after="0"/>
              <w:jc w:val="left"/>
            </w:pPr>
            <w:r>
              <w:t>GALC</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3675D3" w14:textId="30706E42" w:rsidR="003E343F" w:rsidRPr="006B7C42" w:rsidRDefault="006B7C42" w:rsidP="00D93C08">
            <w:pPr>
              <w:pStyle w:val="PBACTableText"/>
              <w:keepNext/>
              <w:keepLines/>
              <w:tabs>
                <w:tab w:val="left" w:pos="167"/>
              </w:tabs>
              <w:spacing w:before="0" w:after="0"/>
              <w:jc w:val="center"/>
            </w:pPr>
            <w:r w:rsidRPr="006B7C42">
              <w:t>137</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52E676" w14:textId="0EBFEB6A" w:rsidR="003E343F" w:rsidRPr="00E648F6" w:rsidRDefault="00ED234B" w:rsidP="00D93C08">
            <w:pPr>
              <w:pStyle w:val="PBACTableText"/>
              <w:keepNext/>
              <w:keepLines/>
              <w:tabs>
                <w:tab w:val="left" w:pos="167"/>
              </w:tabs>
              <w:spacing w:before="0" w:after="0"/>
              <w:jc w:val="center"/>
            </w:pPr>
            <w:r>
              <w:t>9.5 (3.0)</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60094C" w14:textId="29830D05" w:rsidR="003E343F" w:rsidRPr="00E648F6" w:rsidRDefault="003E343F" w:rsidP="00D93C08">
            <w:pPr>
              <w:pStyle w:val="PBACTableText"/>
              <w:keepNext/>
              <w:keepLines/>
              <w:spacing w:before="0" w:after="0"/>
              <w:ind w:left="-131"/>
              <w:jc w:val="center"/>
            </w:pPr>
            <w:r w:rsidRPr="00E648F6">
              <w:t>-</w:t>
            </w:r>
            <w:r w:rsidR="009A17C0">
              <w:t>2.88 (0.34)</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516693" w14:textId="205F2DF5" w:rsidR="003E343F" w:rsidRPr="00E648F6" w:rsidRDefault="006B7C42" w:rsidP="00D93C08">
            <w:pPr>
              <w:pStyle w:val="PBACTableText"/>
              <w:keepNext/>
              <w:keepLines/>
              <w:tabs>
                <w:tab w:val="left" w:pos="167"/>
              </w:tabs>
              <w:spacing w:before="0" w:after="0"/>
              <w:jc w:val="center"/>
            </w:pPr>
            <w:r>
              <w:t>132</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D8F790" w14:textId="49B064B2" w:rsidR="003E343F" w:rsidRPr="00E648F6" w:rsidRDefault="00ED234B" w:rsidP="00D93C08">
            <w:pPr>
              <w:pStyle w:val="PBACTableText"/>
              <w:keepNext/>
              <w:keepLines/>
              <w:tabs>
                <w:tab w:val="left" w:pos="167"/>
              </w:tabs>
              <w:spacing w:before="0" w:after="0"/>
              <w:jc w:val="center"/>
            </w:pPr>
            <w:r>
              <w:t>9.2 (2.7)</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9E00D8" w14:textId="0865D729" w:rsidR="003E343F" w:rsidRPr="00E648F6" w:rsidRDefault="00E921A6" w:rsidP="00D93C08">
            <w:pPr>
              <w:pStyle w:val="PBACTableText"/>
              <w:keepNext/>
              <w:keepLines/>
              <w:spacing w:before="0" w:after="0"/>
              <w:ind w:left="-131"/>
              <w:jc w:val="center"/>
            </w:pPr>
            <w:r>
              <w:t>-0.31</w:t>
            </w:r>
            <w:r w:rsidR="003E343F" w:rsidRPr="00E648F6">
              <w:t xml:space="preserve"> (</w:t>
            </w:r>
            <w:r>
              <w:t>0.34</w:t>
            </w:r>
            <w:r w:rsidR="003E343F" w:rsidRPr="00E648F6">
              <w:t>)</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93146B" w14:textId="3C199137" w:rsidR="003E343F" w:rsidRPr="00E648F6" w:rsidRDefault="00E921A6" w:rsidP="00D93C08">
            <w:pPr>
              <w:pStyle w:val="PBACTableText"/>
              <w:keepNext/>
              <w:keepLines/>
              <w:tabs>
                <w:tab w:val="left" w:pos="167"/>
              </w:tabs>
              <w:spacing w:before="0" w:after="0"/>
              <w:jc w:val="center"/>
            </w:pPr>
            <w:r w:rsidRPr="00AC633D">
              <w:rPr>
                <w:b/>
                <w:bCs/>
              </w:rPr>
              <w:t>-2.6</w:t>
            </w:r>
            <w:r w:rsidRPr="00E921A6">
              <w:t xml:space="preserve"> (</w:t>
            </w:r>
            <w:r>
              <w:t>-</w:t>
            </w:r>
            <w:r w:rsidRPr="00E921A6">
              <w:t xml:space="preserve">3.41, </w:t>
            </w:r>
            <w:r>
              <w:t>-</w:t>
            </w:r>
            <w:r w:rsidRPr="00E921A6">
              <w:t>1.72)</w:t>
            </w:r>
          </w:p>
        </w:tc>
      </w:tr>
      <w:tr w:rsidR="003E343F" w:rsidRPr="004825E5" w14:paraId="7A5C8BE0" w14:textId="77777777" w:rsidTr="00EE18F7">
        <w:tc>
          <w:tcPr>
            <w:tcW w:w="5000" w:type="pct"/>
            <w:gridSpan w:val="9"/>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E3178" w14:textId="54199FC2" w:rsidR="003E343F" w:rsidRPr="00D77B5B" w:rsidRDefault="003E343F" w:rsidP="00EE18F7">
            <w:pPr>
              <w:pStyle w:val="PBACTableText"/>
              <w:keepNext/>
              <w:keepLines/>
              <w:tabs>
                <w:tab w:val="left" w:pos="167"/>
              </w:tabs>
              <w:spacing w:before="0" w:after="0"/>
              <w:jc w:val="left"/>
              <w:rPr>
                <w:b/>
              </w:rPr>
            </w:pPr>
            <w:r w:rsidRPr="00D77B5B">
              <w:rPr>
                <w:b/>
              </w:rPr>
              <w:t xml:space="preserve">Subgroup of patients with </w:t>
            </w:r>
            <w:r>
              <w:rPr>
                <w:b/>
              </w:rPr>
              <w:t>HFEM</w:t>
            </w:r>
            <w:r w:rsidRPr="00D77B5B">
              <w:rPr>
                <w:b/>
              </w:rPr>
              <w:t xml:space="preserve"> ≥3 prior treatment failures</w:t>
            </w:r>
            <w:r>
              <w:rPr>
                <w:b/>
              </w:rPr>
              <w:t xml:space="preserve"> (proposed PBS population)</w:t>
            </w:r>
          </w:p>
        </w:tc>
      </w:tr>
      <w:tr w:rsidR="0003593E" w:rsidRPr="00EA6080" w14:paraId="46B9662F" w14:textId="77777777" w:rsidTr="00D93C08">
        <w:trPr>
          <w:trHeight w:val="172"/>
        </w:trPr>
        <w:tc>
          <w:tcPr>
            <w:tcW w:w="516" w:type="pct"/>
            <w:vMerge w:val="restart"/>
            <w:tcBorders>
              <w:top w:val="single" w:sz="4" w:space="0" w:color="auto"/>
              <w:left w:val="single" w:sz="4" w:space="0" w:color="auto"/>
              <w:right w:val="single" w:sz="4" w:space="0" w:color="auto"/>
            </w:tcBorders>
            <w:tcMar>
              <w:left w:w="28" w:type="dxa"/>
              <w:right w:w="28" w:type="dxa"/>
            </w:tcMar>
            <w:vAlign w:val="center"/>
          </w:tcPr>
          <w:p w14:paraId="4B6F14EC" w14:textId="00949D6D" w:rsidR="0003593E" w:rsidRPr="00D77B5B" w:rsidRDefault="0003593E" w:rsidP="00D93C08">
            <w:pPr>
              <w:pStyle w:val="PBACTableText"/>
              <w:keepNext/>
              <w:keepLines/>
              <w:tabs>
                <w:tab w:val="left" w:pos="167"/>
              </w:tabs>
              <w:spacing w:before="0" w:after="0"/>
              <w:jc w:val="left"/>
            </w:pPr>
            <w:r>
              <w:t>FOCUS</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828802" w14:textId="6834A776" w:rsidR="0003593E" w:rsidRPr="00D77B5B" w:rsidRDefault="0003593E" w:rsidP="00D93C08">
            <w:pPr>
              <w:pStyle w:val="PBACTableText"/>
              <w:keepNext/>
              <w:keepLines/>
              <w:tabs>
                <w:tab w:val="left" w:pos="167"/>
              </w:tabs>
              <w:spacing w:before="0" w:after="0"/>
              <w:jc w:val="left"/>
            </w:pPr>
            <w:r>
              <w:t>FREM Q</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A8B29B" w14:textId="240A87B6" w:rsidR="0003593E" w:rsidRPr="00130995" w:rsidRDefault="0003593E" w:rsidP="00D93C08">
            <w:pPr>
              <w:pStyle w:val="PBACTableText"/>
              <w:keepNext/>
              <w:keepLines/>
              <w:tabs>
                <w:tab w:val="left" w:pos="167"/>
              </w:tabs>
              <w:spacing w:before="0" w:after="0"/>
              <w:jc w:val="center"/>
            </w:pPr>
            <w:r w:rsidRPr="00130995">
              <w:t>25</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D8C424" w14:textId="26D8DFAA" w:rsidR="0003593E" w:rsidRPr="00130995" w:rsidRDefault="0003593E" w:rsidP="00D93C08">
            <w:pPr>
              <w:pStyle w:val="PBACTableText"/>
              <w:keepNext/>
              <w:keepLines/>
              <w:tabs>
                <w:tab w:val="left" w:pos="167"/>
              </w:tabs>
              <w:spacing w:before="0" w:after="0"/>
              <w:jc w:val="center"/>
            </w:pPr>
            <w:r w:rsidRPr="00130995">
              <w:t>10.6 (1.88)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E97F22" w14:textId="0F7C7201" w:rsidR="0003593E" w:rsidRPr="00130995" w:rsidRDefault="0003593E" w:rsidP="00D93C08">
            <w:pPr>
              <w:pStyle w:val="PBACTableText"/>
              <w:keepNext/>
              <w:keepLines/>
              <w:tabs>
                <w:tab w:val="left" w:pos="167"/>
              </w:tabs>
              <w:spacing w:before="0" w:after="0"/>
              <w:jc w:val="center"/>
            </w:pPr>
            <w:r w:rsidRPr="00130995">
              <w:t>-3.9 (1.03)</w:t>
            </w:r>
          </w:p>
        </w:tc>
        <w:tc>
          <w:tcPr>
            <w:tcW w:w="372" w:type="pct"/>
            <w:vMerge w:val="restart"/>
            <w:tcBorders>
              <w:top w:val="single" w:sz="4" w:space="0" w:color="auto"/>
              <w:left w:val="single" w:sz="4" w:space="0" w:color="auto"/>
              <w:right w:val="single" w:sz="4" w:space="0" w:color="auto"/>
            </w:tcBorders>
            <w:tcMar>
              <w:left w:w="28" w:type="dxa"/>
              <w:right w:w="28" w:type="dxa"/>
            </w:tcMar>
            <w:vAlign w:val="center"/>
          </w:tcPr>
          <w:p w14:paraId="09BEFDF7" w14:textId="5F7B725E" w:rsidR="0003593E" w:rsidRPr="00130995" w:rsidRDefault="0003593E" w:rsidP="00D93C08">
            <w:pPr>
              <w:pStyle w:val="PBACTableText"/>
              <w:keepNext/>
              <w:keepLines/>
              <w:tabs>
                <w:tab w:val="left" w:pos="167"/>
              </w:tabs>
              <w:spacing w:before="0" w:after="0"/>
              <w:jc w:val="center"/>
            </w:pPr>
            <w:r w:rsidRPr="00130995">
              <w:t>30</w:t>
            </w:r>
          </w:p>
        </w:tc>
        <w:tc>
          <w:tcPr>
            <w:tcW w:w="550" w:type="pct"/>
            <w:vMerge w:val="restart"/>
            <w:tcBorders>
              <w:top w:val="single" w:sz="4" w:space="0" w:color="auto"/>
              <w:left w:val="single" w:sz="4" w:space="0" w:color="auto"/>
              <w:right w:val="single" w:sz="4" w:space="0" w:color="auto"/>
            </w:tcBorders>
            <w:tcMar>
              <w:left w:w="28" w:type="dxa"/>
              <w:right w:w="28" w:type="dxa"/>
            </w:tcMar>
            <w:vAlign w:val="center"/>
          </w:tcPr>
          <w:p w14:paraId="7F21B28F" w14:textId="23FB46E2" w:rsidR="0003593E" w:rsidRPr="00130995" w:rsidRDefault="0003593E" w:rsidP="00D93C08">
            <w:pPr>
              <w:pStyle w:val="PBACTableText"/>
              <w:keepNext/>
              <w:keepLines/>
              <w:tabs>
                <w:tab w:val="left" w:pos="167"/>
              </w:tabs>
              <w:spacing w:before="0" w:after="0"/>
              <w:jc w:val="center"/>
            </w:pPr>
            <w:r w:rsidRPr="00130995">
              <w:t>10.9 (1.74)</w:t>
            </w:r>
          </w:p>
        </w:tc>
        <w:tc>
          <w:tcPr>
            <w:tcW w:w="629" w:type="pct"/>
            <w:vMerge w:val="restart"/>
            <w:tcBorders>
              <w:top w:val="single" w:sz="4" w:space="0" w:color="auto"/>
              <w:left w:val="single" w:sz="4" w:space="0" w:color="auto"/>
              <w:right w:val="single" w:sz="4" w:space="0" w:color="auto"/>
            </w:tcBorders>
            <w:tcMar>
              <w:left w:w="28" w:type="dxa"/>
              <w:right w:w="28" w:type="dxa"/>
            </w:tcMar>
            <w:vAlign w:val="center"/>
          </w:tcPr>
          <w:p w14:paraId="4ACC233E" w14:textId="5CAF5986" w:rsidR="0003593E" w:rsidRPr="00130995" w:rsidRDefault="0003593E" w:rsidP="00D93C08">
            <w:pPr>
              <w:pStyle w:val="PBACTableText"/>
              <w:keepNext/>
              <w:keepLines/>
              <w:tabs>
                <w:tab w:val="left" w:pos="167"/>
              </w:tabs>
              <w:spacing w:before="0" w:after="0"/>
              <w:jc w:val="center"/>
            </w:pPr>
            <w:r w:rsidRPr="00130995">
              <w:t>0.0 (0.85)</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70CEC7" w14:textId="11FC2D87" w:rsidR="0003593E" w:rsidRPr="00130995" w:rsidRDefault="0003593E" w:rsidP="00D93C08">
            <w:pPr>
              <w:pStyle w:val="PBACTableText"/>
              <w:keepNext/>
              <w:keepLines/>
              <w:tabs>
                <w:tab w:val="left" w:pos="167"/>
              </w:tabs>
              <w:spacing w:before="0" w:after="0"/>
              <w:jc w:val="center"/>
            </w:pPr>
            <w:r w:rsidRPr="00130995">
              <w:rPr>
                <w:b/>
                <w:bCs/>
              </w:rPr>
              <w:t>-3.9</w:t>
            </w:r>
            <w:r w:rsidRPr="00130995">
              <w:t xml:space="preserve"> (-6.10, -1.68)</w:t>
            </w:r>
          </w:p>
        </w:tc>
      </w:tr>
      <w:tr w:rsidR="0003593E" w:rsidRPr="00EA6080" w14:paraId="4A9F3764" w14:textId="77777777" w:rsidTr="00D93C08">
        <w:trPr>
          <w:trHeight w:val="172"/>
        </w:trPr>
        <w:tc>
          <w:tcPr>
            <w:tcW w:w="516" w:type="pct"/>
            <w:vMerge/>
            <w:tcBorders>
              <w:left w:val="single" w:sz="4" w:space="0" w:color="auto"/>
              <w:bottom w:val="single" w:sz="4" w:space="0" w:color="auto"/>
              <w:right w:val="single" w:sz="4" w:space="0" w:color="auto"/>
            </w:tcBorders>
            <w:tcMar>
              <w:left w:w="28" w:type="dxa"/>
              <w:right w:w="28" w:type="dxa"/>
            </w:tcMar>
          </w:tcPr>
          <w:p w14:paraId="6CAF3371" w14:textId="77777777" w:rsidR="0003593E" w:rsidRPr="00D77B5B" w:rsidRDefault="0003593E" w:rsidP="00EE18F7">
            <w:pPr>
              <w:pStyle w:val="PBACTableText"/>
              <w:keepNext/>
              <w:keepLines/>
              <w:tabs>
                <w:tab w:val="left" w:pos="167"/>
              </w:tabs>
              <w:spacing w:before="0" w:after="0"/>
              <w:jc w:val="left"/>
            </w:pP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555822" w14:textId="6990F6B4" w:rsidR="0003593E" w:rsidRPr="00D77B5B" w:rsidRDefault="0003593E" w:rsidP="00D93C08">
            <w:pPr>
              <w:pStyle w:val="PBACTableText"/>
              <w:keepNext/>
              <w:keepLines/>
              <w:tabs>
                <w:tab w:val="left" w:pos="167"/>
              </w:tabs>
              <w:spacing w:before="0" w:after="0"/>
              <w:jc w:val="left"/>
            </w:pPr>
            <w:r>
              <w:t>FREM M</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22E15A" w14:textId="03A3CA5D" w:rsidR="0003593E" w:rsidRPr="00130995" w:rsidRDefault="0003593E" w:rsidP="00D93C08">
            <w:pPr>
              <w:pStyle w:val="PBACTableText"/>
              <w:keepNext/>
              <w:keepLines/>
              <w:tabs>
                <w:tab w:val="left" w:pos="167"/>
              </w:tabs>
              <w:spacing w:before="0" w:after="0"/>
              <w:jc w:val="center"/>
            </w:pPr>
            <w:r w:rsidRPr="00130995">
              <w:t>36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2BFABB" w14:textId="166D508D" w:rsidR="0003593E" w:rsidRPr="00130995" w:rsidRDefault="0003593E" w:rsidP="00D93C08">
            <w:pPr>
              <w:pStyle w:val="PBACTableText"/>
              <w:keepNext/>
              <w:keepLines/>
              <w:tabs>
                <w:tab w:val="left" w:pos="167"/>
              </w:tabs>
              <w:spacing w:before="0" w:after="0"/>
              <w:jc w:val="center"/>
            </w:pPr>
            <w:r w:rsidRPr="00130995">
              <w:t>11.0 (1.76)</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3ECB3F" w14:textId="6E2A072F" w:rsidR="0003593E" w:rsidRPr="00130995" w:rsidRDefault="0003593E" w:rsidP="00D93C08">
            <w:pPr>
              <w:pStyle w:val="PBACTableText"/>
              <w:keepNext/>
              <w:keepLines/>
              <w:tabs>
                <w:tab w:val="left" w:pos="167"/>
              </w:tabs>
              <w:spacing w:before="0" w:after="0"/>
              <w:jc w:val="center"/>
              <w:rPr>
                <w:rFonts w:cs="Calibri"/>
                <w:color w:val="000000"/>
              </w:rPr>
            </w:pPr>
            <w:r w:rsidRPr="00130995">
              <w:t>-4.7 (0.98)</w:t>
            </w:r>
          </w:p>
        </w:tc>
        <w:tc>
          <w:tcPr>
            <w:tcW w:w="372" w:type="pct"/>
            <w:vMerge/>
            <w:tcBorders>
              <w:left w:val="single" w:sz="4" w:space="0" w:color="auto"/>
              <w:bottom w:val="single" w:sz="4" w:space="0" w:color="auto"/>
              <w:right w:val="single" w:sz="4" w:space="0" w:color="auto"/>
            </w:tcBorders>
            <w:tcMar>
              <w:left w:w="28" w:type="dxa"/>
              <w:right w:w="28" w:type="dxa"/>
            </w:tcMar>
            <w:vAlign w:val="center"/>
          </w:tcPr>
          <w:p w14:paraId="7C081EA1" w14:textId="77777777" w:rsidR="0003593E" w:rsidRPr="00130995" w:rsidRDefault="0003593E" w:rsidP="00D93C08">
            <w:pPr>
              <w:pStyle w:val="PBACTableText"/>
              <w:keepNext/>
              <w:keepLines/>
              <w:tabs>
                <w:tab w:val="left" w:pos="167"/>
              </w:tabs>
              <w:spacing w:before="0" w:after="0"/>
              <w:jc w:val="center"/>
            </w:pPr>
          </w:p>
        </w:tc>
        <w:tc>
          <w:tcPr>
            <w:tcW w:w="550" w:type="pct"/>
            <w:vMerge/>
            <w:tcBorders>
              <w:left w:val="single" w:sz="4" w:space="0" w:color="auto"/>
              <w:bottom w:val="single" w:sz="4" w:space="0" w:color="auto"/>
              <w:right w:val="single" w:sz="4" w:space="0" w:color="auto"/>
            </w:tcBorders>
            <w:tcMar>
              <w:left w:w="28" w:type="dxa"/>
              <w:right w:w="28" w:type="dxa"/>
            </w:tcMar>
            <w:vAlign w:val="center"/>
          </w:tcPr>
          <w:p w14:paraId="5E8BF229" w14:textId="77777777" w:rsidR="0003593E" w:rsidRPr="00130995" w:rsidRDefault="0003593E" w:rsidP="00D93C08">
            <w:pPr>
              <w:pStyle w:val="PBACTableText"/>
              <w:keepNext/>
              <w:keepLines/>
              <w:tabs>
                <w:tab w:val="left" w:pos="167"/>
              </w:tabs>
              <w:spacing w:before="0" w:after="0"/>
              <w:jc w:val="center"/>
            </w:pPr>
          </w:p>
        </w:tc>
        <w:tc>
          <w:tcPr>
            <w:tcW w:w="629" w:type="pct"/>
            <w:vMerge/>
            <w:tcBorders>
              <w:left w:val="single" w:sz="4" w:space="0" w:color="auto"/>
              <w:bottom w:val="single" w:sz="4" w:space="0" w:color="auto"/>
              <w:right w:val="single" w:sz="4" w:space="0" w:color="auto"/>
            </w:tcBorders>
            <w:tcMar>
              <w:left w:w="28" w:type="dxa"/>
              <w:right w:w="28" w:type="dxa"/>
            </w:tcMar>
            <w:vAlign w:val="center"/>
          </w:tcPr>
          <w:p w14:paraId="39D5E97C" w14:textId="77777777" w:rsidR="0003593E" w:rsidRPr="00130995" w:rsidRDefault="0003593E" w:rsidP="00D93C08">
            <w:pPr>
              <w:pStyle w:val="PBACTableText"/>
              <w:keepNext/>
              <w:keepLines/>
              <w:tabs>
                <w:tab w:val="left" w:pos="167"/>
              </w:tabs>
              <w:spacing w:before="0" w:after="0"/>
              <w:jc w:val="center"/>
              <w:rPr>
                <w:rFonts w:cs="Calibri"/>
                <w:color w:val="000000"/>
              </w:rPr>
            </w:pP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6B04AD" w14:textId="7EDAE1A0" w:rsidR="0003593E" w:rsidRPr="00130995" w:rsidRDefault="0003593E" w:rsidP="00D93C08">
            <w:pPr>
              <w:pStyle w:val="Tabletext"/>
              <w:jc w:val="center"/>
              <w:rPr>
                <w:rFonts w:cs="Calibri"/>
                <w:color w:val="000000"/>
              </w:rPr>
            </w:pPr>
            <w:r w:rsidRPr="00130995">
              <w:rPr>
                <w:b/>
                <w:bCs/>
              </w:rPr>
              <w:t>-4.7</w:t>
            </w:r>
            <w:r w:rsidRPr="00130995">
              <w:t xml:space="preserve"> (-6.76, -2.70)</w:t>
            </w:r>
          </w:p>
        </w:tc>
      </w:tr>
      <w:tr w:rsidR="003E343F" w:rsidRPr="00EA6080" w14:paraId="699F417D" w14:textId="77777777" w:rsidTr="00D93C08">
        <w:trPr>
          <w:trHeight w:val="58"/>
        </w:trPr>
        <w:tc>
          <w:tcPr>
            <w:tcW w:w="5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91F443" w14:textId="119E93DB" w:rsidR="003E343F" w:rsidRPr="00D77B5B" w:rsidRDefault="001573ED" w:rsidP="00D93C08">
            <w:pPr>
              <w:pStyle w:val="PBACTableText"/>
              <w:keepNext/>
              <w:keepLines/>
              <w:tabs>
                <w:tab w:val="left" w:pos="167"/>
              </w:tabs>
              <w:spacing w:before="0" w:after="0"/>
              <w:jc w:val="left"/>
            </w:pPr>
            <w:r>
              <w:t>CONQUER</w:t>
            </w:r>
          </w:p>
        </w:tc>
        <w:tc>
          <w:tcPr>
            <w:tcW w:w="66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548A5A" w14:textId="65458F08" w:rsidR="003E343F" w:rsidRPr="00D77B5B" w:rsidRDefault="001573ED" w:rsidP="00D93C08">
            <w:pPr>
              <w:pStyle w:val="PBACTableText"/>
              <w:keepNext/>
              <w:keepLines/>
              <w:tabs>
                <w:tab w:val="left" w:pos="167"/>
              </w:tabs>
              <w:spacing w:before="0" w:after="0"/>
              <w:jc w:val="left"/>
            </w:pPr>
            <w:r>
              <w:t>GALC</w:t>
            </w:r>
          </w:p>
        </w:tc>
        <w:tc>
          <w:tcPr>
            <w:tcW w:w="3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4C7AA2" w14:textId="79775A98" w:rsidR="003E343F" w:rsidRPr="00D77B5B" w:rsidRDefault="003E343F" w:rsidP="00D93C08">
            <w:pPr>
              <w:pStyle w:val="PBACTableText"/>
              <w:keepNext/>
              <w:keepLines/>
              <w:tabs>
                <w:tab w:val="left" w:pos="167"/>
              </w:tabs>
              <w:spacing w:before="0" w:after="0"/>
              <w:jc w:val="center"/>
            </w:pPr>
            <w:r>
              <w:t>4</w:t>
            </w:r>
            <w:r w:rsidR="00ED234B">
              <w:t>8</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96DD2" w14:textId="3231205C" w:rsidR="003E343F" w:rsidRPr="00D77B5B" w:rsidRDefault="00ED234B" w:rsidP="00D93C08">
            <w:pPr>
              <w:pStyle w:val="PBACTableText"/>
              <w:keepNext/>
              <w:keepLines/>
              <w:tabs>
                <w:tab w:val="left" w:pos="167"/>
              </w:tabs>
              <w:spacing w:before="0" w:after="0"/>
              <w:jc w:val="center"/>
            </w:pPr>
            <w:r>
              <w:t>NR</w:t>
            </w:r>
          </w:p>
        </w:tc>
        <w:tc>
          <w:tcPr>
            <w:tcW w:w="5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C6EA61" w14:textId="59F508AE" w:rsidR="003E343F" w:rsidRPr="00D77B5B" w:rsidRDefault="00ED234B" w:rsidP="00D93C08">
            <w:pPr>
              <w:pStyle w:val="PBACTableText"/>
              <w:keepNext/>
              <w:keepLines/>
              <w:tabs>
                <w:tab w:val="left" w:pos="167"/>
              </w:tabs>
              <w:spacing w:before="0" w:after="0"/>
              <w:jc w:val="center"/>
            </w:pPr>
            <w:r>
              <w:t>-4.19 (0.58)</w:t>
            </w:r>
          </w:p>
        </w:tc>
        <w:tc>
          <w:tcPr>
            <w:tcW w:w="37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1A63F4" w14:textId="0B75FDB3" w:rsidR="003E343F" w:rsidRPr="00D77B5B" w:rsidRDefault="00ED234B" w:rsidP="00D93C08">
            <w:pPr>
              <w:pStyle w:val="PBACTableText"/>
              <w:keepNext/>
              <w:keepLines/>
              <w:tabs>
                <w:tab w:val="left" w:pos="167"/>
              </w:tabs>
              <w:spacing w:before="0" w:after="0"/>
              <w:jc w:val="center"/>
            </w:pPr>
            <w:r>
              <w:t>3</w:t>
            </w:r>
            <w:r w:rsidR="003E343F">
              <w:t>2</w:t>
            </w:r>
          </w:p>
        </w:tc>
        <w:tc>
          <w:tcPr>
            <w:tcW w:w="55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963E2" w14:textId="1B28A124" w:rsidR="003E343F" w:rsidRPr="00D77B5B" w:rsidRDefault="00ED234B" w:rsidP="00D93C08">
            <w:pPr>
              <w:pStyle w:val="PBACTableText"/>
              <w:keepNext/>
              <w:keepLines/>
              <w:tabs>
                <w:tab w:val="left" w:pos="167"/>
              </w:tabs>
              <w:spacing w:before="0" w:after="0"/>
              <w:jc w:val="center"/>
            </w:pPr>
            <w:r>
              <w:t>NR</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F97937" w14:textId="74F81FD6" w:rsidR="003E343F" w:rsidRPr="00D77B5B" w:rsidRDefault="00ED234B" w:rsidP="00D93C08">
            <w:pPr>
              <w:pStyle w:val="PBACTableText"/>
              <w:keepNext/>
              <w:keepLines/>
              <w:tabs>
                <w:tab w:val="left" w:pos="167"/>
              </w:tabs>
              <w:spacing w:before="0" w:after="0"/>
              <w:jc w:val="center"/>
            </w:pPr>
            <w:r>
              <w:t>-1.76 (0.73)</w:t>
            </w:r>
          </w:p>
        </w:tc>
        <w:tc>
          <w:tcPr>
            <w:tcW w:w="7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AC21F3" w14:textId="0445A6A3" w:rsidR="003E343F" w:rsidRPr="00D77B5B" w:rsidRDefault="00ED234B" w:rsidP="00D93C08">
            <w:pPr>
              <w:pStyle w:val="PBACTableText"/>
              <w:keepNext/>
              <w:keepLines/>
              <w:tabs>
                <w:tab w:val="left" w:pos="167"/>
              </w:tabs>
              <w:spacing w:before="0" w:after="0"/>
              <w:jc w:val="center"/>
            </w:pPr>
            <w:r w:rsidRPr="00C22FCB">
              <w:rPr>
                <w:b/>
                <w:bCs/>
              </w:rPr>
              <w:t>-2.4</w:t>
            </w:r>
            <w:r>
              <w:t xml:space="preserve"> (-4.08, -0.79)</w:t>
            </w:r>
          </w:p>
        </w:tc>
      </w:tr>
    </w:tbl>
    <w:p w14:paraId="262F6BA6" w14:textId="77777777" w:rsidR="0003593E" w:rsidRDefault="0003593E" w:rsidP="0003593E">
      <w:pPr>
        <w:pStyle w:val="TableFooter"/>
      </w:pPr>
      <w:r w:rsidRPr="00B4728D">
        <w:rPr>
          <w:rStyle w:val="TableFigureFooterChar"/>
        </w:rPr>
        <w:t>Source: Tables 2-24</w:t>
      </w:r>
      <w:r>
        <w:rPr>
          <w:rStyle w:val="TableFigureFooterChar"/>
        </w:rPr>
        <w:t>, 2-25,</w:t>
      </w:r>
      <w:r w:rsidRPr="00B4728D">
        <w:rPr>
          <w:rStyle w:val="TableFigureFooterChar"/>
        </w:rPr>
        <w:t xml:space="preserve"> 2-28,</w:t>
      </w:r>
      <w:r>
        <w:rPr>
          <w:rStyle w:val="TableFigureFooterChar"/>
        </w:rPr>
        <w:t xml:space="preserve"> 2-29;</w:t>
      </w:r>
      <w:r w:rsidRPr="00B4728D">
        <w:rPr>
          <w:rStyle w:val="TableFigureFooterChar"/>
        </w:rPr>
        <w:t xml:space="preserve"> pp54</w:t>
      </w:r>
      <w:r>
        <w:rPr>
          <w:rStyle w:val="TableFigureFooterChar"/>
        </w:rPr>
        <w:t>, 56, 63</w:t>
      </w:r>
      <w:r w:rsidRPr="00B4728D">
        <w:rPr>
          <w:rStyle w:val="TableFigureFooterChar"/>
        </w:rPr>
        <w:t xml:space="preserve"> &amp; </w:t>
      </w:r>
      <w:r>
        <w:rPr>
          <w:rStyle w:val="TableFigureFooterChar"/>
        </w:rPr>
        <w:t>65</w:t>
      </w:r>
      <w:r w:rsidRPr="00B4728D">
        <w:rPr>
          <w:rStyle w:val="TableFigureFooterChar"/>
        </w:rPr>
        <w:t xml:space="preserve"> of the submission</w:t>
      </w:r>
      <w:r w:rsidRPr="00B4728D">
        <w:t>.</w:t>
      </w:r>
      <w:r>
        <w:t xml:space="preserve"> Table 7, p11 of galcanezumab PSD, March 2022 PBAC meeting.</w:t>
      </w:r>
    </w:p>
    <w:p w14:paraId="6033196D" w14:textId="1261A33C" w:rsidR="0003593E" w:rsidRDefault="0003593E" w:rsidP="0003593E">
      <w:pPr>
        <w:pStyle w:val="TableFooter"/>
      </w:pPr>
      <w:r>
        <w:t>CI = confidence interval; EM= episodic migraine; FREM= fremanezumab; GALC= galcanezumab; HFEM= high frequency episodic migraine; LS</w:t>
      </w:r>
      <w:r w:rsidR="00B45CAD">
        <w:t>M</w:t>
      </w:r>
      <w:r>
        <w:t>= least squares</w:t>
      </w:r>
      <w:r w:rsidR="00B45CAD">
        <w:t xml:space="preserve"> mean</w:t>
      </w:r>
      <w:r>
        <w:t>; M= monthly</w:t>
      </w:r>
      <w:r w:rsidR="00D93C08">
        <w:t xml:space="preserve"> (225 mg)</w:t>
      </w:r>
      <w:r>
        <w:t>; MMDs= monthly migraine</w:t>
      </w:r>
      <w:r w:rsidR="007622FE">
        <w:t xml:space="preserve"> </w:t>
      </w:r>
      <w:r>
        <w:t>days; N= number of patients; NR=not reported; PBO= placebo; Q= quarterly</w:t>
      </w:r>
      <w:r w:rsidR="00D93C08">
        <w:t xml:space="preserve"> (675 mg)</w:t>
      </w:r>
      <w:r>
        <w:t xml:space="preserve">; </w:t>
      </w:r>
      <w:r w:rsidR="008613F3">
        <w:t xml:space="preserve">SD = standard deviation; </w:t>
      </w:r>
      <w:r>
        <w:t>SE= standard error.</w:t>
      </w:r>
    </w:p>
    <w:p w14:paraId="23635D2A" w14:textId="7C29B66B" w:rsidR="0003593E" w:rsidRPr="008613F3" w:rsidRDefault="0003593E" w:rsidP="0003593E">
      <w:pPr>
        <w:pStyle w:val="TableFooter"/>
      </w:pPr>
      <w:r w:rsidRPr="008613F3">
        <w:t xml:space="preserve">Bold values indicate statistical significance (p&lt;0.05). </w:t>
      </w:r>
    </w:p>
    <w:p w14:paraId="50DCDD57" w14:textId="6653B84A" w:rsidR="00BC4E63" w:rsidRDefault="00BC4E63" w:rsidP="00BC4E63">
      <w:pPr>
        <w:pStyle w:val="TableFooter"/>
      </w:pPr>
    </w:p>
    <w:p w14:paraId="4F87D905" w14:textId="48CCA587" w:rsidR="005E7DBE" w:rsidRDefault="007445BB" w:rsidP="00033A63">
      <w:pPr>
        <w:pStyle w:val="3-BodyText"/>
        <w:numPr>
          <w:ilvl w:val="1"/>
          <w:numId w:val="5"/>
        </w:numPr>
        <w:ind w:left="720"/>
      </w:pPr>
      <w:r>
        <w:t>Compared with the corresponding placebo arms, treatment with fremanezumab and galcanezumab in the individual trials resulted in statistically significant improvement</w:t>
      </w:r>
      <w:r w:rsidR="001A376F">
        <w:t>s</w:t>
      </w:r>
      <w:r>
        <w:t xml:space="preserve"> in </w:t>
      </w:r>
      <w:r w:rsidR="005E7DBE">
        <w:t xml:space="preserve">the change from baseline in the number of </w:t>
      </w:r>
      <w:r w:rsidR="00D211C6">
        <w:t>MMDs</w:t>
      </w:r>
      <w:r w:rsidR="00B45CAD">
        <w:t xml:space="preserve"> in </w:t>
      </w:r>
      <w:r w:rsidR="000D3548">
        <w:t>the</w:t>
      </w:r>
      <w:r w:rsidR="00B45CAD">
        <w:t xml:space="preserve"> </w:t>
      </w:r>
      <w:r w:rsidR="001A376F">
        <w:t>episodic migraine</w:t>
      </w:r>
      <w:r w:rsidR="000D3548">
        <w:t xml:space="preserve"> and HFEM </w:t>
      </w:r>
      <w:r w:rsidR="00B45CAD">
        <w:t>subpopulations</w:t>
      </w:r>
      <w:r>
        <w:t xml:space="preserve"> (p&lt;0.05</w:t>
      </w:r>
      <w:r w:rsidR="005E7DBE">
        <w:t>, with</w:t>
      </w:r>
      <w:r>
        <w:t xml:space="preserve"> </w:t>
      </w:r>
      <w:r w:rsidR="005E7DBE">
        <w:t xml:space="preserve">the </w:t>
      </w:r>
      <w:r>
        <w:t>mean difference</w:t>
      </w:r>
      <w:r w:rsidR="005E7DBE">
        <w:t>s</w:t>
      </w:r>
      <w:r>
        <w:t xml:space="preserve"> </w:t>
      </w:r>
      <w:r w:rsidR="005E7DBE">
        <w:t xml:space="preserve">being </w:t>
      </w:r>
      <w:r>
        <w:t xml:space="preserve">more than the proposed MCID). </w:t>
      </w:r>
    </w:p>
    <w:p w14:paraId="52D5DCD7" w14:textId="7D81D528" w:rsidR="007445BB" w:rsidRPr="007445BB" w:rsidRDefault="007445BB" w:rsidP="00033A63">
      <w:pPr>
        <w:pStyle w:val="3-BodyText"/>
        <w:numPr>
          <w:ilvl w:val="1"/>
          <w:numId w:val="5"/>
        </w:numPr>
        <w:ind w:left="720"/>
      </w:pPr>
      <w:r w:rsidRPr="00277996">
        <w:rPr>
          <w:iCs/>
          <w:snapToGrid/>
        </w:rPr>
        <w:t xml:space="preserve">In the HFEM ≥3 prior treatment group, the upper </w:t>
      </w:r>
      <w:r w:rsidR="00A8427B" w:rsidRPr="00277996">
        <w:rPr>
          <w:iCs/>
          <w:snapToGrid/>
        </w:rPr>
        <w:t xml:space="preserve">limit of the 95% </w:t>
      </w:r>
      <w:r w:rsidRPr="00277996">
        <w:rPr>
          <w:iCs/>
          <w:snapToGrid/>
        </w:rPr>
        <w:t xml:space="preserve">confidence interval for the change in </w:t>
      </w:r>
      <w:r w:rsidR="00AE5F6B" w:rsidRPr="00277996">
        <w:rPr>
          <w:iCs/>
          <w:snapToGrid/>
        </w:rPr>
        <w:t>MMDs</w:t>
      </w:r>
      <w:r w:rsidRPr="00277996">
        <w:rPr>
          <w:iCs/>
          <w:snapToGrid/>
        </w:rPr>
        <w:t xml:space="preserve"> (FREM Q</w:t>
      </w:r>
      <w:r w:rsidR="00E82E08" w:rsidRPr="00277996">
        <w:rPr>
          <w:iCs/>
          <w:snapToGrid/>
        </w:rPr>
        <w:t xml:space="preserve"> versus placebo</w:t>
      </w:r>
      <w:r w:rsidRPr="00277996">
        <w:rPr>
          <w:iCs/>
          <w:snapToGrid/>
        </w:rPr>
        <w:t>: -1.68 days and GALC</w:t>
      </w:r>
      <w:r w:rsidR="00E82E08" w:rsidRPr="00277996">
        <w:rPr>
          <w:iCs/>
          <w:snapToGrid/>
        </w:rPr>
        <w:t xml:space="preserve"> versus placebo</w:t>
      </w:r>
      <w:r w:rsidRPr="00277996">
        <w:rPr>
          <w:iCs/>
          <w:snapToGrid/>
        </w:rPr>
        <w:t>: -0.79 days) was less than the proposed MCID of at least two days</w:t>
      </w:r>
      <w:r w:rsidR="00A8427B" w:rsidRPr="00277996">
        <w:rPr>
          <w:iCs/>
          <w:snapToGrid/>
        </w:rPr>
        <w:t xml:space="preserve"> for both the FR</w:t>
      </w:r>
      <w:r w:rsidR="00360109" w:rsidRPr="00277996">
        <w:rPr>
          <w:iCs/>
          <w:snapToGrid/>
        </w:rPr>
        <w:t>E</w:t>
      </w:r>
      <w:r w:rsidR="00A8427B" w:rsidRPr="00277996">
        <w:rPr>
          <w:iCs/>
          <w:snapToGrid/>
        </w:rPr>
        <w:t>M Q versus placebo and the GALC versus placebo comparisons</w:t>
      </w:r>
      <w:r w:rsidRPr="00277996">
        <w:rPr>
          <w:iCs/>
          <w:snapToGrid/>
        </w:rPr>
        <w:t>.</w:t>
      </w:r>
      <w:r w:rsidR="00E82E08" w:rsidRPr="00277996">
        <w:rPr>
          <w:iCs/>
          <w:snapToGrid/>
        </w:rPr>
        <w:t xml:space="preserve"> </w:t>
      </w:r>
      <w:r w:rsidR="00A8427B" w:rsidRPr="00277996">
        <w:rPr>
          <w:iCs/>
          <w:snapToGrid/>
        </w:rPr>
        <w:t>T</w:t>
      </w:r>
      <w:r w:rsidR="00323F44" w:rsidRPr="00277996">
        <w:rPr>
          <w:iCs/>
          <w:snapToGrid/>
        </w:rPr>
        <w:t xml:space="preserve">he upper </w:t>
      </w:r>
      <w:r w:rsidR="00A8427B" w:rsidRPr="00277996">
        <w:rPr>
          <w:iCs/>
          <w:snapToGrid/>
        </w:rPr>
        <w:t xml:space="preserve">limit of the 95% </w:t>
      </w:r>
      <w:r w:rsidR="00323F44" w:rsidRPr="00277996">
        <w:rPr>
          <w:iCs/>
          <w:snapToGrid/>
        </w:rPr>
        <w:t xml:space="preserve">confidence interval for </w:t>
      </w:r>
      <w:r w:rsidR="00481AB9">
        <w:rPr>
          <w:iCs/>
          <w:snapToGrid/>
        </w:rPr>
        <w:t>FREM M</w:t>
      </w:r>
      <w:r w:rsidR="00A8427B" w:rsidRPr="00277996">
        <w:rPr>
          <w:iCs/>
          <w:snapToGrid/>
        </w:rPr>
        <w:t xml:space="preserve"> compared to placebo (-2.70 days)</w:t>
      </w:r>
      <w:r w:rsidR="00323F44" w:rsidRPr="00277996">
        <w:rPr>
          <w:iCs/>
          <w:snapToGrid/>
        </w:rPr>
        <w:t xml:space="preserve"> was greater than the proposed MCID.</w:t>
      </w:r>
      <w:r w:rsidR="00A8427B" w:rsidRPr="00277996">
        <w:rPr>
          <w:iCs/>
          <w:snapToGrid/>
        </w:rPr>
        <w:t xml:space="preserve"> </w:t>
      </w:r>
    </w:p>
    <w:p w14:paraId="26545E3F" w14:textId="3B5AA7FB" w:rsidR="00537078" w:rsidRDefault="00BC4E63" w:rsidP="00D313EC">
      <w:pPr>
        <w:pStyle w:val="3-BodyText"/>
        <w:numPr>
          <w:ilvl w:val="1"/>
          <w:numId w:val="5"/>
        </w:numPr>
        <w:ind w:left="720"/>
        <w:jc w:val="left"/>
      </w:pPr>
      <w:r w:rsidRPr="00D030F8">
        <w:rPr>
          <w:snapToGrid/>
          <w:lang w:val="en-US"/>
        </w:rPr>
        <w:t xml:space="preserve">Results from the indirect </w:t>
      </w:r>
      <w:r w:rsidR="0045439B" w:rsidRPr="00D030F8">
        <w:rPr>
          <w:snapToGrid/>
          <w:lang w:val="en-US"/>
        </w:rPr>
        <w:t>comparisons</w:t>
      </w:r>
      <w:r w:rsidRPr="00094E56">
        <w:rPr>
          <w:rFonts w:ascii="Calibri" w:hAnsi="Calibri"/>
          <w:snapToGrid/>
        </w:rPr>
        <w:t xml:space="preserve"> </w:t>
      </w:r>
      <w:r>
        <w:rPr>
          <w:rFonts w:ascii="Calibri" w:hAnsi="Calibri"/>
          <w:snapToGrid/>
        </w:rPr>
        <w:t xml:space="preserve">of the key primary outcome of change in </w:t>
      </w:r>
      <w:r w:rsidR="00AE5F6B">
        <w:rPr>
          <w:rFonts w:ascii="Calibri" w:hAnsi="Calibri"/>
          <w:snapToGrid/>
        </w:rPr>
        <w:t>MMDs</w:t>
      </w:r>
      <w:r>
        <w:rPr>
          <w:rFonts w:ascii="Calibri" w:hAnsi="Calibri"/>
          <w:snapToGrid/>
        </w:rPr>
        <w:t xml:space="preserve"> in various subgroups are presented in</w:t>
      </w:r>
      <w:r w:rsidRPr="00094E56">
        <w:rPr>
          <w:rFonts w:ascii="Calibri" w:hAnsi="Calibri"/>
          <w:snapToGrid/>
        </w:rPr>
        <w:t xml:space="preserve"> </w:t>
      </w:r>
      <w:r w:rsidRPr="00094E56">
        <w:rPr>
          <w:rFonts w:ascii="Calibri" w:hAnsi="Calibri"/>
          <w:snapToGrid/>
        </w:rPr>
        <w:fldChar w:fldCharType="begin" w:fldLock="1"/>
      </w:r>
      <w:r w:rsidRPr="00094E56">
        <w:rPr>
          <w:rFonts w:ascii="Calibri" w:hAnsi="Calibri"/>
          <w:snapToGrid/>
        </w:rPr>
        <w:instrText xml:space="preserve"> REF _Ref104804098 \h  \* MERGEFORMAT </w:instrText>
      </w:r>
      <w:r w:rsidRPr="00094E56">
        <w:rPr>
          <w:rFonts w:ascii="Calibri" w:hAnsi="Calibri"/>
          <w:snapToGrid/>
        </w:rPr>
      </w:r>
      <w:r w:rsidRPr="00094E56">
        <w:rPr>
          <w:rFonts w:ascii="Calibri" w:hAnsi="Calibri"/>
          <w:snapToGrid/>
        </w:rPr>
        <w:fldChar w:fldCharType="separate"/>
      </w:r>
      <w:r w:rsidR="00094E56" w:rsidRPr="00094E56">
        <w:rPr>
          <w:rFonts w:ascii="Calibri" w:hAnsi="Calibri"/>
          <w:snapToGrid/>
        </w:rPr>
        <w:fldChar w:fldCharType="begin" w:fldLock="1"/>
      </w:r>
      <w:r w:rsidR="00094E56" w:rsidRPr="00094E56">
        <w:rPr>
          <w:rFonts w:ascii="Calibri" w:hAnsi="Calibri"/>
          <w:snapToGrid/>
        </w:rPr>
        <w:instrText xml:space="preserve"> REF _Ref114039799 \h  \* MERGEFORMAT </w:instrText>
      </w:r>
      <w:r w:rsidR="00094E56" w:rsidRPr="00094E56">
        <w:rPr>
          <w:rFonts w:ascii="Calibri" w:hAnsi="Calibri"/>
          <w:snapToGrid/>
        </w:rPr>
      </w:r>
      <w:r w:rsidR="00094E56" w:rsidRPr="00094E56">
        <w:rPr>
          <w:rFonts w:ascii="Calibri" w:hAnsi="Calibri"/>
          <w:snapToGrid/>
        </w:rPr>
        <w:fldChar w:fldCharType="separate"/>
      </w:r>
      <w:r w:rsidR="00094E56" w:rsidRPr="00094E56">
        <w:rPr>
          <w:rFonts w:ascii="Calibri" w:hAnsi="Calibri"/>
          <w:snapToGrid/>
        </w:rPr>
        <w:t>Table 5</w:t>
      </w:r>
      <w:r w:rsidR="00094E56" w:rsidRPr="00094E56">
        <w:rPr>
          <w:rFonts w:ascii="Calibri" w:hAnsi="Calibri"/>
          <w:snapToGrid/>
        </w:rPr>
        <w:fldChar w:fldCharType="end"/>
      </w:r>
      <w:r w:rsidRPr="00094E56">
        <w:rPr>
          <w:rFonts w:ascii="Calibri" w:hAnsi="Calibri"/>
          <w:snapToGrid/>
        </w:rPr>
        <w:fldChar w:fldCharType="end"/>
      </w:r>
      <w:r w:rsidRPr="00094E56">
        <w:rPr>
          <w:rFonts w:ascii="Calibri" w:hAnsi="Calibri"/>
          <w:snapToGrid/>
        </w:rPr>
        <w:t>.</w:t>
      </w:r>
      <w:r w:rsidR="002961ED">
        <w:rPr>
          <w:rFonts w:ascii="Calibri" w:hAnsi="Calibri"/>
          <w:snapToGrid/>
        </w:rPr>
        <w:t xml:space="preserve"> </w:t>
      </w:r>
    </w:p>
    <w:p w14:paraId="7DBC637C" w14:textId="0ACD0AB2" w:rsidR="00BC4E63" w:rsidRPr="0090577D" w:rsidRDefault="00BC4E63" w:rsidP="00BC4E63">
      <w:pPr>
        <w:pStyle w:val="TableHeading0"/>
        <w:rPr>
          <w:color w:val="0066FF"/>
        </w:rPr>
      </w:pPr>
      <w:bookmarkStart w:id="35" w:name="_Ref114039799"/>
      <w:r w:rsidRPr="00D6076E">
        <w:rPr>
          <w:rStyle w:val="CommentReference"/>
          <w:rFonts w:eastAsiaTheme="majorEastAsia" w:cstheme="majorBidi"/>
          <w:b/>
          <w:szCs w:val="24"/>
        </w:rPr>
        <w:lastRenderedPageBreak/>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B97129">
        <w:rPr>
          <w:rStyle w:val="CommentReference"/>
          <w:rFonts w:eastAsiaTheme="majorEastAsia" w:cstheme="majorBidi"/>
          <w:b/>
          <w:noProof/>
          <w:szCs w:val="24"/>
        </w:rPr>
        <w:t>5</w:t>
      </w:r>
      <w:r w:rsidRPr="00D6076E">
        <w:rPr>
          <w:rStyle w:val="CommentReference"/>
          <w:rFonts w:eastAsiaTheme="majorEastAsia" w:cstheme="majorBidi"/>
          <w:b/>
          <w:szCs w:val="24"/>
        </w:rPr>
        <w:fldChar w:fldCharType="end"/>
      </w:r>
      <w:bookmarkEnd w:id="35"/>
      <w:r w:rsidRPr="00283DAB">
        <w:t>:</w:t>
      </w:r>
      <w:r>
        <w:t xml:space="preserve"> Comparative summary of the primary outcome of change from baseline in monthly migraine</w:t>
      </w:r>
      <w:r w:rsidR="00AE5F6B">
        <w:t xml:space="preserve"> </w:t>
      </w:r>
      <w:r>
        <w:t>days in the FOCUS and CONQUER trials</w:t>
      </w:r>
      <w:r w:rsidR="007622FE">
        <w:t xml:space="preserve"> over 12 </w:t>
      </w:r>
      <w:proofErr w:type="gramStart"/>
      <w:r w:rsidR="007622FE">
        <w:t>weeks</w:t>
      </w:r>
      <w:proofErr w:type="gramEnd"/>
    </w:p>
    <w:tbl>
      <w:tblPr>
        <w:tblStyle w:val="TableGrid"/>
        <w:tblW w:w="5000" w:type="pct"/>
        <w:tblCellMar>
          <w:left w:w="57" w:type="dxa"/>
          <w:right w:w="57" w:type="dxa"/>
        </w:tblCellMar>
        <w:tblLook w:val="04A0" w:firstRow="1" w:lastRow="0" w:firstColumn="1" w:lastColumn="0" w:noHBand="0" w:noVBand="1"/>
      </w:tblPr>
      <w:tblGrid>
        <w:gridCol w:w="2737"/>
        <w:gridCol w:w="3133"/>
        <w:gridCol w:w="3147"/>
      </w:tblGrid>
      <w:tr w:rsidR="00B65DD1" w:rsidRPr="00043E33" w14:paraId="63E940B4" w14:textId="77777777" w:rsidTr="00B65DD1">
        <w:trPr>
          <w:trHeight w:val="330"/>
        </w:trPr>
        <w:tc>
          <w:tcPr>
            <w:tcW w:w="1518" w:type="pct"/>
            <w:vMerge w:val="restart"/>
            <w:shd w:val="clear" w:color="auto" w:fill="auto"/>
          </w:tcPr>
          <w:p w14:paraId="75757364" w14:textId="5A839D61" w:rsidR="00B65DD1" w:rsidRPr="00043E33" w:rsidRDefault="00B65DD1" w:rsidP="00556756">
            <w:pPr>
              <w:pStyle w:val="KMC16ES-Tableheading"/>
              <w:keepNext/>
              <w:spacing w:before="0" w:after="0"/>
              <w:rPr>
                <w:lang w:val="en-US"/>
              </w:rPr>
            </w:pPr>
            <w:bookmarkStart w:id="36" w:name="_Hlk111619294"/>
            <w:r>
              <w:rPr>
                <w:lang w:val="en-US"/>
              </w:rPr>
              <w:t>Population</w:t>
            </w:r>
          </w:p>
        </w:tc>
        <w:tc>
          <w:tcPr>
            <w:tcW w:w="3482" w:type="pct"/>
            <w:gridSpan w:val="2"/>
            <w:shd w:val="clear" w:color="auto" w:fill="auto"/>
            <w:noWrap/>
          </w:tcPr>
          <w:p w14:paraId="6E8448C9" w14:textId="6FFD035F" w:rsidR="00B65DD1" w:rsidRPr="0020489F" w:rsidRDefault="00B65DD1" w:rsidP="00556756">
            <w:pPr>
              <w:pStyle w:val="KMC16ES-Tableheading"/>
              <w:keepNext/>
              <w:spacing w:before="0" w:after="0"/>
              <w:jc w:val="center"/>
              <w:rPr>
                <w:u w:val="single"/>
              </w:rPr>
            </w:pPr>
            <w:r w:rsidRPr="00043E33">
              <w:rPr>
                <w:lang w:val="en-US"/>
              </w:rPr>
              <w:t>Indirect comparison</w:t>
            </w:r>
            <w:r w:rsidRPr="00043E33">
              <w:rPr>
                <w:lang w:val="en-US"/>
              </w:rPr>
              <w:br/>
              <w:t xml:space="preserve">Difference of means: </w:t>
            </w:r>
            <w:r>
              <w:rPr>
                <w:lang w:val="en-US"/>
              </w:rPr>
              <w:t>FREM</w:t>
            </w:r>
            <w:r w:rsidRPr="00043E33">
              <w:rPr>
                <w:lang w:val="en-US"/>
              </w:rPr>
              <w:t xml:space="preserve"> minus </w:t>
            </w:r>
            <w:r>
              <w:rPr>
                <w:lang w:val="en-US"/>
              </w:rPr>
              <w:t>GALC</w:t>
            </w:r>
          </w:p>
        </w:tc>
      </w:tr>
      <w:tr w:rsidR="00B65DD1" w:rsidRPr="00043E33" w14:paraId="770DDD08" w14:textId="77777777" w:rsidTr="00B65DD1">
        <w:trPr>
          <w:trHeight w:val="330"/>
        </w:trPr>
        <w:tc>
          <w:tcPr>
            <w:tcW w:w="1518" w:type="pct"/>
            <w:vMerge/>
            <w:shd w:val="clear" w:color="auto" w:fill="auto"/>
          </w:tcPr>
          <w:p w14:paraId="2A621B06" w14:textId="77777777" w:rsidR="00B65DD1" w:rsidRPr="00043E33" w:rsidRDefault="00B65DD1" w:rsidP="00556756">
            <w:pPr>
              <w:pStyle w:val="KMC16ES-Tableheading"/>
              <w:keepNext/>
              <w:spacing w:before="0" w:after="0"/>
              <w:rPr>
                <w:lang w:val="en-US"/>
              </w:rPr>
            </w:pPr>
          </w:p>
        </w:tc>
        <w:tc>
          <w:tcPr>
            <w:tcW w:w="1737" w:type="pct"/>
            <w:shd w:val="clear" w:color="auto" w:fill="auto"/>
            <w:noWrap/>
            <w:vAlign w:val="center"/>
            <w:hideMark/>
          </w:tcPr>
          <w:p w14:paraId="203199F5" w14:textId="68BC00E5" w:rsidR="00B65DD1" w:rsidRPr="0020489F" w:rsidRDefault="00B65DD1" w:rsidP="00556756">
            <w:pPr>
              <w:pStyle w:val="KMC16ES-Tableheading"/>
              <w:keepNext/>
              <w:spacing w:before="0" w:after="0"/>
              <w:jc w:val="center"/>
              <w:rPr>
                <w:u w:val="single"/>
              </w:rPr>
            </w:pPr>
            <w:r w:rsidRPr="0020489F">
              <w:rPr>
                <w:u w:val="single"/>
              </w:rPr>
              <w:t>FREM Q MINUS GALC</w:t>
            </w:r>
          </w:p>
          <w:p w14:paraId="645C5584" w14:textId="60A11F10" w:rsidR="00B65DD1" w:rsidRDefault="00B65DD1" w:rsidP="00556756">
            <w:pPr>
              <w:pStyle w:val="KMC16ES-Tableheading"/>
              <w:keepNext/>
              <w:spacing w:before="0" w:after="0"/>
              <w:jc w:val="center"/>
            </w:pPr>
            <w:r w:rsidRPr="00043E33">
              <w:t>Estimate</w:t>
            </w:r>
            <w:r>
              <w:t xml:space="preserve"> (95 % CI),</w:t>
            </w:r>
          </w:p>
          <w:p w14:paraId="5142BB44" w14:textId="4EC95A9A" w:rsidR="00B65DD1" w:rsidRPr="00043E33" w:rsidRDefault="00173115" w:rsidP="00556756">
            <w:pPr>
              <w:pStyle w:val="KMC16ES-Tableheading"/>
              <w:keepNext/>
              <w:spacing w:before="0" w:after="0"/>
              <w:jc w:val="center"/>
            </w:pPr>
            <w:r>
              <w:t>p</w:t>
            </w:r>
            <w:r w:rsidR="00B65DD1">
              <w:t>-value</w:t>
            </w:r>
          </w:p>
        </w:tc>
        <w:tc>
          <w:tcPr>
            <w:tcW w:w="1745" w:type="pct"/>
            <w:shd w:val="clear" w:color="auto" w:fill="auto"/>
            <w:noWrap/>
            <w:vAlign w:val="center"/>
            <w:hideMark/>
          </w:tcPr>
          <w:p w14:paraId="365F2A84" w14:textId="67843398" w:rsidR="00B65DD1" w:rsidRPr="0020489F" w:rsidRDefault="00B65DD1" w:rsidP="00556756">
            <w:pPr>
              <w:pStyle w:val="KMC16ES-Tableheading"/>
              <w:keepNext/>
              <w:spacing w:before="0" w:after="0"/>
              <w:jc w:val="center"/>
              <w:rPr>
                <w:u w:val="single"/>
              </w:rPr>
            </w:pPr>
            <w:r w:rsidRPr="0020489F">
              <w:rPr>
                <w:u w:val="single"/>
              </w:rPr>
              <w:t xml:space="preserve">FREM </w:t>
            </w:r>
            <w:r>
              <w:rPr>
                <w:u w:val="single"/>
              </w:rPr>
              <w:t>M</w:t>
            </w:r>
            <w:r w:rsidRPr="0020489F">
              <w:rPr>
                <w:u w:val="single"/>
              </w:rPr>
              <w:t xml:space="preserve"> MINUS GALC</w:t>
            </w:r>
          </w:p>
          <w:p w14:paraId="7BEEDE9E" w14:textId="77777777" w:rsidR="00B65DD1" w:rsidRDefault="00B65DD1" w:rsidP="00556756">
            <w:pPr>
              <w:pStyle w:val="KMC16ES-Tableheading"/>
              <w:keepNext/>
              <w:spacing w:before="0" w:after="0"/>
              <w:jc w:val="center"/>
            </w:pPr>
            <w:r w:rsidRPr="00043E33">
              <w:t>Estimate</w:t>
            </w:r>
            <w:r>
              <w:t xml:space="preserve"> (95 % CI),</w:t>
            </w:r>
          </w:p>
          <w:p w14:paraId="08170B01" w14:textId="762EF0D8" w:rsidR="00B65DD1" w:rsidRPr="00043E33" w:rsidRDefault="00173115" w:rsidP="00556756">
            <w:pPr>
              <w:pStyle w:val="KMC16ES-Tableheading"/>
              <w:keepNext/>
              <w:spacing w:before="0" w:after="0"/>
              <w:jc w:val="center"/>
              <w:rPr>
                <w:i/>
              </w:rPr>
            </w:pPr>
            <w:r>
              <w:t>p</w:t>
            </w:r>
            <w:r w:rsidR="00B65DD1">
              <w:t>-value</w:t>
            </w:r>
          </w:p>
        </w:tc>
      </w:tr>
      <w:tr w:rsidR="00B65DD1" w:rsidRPr="00043E33" w14:paraId="40EDF827" w14:textId="77777777" w:rsidTr="00B65DD1">
        <w:trPr>
          <w:trHeight w:val="56"/>
        </w:trPr>
        <w:tc>
          <w:tcPr>
            <w:tcW w:w="1518" w:type="pct"/>
            <w:shd w:val="clear" w:color="auto" w:fill="auto"/>
            <w:vAlign w:val="center"/>
          </w:tcPr>
          <w:p w14:paraId="69E57A88" w14:textId="77777777" w:rsidR="00B65DD1" w:rsidRPr="00AA3970" w:rsidRDefault="00B65DD1" w:rsidP="00556756">
            <w:pPr>
              <w:pStyle w:val="KMC16ES-tabletext"/>
              <w:spacing w:after="0"/>
              <w:rPr>
                <w:bCs/>
              </w:rPr>
            </w:pPr>
            <w:r w:rsidRPr="00AA3970">
              <w:rPr>
                <w:bCs/>
              </w:rPr>
              <w:t>All EM</w:t>
            </w:r>
            <w:r>
              <w:rPr>
                <w:bCs/>
              </w:rPr>
              <w:t xml:space="preserve"> </w:t>
            </w:r>
            <w:r w:rsidRPr="008D02BD">
              <w:t>(2-4 prior prophylactic treatments)</w:t>
            </w:r>
          </w:p>
        </w:tc>
        <w:tc>
          <w:tcPr>
            <w:tcW w:w="1737" w:type="pct"/>
            <w:shd w:val="clear" w:color="auto" w:fill="auto"/>
            <w:noWrap/>
            <w:vAlign w:val="center"/>
          </w:tcPr>
          <w:p w14:paraId="03C9DC99" w14:textId="77777777" w:rsidR="00B65DD1" w:rsidRPr="00130995" w:rsidRDefault="00B65DD1" w:rsidP="00556756">
            <w:pPr>
              <w:pStyle w:val="KMC16ES-tabletext"/>
              <w:spacing w:after="0"/>
              <w:jc w:val="center"/>
              <w:rPr>
                <w:rFonts w:cs="Calibri"/>
                <w:color w:val="auto"/>
              </w:rPr>
            </w:pPr>
            <w:r w:rsidRPr="00130995">
              <w:rPr>
                <w:rFonts w:cs="Calibri"/>
              </w:rPr>
              <w:t xml:space="preserve">-0.49 </w:t>
            </w:r>
            <w:r w:rsidRPr="00130995">
              <w:rPr>
                <w:rFonts w:cs="Calibri"/>
                <w:color w:val="auto"/>
              </w:rPr>
              <w:t>(-1.70, 0.72)</w:t>
            </w:r>
          </w:p>
          <w:p w14:paraId="3C6F75C3" w14:textId="66E43DB4" w:rsidR="00B65DD1" w:rsidRPr="00130995" w:rsidRDefault="00B65DD1" w:rsidP="00556756">
            <w:pPr>
              <w:pStyle w:val="KMC16ES-tabletext"/>
              <w:spacing w:after="0"/>
              <w:jc w:val="center"/>
              <w:rPr>
                <w:color w:val="auto"/>
              </w:rPr>
            </w:pPr>
            <w:r w:rsidRPr="00130995">
              <w:rPr>
                <w:rFonts w:cs="Calibri"/>
              </w:rPr>
              <w:t>0.426</w:t>
            </w:r>
          </w:p>
        </w:tc>
        <w:tc>
          <w:tcPr>
            <w:tcW w:w="1745" w:type="pct"/>
            <w:shd w:val="clear" w:color="auto" w:fill="auto"/>
            <w:noWrap/>
            <w:vAlign w:val="center"/>
          </w:tcPr>
          <w:p w14:paraId="78143257" w14:textId="77777777" w:rsidR="00B65DD1" w:rsidRPr="00130995" w:rsidRDefault="00B65DD1" w:rsidP="00556756">
            <w:pPr>
              <w:pStyle w:val="KMC16-Tablecontent"/>
              <w:keepNext/>
              <w:spacing w:before="0" w:after="0"/>
              <w:jc w:val="center"/>
              <w:rPr>
                <w:rFonts w:cs="Calibri"/>
                <w:color w:val="auto"/>
              </w:rPr>
            </w:pPr>
            <w:r w:rsidRPr="00130995">
              <w:rPr>
                <w:rFonts w:cs="Calibri"/>
              </w:rPr>
              <w:t xml:space="preserve">-0.56 </w:t>
            </w:r>
            <w:r w:rsidRPr="00130995">
              <w:rPr>
                <w:rFonts w:cs="Calibri"/>
                <w:color w:val="auto"/>
              </w:rPr>
              <w:t>(-1.77, 0.65)</w:t>
            </w:r>
          </w:p>
          <w:p w14:paraId="1B0599E7" w14:textId="39DC1AC8" w:rsidR="00B65DD1" w:rsidRPr="00130995" w:rsidRDefault="00B65DD1" w:rsidP="00556756">
            <w:pPr>
              <w:pStyle w:val="KMC16ES-tabletext"/>
              <w:spacing w:after="0"/>
              <w:jc w:val="center"/>
              <w:rPr>
                <w:iCs/>
              </w:rPr>
            </w:pPr>
            <w:r w:rsidRPr="00130995">
              <w:rPr>
                <w:rFonts w:cs="Calibri"/>
              </w:rPr>
              <w:t>0.363</w:t>
            </w:r>
          </w:p>
        </w:tc>
      </w:tr>
      <w:tr w:rsidR="00AB5D84" w:rsidRPr="00043E33" w14:paraId="3CB8001A" w14:textId="77777777" w:rsidTr="00B65DD1">
        <w:trPr>
          <w:trHeight w:val="56"/>
        </w:trPr>
        <w:tc>
          <w:tcPr>
            <w:tcW w:w="1518" w:type="pct"/>
            <w:shd w:val="clear" w:color="auto" w:fill="auto"/>
            <w:vAlign w:val="center"/>
          </w:tcPr>
          <w:p w14:paraId="44A2CA01" w14:textId="478D6CD8" w:rsidR="00AB5D84" w:rsidRPr="00AA3970" w:rsidRDefault="00AB5D84" w:rsidP="00556756">
            <w:pPr>
              <w:pStyle w:val="KMC16ES-tabletext"/>
              <w:spacing w:after="0"/>
              <w:rPr>
                <w:bCs/>
              </w:rPr>
            </w:pPr>
            <w:r w:rsidRPr="00AE208D">
              <w:t>EM ≥3 prior therapies</w:t>
            </w:r>
          </w:p>
        </w:tc>
        <w:tc>
          <w:tcPr>
            <w:tcW w:w="1737" w:type="pct"/>
            <w:shd w:val="clear" w:color="auto" w:fill="auto"/>
            <w:noWrap/>
            <w:vAlign w:val="center"/>
          </w:tcPr>
          <w:p w14:paraId="7F45EBF2" w14:textId="77777777" w:rsidR="00AB5D84" w:rsidRPr="00130995" w:rsidRDefault="00AB5D84" w:rsidP="00556756">
            <w:pPr>
              <w:pStyle w:val="KMC16ES-tabletext"/>
              <w:spacing w:after="0"/>
              <w:jc w:val="center"/>
              <w:rPr>
                <w:rFonts w:cs="Calibri"/>
              </w:rPr>
            </w:pPr>
            <w:r w:rsidRPr="00130995">
              <w:rPr>
                <w:rFonts w:cs="Calibri"/>
              </w:rPr>
              <w:t>-1.04 (-3.32, 1.24)</w:t>
            </w:r>
          </w:p>
          <w:p w14:paraId="342C56F7" w14:textId="6ED211D7" w:rsidR="001A43E1" w:rsidRPr="00130995" w:rsidRDefault="001A43E1" w:rsidP="00556756">
            <w:pPr>
              <w:pStyle w:val="KMC16ES-tabletext"/>
              <w:spacing w:after="0"/>
              <w:jc w:val="center"/>
              <w:rPr>
                <w:rFonts w:cs="Calibri"/>
              </w:rPr>
            </w:pPr>
            <w:r w:rsidRPr="00130995">
              <w:rPr>
                <w:rFonts w:cs="Calibri"/>
              </w:rPr>
              <w:t>0.370</w:t>
            </w:r>
          </w:p>
        </w:tc>
        <w:tc>
          <w:tcPr>
            <w:tcW w:w="1745" w:type="pct"/>
            <w:shd w:val="clear" w:color="auto" w:fill="auto"/>
            <w:noWrap/>
            <w:vAlign w:val="center"/>
          </w:tcPr>
          <w:p w14:paraId="75D13643" w14:textId="77777777" w:rsidR="00AB5D84" w:rsidRPr="00130995" w:rsidRDefault="00AB5D84" w:rsidP="00556756">
            <w:pPr>
              <w:pStyle w:val="KMC16-Tablecontent"/>
              <w:keepNext/>
              <w:spacing w:before="0" w:after="0"/>
              <w:jc w:val="center"/>
              <w:rPr>
                <w:rFonts w:cs="Calibri"/>
              </w:rPr>
            </w:pPr>
            <w:r w:rsidRPr="00130995">
              <w:rPr>
                <w:rFonts w:cs="Calibri"/>
              </w:rPr>
              <w:t>-1.00 (-3.22, 1.22)</w:t>
            </w:r>
          </w:p>
          <w:p w14:paraId="241109F7" w14:textId="1302BA44" w:rsidR="001A43E1" w:rsidRPr="00130995" w:rsidRDefault="001A43E1" w:rsidP="00556756">
            <w:pPr>
              <w:pStyle w:val="KMC16-Tablecontent"/>
              <w:keepNext/>
              <w:spacing w:before="0" w:after="0"/>
              <w:jc w:val="center"/>
              <w:rPr>
                <w:rFonts w:cs="Calibri"/>
              </w:rPr>
            </w:pPr>
            <w:r w:rsidRPr="00130995">
              <w:rPr>
                <w:rFonts w:cs="Calibri"/>
              </w:rPr>
              <w:t>0.377</w:t>
            </w:r>
          </w:p>
        </w:tc>
      </w:tr>
      <w:tr w:rsidR="00B65DD1" w:rsidRPr="00043E33" w14:paraId="0F463694" w14:textId="77777777" w:rsidTr="00B65DD1">
        <w:trPr>
          <w:trHeight w:val="56"/>
        </w:trPr>
        <w:tc>
          <w:tcPr>
            <w:tcW w:w="1518" w:type="pct"/>
            <w:shd w:val="clear" w:color="auto" w:fill="auto"/>
            <w:vAlign w:val="center"/>
          </w:tcPr>
          <w:p w14:paraId="5B7BC190" w14:textId="77777777" w:rsidR="00B65DD1" w:rsidRPr="00AA3970" w:rsidRDefault="00B65DD1" w:rsidP="00556756">
            <w:pPr>
              <w:pStyle w:val="KMC16ES-tabletext"/>
              <w:spacing w:after="0"/>
            </w:pPr>
            <w:r w:rsidRPr="00AA3970">
              <w:t>HFEM</w:t>
            </w:r>
            <w:r>
              <w:t xml:space="preserve"> (2 to 4 prior therapies)</w:t>
            </w:r>
          </w:p>
        </w:tc>
        <w:tc>
          <w:tcPr>
            <w:tcW w:w="1737" w:type="pct"/>
            <w:shd w:val="clear" w:color="auto" w:fill="auto"/>
            <w:noWrap/>
            <w:vAlign w:val="center"/>
          </w:tcPr>
          <w:p w14:paraId="3F44411C" w14:textId="77777777" w:rsidR="00B65DD1" w:rsidRPr="00130995" w:rsidRDefault="00B65DD1" w:rsidP="00556756">
            <w:pPr>
              <w:pStyle w:val="KMC16ES-tabletext"/>
              <w:spacing w:after="0"/>
              <w:jc w:val="center"/>
              <w:rPr>
                <w:color w:val="auto"/>
              </w:rPr>
            </w:pPr>
            <w:r w:rsidRPr="00130995">
              <w:rPr>
                <w:rFonts w:cs="Calibri"/>
              </w:rPr>
              <w:t xml:space="preserve">-0.69 </w:t>
            </w:r>
            <w:r w:rsidRPr="00130995">
              <w:rPr>
                <w:color w:val="auto"/>
              </w:rPr>
              <w:t>(-2.17, 0.79)</w:t>
            </w:r>
          </w:p>
          <w:p w14:paraId="381F46D8" w14:textId="3465A4AD" w:rsidR="00B65DD1" w:rsidRPr="00130995" w:rsidRDefault="00B65DD1" w:rsidP="00556756">
            <w:pPr>
              <w:pStyle w:val="KMC16ES-tabletext"/>
              <w:spacing w:after="0"/>
              <w:jc w:val="center"/>
              <w:rPr>
                <w:rFonts w:cs="Calibri"/>
                <w:color w:val="auto"/>
              </w:rPr>
            </w:pPr>
            <w:r w:rsidRPr="00130995">
              <w:rPr>
                <w:rFonts w:cs="Calibri"/>
              </w:rPr>
              <w:t>0.361</w:t>
            </w:r>
          </w:p>
        </w:tc>
        <w:tc>
          <w:tcPr>
            <w:tcW w:w="1745" w:type="pct"/>
            <w:shd w:val="clear" w:color="auto" w:fill="auto"/>
            <w:noWrap/>
            <w:vAlign w:val="center"/>
          </w:tcPr>
          <w:p w14:paraId="55538479" w14:textId="77777777" w:rsidR="00B65DD1" w:rsidRPr="00130995" w:rsidRDefault="00B65DD1" w:rsidP="00556756">
            <w:pPr>
              <w:pStyle w:val="KMC16-Tablecontent"/>
              <w:keepNext/>
              <w:spacing w:before="0" w:after="0"/>
              <w:jc w:val="center"/>
              <w:rPr>
                <w:rFonts w:cs="Calibri"/>
                <w:color w:val="auto"/>
              </w:rPr>
            </w:pPr>
            <w:r w:rsidRPr="00130995">
              <w:rPr>
                <w:rFonts w:cs="Calibri"/>
              </w:rPr>
              <w:t xml:space="preserve">-0.81 </w:t>
            </w:r>
            <w:r w:rsidRPr="00130995">
              <w:rPr>
                <w:color w:val="auto"/>
              </w:rPr>
              <w:t>(</w:t>
            </w:r>
            <w:r w:rsidRPr="00130995">
              <w:rPr>
                <w:rFonts w:cs="Calibri"/>
                <w:color w:val="auto"/>
              </w:rPr>
              <w:t>-2.28, 0.66)</w:t>
            </w:r>
          </w:p>
          <w:p w14:paraId="22ED93A7" w14:textId="000DF4F8" w:rsidR="00B65DD1" w:rsidRPr="00130995" w:rsidRDefault="00B65DD1" w:rsidP="00556756">
            <w:pPr>
              <w:pStyle w:val="KMC16ES-tabletext"/>
              <w:spacing w:after="0"/>
              <w:jc w:val="center"/>
              <w:rPr>
                <w:rFonts w:cs="Calibri"/>
                <w:iCs/>
              </w:rPr>
            </w:pPr>
            <w:r w:rsidRPr="00130995">
              <w:rPr>
                <w:rFonts w:cs="Calibri"/>
              </w:rPr>
              <w:t>0.279</w:t>
            </w:r>
          </w:p>
        </w:tc>
      </w:tr>
      <w:tr w:rsidR="00B65DD1" w:rsidRPr="00043E33" w14:paraId="5B2E76C6" w14:textId="77777777" w:rsidTr="00B65DD1">
        <w:trPr>
          <w:trHeight w:val="56"/>
        </w:trPr>
        <w:tc>
          <w:tcPr>
            <w:tcW w:w="1518" w:type="pct"/>
            <w:shd w:val="clear" w:color="auto" w:fill="auto"/>
            <w:vAlign w:val="center"/>
          </w:tcPr>
          <w:p w14:paraId="6DC28EDF" w14:textId="77777777" w:rsidR="00B65DD1" w:rsidRPr="00A9153A" w:rsidRDefault="00B65DD1" w:rsidP="00556756">
            <w:pPr>
              <w:pStyle w:val="KMC16ES-tabletext"/>
              <w:spacing w:after="0"/>
              <w:rPr>
                <w:b/>
                <w:bCs/>
              </w:rPr>
            </w:pPr>
            <w:r w:rsidRPr="00AA3970">
              <w:rPr>
                <w:b/>
                <w:bCs/>
                <w:color w:val="auto"/>
              </w:rPr>
              <w:t>HFEM ≥3 prior therapies (</w:t>
            </w:r>
            <w:r>
              <w:rPr>
                <w:b/>
                <w:bCs/>
                <w:color w:val="auto"/>
              </w:rPr>
              <w:t xml:space="preserve">proposed </w:t>
            </w:r>
            <w:r w:rsidRPr="00AA3970">
              <w:rPr>
                <w:b/>
                <w:bCs/>
                <w:color w:val="auto"/>
              </w:rPr>
              <w:t>PBS population)</w:t>
            </w:r>
          </w:p>
        </w:tc>
        <w:tc>
          <w:tcPr>
            <w:tcW w:w="1737" w:type="pct"/>
            <w:shd w:val="clear" w:color="auto" w:fill="auto"/>
            <w:noWrap/>
            <w:vAlign w:val="center"/>
          </w:tcPr>
          <w:p w14:paraId="622427D0" w14:textId="61113A72" w:rsidR="00B65DD1" w:rsidRPr="00130995" w:rsidRDefault="00B65DD1" w:rsidP="00556756">
            <w:pPr>
              <w:pStyle w:val="KMC16ES-tabletext"/>
              <w:spacing w:after="0"/>
              <w:jc w:val="center"/>
              <w:rPr>
                <w:rFonts w:cs="Calibri"/>
                <w:color w:val="auto"/>
              </w:rPr>
            </w:pPr>
            <w:r w:rsidRPr="00130995">
              <w:rPr>
                <w:rFonts w:cs="Calibri"/>
              </w:rPr>
              <w:t xml:space="preserve">-1.47 </w:t>
            </w:r>
            <w:r w:rsidRPr="00130995">
              <w:rPr>
                <w:rFonts w:cs="Calibri"/>
                <w:color w:val="auto"/>
              </w:rPr>
              <w:t>(-4.18, 1.24)</w:t>
            </w:r>
          </w:p>
          <w:p w14:paraId="04974F7C" w14:textId="68CE36FE" w:rsidR="00B65DD1" w:rsidRPr="00130995" w:rsidRDefault="00B65DD1" w:rsidP="00556756">
            <w:pPr>
              <w:pStyle w:val="KMC16ES-tabletext"/>
              <w:spacing w:after="0"/>
              <w:jc w:val="center"/>
              <w:rPr>
                <w:rFonts w:cs="Calibri"/>
                <w:color w:val="auto"/>
              </w:rPr>
            </w:pPr>
            <w:r w:rsidRPr="00130995">
              <w:rPr>
                <w:rFonts w:cs="Calibri"/>
                <w:iCs/>
              </w:rPr>
              <w:t>0.288</w:t>
            </w:r>
          </w:p>
        </w:tc>
        <w:tc>
          <w:tcPr>
            <w:tcW w:w="1745" w:type="pct"/>
            <w:shd w:val="clear" w:color="auto" w:fill="auto"/>
            <w:noWrap/>
            <w:vAlign w:val="center"/>
          </w:tcPr>
          <w:p w14:paraId="57F99106" w14:textId="0503E93E" w:rsidR="00B65DD1" w:rsidRPr="00130995" w:rsidRDefault="00B65DD1" w:rsidP="00556756">
            <w:pPr>
              <w:pStyle w:val="KMC16ES-tabletext"/>
              <w:spacing w:after="0"/>
              <w:jc w:val="center"/>
              <w:rPr>
                <w:rFonts w:cs="Calibri"/>
                <w:color w:val="auto"/>
              </w:rPr>
            </w:pPr>
            <w:r w:rsidRPr="00130995">
              <w:rPr>
                <w:rFonts w:cs="Calibri"/>
              </w:rPr>
              <w:t>-2.27</w:t>
            </w:r>
            <w:r w:rsidRPr="00130995">
              <w:rPr>
                <w:rFonts w:cs="Calibri"/>
                <w:color w:val="auto"/>
              </w:rPr>
              <w:t xml:space="preserve"> (-4.84, 0.30)</w:t>
            </w:r>
          </w:p>
          <w:p w14:paraId="3BD0FAB3" w14:textId="1C3D6F32" w:rsidR="00B65DD1" w:rsidRPr="00130995" w:rsidRDefault="00B65DD1" w:rsidP="00556756">
            <w:pPr>
              <w:pStyle w:val="KMC16ES-tabletext"/>
              <w:spacing w:after="0"/>
              <w:jc w:val="center"/>
              <w:rPr>
                <w:rFonts w:cs="Calibri"/>
                <w:iCs/>
              </w:rPr>
            </w:pPr>
            <w:r w:rsidRPr="00130995">
              <w:rPr>
                <w:rFonts w:cs="Calibri"/>
                <w:iCs/>
              </w:rPr>
              <w:t>0.084</w:t>
            </w:r>
          </w:p>
        </w:tc>
      </w:tr>
    </w:tbl>
    <w:bookmarkEnd w:id="36"/>
    <w:p w14:paraId="28846C59" w14:textId="2E58F2C0" w:rsidR="009705AE" w:rsidRDefault="0011573B" w:rsidP="00556756">
      <w:pPr>
        <w:pStyle w:val="TableFooter"/>
        <w:keepNext/>
      </w:pPr>
      <w:r w:rsidRPr="00B4728D">
        <w:rPr>
          <w:rStyle w:val="TableFigureFooterChar"/>
        </w:rPr>
        <w:t>Source: Tables 2-24</w:t>
      </w:r>
      <w:r>
        <w:rPr>
          <w:rStyle w:val="TableFigureFooterChar"/>
        </w:rPr>
        <w:t>, 2-25,</w:t>
      </w:r>
      <w:r w:rsidRPr="00B4728D">
        <w:rPr>
          <w:rStyle w:val="TableFigureFooterChar"/>
        </w:rPr>
        <w:t xml:space="preserve"> 2-28,</w:t>
      </w:r>
      <w:r>
        <w:rPr>
          <w:rStyle w:val="TableFigureFooterChar"/>
        </w:rPr>
        <w:t xml:space="preserve"> 2-49;</w:t>
      </w:r>
      <w:r w:rsidRPr="00B4728D">
        <w:rPr>
          <w:rStyle w:val="TableFigureFooterChar"/>
        </w:rPr>
        <w:t xml:space="preserve"> pp54</w:t>
      </w:r>
      <w:r>
        <w:rPr>
          <w:rStyle w:val="TableFigureFooterChar"/>
        </w:rPr>
        <w:t>, 56, 63</w:t>
      </w:r>
      <w:r w:rsidRPr="00B4728D">
        <w:rPr>
          <w:rStyle w:val="TableFigureFooterChar"/>
        </w:rPr>
        <w:t xml:space="preserve"> &amp; </w:t>
      </w:r>
      <w:r>
        <w:rPr>
          <w:rStyle w:val="TableFigureFooterChar"/>
        </w:rPr>
        <w:t>87</w:t>
      </w:r>
      <w:r w:rsidRPr="00B4728D">
        <w:rPr>
          <w:rStyle w:val="TableFigureFooterChar"/>
        </w:rPr>
        <w:t xml:space="preserve"> of the submission</w:t>
      </w:r>
      <w:r>
        <w:rPr>
          <w:rStyle w:val="TableFigureFooterChar"/>
        </w:rPr>
        <w:t>.</w:t>
      </w:r>
    </w:p>
    <w:p w14:paraId="11E30E62" w14:textId="50BBC58D" w:rsidR="00BC4E63" w:rsidRDefault="001E71CA" w:rsidP="00BC4E63">
      <w:pPr>
        <w:pStyle w:val="TableFooter"/>
      </w:pPr>
      <w:r>
        <w:t>MMDs= monthly migraine</w:t>
      </w:r>
      <w:r w:rsidR="00B71867">
        <w:t xml:space="preserve"> </w:t>
      </w:r>
      <w:r>
        <w:t xml:space="preserve">days; </w:t>
      </w:r>
      <w:r w:rsidR="0077661E">
        <w:t xml:space="preserve">CI= confidence interval; </w:t>
      </w:r>
      <w:r w:rsidR="00BC4E63">
        <w:t xml:space="preserve">EM= episodic migraine; </w:t>
      </w:r>
      <w:r w:rsidR="0077661E">
        <w:t xml:space="preserve">FREM= fremanezumab; </w:t>
      </w:r>
      <w:r w:rsidR="0020489F">
        <w:t xml:space="preserve">GALC= galcanezumab; </w:t>
      </w:r>
      <w:r w:rsidR="00BC4E63">
        <w:t>HFEM= high frequency episodic migraine; M= monthly</w:t>
      </w:r>
      <w:r w:rsidR="0077661E">
        <w:t>;</w:t>
      </w:r>
      <w:r w:rsidR="0077661E" w:rsidRPr="0077661E">
        <w:t xml:space="preserve"> </w:t>
      </w:r>
      <w:r w:rsidR="0077661E">
        <w:t>PBO= placebo</w:t>
      </w:r>
      <w:r w:rsidR="0020489F">
        <w:t>;</w:t>
      </w:r>
      <w:r w:rsidR="0020489F" w:rsidRPr="0020489F">
        <w:t xml:space="preserve"> </w:t>
      </w:r>
      <w:r w:rsidR="00BC4CA7">
        <w:t xml:space="preserve">PBS=Pharmaceutical Benefits Scheme; </w:t>
      </w:r>
      <w:r w:rsidR="0020489F">
        <w:t>Q= quarterly</w:t>
      </w:r>
      <w:r w:rsidR="00BC4E63">
        <w:t xml:space="preserve">. </w:t>
      </w:r>
    </w:p>
    <w:p w14:paraId="1025F55C" w14:textId="76ADFDC8" w:rsidR="00BC4E63" w:rsidRDefault="00BC4E63" w:rsidP="00BC4E63">
      <w:pPr>
        <w:pStyle w:val="TableFooter"/>
      </w:pPr>
    </w:p>
    <w:p w14:paraId="5376098A" w14:textId="093D993C" w:rsidR="00BC4E63" w:rsidRPr="00323F44" w:rsidRDefault="00BC4E63" w:rsidP="00033A63">
      <w:pPr>
        <w:pStyle w:val="3-BodyText"/>
        <w:numPr>
          <w:ilvl w:val="1"/>
          <w:numId w:val="5"/>
        </w:numPr>
        <w:ind w:left="720"/>
        <w:rPr>
          <w:snapToGrid/>
          <w:color w:val="0066FF"/>
          <w:lang w:val="en-US"/>
        </w:rPr>
      </w:pPr>
      <w:r>
        <w:t xml:space="preserve">There were no </w:t>
      </w:r>
      <w:r w:rsidRPr="00323F44">
        <w:rPr>
          <w:snapToGrid/>
          <w:lang w:val="en-US"/>
        </w:rPr>
        <w:t xml:space="preserve">statistically significant differences for any of the included indirect comparisons for the key primary outcome of change in </w:t>
      </w:r>
      <w:r w:rsidR="00AE5F6B">
        <w:rPr>
          <w:snapToGrid/>
          <w:lang w:val="en-US"/>
        </w:rPr>
        <w:t>MMDs</w:t>
      </w:r>
      <w:r w:rsidRPr="00323F44">
        <w:rPr>
          <w:snapToGrid/>
          <w:lang w:val="en-US"/>
        </w:rPr>
        <w:t xml:space="preserve"> (all p&gt;0.05). </w:t>
      </w:r>
      <w:r w:rsidR="000C70B3" w:rsidRPr="00277996">
        <w:rPr>
          <w:iCs/>
          <w:snapToGrid/>
          <w:lang w:val="en-US"/>
        </w:rPr>
        <w:t xml:space="preserve">However, </w:t>
      </w:r>
      <w:r w:rsidR="000C70B3" w:rsidRPr="00277996">
        <w:rPr>
          <w:iCs/>
        </w:rPr>
        <w:t>there was a trend in favour of fremanezumab versus galcanezumab for all subgroups.</w:t>
      </w:r>
      <w:r w:rsidR="00EE38FE" w:rsidRPr="00277996">
        <w:rPr>
          <w:iCs/>
        </w:rPr>
        <w:t xml:space="preserve"> </w:t>
      </w:r>
      <w:r w:rsidR="001A43E1" w:rsidRPr="00277996">
        <w:rPr>
          <w:iCs/>
          <w:snapToGrid/>
          <w:lang w:val="en-US"/>
        </w:rPr>
        <w:t xml:space="preserve">The indirect comparisons suggested non-inferiority </w:t>
      </w:r>
      <w:bookmarkStart w:id="37" w:name="_Hlk119056662"/>
      <w:r w:rsidR="001A43E1" w:rsidRPr="00277996">
        <w:rPr>
          <w:iCs/>
          <w:snapToGrid/>
          <w:lang w:val="en-US"/>
        </w:rPr>
        <w:t>for both the quarterly and monthly schedules of fremanezumab compared with galcanezumab</w:t>
      </w:r>
      <w:r w:rsidR="000C70B3" w:rsidRPr="00277996">
        <w:rPr>
          <w:iCs/>
          <w:snapToGrid/>
          <w:lang w:val="en-US"/>
        </w:rPr>
        <w:t>, as the correspon</w:t>
      </w:r>
      <w:r w:rsidR="00431991" w:rsidRPr="00277996">
        <w:rPr>
          <w:iCs/>
          <w:snapToGrid/>
          <w:lang w:val="en-US"/>
        </w:rPr>
        <w:t>d</w:t>
      </w:r>
      <w:r w:rsidR="000C70B3" w:rsidRPr="00277996">
        <w:rPr>
          <w:iCs/>
          <w:snapToGrid/>
          <w:lang w:val="en-US"/>
        </w:rPr>
        <w:t xml:space="preserve">ing upper 95% confidence intervals, </w:t>
      </w:r>
      <w:r w:rsidR="000C70B3" w:rsidRPr="00130995">
        <w:rPr>
          <w:iCs/>
          <w:snapToGrid/>
          <w:lang w:val="en-US"/>
        </w:rPr>
        <w:t>1.24 and 0.30,</w:t>
      </w:r>
      <w:r w:rsidR="000C70B3" w:rsidRPr="00277996">
        <w:rPr>
          <w:iCs/>
          <w:snapToGrid/>
          <w:lang w:val="en-US"/>
        </w:rPr>
        <w:t xml:space="preserve"> </w:t>
      </w:r>
      <w:r w:rsidR="005A3B41" w:rsidRPr="00277996">
        <w:rPr>
          <w:iCs/>
          <w:snapToGrid/>
          <w:lang w:val="en-US"/>
        </w:rPr>
        <w:t>we</w:t>
      </w:r>
      <w:r w:rsidR="000C70B3" w:rsidRPr="00277996">
        <w:rPr>
          <w:iCs/>
          <w:snapToGrid/>
          <w:lang w:val="en-US"/>
        </w:rPr>
        <w:t xml:space="preserve">re less than the non-inferiority margin of </w:t>
      </w:r>
      <w:r w:rsidR="00737CFB" w:rsidRPr="00277996">
        <w:rPr>
          <w:iCs/>
          <w:snapToGrid/>
          <w:lang w:val="en-US"/>
        </w:rPr>
        <w:t xml:space="preserve">two </w:t>
      </w:r>
      <w:r w:rsidR="007803F7" w:rsidRPr="00277996">
        <w:rPr>
          <w:iCs/>
          <w:snapToGrid/>
          <w:lang w:val="en-US"/>
        </w:rPr>
        <w:t xml:space="preserve">migraine </w:t>
      </w:r>
      <w:r w:rsidR="000C70B3" w:rsidRPr="00277996">
        <w:rPr>
          <w:iCs/>
          <w:snapToGrid/>
          <w:lang w:val="en-US"/>
        </w:rPr>
        <w:t>days per month</w:t>
      </w:r>
      <w:bookmarkEnd w:id="37"/>
      <w:r w:rsidR="000C70B3" w:rsidRPr="00323F44">
        <w:rPr>
          <w:snapToGrid/>
          <w:lang w:val="en-US"/>
        </w:rPr>
        <w:t>.</w:t>
      </w:r>
      <w:r w:rsidRPr="00323F44">
        <w:rPr>
          <w:snapToGrid/>
          <w:lang w:val="en-US"/>
        </w:rPr>
        <w:t xml:space="preserve"> </w:t>
      </w:r>
    </w:p>
    <w:p w14:paraId="2331A2F2" w14:textId="335AF523" w:rsidR="002961ED" w:rsidRDefault="00094E56" w:rsidP="00033A63">
      <w:pPr>
        <w:pStyle w:val="3-BodyText"/>
        <w:numPr>
          <w:ilvl w:val="1"/>
          <w:numId w:val="5"/>
        </w:numPr>
        <w:ind w:left="720"/>
        <w:rPr>
          <w:rFonts w:ascii="Calibri" w:hAnsi="Calibri"/>
          <w:snapToGrid/>
        </w:rPr>
      </w:pPr>
      <w:r>
        <w:rPr>
          <w:rFonts w:cstheme="minorHAnsi"/>
          <w:b/>
          <w:bCs/>
          <w:snapToGrid/>
          <w:lang w:val="en-US"/>
        </w:rPr>
        <w:fldChar w:fldCharType="begin" w:fldLock="1"/>
      </w:r>
      <w:r>
        <w:rPr>
          <w:rFonts w:cstheme="minorHAnsi"/>
          <w:b/>
          <w:bCs/>
          <w:snapToGrid/>
          <w:lang w:val="en-US"/>
        </w:rPr>
        <w:instrText xml:space="preserve"> REF _Ref114039890 \h  \* MERGEFORMAT </w:instrText>
      </w:r>
      <w:r>
        <w:rPr>
          <w:rFonts w:cstheme="minorHAnsi"/>
          <w:b/>
          <w:bCs/>
          <w:snapToGrid/>
          <w:lang w:val="en-US"/>
        </w:rPr>
      </w:r>
      <w:r>
        <w:rPr>
          <w:rFonts w:cstheme="minorHAnsi"/>
          <w:b/>
          <w:bCs/>
          <w:snapToGrid/>
          <w:lang w:val="en-US"/>
        </w:rPr>
        <w:fldChar w:fldCharType="separate"/>
      </w:r>
      <w:r w:rsidRPr="00BC4E63">
        <w:t>T</w:t>
      </w:r>
      <w:r w:rsidRPr="00094E56">
        <w:rPr>
          <w:snapToGrid/>
          <w:lang w:val="en-US"/>
        </w:rPr>
        <w:t>able 6</w:t>
      </w:r>
      <w:r>
        <w:rPr>
          <w:rFonts w:cstheme="minorHAnsi"/>
          <w:b/>
          <w:bCs/>
          <w:snapToGrid/>
          <w:lang w:val="en-US"/>
        </w:rPr>
        <w:fldChar w:fldCharType="end"/>
      </w:r>
      <w:r w:rsidR="00BC4E63">
        <w:rPr>
          <w:snapToGrid/>
          <w:lang w:val="en-US"/>
        </w:rPr>
        <w:t xml:space="preserve"> </w:t>
      </w:r>
      <w:r w:rsidR="00BC4E63" w:rsidRPr="007B73B1">
        <w:rPr>
          <w:snapToGrid/>
          <w:lang w:val="en-US"/>
        </w:rPr>
        <w:t xml:space="preserve">presents the results from the indirect </w:t>
      </w:r>
      <w:r w:rsidR="00737CFB">
        <w:rPr>
          <w:snapToGrid/>
          <w:lang w:val="en-US"/>
        </w:rPr>
        <w:t>comparisons</w:t>
      </w:r>
      <w:r w:rsidR="00737CFB" w:rsidRPr="007B73B1">
        <w:rPr>
          <w:snapToGrid/>
          <w:lang w:val="en-US"/>
        </w:rPr>
        <w:t xml:space="preserve"> </w:t>
      </w:r>
      <w:r w:rsidR="00BC4E63" w:rsidRPr="007B73B1">
        <w:rPr>
          <w:snapToGrid/>
          <w:lang w:val="en-US"/>
        </w:rPr>
        <w:t xml:space="preserve">for the key secondary outcome of </w:t>
      </w:r>
      <w:r w:rsidR="00BC4E63" w:rsidRPr="007B73B1">
        <w:rPr>
          <w:rFonts w:ascii="Calibri" w:hAnsi="Calibri"/>
          <w:snapToGrid/>
        </w:rPr>
        <w:t xml:space="preserve">the proportion of patients with a ≥50% reduction in </w:t>
      </w:r>
      <w:r w:rsidR="00AE5F6B">
        <w:rPr>
          <w:rFonts w:ascii="Calibri" w:hAnsi="Calibri"/>
          <w:snapToGrid/>
        </w:rPr>
        <w:t>MMDs</w:t>
      </w:r>
      <w:r w:rsidR="005A3B41">
        <w:rPr>
          <w:rFonts w:ascii="Calibri" w:hAnsi="Calibri"/>
          <w:snapToGrid/>
        </w:rPr>
        <w:t xml:space="preserve"> separately for </w:t>
      </w:r>
      <w:r w:rsidR="009C526C">
        <w:rPr>
          <w:rFonts w:ascii="Calibri" w:hAnsi="Calibri"/>
          <w:snapToGrid/>
        </w:rPr>
        <w:t>all</w:t>
      </w:r>
      <w:r w:rsidR="00C1344F">
        <w:rPr>
          <w:rFonts w:ascii="Calibri" w:hAnsi="Calibri"/>
          <w:snapToGrid/>
        </w:rPr>
        <w:t xml:space="preserve"> episodic migraine </w:t>
      </w:r>
      <w:r w:rsidR="00BD51B9">
        <w:rPr>
          <w:rFonts w:ascii="Calibri" w:hAnsi="Calibri"/>
          <w:snapToGrid/>
        </w:rPr>
        <w:t>patients</w:t>
      </w:r>
      <w:r w:rsidR="005A3B41">
        <w:rPr>
          <w:rFonts w:ascii="Calibri" w:hAnsi="Calibri"/>
          <w:snapToGrid/>
        </w:rPr>
        <w:t xml:space="preserve"> </w:t>
      </w:r>
      <w:r w:rsidR="00C1344F">
        <w:rPr>
          <w:rFonts w:ascii="Calibri" w:hAnsi="Calibri"/>
          <w:snapToGrid/>
        </w:rPr>
        <w:t>and the proposed population</w:t>
      </w:r>
      <w:r w:rsidR="00BC4E63">
        <w:rPr>
          <w:rFonts w:ascii="Calibri" w:hAnsi="Calibri"/>
          <w:snapToGrid/>
        </w:rPr>
        <w:t>.</w:t>
      </w:r>
    </w:p>
    <w:p w14:paraId="283B1D47" w14:textId="5499B656" w:rsidR="00BC4E63" w:rsidRDefault="00BC4E63" w:rsidP="00556756">
      <w:pPr>
        <w:pStyle w:val="TableHeading0"/>
        <w:keepLines/>
      </w:pPr>
      <w:bookmarkStart w:id="38" w:name="_Ref114039890"/>
      <w:r w:rsidRPr="00BC4E63">
        <w:lastRenderedPageBreak/>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B97129">
        <w:rPr>
          <w:rStyle w:val="CommentReference"/>
          <w:rFonts w:eastAsiaTheme="majorEastAsia" w:cstheme="majorBidi"/>
          <w:b/>
          <w:noProof/>
          <w:szCs w:val="24"/>
        </w:rPr>
        <w:t>6</w:t>
      </w:r>
      <w:r w:rsidRPr="00D6076E">
        <w:rPr>
          <w:rStyle w:val="CommentReference"/>
          <w:rFonts w:eastAsiaTheme="majorEastAsia" w:cstheme="majorBidi"/>
          <w:b/>
          <w:szCs w:val="24"/>
        </w:rPr>
        <w:fldChar w:fldCharType="end"/>
      </w:r>
      <w:bookmarkEnd w:id="38"/>
      <w:r w:rsidRPr="00BC4E63">
        <w:t>: Comparative summary of the key secondary outcome of ≥50% response in monthly migraine days in the FOCUS and CONQUER trials</w:t>
      </w:r>
      <w:r w:rsidR="007622FE">
        <w:t xml:space="preserve"> over 12 </w:t>
      </w:r>
      <w:proofErr w:type="gramStart"/>
      <w:r w:rsidR="007622FE">
        <w:t>weeks</w:t>
      </w:r>
      <w:proofErr w:type="gramEnd"/>
    </w:p>
    <w:tbl>
      <w:tblPr>
        <w:tblStyle w:val="TableGrid"/>
        <w:tblW w:w="5000" w:type="pct"/>
        <w:tblLook w:val="04A0" w:firstRow="1" w:lastRow="0" w:firstColumn="1" w:lastColumn="0" w:noHBand="0" w:noVBand="1"/>
      </w:tblPr>
      <w:tblGrid>
        <w:gridCol w:w="1266"/>
        <w:gridCol w:w="1497"/>
        <w:gridCol w:w="1497"/>
        <w:gridCol w:w="1383"/>
        <w:gridCol w:w="1688"/>
        <w:gridCol w:w="1686"/>
      </w:tblGrid>
      <w:tr w:rsidR="00A25593" w14:paraId="17077987" w14:textId="2A36769D" w:rsidTr="00A25593">
        <w:tc>
          <w:tcPr>
            <w:tcW w:w="702" w:type="pct"/>
          </w:tcPr>
          <w:p w14:paraId="2AEFBC9A" w14:textId="68FA9038" w:rsidR="00A25593" w:rsidRDefault="00A25593" w:rsidP="00556756">
            <w:pPr>
              <w:pStyle w:val="TableHeading0"/>
              <w:keepLines/>
            </w:pPr>
          </w:p>
        </w:tc>
        <w:tc>
          <w:tcPr>
            <w:tcW w:w="1660" w:type="pct"/>
            <w:gridSpan w:val="2"/>
          </w:tcPr>
          <w:p w14:paraId="40A11167" w14:textId="38EB614F" w:rsidR="00A25593" w:rsidRDefault="00A25593" w:rsidP="00556756">
            <w:pPr>
              <w:pStyle w:val="TableHeading0"/>
              <w:keepLines/>
              <w:jc w:val="center"/>
            </w:pPr>
            <w:r>
              <w:t>FOCUS</w:t>
            </w:r>
          </w:p>
        </w:tc>
        <w:tc>
          <w:tcPr>
            <w:tcW w:w="767" w:type="pct"/>
          </w:tcPr>
          <w:p w14:paraId="7E2581A5" w14:textId="7103DD64" w:rsidR="00A25593" w:rsidRDefault="00A25593" w:rsidP="00556756">
            <w:pPr>
              <w:pStyle w:val="TableHeading0"/>
              <w:keepLines/>
            </w:pPr>
            <w:r>
              <w:t>CONQUER</w:t>
            </w:r>
          </w:p>
        </w:tc>
        <w:tc>
          <w:tcPr>
            <w:tcW w:w="1871" w:type="pct"/>
            <w:gridSpan w:val="2"/>
          </w:tcPr>
          <w:p w14:paraId="067125ED" w14:textId="51773701" w:rsidR="00A25593" w:rsidRDefault="00A25593" w:rsidP="00556756">
            <w:pPr>
              <w:pStyle w:val="TableHeading0"/>
              <w:keepLines/>
              <w:jc w:val="center"/>
            </w:pPr>
            <w:r>
              <w:t>Indirect comparisons</w:t>
            </w:r>
          </w:p>
        </w:tc>
      </w:tr>
      <w:tr w:rsidR="0021354C" w14:paraId="660D24B2" w14:textId="3DC8B41D" w:rsidTr="0021354C">
        <w:tc>
          <w:tcPr>
            <w:tcW w:w="702" w:type="pct"/>
          </w:tcPr>
          <w:p w14:paraId="2C476AFE" w14:textId="35F17244" w:rsidR="0021354C" w:rsidRDefault="00A25593" w:rsidP="00556756">
            <w:pPr>
              <w:pStyle w:val="TableHeading0"/>
              <w:keepLines/>
            </w:pPr>
            <w:r>
              <w:t>Population</w:t>
            </w:r>
          </w:p>
        </w:tc>
        <w:tc>
          <w:tcPr>
            <w:tcW w:w="830" w:type="pct"/>
          </w:tcPr>
          <w:p w14:paraId="4AE0667E" w14:textId="4A56724F" w:rsidR="0021354C" w:rsidRDefault="0021354C" w:rsidP="00556756">
            <w:pPr>
              <w:pStyle w:val="TableHeading0"/>
              <w:keepLines/>
              <w:jc w:val="center"/>
            </w:pPr>
            <w:r>
              <w:t>FREM Q vs. placebo</w:t>
            </w:r>
          </w:p>
        </w:tc>
        <w:tc>
          <w:tcPr>
            <w:tcW w:w="830" w:type="pct"/>
          </w:tcPr>
          <w:p w14:paraId="1DC8CFE9" w14:textId="77D758C6" w:rsidR="0021354C" w:rsidRDefault="0021354C" w:rsidP="00556756">
            <w:pPr>
              <w:pStyle w:val="TableHeading0"/>
              <w:keepLines/>
              <w:jc w:val="center"/>
            </w:pPr>
            <w:r>
              <w:t>FREM M vs. placebo</w:t>
            </w:r>
          </w:p>
        </w:tc>
        <w:tc>
          <w:tcPr>
            <w:tcW w:w="767" w:type="pct"/>
          </w:tcPr>
          <w:p w14:paraId="3BDCD2D8" w14:textId="2B3A7ABF" w:rsidR="0021354C" w:rsidRDefault="0021354C" w:rsidP="00556756">
            <w:pPr>
              <w:pStyle w:val="TableHeading0"/>
              <w:keepLines/>
              <w:jc w:val="center"/>
            </w:pPr>
            <w:r>
              <w:t>GALC vs. placebo</w:t>
            </w:r>
          </w:p>
        </w:tc>
        <w:tc>
          <w:tcPr>
            <w:tcW w:w="936" w:type="pct"/>
          </w:tcPr>
          <w:p w14:paraId="5049D34E" w14:textId="77777777" w:rsidR="0021354C" w:rsidRDefault="0021354C" w:rsidP="00556756">
            <w:pPr>
              <w:pStyle w:val="TableHeading0"/>
              <w:keepLines/>
              <w:jc w:val="center"/>
            </w:pPr>
            <w:r>
              <w:t>FREM Q vs. GALC</w:t>
            </w:r>
          </w:p>
          <w:p w14:paraId="219180F6" w14:textId="79EF677F" w:rsidR="00A25593" w:rsidRDefault="00A25593" w:rsidP="00556756">
            <w:pPr>
              <w:pStyle w:val="TableHeading0"/>
              <w:keepLines/>
              <w:jc w:val="center"/>
            </w:pPr>
            <w:r>
              <w:t>Estimate (95% CI), p-value</w:t>
            </w:r>
          </w:p>
        </w:tc>
        <w:tc>
          <w:tcPr>
            <w:tcW w:w="935" w:type="pct"/>
          </w:tcPr>
          <w:p w14:paraId="38EAD57C" w14:textId="77777777" w:rsidR="0021354C" w:rsidRDefault="0021354C" w:rsidP="00556756">
            <w:pPr>
              <w:pStyle w:val="TableHeading0"/>
              <w:keepLines/>
              <w:jc w:val="center"/>
            </w:pPr>
            <w:r>
              <w:t>FREM M vs. GALC</w:t>
            </w:r>
          </w:p>
          <w:p w14:paraId="57B28D28" w14:textId="283C427C" w:rsidR="00A25593" w:rsidRDefault="00A25593" w:rsidP="00556756">
            <w:pPr>
              <w:pStyle w:val="TableHeading0"/>
              <w:keepLines/>
              <w:jc w:val="center"/>
            </w:pPr>
            <w:r>
              <w:t>Estimate (95% CI), p-value</w:t>
            </w:r>
          </w:p>
        </w:tc>
      </w:tr>
      <w:tr w:rsidR="00A25593" w14:paraId="58A008CB" w14:textId="77DE2273" w:rsidTr="00565845">
        <w:tc>
          <w:tcPr>
            <w:tcW w:w="1532" w:type="pct"/>
            <w:gridSpan w:val="2"/>
            <w:tcBorders>
              <w:right w:val="nil"/>
            </w:tcBorders>
          </w:tcPr>
          <w:p w14:paraId="222064BE" w14:textId="135956FE" w:rsidR="00A25593" w:rsidRDefault="00A25593" w:rsidP="00556756">
            <w:pPr>
              <w:pStyle w:val="In-tableHeading"/>
              <w:keepLines/>
            </w:pPr>
            <w:r>
              <w:t>All EM population</w:t>
            </w:r>
          </w:p>
        </w:tc>
        <w:tc>
          <w:tcPr>
            <w:tcW w:w="830" w:type="pct"/>
            <w:tcBorders>
              <w:left w:val="nil"/>
              <w:right w:val="nil"/>
            </w:tcBorders>
          </w:tcPr>
          <w:p w14:paraId="4FC59C12" w14:textId="77777777" w:rsidR="00A25593" w:rsidRDefault="00A25593" w:rsidP="00556756">
            <w:pPr>
              <w:pStyle w:val="TableHeading0"/>
              <w:keepLines/>
            </w:pPr>
          </w:p>
        </w:tc>
        <w:tc>
          <w:tcPr>
            <w:tcW w:w="767" w:type="pct"/>
            <w:tcBorders>
              <w:left w:val="nil"/>
              <w:right w:val="nil"/>
            </w:tcBorders>
          </w:tcPr>
          <w:p w14:paraId="6B015094" w14:textId="77777777" w:rsidR="00A25593" w:rsidRDefault="00A25593" w:rsidP="00556756">
            <w:pPr>
              <w:pStyle w:val="TableHeading0"/>
              <w:keepLines/>
            </w:pPr>
          </w:p>
        </w:tc>
        <w:tc>
          <w:tcPr>
            <w:tcW w:w="936" w:type="pct"/>
            <w:tcBorders>
              <w:left w:val="nil"/>
              <w:right w:val="nil"/>
            </w:tcBorders>
          </w:tcPr>
          <w:p w14:paraId="2C7D2924" w14:textId="77777777" w:rsidR="00A25593" w:rsidRDefault="00A25593" w:rsidP="00556756">
            <w:pPr>
              <w:pStyle w:val="TableHeading0"/>
              <w:keepLines/>
            </w:pPr>
          </w:p>
        </w:tc>
        <w:tc>
          <w:tcPr>
            <w:tcW w:w="935" w:type="pct"/>
            <w:tcBorders>
              <w:left w:val="nil"/>
            </w:tcBorders>
          </w:tcPr>
          <w:p w14:paraId="1FDC9DB3" w14:textId="77777777" w:rsidR="00A25593" w:rsidRDefault="00A25593" w:rsidP="00556756">
            <w:pPr>
              <w:pStyle w:val="TableHeading0"/>
              <w:keepLines/>
            </w:pPr>
          </w:p>
        </w:tc>
      </w:tr>
      <w:tr w:rsidR="0021354C" w14:paraId="50B7C35C" w14:textId="6D9AA2AF" w:rsidTr="00A25593">
        <w:tc>
          <w:tcPr>
            <w:tcW w:w="702" w:type="pct"/>
            <w:vAlign w:val="center"/>
          </w:tcPr>
          <w:p w14:paraId="14CDFC53" w14:textId="5FD10397" w:rsidR="0021354C" w:rsidRDefault="0021354C" w:rsidP="00556756">
            <w:pPr>
              <w:pStyle w:val="TableHeading0"/>
              <w:keepLines/>
            </w:pPr>
            <w:r>
              <w:t>Risk difference</w:t>
            </w:r>
          </w:p>
        </w:tc>
        <w:tc>
          <w:tcPr>
            <w:tcW w:w="830" w:type="pct"/>
            <w:vAlign w:val="center"/>
          </w:tcPr>
          <w:p w14:paraId="3D55AC2F" w14:textId="29FB64EB" w:rsidR="0021354C" w:rsidRPr="0021354C" w:rsidRDefault="0021354C" w:rsidP="00556756">
            <w:pPr>
              <w:pStyle w:val="TableHeading0"/>
              <w:keepLines/>
              <w:jc w:val="center"/>
              <w:rPr>
                <w:b w:val="0"/>
                <w:bCs/>
              </w:rPr>
            </w:pPr>
            <w:r w:rsidRPr="0021354C">
              <w:rPr>
                <w:b w:val="0"/>
                <w:bCs/>
              </w:rPr>
              <w:t>0.37</w:t>
            </w:r>
          </w:p>
        </w:tc>
        <w:tc>
          <w:tcPr>
            <w:tcW w:w="830" w:type="pct"/>
            <w:vAlign w:val="center"/>
          </w:tcPr>
          <w:p w14:paraId="1ABB4B1D" w14:textId="63DD9179" w:rsidR="0021354C" w:rsidRPr="0021354C" w:rsidRDefault="0021354C" w:rsidP="00556756">
            <w:pPr>
              <w:pStyle w:val="TableHeading0"/>
              <w:keepLines/>
              <w:jc w:val="center"/>
              <w:rPr>
                <w:b w:val="0"/>
                <w:bCs/>
              </w:rPr>
            </w:pPr>
            <w:r w:rsidRPr="0021354C">
              <w:rPr>
                <w:b w:val="0"/>
                <w:bCs/>
              </w:rPr>
              <w:t>0.33</w:t>
            </w:r>
          </w:p>
        </w:tc>
        <w:tc>
          <w:tcPr>
            <w:tcW w:w="767" w:type="pct"/>
            <w:vAlign w:val="center"/>
          </w:tcPr>
          <w:p w14:paraId="1E3D4851" w14:textId="71648AFA" w:rsidR="0021354C" w:rsidRPr="0021354C" w:rsidRDefault="0021354C" w:rsidP="00556756">
            <w:pPr>
              <w:pStyle w:val="TableHeading0"/>
              <w:keepLines/>
              <w:jc w:val="center"/>
              <w:rPr>
                <w:b w:val="0"/>
                <w:bCs/>
              </w:rPr>
            </w:pPr>
            <w:r w:rsidRPr="0021354C">
              <w:rPr>
                <w:b w:val="0"/>
                <w:bCs/>
              </w:rPr>
              <w:t>0.25</w:t>
            </w:r>
          </w:p>
        </w:tc>
        <w:tc>
          <w:tcPr>
            <w:tcW w:w="936" w:type="pct"/>
            <w:vAlign w:val="center"/>
          </w:tcPr>
          <w:p w14:paraId="027C8064" w14:textId="77777777" w:rsidR="0021354C" w:rsidRDefault="00A25593" w:rsidP="00556756">
            <w:pPr>
              <w:pStyle w:val="TableHeading0"/>
              <w:keepLines/>
              <w:jc w:val="center"/>
              <w:rPr>
                <w:b w:val="0"/>
                <w:bCs/>
              </w:rPr>
            </w:pPr>
            <w:r w:rsidRPr="00A25593">
              <w:rPr>
                <w:b w:val="0"/>
                <w:bCs/>
              </w:rPr>
              <w:t>0.122 (-0.03, 0.273)</w:t>
            </w:r>
          </w:p>
          <w:p w14:paraId="300C086B" w14:textId="161189E6" w:rsidR="00A25593" w:rsidRPr="00A25593" w:rsidRDefault="00A25593" w:rsidP="00556756">
            <w:pPr>
              <w:pStyle w:val="TableHeading0"/>
              <w:keepLines/>
              <w:jc w:val="center"/>
              <w:rPr>
                <w:b w:val="0"/>
                <w:bCs/>
              </w:rPr>
            </w:pPr>
            <w:r>
              <w:rPr>
                <w:b w:val="0"/>
                <w:bCs/>
              </w:rPr>
              <w:t>0.115</w:t>
            </w:r>
          </w:p>
        </w:tc>
        <w:tc>
          <w:tcPr>
            <w:tcW w:w="935" w:type="pct"/>
            <w:vAlign w:val="center"/>
          </w:tcPr>
          <w:p w14:paraId="4AD26983" w14:textId="77777777" w:rsidR="0021354C" w:rsidRDefault="00A25593" w:rsidP="00556756">
            <w:pPr>
              <w:pStyle w:val="TableHeading0"/>
              <w:keepLines/>
              <w:jc w:val="center"/>
              <w:rPr>
                <w:b w:val="0"/>
                <w:bCs/>
              </w:rPr>
            </w:pPr>
            <w:r w:rsidRPr="00A25593">
              <w:rPr>
                <w:b w:val="0"/>
                <w:bCs/>
              </w:rPr>
              <w:t>0.082 (-0.0</w:t>
            </w:r>
            <w:r>
              <w:rPr>
                <w:b w:val="0"/>
                <w:bCs/>
              </w:rPr>
              <w:t>7</w:t>
            </w:r>
            <w:r w:rsidRPr="00A25593">
              <w:rPr>
                <w:b w:val="0"/>
                <w:bCs/>
              </w:rPr>
              <w:t>, 0.23)</w:t>
            </w:r>
          </w:p>
          <w:p w14:paraId="605FF86D" w14:textId="24C84A1E" w:rsidR="00A25593" w:rsidRPr="00A25593" w:rsidRDefault="00A25593" w:rsidP="00556756">
            <w:pPr>
              <w:pStyle w:val="TableHeading0"/>
              <w:keepLines/>
              <w:jc w:val="center"/>
              <w:rPr>
                <w:b w:val="0"/>
                <w:bCs/>
              </w:rPr>
            </w:pPr>
            <w:r>
              <w:rPr>
                <w:b w:val="0"/>
                <w:bCs/>
              </w:rPr>
              <w:t>0.286</w:t>
            </w:r>
          </w:p>
        </w:tc>
      </w:tr>
      <w:tr w:rsidR="0021354C" w14:paraId="0F1D1DF1" w14:textId="5CCA5A51" w:rsidTr="00A25593">
        <w:tc>
          <w:tcPr>
            <w:tcW w:w="702" w:type="pct"/>
            <w:vAlign w:val="center"/>
          </w:tcPr>
          <w:p w14:paraId="34CE77DD" w14:textId="3A718DD2" w:rsidR="0021354C" w:rsidRDefault="0021354C" w:rsidP="00556756">
            <w:pPr>
              <w:pStyle w:val="TableHeading0"/>
              <w:keepLines/>
            </w:pPr>
            <w:r>
              <w:t>Risk ratio</w:t>
            </w:r>
          </w:p>
        </w:tc>
        <w:tc>
          <w:tcPr>
            <w:tcW w:w="830" w:type="pct"/>
            <w:vAlign w:val="center"/>
          </w:tcPr>
          <w:p w14:paraId="6FD93226" w14:textId="4F6B5598" w:rsidR="0021354C" w:rsidRPr="0021354C" w:rsidRDefault="0021354C" w:rsidP="00556756">
            <w:pPr>
              <w:pStyle w:val="TableHeading0"/>
              <w:keepLines/>
              <w:jc w:val="center"/>
              <w:rPr>
                <w:b w:val="0"/>
                <w:bCs/>
              </w:rPr>
            </w:pPr>
            <w:r>
              <w:rPr>
                <w:b w:val="0"/>
                <w:bCs/>
              </w:rPr>
              <w:t>4.72</w:t>
            </w:r>
          </w:p>
        </w:tc>
        <w:tc>
          <w:tcPr>
            <w:tcW w:w="830" w:type="pct"/>
            <w:vAlign w:val="center"/>
          </w:tcPr>
          <w:p w14:paraId="7A65C5FA" w14:textId="4D1F970A" w:rsidR="0021354C" w:rsidRPr="0021354C" w:rsidRDefault="0021354C" w:rsidP="00556756">
            <w:pPr>
              <w:pStyle w:val="TableHeading0"/>
              <w:keepLines/>
              <w:jc w:val="center"/>
              <w:rPr>
                <w:b w:val="0"/>
                <w:bCs/>
              </w:rPr>
            </w:pPr>
            <w:r>
              <w:rPr>
                <w:b w:val="0"/>
                <w:bCs/>
              </w:rPr>
              <w:t>4.31</w:t>
            </w:r>
          </w:p>
        </w:tc>
        <w:tc>
          <w:tcPr>
            <w:tcW w:w="767" w:type="pct"/>
            <w:vAlign w:val="center"/>
          </w:tcPr>
          <w:p w14:paraId="2D68F07F" w14:textId="676BC88C" w:rsidR="0021354C" w:rsidRPr="0021354C" w:rsidRDefault="0021354C" w:rsidP="00556756">
            <w:pPr>
              <w:pStyle w:val="TableHeading0"/>
              <w:keepLines/>
              <w:jc w:val="center"/>
              <w:rPr>
                <w:b w:val="0"/>
                <w:bCs/>
              </w:rPr>
            </w:pPr>
            <w:r>
              <w:rPr>
                <w:b w:val="0"/>
                <w:bCs/>
              </w:rPr>
              <w:t>2.44</w:t>
            </w:r>
          </w:p>
        </w:tc>
        <w:tc>
          <w:tcPr>
            <w:tcW w:w="936" w:type="pct"/>
            <w:vAlign w:val="center"/>
          </w:tcPr>
          <w:p w14:paraId="7660CE2C" w14:textId="77777777" w:rsidR="0021354C" w:rsidRDefault="00A25593" w:rsidP="00556756">
            <w:pPr>
              <w:pStyle w:val="TableHeading0"/>
              <w:keepLines/>
              <w:jc w:val="center"/>
              <w:rPr>
                <w:b w:val="0"/>
                <w:bCs/>
              </w:rPr>
            </w:pPr>
            <w:r w:rsidRPr="00A25593">
              <w:rPr>
                <w:b w:val="0"/>
                <w:bCs/>
              </w:rPr>
              <w:t>1.93 (0.93, 4.02)</w:t>
            </w:r>
          </w:p>
          <w:p w14:paraId="2DDF0889" w14:textId="137223D6" w:rsidR="00A25593" w:rsidRPr="0021354C" w:rsidRDefault="00A25593" w:rsidP="00556756">
            <w:pPr>
              <w:pStyle w:val="TableHeading0"/>
              <w:keepLines/>
              <w:jc w:val="center"/>
              <w:rPr>
                <w:b w:val="0"/>
                <w:bCs/>
              </w:rPr>
            </w:pPr>
            <w:r>
              <w:rPr>
                <w:b w:val="0"/>
                <w:bCs/>
              </w:rPr>
              <w:t>0.077</w:t>
            </w:r>
          </w:p>
        </w:tc>
        <w:tc>
          <w:tcPr>
            <w:tcW w:w="935" w:type="pct"/>
            <w:vAlign w:val="center"/>
          </w:tcPr>
          <w:p w14:paraId="089B0EA3" w14:textId="77777777" w:rsidR="0021354C" w:rsidRDefault="00A25593" w:rsidP="00556756">
            <w:pPr>
              <w:pStyle w:val="TableHeading0"/>
              <w:keepLines/>
              <w:jc w:val="center"/>
              <w:rPr>
                <w:b w:val="0"/>
                <w:bCs/>
              </w:rPr>
            </w:pPr>
            <w:r w:rsidRPr="00A25593">
              <w:rPr>
                <w:b w:val="0"/>
                <w:bCs/>
              </w:rPr>
              <w:t>1.77 (0.85, 3.69)</w:t>
            </w:r>
          </w:p>
          <w:p w14:paraId="59F7C4C5" w14:textId="348BDB92" w:rsidR="00A25593" w:rsidRPr="0021354C" w:rsidRDefault="00A25593" w:rsidP="00556756">
            <w:pPr>
              <w:pStyle w:val="TableHeading0"/>
              <w:keepLines/>
              <w:jc w:val="center"/>
              <w:rPr>
                <w:b w:val="0"/>
                <w:bCs/>
              </w:rPr>
            </w:pPr>
            <w:r>
              <w:rPr>
                <w:b w:val="0"/>
                <w:bCs/>
              </w:rPr>
              <w:t>0.129</w:t>
            </w:r>
          </w:p>
        </w:tc>
      </w:tr>
      <w:tr w:rsidR="0021354C" w14:paraId="5266BF5D" w14:textId="11449043" w:rsidTr="00A25593">
        <w:tc>
          <w:tcPr>
            <w:tcW w:w="702" w:type="pct"/>
            <w:vAlign w:val="center"/>
          </w:tcPr>
          <w:p w14:paraId="6B126BEF" w14:textId="291E6D27" w:rsidR="0021354C" w:rsidRDefault="0021354C" w:rsidP="00556756">
            <w:pPr>
              <w:pStyle w:val="TableHeading0"/>
              <w:keepLines/>
            </w:pPr>
            <w:r>
              <w:t>Odds ratio</w:t>
            </w:r>
          </w:p>
        </w:tc>
        <w:tc>
          <w:tcPr>
            <w:tcW w:w="830" w:type="pct"/>
            <w:vAlign w:val="center"/>
          </w:tcPr>
          <w:p w14:paraId="3CC3914E" w14:textId="7EB3ADF1" w:rsidR="0021354C" w:rsidRPr="0021354C" w:rsidRDefault="0021354C" w:rsidP="00556756">
            <w:pPr>
              <w:pStyle w:val="TableHeading0"/>
              <w:keepLines/>
              <w:jc w:val="center"/>
              <w:rPr>
                <w:b w:val="0"/>
                <w:bCs/>
              </w:rPr>
            </w:pPr>
            <w:r>
              <w:rPr>
                <w:b w:val="0"/>
                <w:bCs/>
              </w:rPr>
              <w:t>7.97</w:t>
            </w:r>
          </w:p>
        </w:tc>
        <w:tc>
          <w:tcPr>
            <w:tcW w:w="830" w:type="pct"/>
            <w:vAlign w:val="center"/>
          </w:tcPr>
          <w:p w14:paraId="35AA4350" w14:textId="33613589" w:rsidR="0021354C" w:rsidRPr="0021354C" w:rsidRDefault="0021354C" w:rsidP="00556756">
            <w:pPr>
              <w:pStyle w:val="TableHeading0"/>
              <w:keepLines/>
              <w:jc w:val="center"/>
              <w:rPr>
                <w:b w:val="0"/>
                <w:bCs/>
              </w:rPr>
            </w:pPr>
            <w:r>
              <w:rPr>
                <w:b w:val="0"/>
                <w:bCs/>
              </w:rPr>
              <w:t>6.78</w:t>
            </w:r>
          </w:p>
        </w:tc>
        <w:tc>
          <w:tcPr>
            <w:tcW w:w="767" w:type="pct"/>
            <w:vAlign w:val="center"/>
          </w:tcPr>
          <w:p w14:paraId="5FE53611" w14:textId="34C81CFE" w:rsidR="0021354C" w:rsidRPr="0021354C" w:rsidRDefault="0021354C" w:rsidP="00556756">
            <w:pPr>
              <w:pStyle w:val="TableHeading0"/>
              <w:keepLines/>
              <w:jc w:val="center"/>
              <w:rPr>
                <w:b w:val="0"/>
                <w:bCs/>
              </w:rPr>
            </w:pPr>
            <w:r>
              <w:rPr>
                <w:b w:val="0"/>
                <w:bCs/>
              </w:rPr>
              <w:t>3.47</w:t>
            </w:r>
          </w:p>
        </w:tc>
        <w:tc>
          <w:tcPr>
            <w:tcW w:w="936" w:type="pct"/>
            <w:vAlign w:val="center"/>
          </w:tcPr>
          <w:p w14:paraId="0268D814" w14:textId="77777777" w:rsidR="0021354C" w:rsidRDefault="00A25593" w:rsidP="00556756">
            <w:pPr>
              <w:pStyle w:val="TableHeading0"/>
              <w:keepLines/>
              <w:jc w:val="center"/>
              <w:rPr>
                <w:b w:val="0"/>
                <w:bCs/>
              </w:rPr>
            </w:pPr>
            <w:r w:rsidRPr="00A25593">
              <w:rPr>
                <w:b w:val="0"/>
                <w:bCs/>
              </w:rPr>
              <w:t>2.30 (0.91, 5.79)</w:t>
            </w:r>
          </w:p>
          <w:p w14:paraId="77581A7E" w14:textId="29780AF5" w:rsidR="00A25593" w:rsidRPr="0021354C" w:rsidRDefault="00A25593" w:rsidP="00556756">
            <w:pPr>
              <w:pStyle w:val="TableHeading0"/>
              <w:keepLines/>
              <w:jc w:val="center"/>
              <w:rPr>
                <w:b w:val="0"/>
                <w:bCs/>
              </w:rPr>
            </w:pPr>
            <w:r>
              <w:rPr>
                <w:b w:val="0"/>
                <w:bCs/>
              </w:rPr>
              <w:t>0.077</w:t>
            </w:r>
          </w:p>
        </w:tc>
        <w:tc>
          <w:tcPr>
            <w:tcW w:w="935" w:type="pct"/>
            <w:vAlign w:val="center"/>
          </w:tcPr>
          <w:p w14:paraId="1186ED57" w14:textId="77777777" w:rsidR="0021354C" w:rsidRDefault="00A25593" w:rsidP="00556756">
            <w:pPr>
              <w:pStyle w:val="TableHeading0"/>
              <w:keepLines/>
              <w:jc w:val="center"/>
              <w:rPr>
                <w:b w:val="0"/>
                <w:bCs/>
              </w:rPr>
            </w:pPr>
            <w:r w:rsidRPr="00A25593">
              <w:rPr>
                <w:b w:val="0"/>
                <w:bCs/>
              </w:rPr>
              <w:t>1.95 (0.78, 4.92)</w:t>
            </w:r>
          </w:p>
          <w:p w14:paraId="0E5F13E3" w14:textId="54EC871C" w:rsidR="00A25593" w:rsidRPr="0021354C" w:rsidRDefault="00A25593" w:rsidP="00556756">
            <w:pPr>
              <w:pStyle w:val="TableHeading0"/>
              <w:keepLines/>
              <w:jc w:val="center"/>
              <w:rPr>
                <w:b w:val="0"/>
                <w:bCs/>
              </w:rPr>
            </w:pPr>
            <w:r>
              <w:rPr>
                <w:b w:val="0"/>
                <w:bCs/>
              </w:rPr>
              <w:t>0.154</w:t>
            </w:r>
          </w:p>
        </w:tc>
      </w:tr>
      <w:tr w:rsidR="00E34819" w14:paraId="4810FA34" w14:textId="77777777" w:rsidTr="00E34819">
        <w:tc>
          <w:tcPr>
            <w:tcW w:w="5000" w:type="pct"/>
            <w:gridSpan w:val="6"/>
            <w:vAlign w:val="center"/>
          </w:tcPr>
          <w:p w14:paraId="75AB4F60" w14:textId="0C60EAA1" w:rsidR="00E34819" w:rsidRPr="00A25593" w:rsidRDefault="00E34819" w:rsidP="00556756">
            <w:pPr>
              <w:pStyle w:val="In-tableHeading"/>
              <w:keepLines/>
              <w:rPr>
                <w:bCs/>
              </w:rPr>
            </w:pPr>
            <w:r w:rsidRPr="00D77B5B">
              <w:t xml:space="preserve">Subgroup of patients with </w:t>
            </w:r>
            <w:r>
              <w:t>HFEM</w:t>
            </w:r>
            <w:r w:rsidRPr="00D77B5B">
              <w:t xml:space="preserve"> ≥3 prior treatment failures</w:t>
            </w:r>
            <w:r>
              <w:t xml:space="preserve"> (proposed PBS population)</w:t>
            </w:r>
          </w:p>
        </w:tc>
      </w:tr>
      <w:tr w:rsidR="00E34819" w14:paraId="635D2ED2" w14:textId="77777777" w:rsidTr="00565845">
        <w:tc>
          <w:tcPr>
            <w:tcW w:w="702" w:type="pct"/>
            <w:vAlign w:val="center"/>
          </w:tcPr>
          <w:p w14:paraId="718F6300" w14:textId="46325ECD" w:rsidR="00E34819" w:rsidRDefault="00E34819" w:rsidP="00556756">
            <w:pPr>
              <w:pStyle w:val="TableHeading0"/>
              <w:keepLines/>
            </w:pPr>
            <w:r>
              <w:t>Risk difference</w:t>
            </w:r>
          </w:p>
        </w:tc>
        <w:tc>
          <w:tcPr>
            <w:tcW w:w="830" w:type="pct"/>
            <w:vAlign w:val="center"/>
          </w:tcPr>
          <w:p w14:paraId="24D5F628" w14:textId="7D6EF283" w:rsidR="00E34819" w:rsidRPr="00130995" w:rsidRDefault="00565845" w:rsidP="00556756">
            <w:pPr>
              <w:pStyle w:val="TableHeading0"/>
              <w:keepLines/>
              <w:jc w:val="center"/>
              <w:rPr>
                <w:b w:val="0"/>
                <w:bCs/>
              </w:rPr>
            </w:pPr>
            <w:r w:rsidRPr="00130995">
              <w:rPr>
                <w:b w:val="0"/>
                <w:bCs/>
              </w:rPr>
              <w:t>0.41</w:t>
            </w:r>
          </w:p>
        </w:tc>
        <w:tc>
          <w:tcPr>
            <w:tcW w:w="830" w:type="pct"/>
            <w:vAlign w:val="center"/>
          </w:tcPr>
          <w:p w14:paraId="3F511973" w14:textId="5374671B" w:rsidR="00E34819" w:rsidRPr="00130995" w:rsidRDefault="00565845" w:rsidP="00556756">
            <w:pPr>
              <w:pStyle w:val="TableHeading0"/>
              <w:keepLines/>
              <w:jc w:val="center"/>
              <w:rPr>
                <w:b w:val="0"/>
                <w:bCs/>
              </w:rPr>
            </w:pPr>
            <w:r w:rsidRPr="00130995">
              <w:rPr>
                <w:b w:val="0"/>
                <w:bCs/>
              </w:rPr>
              <w:t>0.44</w:t>
            </w:r>
          </w:p>
        </w:tc>
        <w:tc>
          <w:tcPr>
            <w:tcW w:w="767" w:type="pct"/>
            <w:vAlign w:val="center"/>
          </w:tcPr>
          <w:p w14:paraId="254A1E1B" w14:textId="3FACAA0A" w:rsidR="00E34819" w:rsidRPr="00130995" w:rsidRDefault="00565845" w:rsidP="00556756">
            <w:pPr>
              <w:pStyle w:val="TableHeading0"/>
              <w:keepLines/>
              <w:jc w:val="center"/>
              <w:rPr>
                <w:b w:val="0"/>
                <w:bCs/>
              </w:rPr>
            </w:pPr>
            <w:r w:rsidRPr="00130995">
              <w:rPr>
                <w:b w:val="0"/>
                <w:bCs/>
              </w:rPr>
              <w:t>0.23</w:t>
            </w:r>
          </w:p>
        </w:tc>
        <w:tc>
          <w:tcPr>
            <w:tcW w:w="936" w:type="pct"/>
            <w:vAlign w:val="center"/>
          </w:tcPr>
          <w:p w14:paraId="4C3233E3" w14:textId="77777777" w:rsidR="00E34819" w:rsidRPr="00130995" w:rsidRDefault="00565845" w:rsidP="00556756">
            <w:pPr>
              <w:pStyle w:val="TableHeading0"/>
              <w:keepLines/>
              <w:jc w:val="center"/>
              <w:rPr>
                <w:b w:val="0"/>
                <w:bCs/>
              </w:rPr>
            </w:pPr>
            <w:r w:rsidRPr="00130995">
              <w:rPr>
                <w:b w:val="0"/>
                <w:bCs/>
              </w:rPr>
              <w:t>0.18 (-0.10, 0.46)</w:t>
            </w:r>
          </w:p>
          <w:p w14:paraId="2771B6AB" w14:textId="50C1D0A5" w:rsidR="00565845" w:rsidRPr="00130995" w:rsidRDefault="00565845" w:rsidP="00556756">
            <w:pPr>
              <w:pStyle w:val="TableHeading0"/>
              <w:keepLines/>
              <w:jc w:val="center"/>
              <w:rPr>
                <w:b w:val="0"/>
                <w:bCs/>
              </w:rPr>
            </w:pPr>
            <w:r w:rsidRPr="00130995">
              <w:rPr>
                <w:b w:val="0"/>
                <w:bCs/>
              </w:rPr>
              <w:t>0.202</w:t>
            </w:r>
          </w:p>
        </w:tc>
        <w:tc>
          <w:tcPr>
            <w:tcW w:w="935" w:type="pct"/>
            <w:vAlign w:val="center"/>
          </w:tcPr>
          <w:p w14:paraId="337D82BD" w14:textId="77777777" w:rsidR="00E34819" w:rsidRPr="00130995" w:rsidRDefault="00565845" w:rsidP="00556756">
            <w:pPr>
              <w:pStyle w:val="TableHeading0"/>
              <w:keepLines/>
              <w:jc w:val="center"/>
              <w:rPr>
                <w:b w:val="0"/>
                <w:bCs/>
              </w:rPr>
            </w:pPr>
            <w:r w:rsidRPr="00130995">
              <w:rPr>
                <w:b w:val="0"/>
                <w:bCs/>
              </w:rPr>
              <w:t>0.212 (-0.04, 0.47)</w:t>
            </w:r>
          </w:p>
          <w:p w14:paraId="50799530" w14:textId="46EC499A" w:rsidR="00565845" w:rsidRPr="00130995" w:rsidRDefault="00565845" w:rsidP="00556756">
            <w:pPr>
              <w:pStyle w:val="TableHeading0"/>
              <w:keepLines/>
              <w:jc w:val="center"/>
              <w:rPr>
                <w:b w:val="0"/>
                <w:bCs/>
              </w:rPr>
            </w:pPr>
            <w:r w:rsidRPr="00130995">
              <w:rPr>
                <w:b w:val="0"/>
                <w:bCs/>
              </w:rPr>
              <w:t>0.103</w:t>
            </w:r>
          </w:p>
        </w:tc>
      </w:tr>
      <w:tr w:rsidR="00E34819" w14:paraId="627BBF4B" w14:textId="77777777" w:rsidTr="00A25593">
        <w:tc>
          <w:tcPr>
            <w:tcW w:w="702" w:type="pct"/>
            <w:vAlign w:val="center"/>
          </w:tcPr>
          <w:p w14:paraId="5EE8D4FA" w14:textId="156BA7AE" w:rsidR="00E34819" w:rsidRDefault="00E34819" w:rsidP="00556756">
            <w:pPr>
              <w:pStyle w:val="TableHeading0"/>
              <w:keepLines/>
            </w:pPr>
            <w:r>
              <w:t>Risk ratio</w:t>
            </w:r>
          </w:p>
        </w:tc>
        <w:tc>
          <w:tcPr>
            <w:tcW w:w="830" w:type="pct"/>
            <w:vAlign w:val="center"/>
          </w:tcPr>
          <w:p w14:paraId="253F68D1" w14:textId="63A11D66" w:rsidR="00E34819" w:rsidRPr="00130995" w:rsidRDefault="00565845" w:rsidP="00556756">
            <w:pPr>
              <w:pStyle w:val="TableHeading0"/>
              <w:keepLines/>
              <w:jc w:val="center"/>
              <w:rPr>
                <w:b w:val="0"/>
                <w:bCs/>
              </w:rPr>
            </w:pPr>
            <w:r w:rsidRPr="00130995">
              <w:rPr>
                <w:b w:val="0"/>
                <w:bCs/>
              </w:rPr>
              <w:t>13.20</w:t>
            </w:r>
          </w:p>
        </w:tc>
        <w:tc>
          <w:tcPr>
            <w:tcW w:w="830" w:type="pct"/>
            <w:vAlign w:val="center"/>
          </w:tcPr>
          <w:p w14:paraId="0CA4E648" w14:textId="5B2ABBE0" w:rsidR="00E34819" w:rsidRPr="00130995" w:rsidRDefault="00565845" w:rsidP="00556756">
            <w:pPr>
              <w:pStyle w:val="TableHeading0"/>
              <w:keepLines/>
              <w:jc w:val="center"/>
              <w:rPr>
                <w:b w:val="0"/>
                <w:bCs/>
              </w:rPr>
            </w:pPr>
            <w:r w:rsidRPr="00130995">
              <w:rPr>
                <w:b w:val="0"/>
                <w:bCs/>
              </w:rPr>
              <w:t>14.17</w:t>
            </w:r>
          </w:p>
        </w:tc>
        <w:tc>
          <w:tcPr>
            <w:tcW w:w="767" w:type="pct"/>
            <w:vAlign w:val="center"/>
          </w:tcPr>
          <w:p w14:paraId="2D230F28" w14:textId="29141C7A" w:rsidR="00E34819" w:rsidRPr="00130995" w:rsidRDefault="00565845" w:rsidP="00556756">
            <w:pPr>
              <w:pStyle w:val="TableHeading0"/>
              <w:keepLines/>
              <w:jc w:val="center"/>
              <w:rPr>
                <w:b w:val="0"/>
                <w:bCs/>
              </w:rPr>
            </w:pPr>
            <w:r w:rsidRPr="00130995">
              <w:rPr>
                <w:b w:val="0"/>
                <w:bCs/>
              </w:rPr>
              <w:t>2.51</w:t>
            </w:r>
          </w:p>
        </w:tc>
        <w:tc>
          <w:tcPr>
            <w:tcW w:w="936" w:type="pct"/>
            <w:vAlign w:val="center"/>
          </w:tcPr>
          <w:p w14:paraId="5EDC87D4" w14:textId="77777777" w:rsidR="00E34819" w:rsidRPr="00130995" w:rsidRDefault="00565845" w:rsidP="00556756">
            <w:pPr>
              <w:pStyle w:val="TableHeading0"/>
              <w:keepLines/>
              <w:jc w:val="center"/>
              <w:rPr>
                <w:b w:val="0"/>
                <w:bCs/>
              </w:rPr>
            </w:pPr>
            <w:r w:rsidRPr="00130995">
              <w:rPr>
                <w:b w:val="0"/>
                <w:bCs/>
              </w:rPr>
              <w:t>5.25 (0.6, 46.12)</w:t>
            </w:r>
          </w:p>
          <w:p w14:paraId="35093172" w14:textId="41C1FA68" w:rsidR="00565845" w:rsidRPr="00130995" w:rsidRDefault="00565845" w:rsidP="00556756">
            <w:pPr>
              <w:pStyle w:val="TableHeading0"/>
              <w:keepLines/>
              <w:jc w:val="center"/>
              <w:rPr>
                <w:b w:val="0"/>
                <w:bCs/>
              </w:rPr>
            </w:pPr>
            <w:r w:rsidRPr="00130995">
              <w:rPr>
                <w:b w:val="0"/>
                <w:bCs/>
              </w:rPr>
              <w:t>0.135</w:t>
            </w:r>
          </w:p>
        </w:tc>
        <w:tc>
          <w:tcPr>
            <w:tcW w:w="935" w:type="pct"/>
            <w:vAlign w:val="center"/>
          </w:tcPr>
          <w:p w14:paraId="39A4FA44" w14:textId="77777777" w:rsidR="00E34819" w:rsidRPr="00130995" w:rsidRDefault="00565845" w:rsidP="00556756">
            <w:pPr>
              <w:pStyle w:val="TableHeading0"/>
              <w:keepLines/>
              <w:jc w:val="center"/>
              <w:rPr>
                <w:b w:val="0"/>
                <w:bCs/>
              </w:rPr>
            </w:pPr>
            <w:r w:rsidRPr="00130995">
              <w:rPr>
                <w:b w:val="0"/>
                <w:bCs/>
              </w:rPr>
              <w:t>5.64 (0.65, 48.64)</w:t>
            </w:r>
          </w:p>
          <w:p w14:paraId="3CBAB9EE" w14:textId="2F931248" w:rsidR="00565845" w:rsidRPr="00130995" w:rsidRDefault="00565845" w:rsidP="00556756">
            <w:pPr>
              <w:pStyle w:val="TableHeading0"/>
              <w:keepLines/>
              <w:jc w:val="center"/>
              <w:rPr>
                <w:b w:val="0"/>
                <w:bCs/>
              </w:rPr>
            </w:pPr>
            <w:r w:rsidRPr="00130995">
              <w:rPr>
                <w:b w:val="0"/>
                <w:bCs/>
              </w:rPr>
              <w:t>0.116</w:t>
            </w:r>
          </w:p>
        </w:tc>
      </w:tr>
      <w:tr w:rsidR="00E34819" w14:paraId="6236B315" w14:textId="77777777" w:rsidTr="00A25593">
        <w:tc>
          <w:tcPr>
            <w:tcW w:w="702" w:type="pct"/>
            <w:vAlign w:val="center"/>
          </w:tcPr>
          <w:p w14:paraId="3296C624" w14:textId="5E0C8371" w:rsidR="00E34819" w:rsidRDefault="00E34819" w:rsidP="00556756">
            <w:pPr>
              <w:pStyle w:val="TableHeading0"/>
              <w:keepLines/>
            </w:pPr>
            <w:r>
              <w:t>Odds ratio</w:t>
            </w:r>
          </w:p>
        </w:tc>
        <w:tc>
          <w:tcPr>
            <w:tcW w:w="830" w:type="pct"/>
            <w:vAlign w:val="center"/>
          </w:tcPr>
          <w:p w14:paraId="5D3C287F" w14:textId="34409389" w:rsidR="00E34819" w:rsidRPr="00130995" w:rsidRDefault="00565845" w:rsidP="00556756">
            <w:pPr>
              <w:pStyle w:val="TableHeading0"/>
              <w:keepLines/>
              <w:jc w:val="center"/>
              <w:rPr>
                <w:b w:val="0"/>
                <w:bCs/>
              </w:rPr>
            </w:pPr>
            <w:r w:rsidRPr="00130995">
              <w:rPr>
                <w:b w:val="0"/>
                <w:bCs/>
              </w:rPr>
              <w:t>22.79</w:t>
            </w:r>
          </w:p>
        </w:tc>
        <w:tc>
          <w:tcPr>
            <w:tcW w:w="830" w:type="pct"/>
            <w:vAlign w:val="center"/>
          </w:tcPr>
          <w:p w14:paraId="67EA6CAC" w14:textId="2C53D033" w:rsidR="00E34819" w:rsidRPr="00130995" w:rsidRDefault="00565845" w:rsidP="00556756">
            <w:pPr>
              <w:pStyle w:val="TableHeading0"/>
              <w:keepLines/>
              <w:jc w:val="center"/>
              <w:rPr>
                <w:b w:val="0"/>
                <w:bCs/>
              </w:rPr>
            </w:pPr>
            <w:r w:rsidRPr="00130995">
              <w:rPr>
                <w:b w:val="0"/>
                <w:bCs/>
              </w:rPr>
              <w:t>25.95</w:t>
            </w:r>
          </w:p>
        </w:tc>
        <w:tc>
          <w:tcPr>
            <w:tcW w:w="767" w:type="pct"/>
            <w:vAlign w:val="center"/>
          </w:tcPr>
          <w:p w14:paraId="2757E8D7" w14:textId="39556126" w:rsidR="00E34819" w:rsidRPr="00130995" w:rsidRDefault="00565845" w:rsidP="00556756">
            <w:pPr>
              <w:pStyle w:val="TableHeading0"/>
              <w:keepLines/>
              <w:jc w:val="center"/>
              <w:rPr>
                <w:b w:val="0"/>
                <w:bCs/>
              </w:rPr>
            </w:pPr>
            <w:r w:rsidRPr="00130995">
              <w:rPr>
                <w:b w:val="0"/>
                <w:bCs/>
              </w:rPr>
              <w:t>3.43</w:t>
            </w:r>
          </w:p>
        </w:tc>
        <w:tc>
          <w:tcPr>
            <w:tcW w:w="936" w:type="pct"/>
            <w:vAlign w:val="center"/>
          </w:tcPr>
          <w:p w14:paraId="767130D5" w14:textId="77777777" w:rsidR="00E34819" w:rsidRPr="00130995" w:rsidRDefault="00565845" w:rsidP="00556756">
            <w:pPr>
              <w:pStyle w:val="TableHeading0"/>
              <w:keepLines/>
              <w:jc w:val="center"/>
              <w:rPr>
                <w:b w:val="0"/>
                <w:bCs/>
              </w:rPr>
            </w:pPr>
            <w:r w:rsidRPr="00130995">
              <w:rPr>
                <w:b w:val="0"/>
                <w:bCs/>
              </w:rPr>
              <w:t>6.64 (0.59, 75.06)</w:t>
            </w:r>
          </w:p>
          <w:p w14:paraId="728C3839" w14:textId="4F8A7E4A" w:rsidR="00565845" w:rsidRPr="00130995" w:rsidRDefault="00565845" w:rsidP="00556756">
            <w:pPr>
              <w:pStyle w:val="TableHeading0"/>
              <w:keepLines/>
              <w:jc w:val="center"/>
              <w:rPr>
                <w:b w:val="0"/>
                <w:bCs/>
              </w:rPr>
            </w:pPr>
            <w:r w:rsidRPr="00130995">
              <w:rPr>
                <w:b w:val="0"/>
                <w:bCs/>
              </w:rPr>
              <w:t>0.126</w:t>
            </w:r>
          </w:p>
        </w:tc>
        <w:tc>
          <w:tcPr>
            <w:tcW w:w="935" w:type="pct"/>
            <w:vAlign w:val="center"/>
          </w:tcPr>
          <w:p w14:paraId="2B25CCD2" w14:textId="77777777" w:rsidR="00E34819" w:rsidRPr="00130995" w:rsidRDefault="00565845" w:rsidP="00556756">
            <w:pPr>
              <w:pStyle w:val="TableHeading0"/>
              <w:keepLines/>
              <w:jc w:val="center"/>
              <w:rPr>
                <w:b w:val="0"/>
                <w:bCs/>
              </w:rPr>
            </w:pPr>
            <w:r w:rsidRPr="00130995">
              <w:rPr>
                <w:b w:val="0"/>
                <w:bCs/>
              </w:rPr>
              <w:t>7.56 (0.70, 82.08)</w:t>
            </w:r>
          </w:p>
          <w:p w14:paraId="0855E4C9" w14:textId="7AB879C8" w:rsidR="00565845" w:rsidRPr="00130995" w:rsidRDefault="00565845" w:rsidP="00556756">
            <w:pPr>
              <w:pStyle w:val="TableHeading0"/>
              <w:keepLines/>
              <w:jc w:val="center"/>
              <w:rPr>
                <w:b w:val="0"/>
                <w:bCs/>
              </w:rPr>
            </w:pPr>
            <w:r w:rsidRPr="00130995">
              <w:rPr>
                <w:b w:val="0"/>
                <w:bCs/>
              </w:rPr>
              <w:t>0.096</w:t>
            </w:r>
          </w:p>
        </w:tc>
      </w:tr>
    </w:tbl>
    <w:p w14:paraId="2060A89B" w14:textId="77777777" w:rsidR="008A795E" w:rsidRDefault="008A795E" w:rsidP="00556756">
      <w:pPr>
        <w:pStyle w:val="TableFigureFooter"/>
        <w:keepNext/>
        <w:keepLines/>
      </w:pPr>
      <w:r>
        <w:t>Source: Table ES.7 based on Tables 2-35 &amp; 2-39, pp74, 77 of the submission.</w:t>
      </w:r>
    </w:p>
    <w:p w14:paraId="1833574A" w14:textId="77777777" w:rsidR="008A795E" w:rsidRDefault="008A795E" w:rsidP="00556756">
      <w:pPr>
        <w:pStyle w:val="TableFigureFooter"/>
        <w:keepNext/>
        <w:keepLines/>
      </w:pPr>
      <w:r>
        <w:t xml:space="preserve">FREM= fremanezumab; GALC= galcanezumab; PBO= placebo; EM= episodic migraine; HFEM= high frequency episodic migraine; CI= confidence interval; M= monthly; PBS=Pharmaceutical Benefits Scheme; Q= quarterly. </w:t>
      </w:r>
    </w:p>
    <w:p w14:paraId="5264CF09" w14:textId="35016EE8" w:rsidR="002D3399" w:rsidRDefault="008A795E" w:rsidP="002961ED">
      <w:pPr>
        <w:pStyle w:val="TableFigureFooter"/>
      </w:pPr>
      <w:r>
        <w:t xml:space="preserve">Note: For the sake of brevity, results for </w:t>
      </w:r>
      <w:r w:rsidRPr="00876CE2">
        <w:t>EM (≥3 prior therapies)</w:t>
      </w:r>
      <w:r>
        <w:t xml:space="preserve"> were not presented in the table. The results showed non statistical significance (p&gt;0.05). Source: Table 14, pp 21 of Attachment 1- ITC of the submission</w:t>
      </w:r>
    </w:p>
    <w:p w14:paraId="5810D223" w14:textId="4EA31C60" w:rsidR="00BC4E63" w:rsidRPr="00BC4E63" w:rsidRDefault="00BC4E63" w:rsidP="00033A63">
      <w:pPr>
        <w:pStyle w:val="3-BodyText"/>
        <w:numPr>
          <w:ilvl w:val="1"/>
          <w:numId w:val="5"/>
        </w:numPr>
        <w:ind w:left="720"/>
      </w:pPr>
      <w:r w:rsidRPr="00277996">
        <w:rPr>
          <w:iCs/>
          <w:snapToGrid/>
          <w:lang w:val="en-US"/>
        </w:rPr>
        <w:t xml:space="preserve">The key secondary outcome results also showed </w:t>
      </w:r>
      <w:r w:rsidR="00A25737" w:rsidRPr="00277996">
        <w:rPr>
          <w:iCs/>
          <w:snapToGrid/>
          <w:lang w:val="en-US"/>
        </w:rPr>
        <w:t xml:space="preserve">a trend </w:t>
      </w:r>
      <w:r w:rsidR="00B7413B" w:rsidRPr="00277996">
        <w:rPr>
          <w:iCs/>
          <w:snapToGrid/>
          <w:lang w:val="en-US"/>
        </w:rPr>
        <w:t>favouring</w:t>
      </w:r>
      <w:r w:rsidR="00A25737" w:rsidRPr="00277996">
        <w:rPr>
          <w:iCs/>
          <w:snapToGrid/>
          <w:lang w:val="en-US"/>
        </w:rPr>
        <w:t xml:space="preserve"> fremanezumab versus galcanezumab for all subgroups</w:t>
      </w:r>
      <w:r w:rsidR="00B41C6E" w:rsidRPr="00277996">
        <w:rPr>
          <w:iCs/>
          <w:snapToGrid/>
          <w:lang w:val="en-US"/>
        </w:rPr>
        <w:t>, however</w:t>
      </w:r>
      <w:r w:rsidR="00802CAE" w:rsidRPr="00277996">
        <w:rPr>
          <w:iCs/>
          <w:snapToGrid/>
          <w:lang w:val="en-US"/>
        </w:rPr>
        <w:t>,</w:t>
      </w:r>
      <w:r w:rsidR="00A25737" w:rsidRPr="00277996">
        <w:rPr>
          <w:iCs/>
          <w:snapToGrid/>
          <w:lang w:val="en-US"/>
        </w:rPr>
        <w:t xml:space="preserve"> there were </w:t>
      </w:r>
      <w:r w:rsidRPr="00277996">
        <w:rPr>
          <w:iCs/>
          <w:snapToGrid/>
          <w:lang w:val="en-US"/>
        </w:rPr>
        <w:t xml:space="preserve">no statistically significant differences for fremanezumab </w:t>
      </w:r>
      <w:r w:rsidR="00134722" w:rsidRPr="00277996">
        <w:rPr>
          <w:iCs/>
          <w:snapToGrid/>
          <w:lang w:val="en-US"/>
        </w:rPr>
        <w:t>quarterly,</w:t>
      </w:r>
      <w:r w:rsidRPr="00277996">
        <w:rPr>
          <w:iCs/>
          <w:snapToGrid/>
          <w:lang w:val="en-US"/>
        </w:rPr>
        <w:t xml:space="preserve"> or monthly dosing compared with galcanezumab (all p&gt;0.05)</w:t>
      </w:r>
      <w:r w:rsidRPr="00C16934">
        <w:rPr>
          <w:snapToGrid/>
          <w:lang w:val="en-US"/>
        </w:rPr>
        <w:t>.</w:t>
      </w:r>
    </w:p>
    <w:p w14:paraId="11B0578E" w14:textId="77777777" w:rsidR="00BC4E63" w:rsidRPr="00C9624D" w:rsidRDefault="00BC4E63" w:rsidP="00BC4E63">
      <w:pPr>
        <w:pStyle w:val="4-SubsectionHeading"/>
      </w:pPr>
      <w:bookmarkStart w:id="39" w:name="_Toc22897642"/>
      <w:bookmarkStart w:id="40" w:name="_Toc107927628"/>
      <w:bookmarkStart w:id="41" w:name="_Toc114059208"/>
      <w:r w:rsidRPr="00C9624D">
        <w:t>Comparative harms</w:t>
      </w:r>
      <w:bookmarkEnd w:id="39"/>
      <w:bookmarkEnd w:id="40"/>
      <w:bookmarkEnd w:id="41"/>
    </w:p>
    <w:p w14:paraId="07D9B03E" w14:textId="130891BA" w:rsidR="00BC4E63" w:rsidRDefault="002A2C83" w:rsidP="00033A63">
      <w:pPr>
        <w:pStyle w:val="3-BodyText"/>
        <w:numPr>
          <w:ilvl w:val="1"/>
          <w:numId w:val="5"/>
        </w:numPr>
        <w:ind w:left="720"/>
      </w:pPr>
      <w:r>
        <w:t xml:space="preserve">A summary of the </w:t>
      </w:r>
      <w:r w:rsidR="008625B6">
        <w:t xml:space="preserve">key </w:t>
      </w:r>
      <w:r>
        <w:t xml:space="preserve">adverse events for fremanezumab and galcanezumab </w:t>
      </w:r>
      <w:r w:rsidR="0097298D">
        <w:t xml:space="preserve">in the trials </w:t>
      </w:r>
      <w:r>
        <w:t xml:space="preserve">is presented in </w:t>
      </w:r>
      <w:r w:rsidR="00BC4E63">
        <w:fldChar w:fldCharType="begin" w:fldLock="1"/>
      </w:r>
      <w:r w:rsidR="00BC4E63">
        <w:instrText xml:space="preserve"> REF _Ref111652802 \h </w:instrText>
      </w:r>
      <w:r w:rsidR="00BC4E63">
        <w:fldChar w:fldCharType="separate"/>
      </w:r>
      <w:r w:rsidR="00B97129">
        <w:t xml:space="preserve">Table </w:t>
      </w:r>
      <w:r w:rsidR="00B97129">
        <w:rPr>
          <w:noProof/>
        </w:rPr>
        <w:t>7</w:t>
      </w:r>
      <w:r w:rsidR="00BC4E63">
        <w:fldChar w:fldCharType="end"/>
      </w:r>
      <w:r w:rsidR="00BC4E63">
        <w:t>.</w:t>
      </w:r>
    </w:p>
    <w:p w14:paraId="19D812CE" w14:textId="516DC8D7" w:rsidR="00BC4E63" w:rsidRPr="00D86231" w:rsidRDefault="00BC4E63" w:rsidP="00BC4E63">
      <w:pPr>
        <w:pStyle w:val="TableHeading0"/>
        <w:rPr>
          <w:rStyle w:val="CommentReference"/>
          <w:b/>
          <w:szCs w:val="24"/>
        </w:rPr>
      </w:pPr>
      <w:bookmarkStart w:id="42" w:name="_Ref111652802"/>
      <w:r>
        <w:lastRenderedPageBreak/>
        <w:t xml:space="preserve">Table </w:t>
      </w:r>
      <w:fldSimple w:instr=" SEQ Table \* ARABIC " w:fldLock="1">
        <w:r w:rsidR="00B97129">
          <w:rPr>
            <w:noProof/>
          </w:rPr>
          <w:t>7</w:t>
        </w:r>
      </w:fldSimple>
      <w:bookmarkEnd w:id="42"/>
      <w:r>
        <w:t xml:space="preserve">: </w:t>
      </w:r>
      <w:r w:rsidRPr="00D86231">
        <w:rPr>
          <w:rStyle w:val="CommentReference"/>
          <w:b/>
          <w:szCs w:val="24"/>
        </w:rPr>
        <w:t>Summary of key adverse events in the trials</w:t>
      </w:r>
      <w:r>
        <w:rPr>
          <w:rStyle w:val="CommentReference"/>
          <w:b/>
          <w:szCs w:val="24"/>
        </w:rPr>
        <w:t xml:space="preserve"> (</w:t>
      </w:r>
      <w:r w:rsidR="00FC0AA3">
        <w:rPr>
          <w:rStyle w:val="CommentReference"/>
          <w:b/>
          <w:szCs w:val="24"/>
        </w:rPr>
        <w:t>d</w:t>
      </w:r>
      <w:r w:rsidR="008E357B" w:rsidRPr="008E357B">
        <w:rPr>
          <w:rStyle w:val="CommentReference"/>
          <w:b/>
          <w:szCs w:val="24"/>
        </w:rPr>
        <w:t>ouble-</w:t>
      </w:r>
      <w:r w:rsidR="00FE7D11">
        <w:rPr>
          <w:rStyle w:val="CommentReference"/>
          <w:b/>
          <w:szCs w:val="24"/>
        </w:rPr>
        <w:t>b</w:t>
      </w:r>
      <w:r w:rsidR="008E357B" w:rsidRPr="008E357B">
        <w:rPr>
          <w:rStyle w:val="CommentReference"/>
          <w:b/>
          <w:szCs w:val="24"/>
        </w:rPr>
        <w:t xml:space="preserve">lind </w:t>
      </w:r>
      <w:r w:rsidR="00FE7D11">
        <w:rPr>
          <w:rStyle w:val="CommentReference"/>
          <w:b/>
          <w:szCs w:val="24"/>
        </w:rPr>
        <w:t>s</w:t>
      </w:r>
      <w:r w:rsidR="008E357B" w:rsidRPr="008E357B">
        <w:rPr>
          <w:rStyle w:val="CommentReference"/>
          <w:b/>
          <w:szCs w:val="24"/>
        </w:rPr>
        <w:t xml:space="preserve">afety </w:t>
      </w:r>
      <w:r w:rsidR="00FE7D11">
        <w:rPr>
          <w:rStyle w:val="CommentReference"/>
          <w:b/>
          <w:szCs w:val="24"/>
        </w:rPr>
        <w:t>a</w:t>
      </w:r>
      <w:r w:rsidR="008E357B" w:rsidRPr="008E357B">
        <w:rPr>
          <w:rStyle w:val="CommentReference"/>
          <w:b/>
          <w:szCs w:val="24"/>
        </w:rPr>
        <w:t xml:space="preserve">nalysis </w:t>
      </w:r>
      <w:r w:rsidR="00FE7D11">
        <w:rPr>
          <w:rStyle w:val="CommentReference"/>
          <w:b/>
          <w:szCs w:val="24"/>
        </w:rPr>
        <w:t>s</w:t>
      </w:r>
      <w:r w:rsidR="008E357B" w:rsidRPr="008E357B">
        <w:rPr>
          <w:rStyle w:val="CommentReference"/>
          <w:b/>
          <w:szCs w:val="24"/>
        </w:rPr>
        <w:t>et</w:t>
      </w:r>
      <w:r w:rsidR="00FE7D11">
        <w:rPr>
          <w:rStyle w:val="CommentReference"/>
          <w:b/>
          <w:szCs w:val="24"/>
        </w:rPr>
        <w:t xml:space="preserve"> in </w:t>
      </w:r>
      <w:r w:rsidR="00C326E5">
        <w:rPr>
          <w:rStyle w:val="CommentReference"/>
          <w:b/>
          <w:szCs w:val="24"/>
        </w:rPr>
        <w:t xml:space="preserve">full trial population including </w:t>
      </w:r>
      <w:r w:rsidR="00FE7D11">
        <w:rPr>
          <w:rStyle w:val="CommentReference"/>
          <w:b/>
          <w:szCs w:val="24"/>
        </w:rPr>
        <w:t>chronic and episodic migraine patients</w:t>
      </w:r>
      <w:r>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203"/>
        <w:gridCol w:w="1282"/>
        <w:gridCol w:w="1282"/>
        <w:gridCol w:w="1282"/>
        <w:gridCol w:w="1286"/>
        <w:gridCol w:w="1268"/>
      </w:tblGrid>
      <w:tr w:rsidR="009D491B" w:rsidRPr="00080909" w14:paraId="6AE7EEB7" w14:textId="77777777" w:rsidTr="009D491B">
        <w:trPr>
          <w:cantSplit/>
          <w:tblHeader/>
        </w:trPr>
        <w:tc>
          <w:tcPr>
            <w:tcW w:w="784" w:type="pct"/>
            <w:vAlign w:val="center"/>
          </w:tcPr>
          <w:p w14:paraId="42E90B72" w14:textId="77777777" w:rsidR="009D491B" w:rsidRDefault="009D491B" w:rsidP="007B73BA">
            <w:pPr>
              <w:pStyle w:val="In-tableHeading"/>
              <w:jc w:val="center"/>
            </w:pPr>
          </w:p>
        </w:tc>
        <w:tc>
          <w:tcPr>
            <w:tcW w:w="2799" w:type="pct"/>
            <w:gridSpan w:val="4"/>
            <w:vAlign w:val="center"/>
          </w:tcPr>
          <w:p w14:paraId="0168E62A" w14:textId="084A48A9" w:rsidR="009D491B" w:rsidRDefault="009D491B" w:rsidP="007B73BA">
            <w:pPr>
              <w:pStyle w:val="In-tableHeading"/>
              <w:jc w:val="center"/>
            </w:pPr>
            <w:r>
              <w:t>FOCUS</w:t>
            </w:r>
          </w:p>
        </w:tc>
        <w:tc>
          <w:tcPr>
            <w:tcW w:w="1417" w:type="pct"/>
            <w:gridSpan w:val="2"/>
            <w:vAlign w:val="center"/>
          </w:tcPr>
          <w:p w14:paraId="30529341" w14:textId="77777777" w:rsidR="009D491B" w:rsidRDefault="009D491B" w:rsidP="007B73BA">
            <w:pPr>
              <w:pStyle w:val="In-tableHeading"/>
              <w:jc w:val="center"/>
            </w:pPr>
            <w:r>
              <w:t>CONQUER</w:t>
            </w:r>
          </w:p>
        </w:tc>
      </w:tr>
      <w:tr w:rsidR="007C7350" w:rsidRPr="00080909" w14:paraId="1900BE16" w14:textId="77777777" w:rsidTr="009D491B">
        <w:trPr>
          <w:cantSplit/>
          <w:tblHeader/>
        </w:trPr>
        <w:tc>
          <w:tcPr>
            <w:tcW w:w="784" w:type="pct"/>
          </w:tcPr>
          <w:p w14:paraId="5EBDE079" w14:textId="77777777" w:rsidR="007C7350" w:rsidRPr="00080909" w:rsidRDefault="007C7350" w:rsidP="00F95547">
            <w:pPr>
              <w:pStyle w:val="In-tableHeading"/>
            </w:pPr>
            <w:r>
              <w:t>Trial ID</w:t>
            </w:r>
          </w:p>
        </w:tc>
        <w:tc>
          <w:tcPr>
            <w:tcW w:w="667" w:type="pct"/>
          </w:tcPr>
          <w:p w14:paraId="16D0048D" w14:textId="77777777" w:rsidR="00DF1642" w:rsidRDefault="007C7350" w:rsidP="0097298D">
            <w:pPr>
              <w:pStyle w:val="In-tableHeading"/>
              <w:jc w:val="center"/>
            </w:pPr>
            <w:r>
              <w:t>FREM Q</w:t>
            </w:r>
          </w:p>
          <w:p w14:paraId="73A5DA96" w14:textId="01C41482" w:rsidR="00DF1642" w:rsidRDefault="00DF1642" w:rsidP="0097298D">
            <w:pPr>
              <w:pStyle w:val="In-tableHeading"/>
              <w:jc w:val="center"/>
            </w:pPr>
            <w:r>
              <w:t>675mg/PBO/PBO</w:t>
            </w:r>
          </w:p>
          <w:p w14:paraId="3FBBF770" w14:textId="4BCE636A" w:rsidR="007C7350" w:rsidRPr="00080909" w:rsidRDefault="007C7350" w:rsidP="0097298D">
            <w:pPr>
              <w:pStyle w:val="In-tableHeading"/>
              <w:jc w:val="center"/>
            </w:pPr>
            <w:r>
              <w:t>(N=276)</w:t>
            </w:r>
          </w:p>
        </w:tc>
        <w:tc>
          <w:tcPr>
            <w:tcW w:w="711" w:type="pct"/>
          </w:tcPr>
          <w:p w14:paraId="5F28462E" w14:textId="77777777" w:rsidR="00DF1642" w:rsidRDefault="007C7350" w:rsidP="0097298D">
            <w:pPr>
              <w:pStyle w:val="In-tableHeading"/>
              <w:jc w:val="center"/>
            </w:pPr>
            <w:r>
              <w:t>FREM M</w:t>
            </w:r>
          </w:p>
          <w:p w14:paraId="3FAB2F1B" w14:textId="5813A3C7" w:rsidR="00DF1642" w:rsidRDefault="00DF1642" w:rsidP="0097298D">
            <w:pPr>
              <w:pStyle w:val="In-tableHeading"/>
              <w:jc w:val="center"/>
            </w:pPr>
            <w:r>
              <w:t>225/225/225</w:t>
            </w:r>
            <w:r w:rsidR="00B337D2">
              <w:t xml:space="preserve"> mg</w:t>
            </w:r>
          </w:p>
          <w:p w14:paraId="730C1F48" w14:textId="47C8A795" w:rsidR="007C7350" w:rsidRDefault="007C7350" w:rsidP="0097298D">
            <w:pPr>
              <w:pStyle w:val="In-tableHeading"/>
              <w:jc w:val="center"/>
            </w:pPr>
            <w:r>
              <w:t>(N=111)</w:t>
            </w:r>
          </w:p>
        </w:tc>
        <w:tc>
          <w:tcPr>
            <w:tcW w:w="711" w:type="pct"/>
          </w:tcPr>
          <w:p w14:paraId="56D11EF3" w14:textId="77D1E34E" w:rsidR="007C7350" w:rsidRDefault="007C7350" w:rsidP="0097298D">
            <w:pPr>
              <w:pStyle w:val="In-tableHeading"/>
              <w:jc w:val="center"/>
            </w:pPr>
            <w:r>
              <w:t>FREM</w:t>
            </w:r>
          </w:p>
          <w:p w14:paraId="19DAE0F4" w14:textId="6567DC62" w:rsidR="00DF1642" w:rsidRPr="00E4775D" w:rsidRDefault="00DF1642" w:rsidP="0097298D">
            <w:pPr>
              <w:pStyle w:val="In-tableHeading"/>
              <w:jc w:val="center"/>
              <w:rPr>
                <w:vertAlign w:val="superscript"/>
              </w:rPr>
            </w:pPr>
            <w:r>
              <w:t>6</w:t>
            </w:r>
            <w:r w:rsidR="00A70DB5">
              <w:t>75</w:t>
            </w:r>
            <w:r>
              <w:t>/225/225 mg</w:t>
            </w:r>
            <w:r w:rsidR="00E4775D" w:rsidRPr="00E4775D">
              <w:rPr>
                <w:vertAlign w:val="superscript"/>
              </w:rPr>
              <w:t>a</w:t>
            </w:r>
          </w:p>
          <w:p w14:paraId="29E279EC" w14:textId="4ACB3F12" w:rsidR="00DF1642" w:rsidRDefault="00BC1F92" w:rsidP="00824A55">
            <w:pPr>
              <w:pStyle w:val="In-tableHeading"/>
              <w:jc w:val="center"/>
            </w:pPr>
            <w:r>
              <w:t>(N=174)</w:t>
            </w:r>
          </w:p>
        </w:tc>
        <w:tc>
          <w:tcPr>
            <w:tcW w:w="711" w:type="pct"/>
          </w:tcPr>
          <w:p w14:paraId="33190AF6" w14:textId="3E03911A" w:rsidR="007C7350" w:rsidRDefault="007C7350" w:rsidP="0097298D">
            <w:pPr>
              <w:pStyle w:val="In-tableHeading"/>
              <w:jc w:val="center"/>
            </w:pPr>
            <w:r>
              <w:t>PBO (N=277)</w:t>
            </w:r>
          </w:p>
          <w:p w14:paraId="62C6584E" w14:textId="221C9C9C" w:rsidR="007C7350" w:rsidRDefault="007C7350" w:rsidP="0097298D">
            <w:pPr>
              <w:pStyle w:val="In-tableHeading"/>
              <w:jc w:val="center"/>
            </w:pPr>
          </w:p>
        </w:tc>
        <w:tc>
          <w:tcPr>
            <w:tcW w:w="713" w:type="pct"/>
          </w:tcPr>
          <w:p w14:paraId="6E36997A" w14:textId="7A86A2BA" w:rsidR="007C7350" w:rsidRDefault="007C7350" w:rsidP="0097298D">
            <w:pPr>
              <w:pStyle w:val="In-tableHeading"/>
              <w:jc w:val="center"/>
            </w:pPr>
            <w:r>
              <w:t>GALC (N=232)</w:t>
            </w:r>
          </w:p>
          <w:p w14:paraId="3FAAC1CD" w14:textId="422CA03F" w:rsidR="007C7350" w:rsidRPr="00080909" w:rsidRDefault="007C7350" w:rsidP="0097298D">
            <w:pPr>
              <w:pStyle w:val="In-tableHeading"/>
              <w:jc w:val="center"/>
            </w:pPr>
          </w:p>
        </w:tc>
        <w:tc>
          <w:tcPr>
            <w:tcW w:w="704" w:type="pct"/>
          </w:tcPr>
          <w:p w14:paraId="14D99F48" w14:textId="77777777" w:rsidR="007C7350" w:rsidRDefault="007C7350" w:rsidP="0097298D">
            <w:pPr>
              <w:pStyle w:val="In-tableHeading"/>
              <w:jc w:val="center"/>
            </w:pPr>
            <w:r>
              <w:t>PBO (N=230)</w:t>
            </w:r>
          </w:p>
          <w:p w14:paraId="7BC03D68" w14:textId="31778B85" w:rsidR="007C7350" w:rsidRPr="00080909" w:rsidRDefault="007C7350" w:rsidP="0097298D">
            <w:pPr>
              <w:pStyle w:val="In-tableHeading"/>
              <w:jc w:val="center"/>
            </w:pPr>
          </w:p>
        </w:tc>
      </w:tr>
      <w:tr w:rsidR="007C7350" w14:paraId="7C6B88CA" w14:textId="77777777" w:rsidTr="007C7350">
        <w:trPr>
          <w:cantSplit/>
        </w:trPr>
        <w:tc>
          <w:tcPr>
            <w:tcW w:w="2161" w:type="pct"/>
            <w:gridSpan w:val="3"/>
            <w:tcBorders>
              <w:right w:val="nil"/>
            </w:tcBorders>
            <w:vAlign w:val="center"/>
          </w:tcPr>
          <w:p w14:paraId="4C891CD8" w14:textId="7D73A8B2" w:rsidR="007C7350" w:rsidRPr="00B1011F" w:rsidRDefault="007C7350" w:rsidP="007B73BA">
            <w:pPr>
              <w:pStyle w:val="TableText0"/>
            </w:pPr>
            <w:r>
              <w:rPr>
                <w:b/>
                <w:bCs w:val="0"/>
              </w:rPr>
              <w:t>S</w:t>
            </w:r>
            <w:r w:rsidRPr="00FE2D51">
              <w:rPr>
                <w:b/>
                <w:bCs w:val="0"/>
              </w:rPr>
              <w:t>ummary of adverse events</w:t>
            </w:r>
          </w:p>
        </w:tc>
        <w:tc>
          <w:tcPr>
            <w:tcW w:w="711" w:type="pct"/>
            <w:tcBorders>
              <w:right w:val="nil"/>
            </w:tcBorders>
          </w:tcPr>
          <w:p w14:paraId="0013BF4C" w14:textId="77777777" w:rsidR="007C7350" w:rsidRDefault="007C7350" w:rsidP="007B73BA">
            <w:pPr>
              <w:pStyle w:val="TableText0"/>
              <w:jc w:val="center"/>
            </w:pPr>
          </w:p>
        </w:tc>
        <w:tc>
          <w:tcPr>
            <w:tcW w:w="711" w:type="pct"/>
            <w:tcBorders>
              <w:left w:val="nil"/>
              <w:right w:val="nil"/>
            </w:tcBorders>
          </w:tcPr>
          <w:p w14:paraId="432475EB" w14:textId="706C26A7" w:rsidR="007C7350" w:rsidRDefault="007C7350" w:rsidP="007B73BA">
            <w:pPr>
              <w:pStyle w:val="TableText0"/>
              <w:jc w:val="center"/>
            </w:pPr>
          </w:p>
        </w:tc>
        <w:tc>
          <w:tcPr>
            <w:tcW w:w="713" w:type="pct"/>
            <w:tcBorders>
              <w:left w:val="nil"/>
              <w:right w:val="nil"/>
            </w:tcBorders>
            <w:vAlign w:val="center"/>
          </w:tcPr>
          <w:p w14:paraId="68CC7DFA" w14:textId="77777777" w:rsidR="007C7350" w:rsidRDefault="007C7350" w:rsidP="007B73BA">
            <w:pPr>
              <w:pStyle w:val="TableText0"/>
              <w:jc w:val="center"/>
            </w:pPr>
          </w:p>
        </w:tc>
        <w:tc>
          <w:tcPr>
            <w:tcW w:w="704" w:type="pct"/>
            <w:tcBorders>
              <w:left w:val="nil"/>
            </w:tcBorders>
            <w:vAlign w:val="center"/>
          </w:tcPr>
          <w:p w14:paraId="0809D636" w14:textId="77777777" w:rsidR="007C7350" w:rsidRDefault="007C7350" w:rsidP="007B73BA">
            <w:pPr>
              <w:pStyle w:val="TableText0"/>
              <w:jc w:val="center"/>
            </w:pPr>
          </w:p>
        </w:tc>
      </w:tr>
      <w:tr w:rsidR="007C7350" w14:paraId="6D8B3326" w14:textId="77777777" w:rsidTr="009D491B">
        <w:trPr>
          <w:cantSplit/>
        </w:trPr>
        <w:tc>
          <w:tcPr>
            <w:tcW w:w="784" w:type="pct"/>
            <w:vAlign w:val="center"/>
          </w:tcPr>
          <w:p w14:paraId="446BAFE8" w14:textId="77777777" w:rsidR="007C7350" w:rsidRDefault="007C7350" w:rsidP="00DF1642">
            <w:pPr>
              <w:pStyle w:val="TableText0"/>
            </w:pPr>
            <w:r w:rsidRPr="00881484">
              <w:t>Treatment emergent adverse events, n (%)</w:t>
            </w:r>
          </w:p>
        </w:tc>
        <w:tc>
          <w:tcPr>
            <w:tcW w:w="667" w:type="pct"/>
            <w:vAlign w:val="center"/>
          </w:tcPr>
          <w:p w14:paraId="7248414D" w14:textId="77777777" w:rsidR="007C7350" w:rsidRDefault="007C7350" w:rsidP="00DF1642">
            <w:pPr>
              <w:pStyle w:val="TableText0"/>
              <w:jc w:val="center"/>
            </w:pPr>
            <w:r w:rsidRPr="00822ED1">
              <w:t>151 (55)</w:t>
            </w:r>
          </w:p>
        </w:tc>
        <w:tc>
          <w:tcPr>
            <w:tcW w:w="711" w:type="pct"/>
            <w:vAlign w:val="center"/>
          </w:tcPr>
          <w:p w14:paraId="295159C0" w14:textId="77777777" w:rsidR="007C7350" w:rsidRPr="00B1011F" w:rsidRDefault="007C7350" w:rsidP="00DF1642">
            <w:pPr>
              <w:pStyle w:val="TableText0"/>
              <w:jc w:val="center"/>
            </w:pPr>
            <w:r>
              <w:t>44 (40)</w:t>
            </w:r>
          </w:p>
        </w:tc>
        <w:tc>
          <w:tcPr>
            <w:tcW w:w="711" w:type="pct"/>
            <w:vAlign w:val="center"/>
          </w:tcPr>
          <w:p w14:paraId="27BC1254" w14:textId="60D4F3C1" w:rsidR="00DF1642" w:rsidRDefault="00DF1642" w:rsidP="00DF1642">
            <w:pPr>
              <w:pStyle w:val="TableText0"/>
              <w:jc w:val="center"/>
            </w:pPr>
            <w:r>
              <w:t>37 (21)</w:t>
            </w:r>
          </w:p>
        </w:tc>
        <w:tc>
          <w:tcPr>
            <w:tcW w:w="711" w:type="pct"/>
            <w:vAlign w:val="center"/>
          </w:tcPr>
          <w:p w14:paraId="08AA6D7F" w14:textId="109E6602" w:rsidR="007C7350" w:rsidRPr="00E107FA" w:rsidRDefault="007C7350" w:rsidP="00DF1642">
            <w:pPr>
              <w:pStyle w:val="TableText0"/>
              <w:jc w:val="center"/>
            </w:pPr>
            <w:r>
              <w:t>134 (48)</w:t>
            </w:r>
          </w:p>
        </w:tc>
        <w:tc>
          <w:tcPr>
            <w:tcW w:w="713" w:type="pct"/>
            <w:vAlign w:val="center"/>
          </w:tcPr>
          <w:p w14:paraId="0D3746E7" w14:textId="77777777" w:rsidR="007C7350" w:rsidRDefault="007C7350" w:rsidP="00DF1642">
            <w:pPr>
              <w:pStyle w:val="TableText0"/>
              <w:jc w:val="center"/>
            </w:pPr>
            <w:r w:rsidRPr="00E107FA">
              <w:t>119 (51)</w:t>
            </w:r>
          </w:p>
        </w:tc>
        <w:tc>
          <w:tcPr>
            <w:tcW w:w="704" w:type="pct"/>
            <w:vAlign w:val="center"/>
          </w:tcPr>
          <w:p w14:paraId="1CA7D460" w14:textId="77777777" w:rsidR="007C7350" w:rsidRDefault="007C7350" w:rsidP="00DF1642">
            <w:pPr>
              <w:pStyle w:val="TableText0"/>
              <w:jc w:val="center"/>
            </w:pPr>
            <w:r w:rsidRPr="00E107FA">
              <w:t>122 (53)</w:t>
            </w:r>
          </w:p>
        </w:tc>
      </w:tr>
      <w:tr w:rsidR="007C7350" w14:paraId="60ED110D" w14:textId="77777777" w:rsidTr="009D491B">
        <w:trPr>
          <w:cantSplit/>
        </w:trPr>
        <w:tc>
          <w:tcPr>
            <w:tcW w:w="784" w:type="pct"/>
            <w:vAlign w:val="center"/>
          </w:tcPr>
          <w:p w14:paraId="10363590" w14:textId="77777777" w:rsidR="007C7350" w:rsidRDefault="007C7350" w:rsidP="00DF1642">
            <w:pPr>
              <w:pStyle w:val="TableText0"/>
            </w:pPr>
            <w:r w:rsidRPr="00881484">
              <w:t>Treatment-related adverse events, n (%)</w:t>
            </w:r>
          </w:p>
        </w:tc>
        <w:tc>
          <w:tcPr>
            <w:tcW w:w="667" w:type="pct"/>
            <w:vAlign w:val="center"/>
          </w:tcPr>
          <w:p w14:paraId="0AB1996D" w14:textId="77777777" w:rsidR="007C7350" w:rsidRDefault="007C7350" w:rsidP="00DF1642">
            <w:pPr>
              <w:pStyle w:val="TableText0"/>
              <w:jc w:val="center"/>
            </w:pPr>
            <w:r w:rsidRPr="00822ED1">
              <w:t>57 (21)</w:t>
            </w:r>
          </w:p>
        </w:tc>
        <w:tc>
          <w:tcPr>
            <w:tcW w:w="711" w:type="pct"/>
            <w:vAlign w:val="center"/>
          </w:tcPr>
          <w:p w14:paraId="6EFBE933" w14:textId="77777777" w:rsidR="007C7350" w:rsidRPr="00B1011F" w:rsidRDefault="007C7350" w:rsidP="00DF1642">
            <w:pPr>
              <w:pStyle w:val="TableText0"/>
              <w:jc w:val="center"/>
            </w:pPr>
            <w:r>
              <w:t>18 (16)</w:t>
            </w:r>
          </w:p>
        </w:tc>
        <w:tc>
          <w:tcPr>
            <w:tcW w:w="711" w:type="pct"/>
            <w:vAlign w:val="center"/>
          </w:tcPr>
          <w:p w14:paraId="2EF0B81A" w14:textId="1C475709" w:rsidR="007C7350" w:rsidRDefault="00DF1642" w:rsidP="00DF1642">
            <w:pPr>
              <w:pStyle w:val="TableText0"/>
              <w:jc w:val="center"/>
            </w:pPr>
            <w:r>
              <w:t>85 (49)</w:t>
            </w:r>
          </w:p>
        </w:tc>
        <w:tc>
          <w:tcPr>
            <w:tcW w:w="711" w:type="pct"/>
            <w:vAlign w:val="center"/>
          </w:tcPr>
          <w:p w14:paraId="770905AD" w14:textId="7517D91A" w:rsidR="007C7350" w:rsidRPr="00E107FA" w:rsidRDefault="007C7350" w:rsidP="00DF1642">
            <w:pPr>
              <w:pStyle w:val="TableText0"/>
              <w:jc w:val="center"/>
            </w:pPr>
            <w:r>
              <w:t>55 (20)</w:t>
            </w:r>
          </w:p>
        </w:tc>
        <w:tc>
          <w:tcPr>
            <w:tcW w:w="713" w:type="pct"/>
            <w:vAlign w:val="center"/>
          </w:tcPr>
          <w:p w14:paraId="302BB4FC" w14:textId="77777777" w:rsidR="007C7350" w:rsidRDefault="007C7350" w:rsidP="00DF1642">
            <w:pPr>
              <w:pStyle w:val="TableText0"/>
              <w:jc w:val="center"/>
            </w:pPr>
            <w:r w:rsidRPr="00E107FA">
              <w:t>37 (1</w:t>
            </w:r>
            <w:r>
              <w:t>6</w:t>
            </w:r>
            <w:r w:rsidRPr="00E107FA">
              <w:t>)</w:t>
            </w:r>
          </w:p>
        </w:tc>
        <w:tc>
          <w:tcPr>
            <w:tcW w:w="704" w:type="pct"/>
            <w:vAlign w:val="center"/>
          </w:tcPr>
          <w:p w14:paraId="17CAFA32" w14:textId="77777777" w:rsidR="007C7350" w:rsidRDefault="007C7350" w:rsidP="00DF1642">
            <w:pPr>
              <w:pStyle w:val="TableText0"/>
              <w:jc w:val="center"/>
            </w:pPr>
            <w:r w:rsidRPr="00E107FA">
              <w:t>34 (1</w:t>
            </w:r>
            <w:r>
              <w:t>5</w:t>
            </w:r>
            <w:r w:rsidRPr="00E107FA">
              <w:t>)</w:t>
            </w:r>
          </w:p>
        </w:tc>
      </w:tr>
      <w:tr w:rsidR="007C7350" w14:paraId="77FB2D57" w14:textId="77777777" w:rsidTr="009D491B">
        <w:trPr>
          <w:cantSplit/>
        </w:trPr>
        <w:tc>
          <w:tcPr>
            <w:tcW w:w="784" w:type="pct"/>
            <w:vAlign w:val="center"/>
          </w:tcPr>
          <w:p w14:paraId="01B4051B" w14:textId="77777777" w:rsidR="007C7350" w:rsidRPr="00881484" w:rsidRDefault="007C7350" w:rsidP="00DF1642">
            <w:pPr>
              <w:pStyle w:val="TableText0"/>
            </w:pPr>
            <w:r w:rsidRPr="00881484">
              <w:t>Serious adverse events, n (%)</w:t>
            </w:r>
          </w:p>
        </w:tc>
        <w:tc>
          <w:tcPr>
            <w:tcW w:w="667" w:type="pct"/>
            <w:vAlign w:val="center"/>
          </w:tcPr>
          <w:p w14:paraId="72348711" w14:textId="77777777" w:rsidR="007C7350" w:rsidRPr="00B1011F" w:rsidRDefault="007C7350" w:rsidP="00DF1642">
            <w:pPr>
              <w:pStyle w:val="TableText0"/>
              <w:jc w:val="center"/>
            </w:pPr>
            <w:r w:rsidRPr="00822ED1">
              <w:t>2 (&lt;1)</w:t>
            </w:r>
          </w:p>
        </w:tc>
        <w:tc>
          <w:tcPr>
            <w:tcW w:w="711" w:type="pct"/>
            <w:vAlign w:val="center"/>
          </w:tcPr>
          <w:p w14:paraId="642E8219" w14:textId="77777777" w:rsidR="007C7350" w:rsidRPr="00B1011F" w:rsidRDefault="007C7350" w:rsidP="00DF1642">
            <w:pPr>
              <w:pStyle w:val="TableText0"/>
              <w:jc w:val="center"/>
            </w:pPr>
            <w:r>
              <w:t>1 (&lt;1)</w:t>
            </w:r>
          </w:p>
        </w:tc>
        <w:tc>
          <w:tcPr>
            <w:tcW w:w="711" w:type="pct"/>
            <w:vAlign w:val="center"/>
          </w:tcPr>
          <w:p w14:paraId="452676CC" w14:textId="0BCF57E3" w:rsidR="007C7350" w:rsidRDefault="009F2ED0" w:rsidP="00DF1642">
            <w:pPr>
              <w:pStyle w:val="TableText0"/>
              <w:jc w:val="center"/>
            </w:pPr>
            <w:r>
              <w:t>3 (2)</w:t>
            </w:r>
          </w:p>
        </w:tc>
        <w:tc>
          <w:tcPr>
            <w:tcW w:w="711" w:type="pct"/>
            <w:vAlign w:val="center"/>
          </w:tcPr>
          <w:p w14:paraId="6741F1A4" w14:textId="63D38872" w:rsidR="007C7350" w:rsidRPr="00E107FA" w:rsidRDefault="007C7350" w:rsidP="00DF1642">
            <w:pPr>
              <w:pStyle w:val="TableText0"/>
              <w:jc w:val="center"/>
            </w:pPr>
            <w:r>
              <w:t>4 (1)</w:t>
            </w:r>
          </w:p>
        </w:tc>
        <w:tc>
          <w:tcPr>
            <w:tcW w:w="713" w:type="pct"/>
            <w:vAlign w:val="center"/>
          </w:tcPr>
          <w:p w14:paraId="67E00461" w14:textId="14442B16" w:rsidR="007C7350" w:rsidRPr="00B1011F" w:rsidRDefault="007C7350" w:rsidP="00DF1642">
            <w:pPr>
              <w:pStyle w:val="TableText0"/>
              <w:jc w:val="center"/>
            </w:pPr>
            <w:r w:rsidRPr="00E107FA">
              <w:t>2 (</w:t>
            </w:r>
            <w:r>
              <w:t>1</w:t>
            </w:r>
            <w:r w:rsidRPr="00E107FA">
              <w:t>)</w:t>
            </w:r>
          </w:p>
        </w:tc>
        <w:tc>
          <w:tcPr>
            <w:tcW w:w="704" w:type="pct"/>
            <w:vAlign w:val="center"/>
          </w:tcPr>
          <w:p w14:paraId="1814FB58" w14:textId="2420FB58" w:rsidR="007C7350" w:rsidRPr="00B1011F" w:rsidRDefault="007C7350" w:rsidP="00DF1642">
            <w:pPr>
              <w:pStyle w:val="TableText0"/>
              <w:jc w:val="center"/>
            </w:pPr>
            <w:r w:rsidRPr="00E107FA">
              <w:t>2 (</w:t>
            </w:r>
            <w:r>
              <w:t>1</w:t>
            </w:r>
            <w:r w:rsidRPr="00E107FA">
              <w:t>)</w:t>
            </w:r>
          </w:p>
        </w:tc>
      </w:tr>
      <w:tr w:rsidR="007C7350" w14:paraId="6B8F1444" w14:textId="77777777" w:rsidTr="009D491B">
        <w:trPr>
          <w:cantSplit/>
        </w:trPr>
        <w:tc>
          <w:tcPr>
            <w:tcW w:w="784" w:type="pct"/>
            <w:vAlign w:val="center"/>
          </w:tcPr>
          <w:p w14:paraId="7A0762A8" w14:textId="77777777" w:rsidR="007C7350" w:rsidRPr="00881484" w:rsidRDefault="007C7350" w:rsidP="00DF1642">
            <w:pPr>
              <w:pStyle w:val="TableText0"/>
            </w:pPr>
            <w:r w:rsidRPr="00881484">
              <w:t>Discontinuation related to adverse events, n (%)</w:t>
            </w:r>
          </w:p>
        </w:tc>
        <w:tc>
          <w:tcPr>
            <w:tcW w:w="667" w:type="pct"/>
            <w:vAlign w:val="center"/>
          </w:tcPr>
          <w:p w14:paraId="0860B135" w14:textId="77777777" w:rsidR="007C7350" w:rsidRPr="00B1011F" w:rsidRDefault="007C7350" w:rsidP="00DF1642">
            <w:pPr>
              <w:pStyle w:val="TableText0"/>
              <w:jc w:val="center"/>
            </w:pPr>
            <w:r w:rsidRPr="00822ED1">
              <w:t>1 (&lt;1)</w:t>
            </w:r>
          </w:p>
        </w:tc>
        <w:tc>
          <w:tcPr>
            <w:tcW w:w="711" w:type="pct"/>
            <w:vAlign w:val="center"/>
          </w:tcPr>
          <w:p w14:paraId="09D18B01" w14:textId="77777777" w:rsidR="007C7350" w:rsidRPr="00B1011F" w:rsidRDefault="007C7350" w:rsidP="00DF1642">
            <w:pPr>
              <w:pStyle w:val="TableText0"/>
              <w:jc w:val="center"/>
            </w:pPr>
            <w:r>
              <w:t>1 (&lt;1)</w:t>
            </w:r>
          </w:p>
        </w:tc>
        <w:tc>
          <w:tcPr>
            <w:tcW w:w="711" w:type="pct"/>
            <w:vAlign w:val="center"/>
          </w:tcPr>
          <w:p w14:paraId="27A52FE1" w14:textId="7D41F95D" w:rsidR="007C7350" w:rsidRDefault="009F2ED0" w:rsidP="00DF1642">
            <w:pPr>
              <w:pStyle w:val="TableText0"/>
              <w:jc w:val="center"/>
            </w:pPr>
            <w:r>
              <w:t>3 (2)</w:t>
            </w:r>
          </w:p>
        </w:tc>
        <w:tc>
          <w:tcPr>
            <w:tcW w:w="711" w:type="pct"/>
            <w:vAlign w:val="center"/>
          </w:tcPr>
          <w:p w14:paraId="73951FE6" w14:textId="6FA853D6" w:rsidR="007C7350" w:rsidRPr="00E107FA" w:rsidRDefault="007C7350" w:rsidP="00DF1642">
            <w:pPr>
              <w:pStyle w:val="TableText0"/>
              <w:jc w:val="center"/>
            </w:pPr>
            <w:r>
              <w:t>3 (1)</w:t>
            </w:r>
          </w:p>
        </w:tc>
        <w:tc>
          <w:tcPr>
            <w:tcW w:w="713" w:type="pct"/>
            <w:vAlign w:val="center"/>
          </w:tcPr>
          <w:p w14:paraId="3AF5B48A" w14:textId="77777777" w:rsidR="007C7350" w:rsidRPr="00B1011F" w:rsidRDefault="007C7350" w:rsidP="00DF1642">
            <w:pPr>
              <w:pStyle w:val="TableText0"/>
              <w:jc w:val="center"/>
            </w:pPr>
            <w:r w:rsidRPr="00E107FA">
              <w:t>1 (</w:t>
            </w:r>
            <w:r>
              <w:t>&lt;1</w:t>
            </w:r>
            <w:r w:rsidRPr="00E107FA">
              <w:t>)</w:t>
            </w:r>
          </w:p>
        </w:tc>
        <w:tc>
          <w:tcPr>
            <w:tcW w:w="704" w:type="pct"/>
            <w:vAlign w:val="center"/>
          </w:tcPr>
          <w:p w14:paraId="7F1BE0E1" w14:textId="77777777" w:rsidR="007C7350" w:rsidRPr="00B1011F" w:rsidRDefault="007C7350" w:rsidP="00DF1642">
            <w:pPr>
              <w:pStyle w:val="TableText0"/>
              <w:jc w:val="center"/>
            </w:pPr>
            <w:r>
              <w:t>0</w:t>
            </w:r>
          </w:p>
        </w:tc>
      </w:tr>
      <w:tr w:rsidR="009F2ED0" w14:paraId="4181828A" w14:textId="77777777" w:rsidTr="009F2ED0">
        <w:trPr>
          <w:cantSplit/>
        </w:trPr>
        <w:tc>
          <w:tcPr>
            <w:tcW w:w="3583" w:type="pct"/>
            <w:gridSpan w:val="5"/>
            <w:tcBorders>
              <w:right w:val="nil"/>
            </w:tcBorders>
          </w:tcPr>
          <w:p w14:paraId="6B0970B5" w14:textId="072A9D63" w:rsidR="009F2ED0" w:rsidRDefault="009F2ED0" w:rsidP="007B73BA">
            <w:pPr>
              <w:pStyle w:val="In-tableHeading"/>
            </w:pPr>
            <w:r>
              <w:t>M</w:t>
            </w:r>
            <w:r w:rsidRPr="00FE2D51">
              <w:t>ost frequently reported treatment emergent adverse events</w:t>
            </w:r>
          </w:p>
        </w:tc>
        <w:tc>
          <w:tcPr>
            <w:tcW w:w="713" w:type="pct"/>
            <w:tcBorders>
              <w:left w:val="nil"/>
              <w:right w:val="nil"/>
            </w:tcBorders>
            <w:vAlign w:val="center"/>
          </w:tcPr>
          <w:p w14:paraId="6435C145" w14:textId="77777777" w:rsidR="009F2ED0" w:rsidRDefault="009F2ED0" w:rsidP="007B73BA">
            <w:pPr>
              <w:pStyle w:val="TableText0"/>
              <w:jc w:val="center"/>
            </w:pPr>
          </w:p>
        </w:tc>
        <w:tc>
          <w:tcPr>
            <w:tcW w:w="704" w:type="pct"/>
            <w:tcBorders>
              <w:left w:val="nil"/>
            </w:tcBorders>
            <w:vAlign w:val="center"/>
          </w:tcPr>
          <w:p w14:paraId="7D445518" w14:textId="77777777" w:rsidR="009F2ED0" w:rsidRDefault="009F2ED0" w:rsidP="007B73BA">
            <w:pPr>
              <w:pStyle w:val="TableText0"/>
              <w:jc w:val="center"/>
            </w:pPr>
          </w:p>
        </w:tc>
      </w:tr>
      <w:tr w:rsidR="007C7350" w14:paraId="48052FD8" w14:textId="77777777" w:rsidTr="009D491B">
        <w:trPr>
          <w:cantSplit/>
        </w:trPr>
        <w:tc>
          <w:tcPr>
            <w:tcW w:w="784" w:type="pct"/>
            <w:vAlign w:val="center"/>
          </w:tcPr>
          <w:p w14:paraId="2079B5B0" w14:textId="77777777" w:rsidR="007C7350" w:rsidRDefault="007C7350" w:rsidP="009D491B">
            <w:pPr>
              <w:pStyle w:val="TableText0"/>
            </w:pPr>
            <w:r w:rsidRPr="00FE2D51">
              <w:t>Patients with ≥1 TEAE, n (%)</w:t>
            </w:r>
          </w:p>
        </w:tc>
        <w:tc>
          <w:tcPr>
            <w:tcW w:w="667" w:type="pct"/>
            <w:vAlign w:val="center"/>
          </w:tcPr>
          <w:p w14:paraId="783BD456" w14:textId="77777777" w:rsidR="007C7350" w:rsidRDefault="007C7350" w:rsidP="009D491B">
            <w:pPr>
              <w:pStyle w:val="TableText0"/>
              <w:jc w:val="center"/>
            </w:pPr>
            <w:r w:rsidRPr="00822ED1">
              <w:t>151 (55)</w:t>
            </w:r>
          </w:p>
        </w:tc>
        <w:tc>
          <w:tcPr>
            <w:tcW w:w="711" w:type="pct"/>
            <w:vAlign w:val="center"/>
          </w:tcPr>
          <w:p w14:paraId="07702C4A" w14:textId="77777777" w:rsidR="007C7350" w:rsidRDefault="007C7350" w:rsidP="009D491B">
            <w:pPr>
              <w:pStyle w:val="TableText0"/>
              <w:jc w:val="center"/>
            </w:pPr>
            <w:r>
              <w:t>44 (40)</w:t>
            </w:r>
          </w:p>
        </w:tc>
        <w:tc>
          <w:tcPr>
            <w:tcW w:w="711" w:type="pct"/>
            <w:vAlign w:val="center"/>
          </w:tcPr>
          <w:p w14:paraId="23F3FF07" w14:textId="2A5E5DB6" w:rsidR="007C7350" w:rsidRDefault="00236C05" w:rsidP="009D491B">
            <w:pPr>
              <w:pStyle w:val="TableText0"/>
              <w:jc w:val="center"/>
            </w:pPr>
            <w:r>
              <w:t>85 (49)</w:t>
            </w:r>
          </w:p>
        </w:tc>
        <w:tc>
          <w:tcPr>
            <w:tcW w:w="711" w:type="pct"/>
            <w:vAlign w:val="center"/>
          </w:tcPr>
          <w:p w14:paraId="7588F1C1" w14:textId="45D55393" w:rsidR="007C7350" w:rsidRDefault="007C7350" w:rsidP="009D491B">
            <w:pPr>
              <w:pStyle w:val="TableText0"/>
              <w:jc w:val="center"/>
            </w:pPr>
            <w:r>
              <w:t>134 (48)</w:t>
            </w:r>
          </w:p>
        </w:tc>
        <w:tc>
          <w:tcPr>
            <w:tcW w:w="713" w:type="pct"/>
            <w:vAlign w:val="center"/>
          </w:tcPr>
          <w:p w14:paraId="21AF8083" w14:textId="77777777" w:rsidR="007C7350" w:rsidRDefault="007C7350" w:rsidP="009D491B">
            <w:pPr>
              <w:pStyle w:val="TableText0"/>
              <w:jc w:val="center"/>
            </w:pPr>
            <w:r w:rsidRPr="00E107FA">
              <w:t>119 (51)</w:t>
            </w:r>
          </w:p>
        </w:tc>
        <w:tc>
          <w:tcPr>
            <w:tcW w:w="704" w:type="pct"/>
            <w:vAlign w:val="center"/>
          </w:tcPr>
          <w:p w14:paraId="64E1DDC1" w14:textId="77777777" w:rsidR="007C7350" w:rsidRDefault="007C7350" w:rsidP="009D491B">
            <w:pPr>
              <w:pStyle w:val="TableText0"/>
              <w:jc w:val="center"/>
            </w:pPr>
            <w:r w:rsidRPr="00E107FA">
              <w:t>122 (53)</w:t>
            </w:r>
          </w:p>
        </w:tc>
      </w:tr>
      <w:tr w:rsidR="007C7350" w14:paraId="17D93CAB" w14:textId="77777777" w:rsidTr="009D491B">
        <w:trPr>
          <w:cantSplit/>
        </w:trPr>
        <w:tc>
          <w:tcPr>
            <w:tcW w:w="784" w:type="pct"/>
            <w:vAlign w:val="center"/>
          </w:tcPr>
          <w:p w14:paraId="0A095F8B" w14:textId="77777777" w:rsidR="007C7350" w:rsidRPr="00895BFE" w:rsidRDefault="007C7350" w:rsidP="009D491B">
            <w:pPr>
              <w:pStyle w:val="TableText0"/>
            </w:pPr>
            <w:r w:rsidRPr="00895BFE">
              <w:t>Nasopharyngitis</w:t>
            </w:r>
          </w:p>
        </w:tc>
        <w:tc>
          <w:tcPr>
            <w:tcW w:w="667" w:type="pct"/>
            <w:vAlign w:val="center"/>
          </w:tcPr>
          <w:p w14:paraId="24A30474" w14:textId="77777777" w:rsidR="007C7350" w:rsidRDefault="007C7350" w:rsidP="009D491B">
            <w:pPr>
              <w:pStyle w:val="TableText0"/>
              <w:jc w:val="center"/>
            </w:pPr>
            <w:r w:rsidRPr="00B02A74">
              <w:t>13 (5)</w:t>
            </w:r>
          </w:p>
        </w:tc>
        <w:tc>
          <w:tcPr>
            <w:tcW w:w="711" w:type="pct"/>
            <w:vAlign w:val="center"/>
          </w:tcPr>
          <w:p w14:paraId="1CEEAF62" w14:textId="77777777" w:rsidR="007C7350" w:rsidRDefault="007C7350" w:rsidP="009D491B">
            <w:pPr>
              <w:pStyle w:val="TableText0"/>
              <w:jc w:val="center"/>
            </w:pPr>
            <w:r w:rsidRPr="00B02A74">
              <w:t>1 (&lt;1)</w:t>
            </w:r>
          </w:p>
        </w:tc>
        <w:tc>
          <w:tcPr>
            <w:tcW w:w="711" w:type="pct"/>
            <w:vAlign w:val="center"/>
          </w:tcPr>
          <w:p w14:paraId="1AF1EB01" w14:textId="6115BEFC" w:rsidR="007C7350" w:rsidRPr="00B02A74" w:rsidRDefault="00236C05" w:rsidP="009D491B">
            <w:pPr>
              <w:pStyle w:val="TableText0"/>
              <w:jc w:val="center"/>
            </w:pPr>
            <w:r>
              <w:t>6 (3)</w:t>
            </w:r>
          </w:p>
        </w:tc>
        <w:tc>
          <w:tcPr>
            <w:tcW w:w="711" w:type="pct"/>
            <w:vAlign w:val="center"/>
          </w:tcPr>
          <w:p w14:paraId="0BCB02E5" w14:textId="628B741A" w:rsidR="007C7350" w:rsidRDefault="007C7350" w:rsidP="009D491B">
            <w:pPr>
              <w:pStyle w:val="TableText0"/>
              <w:jc w:val="center"/>
            </w:pPr>
            <w:r w:rsidRPr="00B02A74">
              <w:t>11 (4)</w:t>
            </w:r>
          </w:p>
        </w:tc>
        <w:tc>
          <w:tcPr>
            <w:tcW w:w="713" w:type="pct"/>
            <w:vAlign w:val="center"/>
          </w:tcPr>
          <w:p w14:paraId="063AB8D4" w14:textId="77777777" w:rsidR="007C7350" w:rsidRDefault="007C7350" w:rsidP="009D491B">
            <w:pPr>
              <w:pStyle w:val="TableText0"/>
              <w:jc w:val="center"/>
            </w:pPr>
            <w:r w:rsidRPr="00B02A74">
              <w:t>16 (</w:t>
            </w:r>
            <w:r>
              <w:t>7</w:t>
            </w:r>
            <w:r w:rsidRPr="00B02A74">
              <w:t>)</w:t>
            </w:r>
          </w:p>
        </w:tc>
        <w:tc>
          <w:tcPr>
            <w:tcW w:w="704" w:type="pct"/>
            <w:vAlign w:val="center"/>
          </w:tcPr>
          <w:p w14:paraId="15D141E2" w14:textId="77777777" w:rsidR="007C7350" w:rsidRDefault="007C7350" w:rsidP="009D491B">
            <w:pPr>
              <w:pStyle w:val="TableText0"/>
              <w:jc w:val="center"/>
            </w:pPr>
            <w:r w:rsidRPr="00B02A74">
              <w:t>21 (9)</w:t>
            </w:r>
          </w:p>
        </w:tc>
      </w:tr>
      <w:tr w:rsidR="007C7350" w14:paraId="71A3A916" w14:textId="77777777" w:rsidTr="009D491B">
        <w:trPr>
          <w:cantSplit/>
        </w:trPr>
        <w:tc>
          <w:tcPr>
            <w:tcW w:w="784" w:type="pct"/>
            <w:vAlign w:val="center"/>
          </w:tcPr>
          <w:p w14:paraId="03F91D21" w14:textId="77777777" w:rsidR="007C7350" w:rsidRPr="00895BFE" w:rsidRDefault="007C7350" w:rsidP="009D491B">
            <w:pPr>
              <w:pStyle w:val="TableText0"/>
            </w:pPr>
            <w:r w:rsidRPr="00895BFE">
              <w:t>Injection site erythema</w:t>
            </w:r>
          </w:p>
        </w:tc>
        <w:tc>
          <w:tcPr>
            <w:tcW w:w="667" w:type="pct"/>
            <w:vAlign w:val="center"/>
          </w:tcPr>
          <w:p w14:paraId="06DF2687" w14:textId="77777777" w:rsidR="007C7350" w:rsidRDefault="007C7350" w:rsidP="009D491B">
            <w:pPr>
              <w:pStyle w:val="TableText0"/>
              <w:jc w:val="center"/>
            </w:pPr>
            <w:r w:rsidRPr="00895BFE">
              <w:t>19 (7)</w:t>
            </w:r>
          </w:p>
        </w:tc>
        <w:tc>
          <w:tcPr>
            <w:tcW w:w="711" w:type="pct"/>
            <w:vAlign w:val="center"/>
          </w:tcPr>
          <w:p w14:paraId="39D5AA9D" w14:textId="2080EEDC" w:rsidR="007C7350" w:rsidRDefault="0001201C" w:rsidP="009D491B">
            <w:pPr>
              <w:pStyle w:val="TableText0"/>
              <w:jc w:val="center"/>
            </w:pPr>
            <w:r>
              <w:t>4</w:t>
            </w:r>
            <w:r w:rsidR="007C7350" w:rsidRPr="00895BFE">
              <w:t xml:space="preserve"> (</w:t>
            </w:r>
            <w:r>
              <w:t>4</w:t>
            </w:r>
            <w:r w:rsidR="007C7350" w:rsidRPr="00895BFE">
              <w:t>)</w:t>
            </w:r>
          </w:p>
        </w:tc>
        <w:tc>
          <w:tcPr>
            <w:tcW w:w="711" w:type="pct"/>
            <w:vAlign w:val="center"/>
          </w:tcPr>
          <w:p w14:paraId="715880ED" w14:textId="7FF98E0B" w:rsidR="007C7350" w:rsidRPr="00895BFE" w:rsidRDefault="00236C05" w:rsidP="009D491B">
            <w:pPr>
              <w:pStyle w:val="TableText0"/>
              <w:jc w:val="center"/>
            </w:pPr>
            <w:r>
              <w:t>12 (7)</w:t>
            </w:r>
          </w:p>
        </w:tc>
        <w:tc>
          <w:tcPr>
            <w:tcW w:w="711" w:type="pct"/>
            <w:vAlign w:val="center"/>
          </w:tcPr>
          <w:p w14:paraId="54FF0AE5" w14:textId="4DD14BDF" w:rsidR="007C7350" w:rsidRDefault="007C7350" w:rsidP="009D491B">
            <w:pPr>
              <w:pStyle w:val="TableText0"/>
              <w:jc w:val="center"/>
            </w:pPr>
            <w:r w:rsidRPr="00895BFE">
              <w:t>15 (5)</w:t>
            </w:r>
          </w:p>
        </w:tc>
        <w:tc>
          <w:tcPr>
            <w:tcW w:w="713" w:type="pct"/>
            <w:vAlign w:val="center"/>
          </w:tcPr>
          <w:p w14:paraId="5751E66E" w14:textId="77777777" w:rsidR="007C7350" w:rsidRDefault="007C7350" w:rsidP="009D491B">
            <w:pPr>
              <w:pStyle w:val="TableText0"/>
              <w:jc w:val="center"/>
            </w:pPr>
            <w:r w:rsidRPr="00B02A74">
              <w:t>8 (3)</w:t>
            </w:r>
          </w:p>
        </w:tc>
        <w:tc>
          <w:tcPr>
            <w:tcW w:w="704" w:type="pct"/>
            <w:vAlign w:val="center"/>
          </w:tcPr>
          <w:p w14:paraId="7C01F1BC" w14:textId="77777777" w:rsidR="007C7350" w:rsidRDefault="007C7350" w:rsidP="009D491B">
            <w:pPr>
              <w:pStyle w:val="TableText0"/>
              <w:jc w:val="center"/>
            </w:pPr>
            <w:r w:rsidRPr="00B02A74">
              <w:t>6 (</w:t>
            </w:r>
            <w:r>
              <w:t>3</w:t>
            </w:r>
            <w:r w:rsidRPr="00B02A74">
              <w:t>)</w:t>
            </w:r>
          </w:p>
        </w:tc>
      </w:tr>
      <w:tr w:rsidR="007C7350" w14:paraId="0B3899E1" w14:textId="77777777" w:rsidTr="009D491B">
        <w:trPr>
          <w:cantSplit/>
        </w:trPr>
        <w:tc>
          <w:tcPr>
            <w:tcW w:w="784" w:type="pct"/>
            <w:vAlign w:val="center"/>
          </w:tcPr>
          <w:p w14:paraId="2E9AB17F" w14:textId="77777777" w:rsidR="007C7350" w:rsidRPr="00895BFE" w:rsidRDefault="007C7350" w:rsidP="009D491B">
            <w:pPr>
              <w:pStyle w:val="TableText0"/>
            </w:pPr>
            <w:r w:rsidRPr="00895BFE">
              <w:t>Injection site pain</w:t>
            </w:r>
          </w:p>
        </w:tc>
        <w:tc>
          <w:tcPr>
            <w:tcW w:w="667" w:type="pct"/>
            <w:vAlign w:val="center"/>
          </w:tcPr>
          <w:p w14:paraId="7F981C64" w14:textId="77777777" w:rsidR="007C7350" w:rsidRDefault="007C7350" w:rsidP="009D491B">
            <w:pPr>
              <w:pStyle w:val="TableText0"/>
              <w:jc w:val="center"/>
            </w:pPr>
            <w:r w:rsidRPr="00895BFE">
              <w:t>11 (4)</w:t>
            </w:r>
          </w:p>
        </w:tc>
        <w:tc>
          <w:tcPr>
            <w:tcW w:w="711" w:type="pct"/>
            <w:vAlign w:val="center"/>
          </w:tcPr>
          <w:p w14:paraId="09861E92" w14:textId="5A34A240" w:rsidR="007C7350" w:rsidRDefault="006448CE" w:rsidP="009D491B">
            <w:pPr>
              <w:pStyle w:val="TableText0"/>
              <w:jc w:val="center"/>
            </w:pPr>
            <w:r>
              <w:t>3</w:t>
            </w:r>
            <w:r w:rsidR="007C7350" w:rsidRPr="00895BFE">
              <w:t xml:space="preserve"> (3)</w:t>
            </w:r>
          </w:p>
        </w:tc>
        <w:tc>
          <w:tcPr>
            <w:tcW w:w="711" w:type="pct"/>
            <w:vAlign w:val="center"/>
          </w:tcPr>
          <w:p w14:paraId="0297E362" w14:textId="60810E42" w:rsidR="007C7350" w:rsidRPr="00895BFE" w:rsidRDefault="00236C05" w:rsidP="009D491B">
            <w:pPr>
              <w:pStyle w:val="TableText0"/>
              <w:jc w:val="center"/>
            </w:pPr>
            <w:r>
              <w:t>6 (3)</w:t>
            </w:r>
          </w:p>
        </w:tc>
        <w:tc>
          <w:tcPr>
            <w:tcW w:w="711" w:type="pct"/>
            <w:vAlign w:val="center"/>
          </w:tcPr>
          <w:p w14:paraId="794F6C6D" w14:textId="6B56F8E9" w:rsidR="007C7350" w:rsidRDefault="007C7350" w:rsidP="009D491B">
            <w:pPr>
              <w:pStyle w:val="TableText0"/>
              <w:jc w:val="center"/>
            </w:pPr>
            <w:r w:rsidRPr="00895BFE">
              <w:t>8 (3)</w:t>
            </w:r>
          </w:p>
        </w:tc>
        <w:tc>
          <w:tcPr>
            <w:tcW w:w="713" w:type="pct"/>
            <w:vAlign w:val="center"/>
          </w:tcPr>
          <w:p w14:paraId="76FF83EF" w14:textId="77777777" w:rsidR="007C7350" w:rsidRDefault="007C7350" w:rsidP="009D491B">
            <w:pPr>
              <w:pStyle w:val="TableText0"/>
              <w:jc w:val="center"/>
            </w:pPr>
            <w:r w:rsidRPr="00B02A74">
              <w:t>5 (2)</w:t>
            </w:r>
          </w:p>
        </w:tc>
        <w:tc>
          <w:tcPr>
            <w:tcW w:w="704" w:type="pct"/>
            <w:vAlign w:val="center"/>
          </w:tcPr>
          <w:p w14:paraId="43756F38" w14:textId="77777777" w:rsidR="007C7350" w:rsidRDefault="007C7350" w:rsidP="009D491B">
            <w:pPr>
              <w:pStyle w:val="TableText0"/>
              <w:jc w:val="center"/>
            </w:pPr>
            <w:r w:rsidRPr="00B02A74">
              <w:t>13 (</w:t>
            </w:r>
            <w:r>
              <w:t>6</w:t>
            </w:r>
            <w:r w:rsidRPr="00B02A74">
              <w:t>)</w:t>
            </w:r>
          </w:p>
        </w:tc>
      </w:tr>
      <w:tr w:rsidR="007C7350" w14:paraId="5BFBF257" w14:textId="77777777" w:rsidTr="009D491B">
        <w:trPr>
          <w:cantSplit/>
        </w:trPr>
        <w:tc>
          <w:tcPr>
            <w:tcW w:w="784" w:type="pct"/>
            <w:vAlign w:val="center"/>
          </w:tcPr>
          <w:p w14:paraId="1573FABF" w14:textId="77777777" w:rsidR="007C7350" w:rsidRPr="00895BFE" w:rsidRDefault="007C7350" w:rsidP="009D491B">
            <w:pPr>
              <w:pStyle w:val="TableText0"/>
            </w:pPr>
            <w:r w:rsidRPr="00895BFE">
              <w:t>Upper respiratory tract infection</w:t>
            </w:r>
          </w:p>
        </w:tc>
        <w:tc>
          <w:tcPr>
            <w:tcW w:w="667" w:type="pct"/>
            <w:vAlign w:val="center"/>
          </w:tcPr>
          <w:p w14:paraId="1D673918" w14:textId="77777777" w:rsidR="007C7350" w:rsidRDefault="007C7350" w:rsidP="009D491B">
            <w:pPr>
              <w:pStyle w:val="TableText0"/>
              <w:jc w:val="center"/>
            </w:pPr>
            <w:r w:rsidRPr="00895BFE">
              <w:t>4 (1)</w:t>
            </w:r>
          </w:p>
        </w:tc>
        <w:tc>
          <w:tcPr>
            <w:tcW w:w="711" w:type="pct"/>
            <w:vAlign w:val="center"/>
          </w:tcPr>
          <w:p w14:paraId="1C06210B" w14:textId="77777777" w:rsidR="007C7350" w:rsidRDefault="007C7350" w:rsidP="009D491B">
            <w:pPr>
              <w:pStyle w:val="TableText0"/>
              <w:jc w:val="center"/>
            </w:pPr>
            <w:r w:rsidRPr="00895BFE">
              <w:t>4 (4)</w:t>
            </w:r>
          </w:p>
        </w:tc>
        <w:tc>
          <w:tcPr>
            <w:tcW w:w="711" w:type="pct"/>
            <w:vAlign w:val="center"/>
          </w:tcPr>
          <w:p w14:paraId="0AAD240D" w14:textId="2C46888F" w:rsidR="007C7350" w:rsidRPr="00895BFE" w:rsidRDefault="00236C05" w:rsidP="009D491B">
            <w:pPr>
              <w:pStyle w:val="TableText0"/>
              <w:jc w:val="center"/>
            </w:pPr>
            <w:r>
              <w:t>5 (3)</w:t>
            </w:r>
          </w:p>
        </w:tc>
        <w:tc>
          <w:tcPr>
            <w:tcW w:w="711" w:type="pct"/>
            <w:vAlign w:val="center"/>
          </w:tcPr>
          <w:p w14:paraId="322E55E0" w14:textId="17FAC6E6" w:rsidR="007C7350" w:rsidRDefault="007C7350" w:rsidP="009D491B">
            <w:pPr>
              <w:pStyle w:val="TableText0"/>
              <w:jc w:val="center"/>
            </w:pPr>
            <w:r w:rsidRPr="00895BFE">
              <w:t>3 (1)</w:t>
            </w:r>
          </w:p>
        </w:tc>
        <w:tc>
          <w:tcPr>
            <w:tcW w:w="713" w:type="pct"/>
            <w:vAlign w:val="center"/>
          </w:tcPr>
          <w:p w14:paraId="36A132AA" w14:textId="77777777" w:rsidR="007C7350" w:rsidRDefault="007C7350" w:rsidP="009D491B">
            <w:pPr>
              <w:pStyle w:val="TableText0"/>
              <w:jc w:val="center"/>
            </w:pPr>
            <w:r w:rsidRPr="00B02A74">
              <w:t>5 (2)</w:t>
            </w:r>
          </w:p>
        </w:tc>
        <w:tc>
          <w:tcPr>
            <w:tcW w:w="704" w:type="pct"/>
            <w:vAlign w:val="center"/>
          </w:tcPr>
          <w:p w14:paraId="612177C0" w14:textId="77777777" w:rsidR="007C7350" w:rsidRDefault="007C7350" w:rsidP="009D491B">
            <w:pPr>
              <w:pStyle w:val="TableText0"/>
              <w:jc w:val="center"/>
            </w:pPr>
            <w:r w:rsidRPr="00B02A74">
              <w:t>5 (2)</w:t>
            </w:r>
          </w:p>
        </w:tc>
      </w:tr>
      <w:tr w:rsidR="007C7350" w14:paraId="1ECEBE20" w14:textId="77777777" w:rsidTr="009D491B">
        <w:trPr>
          <w:cantSplit/>
        </w:trPr>
        <w:tc>
          <w:tcPr>
            <w:tcW w:w="784" w:type="pct"/>
            <w:vAlign w:val="center"/>
          </w:tcPr>
          <w:p w14:paraId="4B32B91D" w14:textId="77777777" w:rsidR="007C7350" w:rsidRPr="00895BFE" w:rsidRDefault="007C7350" w:rsidP="009D491B">
            <w:pPr>
              <w:pStyle w:val="TableText0"/>
            </w:pPr>
            <w:r w:rsidRPr="00895BFE">
              <w:t>Nausea</w:t>
            </w:r>
          </w:p>
        </w:tc>
        <w:tc>
          <w:tcPr>
            <w:tcW w:w="667" w:type="pct"/>
            <w:vAlign w:val="center"/>
          </w:tcPr>
          <w:p w14:paraId="73F46B6B" w14:textId="7FF12E54" w:rsidR="007C7350" w:rsidRDefault="006448CE" w:rsidP="009D491B">
            <w:pPr>
              <w:pStyle w:val="TableText0"/>
              <w:jc w:val="center"/>
            </w:pPr>
            <w:r>
              <w:t>6</w:t>
            </w:r>
            <w:r w:rsidR="007C7350" w:rsidRPr="00895BFE">
              <w:t xml:space="preserve"> (</w:t>
            </w:r>
            <w:r>
              <w:t>2</w:t>
            </w:r>
            <w:r w:rsidR="007C7350" w:rsidRPr="00895BFE">
              <w:t>)</w:t>
            </w:r>
          </w:p>
        </w:tc>
        <w:tc>
          <w:tcPr>
            <w:tcW w:w="711" w:type="pct"/>
            <w:vAlign w:val="center"/>
          </w:tcPr>
          <w:p w14:paraId="02C9D891" w14:textId="54E5E6FD" w:rsidR="007C7350" w:rsidRDefault="006448CE" w:rsidP="009D491B">
            <w:pPr>
              <w:pStyle w:val="TableText0"/>
              <w:jc w:val="center"/>
            </w:pPr>
            <w:r>
              <w:t>2</w:t>
            </w:r>
            <w:r w:rsidR="007C7350" w:rsidRPr="00895BFE">
              <w:t xml:space="preserve"> (</w:t>
            </w:r>
            <w:r>
              <w:t>2</w:t>
            </w:r>
            <w:r w:rsidR="007C7350" w:rsidRPr="00895BFE">
              <w:t>)</w:t>
            </w:r>
          </w:p>
        </w:tc>
        <w:tc>
          <w:tcPr>
            <w:tcW w:w="711" w:type="pct"/>
            <w:vAlign w:val="center"/>
          </w:tcPr>
          <w:p w14:paraId="2E116262" w14:textId="1AADF90C" w:rsidR="007C7350" w:rsidRPr="00895BFE" w:rsidRDefault="00236C05" w:rsidP="009D491B">
            <w:pPr>
              <w:pStyle w:val="TableText0"/>
              <w:jc w:val="center"/>
            </w:pPr>
            <w:r>
              <w:t>0 (0)</w:t>
            </w:r>
          </w:p>
        </w:tc>
        <w:tc>
          <w:tcPr>
            <w:tcW w:w="711" w:type="pct"/>
            <w:vAlign w:val="center"/>
          </w:tcPr>
          <w:p w14:paraId="1485ED59" w14:textId="2F4CBD92" w:rsidR="007C7350" w:rsidRDefault="007C7350" w:rsidP="009D491B">
            <w:pPr>
              <w:pStyle w:val="TableText0"/>
              <w:jc w:val="center"/>
            </w:pPr>
            <w:r w:rsidRPr="00895BFE">
              <w:t>6 (2)</w:t>
            </w:r>
          </w:p>
        </w:tc>
        <w:tc>
          <w:tcPr>
            <w:tcW w:w="713" w:type="pct"/>
            <w:vAlign w:val="center"/>
          </w:tcPr>
          <w:p w14:paraId="70EF2B6D" w14:textId="77777777" w:rsidR="007C7350" w:rsidRDefault="007C7350" w:rsidP="009D491B">
            <w:pPr>
              <w:pStyle w:val="TableText0"/>
              <w:jc w:val="center"/>
            </w:pPr>
            <w:r w:rsidRPr="00B02A74">
              <w:t>4 (</w:t>
            </w:r>
            <w:r>
              <w:t>2</w:t>
            </w:r>
            <w:r w:rsidRPr="00B02A74">
              <w:t>)</w:t>
            </w:r>
          </w:p>
        </w:tc>
        <w:tc>
          <w:tcPr>
            <w:tcW w:w="704" w:type="pct"/>
            <w:vAlign w:val="center"/>
          </w:tcPr>
          <w:p w14:paraId="2261D901" w14:textId="77777777" w:rsidR="007C7350" w:rsidRDefault="007C7350" w:rsidP="009D491B">
            <w:pPr>
              <w:pStyle w:val="TableText0"/>
              <w:jc w:val="center"/>
            </w:pPr>
            <w:r w:rsidRPr="00B02A74">
              <w:t>5 (2)</w:t>
            </w:r>
          </w:p>
        </w:tc>
      </w:tr>
      <w:tr w:rsidR="007C7350" w14:paraId="5A619DB2" w14:textId="77777777" w:rsidTr="009D491B">
        <w:trPr>
          <w:cantSplit/>
        </w:trPr>
        <w:tc>
          <w:tcPr>
            <w:tcW w:w="784" w:type="pct"/>
            <w:vAlign w:val="center"/>
          </w:tcPr>
          <w:p w14:paraId="35B8834E" w14:textId="77777777" w:rsidR="007C7350" w:rsidRPr="00895BFE" w:rsidRDefault="007C7350" w:rsidP="009D491B">
            <w:pPr>
              <w:pStyle w:val="TableText0"/>
            </w:pPr>
            <w:r w:rsidRPr="00895BFE">
              <w:t>Injection site reaction induration</w:t>
            </w:r>
          </w:p>
        </w:tc>
        <w:tc>
          <w:tcPr>
            <w:tcW w:w="667" w:type="pct"/>
            <w:vAlign w:val="center"/>
          </w:tcPr>
          <w:p w14:paraId="02920CCC" w14:textId="77777777" w:rsidR="007C7350" w:rsidRDefault="007C7350" w:rsidP="009D491B">
            <w:pPr>
              <w:pStyle w:val="TableText0"/>
              <w:jc w:val="center"/>
            </w:pPr>
            <w:r w:rsidRPr="00BF7021">
              <w:t>12 (4)</w:t>
            </w:r>
          </w:p>
        </w:tc>
        <w:tc>
          <w:tcPr>
            <w:tcW w:w="711" w:type="pct"/>
            <w:vAlign w:val="center"/>
          </w:tcPr>
          <w:p w14:paraId="3801B032" w14:textId="77777777" w:rsidR="007C7350" w:rsidRDefault="007C7350" w:rsidP="009D491B">
            <w:pPr>
              <w:pStyle w:val="TableText0"/>
              <w:jc w:val="center"/>
            </w:pPr>
            <w:r w:rsidRPr="00BF7021">
              <w:t>3 (3)</w:t>
            </w:r>
          </w:p>
        </w:tc>
        <w:tc>
          <w:tcPr>
            <w:tcW w:w="711" w:type="pct"/>
            <w:vAlign w:val="center"/>
          </w:tcPr>
          <w:p w14:paraId="2497CFB9" w14:textId="25C32EC8" w:rsidR="007C7350" w:rsidRPr="00BF7021" w:rsidRDefault="00236C05" w:rsidP="009D491B">
            <w:pPr>
              <w:pStyle w:val="TableText0"/>
              <w:jc w:val="center"/>
            </w:pPr>
            <w:r>
              <w:t>10 (6)</w:t>
            </w:r>
          </w:p>
        </w:tc>
        <w:tc>
          <w:tcPr>
            <w:tcW w:w="711" w:type="pct"/>
            <w:vAlign w:val="center"/>
          </w:tcPr>
          <w:p w14:paraId="33D14FF3" w14:textId="6BF802FF" w:rsidR="007C7350" w:rsidRDefault="007C7350" w:rsidP="009D491B">
            <w:pPr>
              <w:pStyle w:val="TableText0"/>
              <w:jc w:val="center"/>
            </w:pPr>
            <w:r w:rsidRPr="00BF7021">
              <w:t>12 (4)</w:t>
            </w:r>
          </w:p>
        </w:tc>
        <w:tc>
          <w:tcPr>
            <w:tcW w:w="713" w:type="pct"/>
            <w:vAlign w:val="center"/>
          </w:tcPr>
          <w:p w14:paraId="7FF4E953" w14:textId="77777777" w:rsidR="007C7350" w:rsidRDefault="007C7350" w:rsidP="009D491B">
            <w:pPr>
              <w:pStyle w:val="TableText0"/>
              <w:jc w:val="center"/>
            </w:pPr>
            <w:r>
              <w:t>0</w:t>
            </w:r>
          </w:p>
        </w:tc>
        <w:tc>
          <w:tcPr>
            <w:tcW w:w="704" w:type="pct"/>
            <w:vAlign w:val="center"/>
          </w:tcPr>
          <w:p w14:paraId="71A8235D" w14:textId="77777777" w:rsidR="007C7350" w:rsidRDefault="007C7350" w:rsidP="009D491B">
            <w:pPr>
              <w:pStyle w:val="TableText0"/>
              <w:jc w:val="center"/>
            </w:pPr>
            <w:r w:rsidRPr="00B02A74">
              <w:t>6 (</w:t>
            </w:r>
            <w:r>
              <w:t>3</w:t>
            </w:r>
            <w:r w:rsidRPr="00B02A74">
              <w:t>)</w:t>
            </w:r>
          </w:p>
        </w:tc>
      </w:tr>
      <w:tr w:rsidR="007C7350" w14:paraId="552A9C05" w14:textId="77777777" w:rsidTr="009D491B">
        <w:trPr>
          <w:cantSplit/>
        </w:trPr>
        <w:tc>
          <w:tcPr>
            <w:tcW w:w="784" w:type="pct"/>
            <w:vAlign w:val="center"/>
          </w:tcPr>
          <w:p w14:paraId="6DEB99B1" w14:textId="77777777" w:rsidR="007C7350" w:rsidRPr="00895BFE" w:rsidRDefault="007C7350" w:rsidP="009D491B">
            <w:pPr>
              <w:pStyle w:val="TableText0"/>
            </w:pPr>
            <w:r w:rsidRPr="00895BFE">
              <w:t>Insomnia</w:t>
            </w:r>
          </w:p>
        </w:tc>
        <w:tc>
          <w:tcPr>
            <w:tcW w:w="667" w:type="pct"/>
            <w:vAlign w:val="center"/>
          </w:tcPr>
          <w:p w14:paraId="027407F3" w14:textId="77777777" w:rsidR="007C7350" w:rsidRDefault="007C7350" w:rsidP="009D491B">
            <w:pPr>
              <w:pStyle w:val="TableText0"/>
              <w:jc w:val="center"/>
            </w:pPr>
            <w:r w:rsidRPr="00BF7021">
              <w:t>6 (2)</w:t>
            </w:r>
          </w:p>
        </w:tc>
        <w:tc>
          <w:tcPr>
            <w:tcW w:w="711" w:type="pct"/>
            <w:vAlign w:val="center"/>
          </w:tcPr>
          <w:p w14:paraId="3861B771" w14:textId="77777777" w:rsidR="007C7350" w:rsidRDefault="007C7350" w:rsidP="009D491B">
            <w:pPr>
              <w:pStyle w:val="TableText0"/>
              <w:jc w:val="center"/>
            </w:pPr>
            <w:r w:rsidRPr="00895BFE">
              <w:t>4 (4)</w:t>
            </w:r>
          </w:p>
        </w:tc>
        <w:tc>
          <w:tcPr>
            <w:tcW w:w="711" w:type="pct"/>
            <w:vAlign w:val="center"/>
          </w:tcPr>
          <w:p w14:paraId="3BC86CE1" w14:textId="7290783D" w:rsidR="007C7350" w:rsidRPr="00895BFE" w:rsidRDefault="00236C05" w:rsidP="009D491B">
            <w:pPr>
              <w:pStyle w:val="TableText0"/>
              <w:jc w:val="center"/>
            </w:pPr>
            <w:r>
              <w:t>3 (2)</w:t>
            </w:r>
          </w:p>
        </w:tc>
        <w:tc>
          <w:tcPr>
            <w:tcW w:w="711" w:type="pct"/>
            <w:vAlign w:val="center"/>
          </w:tcPr>
          <w:p w14:paraId="17C72C71" w14:textId="6F08B303" w:rsidR="007C7350" w:rsidRDefault="007C7350" w:rsidP="009D491B">
            <w:pPr>
              <w:pStyle w:val="TableText0"/>
              <w:jc w:val="center"/>
            </w:pPr>
            <w:r w:rsidRPr="00895BFE">
              <w:t>2 (&lt;1)</w:t>
            </w:r>
          </w:p>
        </w:tc>
        <w:tc>
          <w:tcPr>
            <w:tcW w:w="713" w:type="pct"/>
            <w:vAlign w:val="center"/>
          </w:tcPr>
          <w:p w14:paraId="4F00B2FB" w14:textId="77777777" w:rsidR="007C7350" w:rsidRDefault="007C7350" w:rsidP="009D491B">
            <w:pPr>
              <w:pStyle w:val="TableText0"/>
              <w:jc w:val="center"/>
            </w:pPr>
            <w:r>
              <w:t>0</w:t>
            </w:r>
          </w:p>
        </w:tc>
        <w:tc>
          <w:tcPr>
            <w:tcW w:w="704" w:type="pct"/>
            <w:vAlign w:val="center"/>
          </w:tcPr>
          <w:p w14:paraId="68DF2F68" w14:textId="77777777" w:rsidR="007C7350" w:rsidRDefault="007C7350" w:rsidP="009D491B">
            <w:pPr>
              <w:pStyle w:val="TableText0"/>
              <w:jc w:val="center"/>
            </w:pPr>
            <w:r w:rsidRPr="00B02A74">
              <w:t>5 (2)</w:t>
            </w:r>
          </w:p>
        </w:tc>
      </w:tr>
    </w:tbl>
    <w:p w14:paraId="7DFE6C65" w14:textId="6733C99E" w:rsidR="00BC4E63" w:rsidRDefault="00BC4E63" w:rsidP="00BC4E63">
      <w:pPr>
        <w:pStyle w:val="FooterTableFigure"/>
      </w:pPr>
      <w:r>
        <w:t>Source: Table</w:t>
      </w:r>
      <w:r w:rsidR="00236C05">
        <w:t>s</w:t>
      </w:r>
      <w:r>
        <w:t xml:space="preserve"> 50</w:t>
      </w:r>
      <w:r w:rsidR="00DE74E7">
        <w:t xml:space="preserve"> and 51</w:t>
      </w:r>
      <w:r>
        <w:t>, p</w:t>
      </w:r>
      <w:r w:rsidR="00DE74E7">
        <w:t>p</w:t>
      </w:r>
      <w:r>
        <w:t>167</w:t>
      </w:r>
      <w:r w:rsidR="00DE74E7">
        <w:t>-169</w:t>
      </w:r>
      <w:r>
        <w:t>, Fremanezumab CSR; Table 8, Galcanezumab PSD, March 2022 PBAC meeting.</w:t>
      </w:r>
    </w:p>
    <w:p w14:paraId="5FED4F98" w14:textId="76C4A720" w:rsidR="00BC4E63" w:rsidRDefault="00BC4E63" w:rsidP="00BC4E63">
      <w:pPr>
        <w:pStyle w:val="FooterTableFigure"/>
        <w:rPr>
          <w:rFonts w:eastAsia="Calibri"/>
        </w:rPr>
      </w:pPr>
      <w:r w:rsidRPr="00B40358">
        <w:rPr>
          <w:rFonts w:eastAsia="Calibri"/>
        </w:rPr>
        <w:t xml:space="preserve">CI= confidence interval; </w:t>
      </w:r>
      <w:r w:rsidR="003B703B">
        <w:rPr>
          <w:rFonts w:eastAsia="Calibri"/>
        </w:rPr>
        <w:t xml:space="preserve">FREM= fremanezumab; GALC= galcanezumab; </w:t>
      </w:r>
      <w:r w:rsidR="00DD6142">
        <w:rPr>
          <w:rFonts w:eastAsia="Calibri"/>
        </w:rPr>
        <w:t xml:space="preserve">PBO= placebo; </w:t>
      </w:r>
      <w:r w:rsidR="003B703B">
        <w:rPr>
          <w:rFonts w:eastAsia="Calibri"/>
        </w:rPr>
        <w:t xml:space="preserve">ITT= intention-to-treat; </w:t>
      </w:r>
      <w:r w:rsidR="00417B2B">
        <w:rPr>
          <w:rFonts w:eastAsia="Calibri"/>
        </w:rPr>
        <w:t xml:space="preserve">M= monthly; </w:t>
      </w:r>
      <w:r w:rsidRPr="00B40358">
        <w:rPr>
          <w:rFonts w:eastAsia="Calibri"/>
        </w:rPr>
        <w:t>n= number of participants reporting data; N= total participants in group</w:t>
      </w:r>
      <w:r>
        <w:rPr>
          <w:rFonts w:eastAsia="Calibri"/>
        </w:rPr>
        <w:t xml:space="preserve">; </w:t>
      </w:r>
      <w:r w:rsidR="00417B2B">
        <w:rPr>
          <w:rFonts w:eastAsia="Calibri"/>
        </w:rPr>
        <w:t xml:space="preserve">Q= quarterly; </w:t>
      </w:r>
      <w:r>
        <w:rPr>
          <w:rFonts w:eastAsia="Calibri"/>
        </w:rPr>
        <w:t>RD= risk difference; RR= relative risk</w:t>
      </w:r>
      <w:r w:rsidR="003B703B">
        <w:rPr>
          <w:rFonts w:eastAsia="Calibri"/>
        </w:rPr>
        <w:t>.</w:t>
      </w:r>
    </w:p>
    <w:p w14:paraId="5817F202" w14:textId="5A53746D" w:rsidR="00E4775D" w:rsidRPr="00E4775D" w:rsidRDefault="00E4775D" w:rsidP="00BC4E63">
      <w:pPr>
        <w:pStyle w:val="FooterTableFigure"/>
      </w:pPr>
      <w:r>
        <w:rPr>
          <w:rFonts w:eastAsia="Calibri"/>
          <w:vertAlign w:val="superscript"/>
        </w:rPr>
        <w:t xml:space="preserve">a </w:t>
      </w:r>
      <w:r>
        <w:rPr>
          <w:rFonts w:eastAsia="Calibri"/>
        </w:rPr>
        <w:t>FREM 675</w:t>
      </w:r>
      <w:r w:rsidR="0097298D">
        <w:rPr>
          <w:rFonts w:eastAsia="Calibri"/>
        </w:rPr>
        <w:t xml:space="preserve"> </w:t>
      </w:r>
      <w:r>
        <w:rPr>
          <w:rFonts w:eastAsia="Calibri"/>
        </w:rPr>
        <w:t>mg initially in the first month followed by 225 mg in second and third months was an experimental dose to determine d</w:t>
      </w:r>
      <w:r w:rsidR="009D491B">
        <w:rPr>
          <w:rFonts w:eastAsia="Calibri"/>
        </w:rPr>
        <w:t>rug</w:t>
      </w:r>
      <w:r>
        <w:rPr>
          <w:rFonts w:eastAsia="Calibri"/>
        </w:rPr>
        <w:t xml:space="preserve"> tolerance.</w:t>
      </w:r>
    </w:p>
    <w:p w14:paraId="75A633E5" w14:textId="271A66B4" w:rsidR="00BC4E63" w:rsidRDefault="00BC4E63" w:rsidP="00033A63">
      <w:pPr>
        <w:pStyle w:val="3-BodyText"/>
        <w:numPr>
          <w:ilvl w:val="1"/>
          <w:numId w:val="5"/>
        </w:numPr>
        <w:ind w:left="720"/>
      </w:pPr>
      <w:r w:rsidRPr="007B6175">
        <w:t>The overall incidence of adverse events was similar between treatment arms. There was a slightly greater incidence of treatment-</w:t>
      </w:r>
      <w:r>
        <w:t>emergent</w:t>
      </w:r>
      <w:r w:rsidRPr="007B6175">
        <w:t xml:space="preserve"> adverse events</w:t>
      </w:r>
      <w:r>
        <w:t xml:space="preserve"> </w:t>
      </w:r>
      <w:r w:rsidRPr="007B6175">
        <w:t xml:space="preserve">in the </w:t>
      </w:r>
      <w:r>
        <w:t xml:space="preserve">fremanezumab quarterly arm compared with </w:t>
      </w:r>
      <w:r w:rsidR="00B85078">
        <w:t xml:space="preserve">the </w:t>
      </w:r>
      <w:r>
        <w:t>fremanezumab monthly arm and placebo in the FOCUS trial.</w:t>
      </w:r>
    </w:p>
    <w:p w14:paraId="22FB10DA" w14:textId="53D169E3" w:rsidR="00BC4E63" w:rsidRDefault="00BC4E63" w:rsidP="00033A63">
      <w:pPr>
        <w:pStyle w:val="3-BodyText"/>
        <w:numPr>
          <w:ilvl w:val="1"/>
          <w:numId w:val="5"/>
        </w:numPr>
        <w:ind w:left="720"/>
      </w:pPr>
      <w:r>
        <w:t xml:space="preserve">The most common </w:t>
      </w:r>
      <w:r w:rsidRPr="007B6175">
        <w:t>treatment-emergent adverse events</w:t>
      </w:r>
      <w:r w:rsidR="006E0B10">
        <w:t xml:space="preserve"> (TEAEs)</w:t>
      </w:r>
      <w:r w:rsidRPr="007B6175">
        <w:t xml:space="preserve"> (&gt;2% of any group) were nasopharyngitis, injection site erythema, injection site pain</w:t>
      </w:r>
      <w:r>
        <w:t>, and injection site reaction.</w:t>
      </w:r>
    </w:p>
    <w:p w14:paraId="0116C662" w14:textId="723F7FB6" w:rsidR="00BC4E63" w:rsidRDefault="006E0B10" w:rsidP="00033A63">
      <w:pPr>
        <w:pStyle w:val="3-BodyText"/>
        <w:numPr>
          <w:ilvl w:val="1"/>
          <w:numId w:val="5"/>
        </w:numPr>
        <w:ind w:left="720"/>
      </w:pPr>
      <w:r w:rsidRPr="000365FF">
        <w:lastRenderedPageBreak/>
        <w:t xml:space="preserve">The </w:t>
      </w:r>
      <w:r w:rsidR="000365FF" w:rsidRPr="000365FF">
        <w:t>submission presented</w:t>
      </w:r>
      <w:r w:rsidR="00400D72">
        <w:t xml:space="preserve"> an indirect comparison of </w:t>
      </w:r>
      <w:r w:rsidRPr="000365FF">
        <w:t xml:space="preserve">TEAEs for the HFEM subgroup with </w:t>
      </w:r>
      <w:r w:rsidRPr="000365FF">
        <w:rPr>
          <w:rFonts w:cstheme="minorHAnsi"/>
        </w:rPr>
        <w:t>≥</w:t>
      </w:r>
      <w:r w:rsidRPr="000365FF">
        <w:t>3 prior treatment failures.</w:t>
      </w:r>
      <w:r>
        <w:t xml:space="preserve"> N</w:t>
      </w:r>
      <w:r w:rsidRPr="001E3C92">
        <w:t xml:space="preserve">o significant differences were </w:t>
      </w:r>
      <w:r>
        <w:t>observed</w:t>
      </w:r>
      <w:r w:rsidRPr="001E3C92">
        <w:t xml:space="preserve"> between </w:t>
      </w:r>
      <w:r>
        <w:t>fremanezumab</w:t>
      </w:r>
      <w:r w:rsidRPr="001E3C92">
        <w:t xml:space="preserve"> and </w:t>
      </w:r>
      <w:r>
        <w:t>galcanezumab</w:t>
      </w:r>
      <w:r w:rsidRPr="001E3C92">
        <w:t xml:space="preserve"> in the incidence of TEAEs</w:t>
      </w:r>
      <w:r>
        <w:t xml:space="preserve"> in the indirect comparisons (all p&gt;0.05).</w:t>
      </w:r>
    </w:p>
    <w:p w14:paraId="339550D2" w14:textId="77777777" w:rsidR="00BC4E63" w:rsidRPr="00C9624D" w:rsidRDefault="00BC4E63" w:rsidP="00BC4E63">
      <w:pPr>
        <w:pStyle w:val="4-SubsectionHeading"/>
      </w:pPr>
      <w:bookmarkStart w:id="43" w:name="_Toc22897643"/>
      <w:bookmarkStart w:id="44" w:name="_Toc107927629"/>
      <w:bookmarkStart w:id="45" w:name="_Toc114059209"/>
      <w:r w:rsidRPr="00C9624D">
        <w:t>Benefits/harms</w:t>
      </w:r>
      <w:bookmarkEnd w:id="43"/>
      <w:bookmarkEnd w:id="44"/>
      <w:bookmarkEnd w:id="45"/>
    </w:p>
    <w:p w14:paraId="3FAB4483" w14:textId="0D07C26F" w:rsidR="00BC4E63" w:rsidRPr="00BC4E63" w:rsidRDefault="009971AF" w:rsidP="00033A63">
      <w:pPr>
        <w:pStyle w:val="3-BodyText"/>
        <w:numPr>
          <w:ilvl w:val="1"/>
          <w:numId w:val="5"/>
        </w:numPr>
        <w:ind w:left="720"/>
      </w:pPr>
      <w:r w:rsidRPr="00311D9B">
        <w:rPr>
          <w:snapToGrid/>
          <w:lang w:val="en-US"/>
        </w:rPr>
        <w:t xml:space="preserve">A benefits and harms table </w:t>
      </w:r>
      <w:proofErr w:type="gramStart"/>
      <w:r w:rsidR="00C12243">
        <w:rPr>
          <w:snapToGrid/>
          <w:lang w:val="en-US"/>
        </w:rPr>
        <w:t>wa</w:t>
      </w:r>
      <w:r w:rsidRPr="00311D9B">
        <w:rPr>
          <w:snapToGrid/>
          <w:lang w:val="en-US"/>
        </w:rPr>
        <w:t>s</w:t>
      </w:r>
      <w:proofErr w:type="gramEnd"/>
      <w:r w:rsidRPr="00311D9B">
        <w:rPr>
          <w:snapToGrid/>
          <w:lang w:val="en-US"/>
        </w:rPr>
        <w:t xml:space="preserve"> not presented as the submission made a claim of non-inferiority.</w:t>
      </w:r>
    </w:p>
    <w:p w14:paraId="67F37A8E" w14:textId="06898023" w:rsidR="00BC4E63" w:rsidRPr="00BC4E63" w:rsidRDefault="00BC4E63" w:rsidP="00BC4E63">
      <w:pPr>
        <w:pStyle w:val="4-SubsectionHeading"/>
        <w:rPr>
          <w:snapToGrid w:val="0"/>
        </w:rPr>
      </w:pPr>
      <w:bookmarkStart w:id="46" w:name="_Toc22897644"/>
      <w:bookmarkStart w:id="47" w:name="_Toc107927630"/>
      <w:bookmarkStart w:id="48" w:name="_Toc114059210"/>
      <w:r w:rsidRPr="00C9624D">
        <w:t>Clinical claim</w:t>
      </w:r>
      <w:bookmarkEnd w:id="46"/>
      <w:bookmarkEnd w:id="47"/>
      <w:bookmarkEnd w:id="48"/>
    </w:p>
    <w:p w14:paraId="43B6F59F" w14:textId="6BB351E4" w:rsidR="00EB4A92" w:rsidRPr="00277996" w:rsidRDefault="00BC4E63" w:rsidP="00033A63">
      <w:pPr>
        <w:pStyle w:val="3-BodyText"/>
        <w:numPr>
          <w:ilvl w:val="1"/>
          <w:numId w:val="5"/>
        </w:numPr>
        <w:ind w:left="720"/>
        <w:rPr>
          <w:rFonts w:eastAsia="Calibri"/>
          <w:iCs/>
        </w:rPr>
      </w:pPr>
      <w:r w:rsidRPr="00827144">
        <w:rPr>
          <w:rFonts w:eastAsia="Calibri"/>
        </w:rPr>
        <w:t>The submission described fremanezumab as non-inferior in terms of effectiveness and safety compared with galcanezumab for t</w:t>
      </w:r>
      <w:r w:rsidR="00B7413B">
        <w:rPr>
          <w:rFonts w:eastAsia="Calibri"/>
        </w:rPr>
        <w:t>reating</w:t>
      </w:r>
      <w:r w:rsidRPr="00827144">
        <w:rPr>
          <w:rFonts w:eastAsia="Calibri"/>
        </w:rPr>
        <w:t xml:space="preserve"> patients with HFEM (8 to 14 monthly migraine days) who have an inadequate response, intolerance</w:t>
      </w:r>
      <w:r w:rsidR="00590C32">
        <w:rPr>
          <w:rFonts w:eastAsia="Calibri"/>
        </w:rPr>
        <w:t>,</w:t>
      </w:r>
      <w:r w:rsidRPr="00827144">
        <w:rPr>
          <w:rFonts w:eastAsia="Calibri"/>
        </w:rPr>
        <w:t xml:space="preserve"> or a contraindication to at least three prior prophylactic migraine medications.</w:t>
      </w:r>
    </w:p>
    <w:p w14:paraId="6A9BFEA6" w14:textId="378D4AB9" w:rsidR="00B60773" w:rsidRPr="00277996" w:rsidRDefault="00B60773" w:rsidP="00033A63">
      <w:pPr>
        <w:pStyle w:val="3-BodyText"/>
        <w:numPr>
          <w:ilvl w:val="1"/>
          <w:numId w:val="5"/>
        </w:numPr>
        <w:ind w:left="720"/>
        <w:rPr>
          <w:rFonts w:eastAsia="Calibri"/>
          <w:iCs/>
        </w:rPr>
      </w:pPr>
      <w:r w:rsidRPr="00B60773">
        <w:rPr>
          <w:rFonts w:eastAsia="Calibri"/>
        </w:rPr>
        <w:t>The submission proposed a</w:t>
      </w:r>
      <w:r w:rsidR="00B7413B">
        <w:rPr>
          <w:rFonts w:eastAsia="Calibri"/>
        </w:rPr>
        <w:t>n</w:t>
      </w:r>
      <w:r w:rsidRPr="00B60773">
        <w:rPr>
          <w:rFonts w:eastAsia="Calibri"/>
        </w:rPr>
        <w:t xml:space="preserve"> MCID of </w:t>
      </w:r>
      <w:r w:rsidR="00737CFB">
        <w:rPr>
          <w:rFonts w:eastAsia="Calibri"/>
        </w:rPr>
        <w:t>two</w:t>
      </w:r>
      <w:r w:rsidR="00737CFB" w:rsidRPr="00B60773">
        <w:rPr>
          <w:rFonts w:eastAsia="Calibri"/>
        </w:rPr>
        <w:t xml:space="preserve"> </w:t>
      </w:r>
      <w:r w:rsidRPr="00B60773">
        <w:rPr>
          <w:rFonts w:eastAsia="Calibri"/>
        </w:rPr>
        <w:t xml:space="preserve">days for </w:t>
      </w:r>
      <w:r w:rsidR="00DD0446">
        <w:rPr>
          <w:rFonts w:eastAsia="Calibri"/>
        </w:rPr>
        <w:t xml:space="preserve">the key primary outcome of change in </w:t>
      </w:r>
      <w:r w:rsidRPr="00B60773">
        <w:rPr>
          <w:rFonts w:eastAsia="Calibri"/>
        </w:rPr>
        <w:t>monthly migraine days</w:t>
      </w:r>
      <w:r w:rsidR="00BD51B9">
        <w:rPr>
          <w:rFonts w:eastAsia="Calibri"/>
        </w:rPr>
        <w:t>,</w:t>
      </w:r>
      <w:r>
        <w:rPr>
          <w:rFonts w:eastAsia="Calibri"/>
        </w:rPr>
        <w:t xml:space="preserve"> and this was also </w:t>
      </w:r>
      <w:r w:rsidR="00DD0446">
        <w:rPr>
          <w:rFonts w:eastAsia="Calibri"/>
        </w:rPr>
        <w:t xml:space="preserve">nominated as the non-inferiority margin. </w:t>
      </w:r>
      <w:r w:rsidR="00DD0446" w:rsidRPr="00277996">
        <w:rPr>
          <w:rFonts w:eastAsia="Calibri"/>
          <w:iCs/>
        </w:rPr>
        <w:t xml:space="preserve">This </w:t>
      </w:r>
      <w:r w:rsidR="00D1227D" w:rsidRPr="00277996">
        <w:rPr>
          <w:rFonts w:eastAsia="Calibri"/>
          <w:iCs/>
        </w:rPr>
        <w:t>wa</w:t>
      </w:r>
      <w:r w:rsidR="00DD0446" w:rsidRPr="00277996">
        <w:rPr>
          <w:rFonts w:eastAsia="Calibri"/>
          <w:iCs/>
        </w:rPr>
        <w:t xml:space="preserve">s </w:t>
      </w:r>
      <w:r w:rsidR="00D1227D" w:rsidRPr="00277996">
        <w:rPr>
          <w:rFonts w:eastAsia="Calibri"/>
          <w:iCs/>
        </w:rPr>
        <w:t xml:space="preserve">considered </w:t>
      </w:r>
      <w:r w:rsidR="00DD0446" w:rsidRPr="00277996">
        <w:rPr>
          <w:rFonts w:eastAsia="Calibri"/>
          <w:iCs/>
        </w:rPr>
        <w:t>reasonable</w:t>
      </w:r>
      <w:r w:rsidR="009A0FE5" w:rsidRPr="00277996">
        <w:rPr>
          <w:rFonts w:eastAsia="Calibri"/>
          <w:iCs/>
        </w:rPr>
        <w:t xml:space="preserve"> based on previous PBAC considerations</w:t>
      </w:r>
      <w:r w:rsidR="00343EE9" w:rsidRPr="00277996">
        <w:rPr>
          <w:rFonts w:eastAsia="Calibri"/>
          <w:iCs/>
        </w:rPr>
        <w:t xml:space="preserve"> </w:t>
      </w:r>
      <w:r w:rsidR="00343EE9" w:rsidRPr="00277996">
        <w:rPr>
          <w:iCs/>
        </w:rPr>
        <w:t>(para 7.6, Fremanezumab PSD, November 2019 PBAC meeting; para 6.16, Galcanezumab PSD, July 2019 PBAC meeting)</w:t>
      </w:r>
      <w:r w:rsidR="00DD0446">
        <w:rPr>
          <w:rFonts w:eastAsia="Calibri"/>
        </w:rPr>
        <w:t xml:space="preserve">. </w:t>
      </w:r>
    </w:p>
    <w:p w14:paraId="099D038D" w14:textId="50742C06" w:rsidR="00624CA8" w:rsidRPr="00277996" w:rsidRDefault="00624CA8" w:rsidP="00033A63">
      <w:pPr>
        <w:pStyle w:val="3-BodyText"/>
        <w:numPr>
          <w:ilvl w:val="1"/>
          <w:numId w:val="5"/>
        </w:numPr>
        <w:ind w:left="720"/>
        <w:rPr>
          <w:rFonts w:eastAsia="Calibri"/>
          <w:iCs/>
        </w:rPr>
      </w:pPr>
      <w:bookmarkStart w:id="49" w:name="_Hlk76376200"/>
      <w:r w:rsidRPr="00277996">
        <w:rPr>
          <w:rFonts w:eastAsia="Calibri"/>
          <w:iCs/>
        </w:rPr>
        <w:t xml:space="preserve">The </w:t>
      </w:r>
      <w:r w:rsidRPr="009F62C4">
        <w:rPr>
          <w:rFonts w:eastAsia="Calibri"/>
        </w:rPr>
        <w:t>ESC</w:t>
      </w:r>
      <w:r w:rsidR="002B3CDA">
        <w:rPr>
          <w:rFonts w:eastAsia="Calibri"/>
        </w:rPr>
        <w:t xml:space="preserve"> </w:t>
      </w:r>
      <w:r w:rsidRPr="009F62C4">
        <w:rPr>
          <w:rFonts w:eastAsia="Calibri"/>
        </w:rPr>
        <w:t>considered a</w:t>
      </w:r>
      <w:r>
        <w:rPr>
          <w:rFonts w:eastAsia="Calibri"/>
          <w:iCs/>
        </w:rPr>
        <w:t xml:space="preserve"> </w:t>
      </w:r>
      <w:r w:rsidRPr="00277996">
        <w:rPr>
          <w:rFonts w:eastAsia="Calibri"/>
          <w:iCs/>
        </w:rPr>
        <w:t>claim of non-inferior efficacy and safety may be reasonable, albeit with the following concerns:</w:t>
      </w:r>
    </w:p>
    <w:p w14:paraId="679DF8A9" w14:textId="77777777" w:rsidR="00624CA8" w:rsidRPr="00BC4E63" w:rsidRDefault="00624CA8" w:rsidP="00624CA8">
      <w:pPr>
        <w:pStyle w:val="3-BodyText"/>
        <w:numPr>
          <w:ilvl w:val="0"/>
          <w:numId w:val="8"/>
        </w:numPr>
        <w:ind w:left="993"/>
        <w:rPr>
          <w:rFonts w:eastAsia="Calibri"/>
        </w:rPr>
      </w:pPr>
      <w:bookmarkStart w:id="50" w:name="_Hlk112139994"/>
      <w:r w:rsidRPr="00277996">
        <w:rPr>
          <w:iCs/>
        </w:rPr>
        <w:t xml:space="preserve">The sample sizes for the HFEM </w:t>
      </w:r>
      <w:r w:rsidRPr="00277996">
        <w:rPr>
          <w:rFonts w:eastAsia="Calibri"/>
          <w:iCs/>
        </w:rPr>
        <w:t xml:space="preserve">population </w:t>
      </w:r>
      <w:r w:rsidRPr="00277996">
        <w:rPr>
          <w:iCs/>
        </w:rPr>
        <w:t>in the FOCUS (N=91) and CONQUER (N=80) trials were small.</w:t>
      </w:r>
    </w:p>
    <w:p w14:paraId="32594D54" w14:textId="77777777" w:rsidR="00624CA8" w:rsidRPr="006D70E5" w:rsidRDefault="00624CA8" w:rsidP="00624CA8">
      <w:pPr>
        <w:pStyle w:val="3-BodyText"/>
        <w:numPr>
          <w:ilvl w:val="0"/>
          <w:numId w:val="8"/>
        </w:numPr>
        <w:ind w:left="993"/>
        <w:rPr>
          <w:rFonts w:eastAsia="Calibri"/>
        </w:rPr>
      </w:pPr>
      <w:r w:rsidRPr="00277996">
        <w:rPr>
          <w:rFonts w:eastAsia="Calibri"/>
          <w:iCs/>
        </w:rPr>
        <w:t>The post</w:t>
      </w:r>
      <w:r>
        <w:rPr>
          <w:rFonts w:eastAsia="Calibri"/>
          <w:iCs/>
        </w:rPr>
        <w:t>-</w:t>
      </w:r>
      <w:r w:rsidRPr="00277996">
        <w:rPr>
          <w:rFonts w:eastAsia="Calibri"/>
          <w:iCs/>
        </w:rPr>
        <w:t>hoc analyses used for the HFEM population were at a high risk of bias as randomisation may no longer hold.</w:t>
      </w:r>
    </w:p>
    <w:p w14:paraId="26F85281" w14:textId="77777777" w:rsidR="00624CA8" w:rsidRPr="00BC4E63" w:rsidRDefault="00624CA8" w:rsidP="00624CA8">
      <w:pPr>
        <w:pStyle w:val="3-BodyText"/>
        <w:numPr>
          <w:ilvl w:val="0"/>
          <w:numId w:val="8"/>
        </w:numPr>
        <w:ind w:left="993"/>
        <w:rPr>
          <w:rFonts w:eastAsia="Calibri"/>
        </w:rPr>
      </w:pPr>
      <w:r w:rsidRPr="00277996">
        <w:rPr>
          <w:iCs/>
        </w:rPr>
        <w:t>There is no long-term comparative effectiveness data. The double-blind duration of the two clinical trials, at 12 weeks, was short relative to the duration patients would receive the treatments in clinical practice.</w:t>
      </w:r>
    </w:p>
    <w:bookmarkEnd w:id="50"/>
    <w:p w14:paraId="6B75FB9A" w14:textId="6AB667F4" w:rsidR="00181ED3" w:rsidRPr="00ED6506" w:rsidRDefault="002B3CDA" w:rsidP="004F7CD5">
      <w:pPr>
        <w:pStyle w:val="3-BodyText"/>
        <w:numPr>
          <w:ilvl w:val="1"/>
          <w:numId w:val="5"/>
        </w:numPr>
        <w:ind w:left="720"/>
        <w:rPr>
          <w:szCs w:val="20"/>
        </w:rPr>
      </w:pPr>
      <w:r w:rsidRPr="00ED6506">
        <w:rPr>
          <w:szCs w:val="20"/>
        </w:rPr>
        <w:t>The pre-PBAC response stated</w:t>
      </w:r>
      <w:r w:rsidR="0022125E" w:rsidRPr="00ED6506">
        <w:rPr>
          <w:szCs w:val="20"/>
        </w:rPr>
        <w:t xml:space="preserve"> the treatments for prophylactic migraine were all recommended for PBS listing based on post-hoc sub-population analyses</w:t>
      </w:r>
      <w:r w:rsidR="00170EE3">
        <w:rPr>
          <w:szCs w:val="20"/>
        </w:rPr>
        <w:t>.</w:t>
      </w:r>
      <w:r w:rsidR="0022125E" w:rsidRPr="00ED6506">
        <w:rPr>
          <w:szCs w:val="20"/>
        </w:rPr>
        <w:t xml:space="preserve"> </w:t>
      </w:r>
      <w:r w:rsidR="00ED6506" w:rsidRPr="00ED6506">
        <w:rPr>
          <w:szCs w:val="20"/>
        </w:rPr>
        <w:t>In addition, t</w:t>
      </w:r>
      <w:r w:rsidR="00181ED3" w:rsidRPr="00ED6506">
        <w:rPr>
          <w:szCs w:val="20"/>
        </w:rPr>
        <w:t xml:space="preserve">he pre-PBAC response stated that </w:t>
      </w:r>
      <w:r w:rsidR="00264452" w:rsidRPr="00ED6506">
        <w:rPr>
          <w:szCs w:val="20"/>
        </w:rPr>
        <w:t xml:space="preserve">only 12 weeks of comparative data has been available for other </w:t>
      </w:r>
      <w:r w:rsidR="00181ED3" w:rsidRPr="00ED6506">
        <w:rPr>
          <w:szCs w:val="20"/>
        </w:rPr>
        <w:t>prophylactic migraine treatments listed on the</w:t>
      </w:r>
      <w:r w:rsidR="00264452" w:rsidRPr="00ED6506">
        <w:rPr>
          <w:szCs w:val="20"/>
        </w:rPr>
        <w:t xml:space="preserve"> PBS</w:t>
      </w:r>
      <w:r w:rsidR="00181ED3" w:rsidRPr="00ED6506">
        <w:rPr>
          <w:szCs w:val="20"/>
        </w:rPr>
        <w:t xml:space="preserve">, and that the continuation of Australian patients on treatments for chronic migraine provides long-term evidence of their effectiveness </w:t>
      </w:r>
      <w:r w:rsidR="00264452" w:rsidRPr="00ED6506">
        <w:rPr>
          <w:szCs w:val="20"/>
        </w:rPr>
        <w:t>(</w:t>
      </w:r>
      <w:r w:rsidR="00181ED3" w:rsidRPr="00ED6506">
        <w:rPr>
          <w:szCs w:val="20"/>
        </w:rPr>
        <w:t>given that patients cannot continue accessing these treatments on the PBS if they are not responding</w:t>
      </w:r>
      <w:r w:rsidR="00264452" w:rsidRPr="00ED6506">
        <w:rPr>
          <w:szCs w:val="20"/>
        </w:rPr>
        <w:t>)</w:t>
      </w:r>
      <w:r w:rsidR="00181ED3" w:rsidRPr="00ED6506">
        <w:rPr>
          <w:szCs w:val="20"/>
        </w:rPr>
        <w:t>.</w:t>
      </w:r>
      <w:r w:rsidR="00442DA0" w:rsidRPr="00ED6506">
        <w:rPr>
          <w:szCs w:val="20"/>
        </w:rPr>
        <w:t xml:space="preserve"> The pre-PBAC response stated that this Australian experience is supported by 24</w:t>
      </w:r>
      <w:r w:rsidR="00D31096" w:rsidRPr="00ED6506">
        <w:rPr>
          <w:szCs w:val="20"/>
        </w:rPr>
        <w:t>-</w:t>
      </w:r>
      <w:r w:rsidR="00442DA0" w:rsidRPr="00ED6506">
        <w:rPr>
          <w:szCs w:val="20"/>
        </w:rPr>
        <w:t>week data from FOCUS, which shows that patients with chronic migraine and episodic migraine continue to achieve meaningful reduction in monthly migraine days, and that this could also be expected in the HFEM sub-population.</w:t>
      </w:r>
    </w:p>
    <w:p w14:paraId="0704B425" w14:textId="1C1CDC66" w:rsidR="005E7564" w:rsidRDefault="005E7564" w:rsidP="00033A63">
      <w:pPr>
        <w:pStyle w:val="3-BodyText"/>
        <w:rPr>
          <w:szCs w:val="20"/>
        </w:rPr>
      </w:pPr>
      <w:r>
        <w:rPr>
          <w:szCs w:val="20"/>
        </w:rPr>
        <w:lastRenderedPageBreak/>
        <w:t xml:space="preserve">The PBAC recalled that at its meeting in March 2022, it accepted that galcanezumab resulted in a modest reduction in the number of migraine headache days per month compared to placebo based on results in the HFEM subgroup. </w:t>
      </w:r>
    </w:p>
    <w:p w14:paraId="23025C1A" w14:textId="5B8B3889" w:rsidR="00624CA8" w:rsidRPr="00CE42B4" w:rsidRDefault="00624CA8" w:rsidP="00033A63">
      <w:pPr>
        <w:pStyle w:val="3-BodyText"/>
        <w:rPr>
          <w:szCs w:val="20"/>
        </w:rPr>
      </w:pPr>
      <w:r w:rsidRPr="00CE42B4">
        <w:rPr>
          <w:iCs/>
        </w:rPr>
        <w:t>The</w:t>
      </w:r>
      <w:r w:rsidRPr="00CE42B4">
        <w:rPr>
          <w:szCs w:val="20"/>
        </w:rPr>
        <w:t xml:space="preserve"> PBAC </w:t>
      </w:r>
      <w:r w:rsidR="005E7564">
        <w:rPr>
          <w:szCs w:val="20"/>
        </w:rPr>
        <w:t xml:space="preserve">noted that the upper limit of the 95% confidence interval for change from baseline in monthly migraine days was less than the proposed MCID for both fremanezumab and galcanezumab. The PBAC </w:t>
      </w:r>
      <w:r w:rsidRPr="00CE42B4">
        <w:rPr>
          <w:szCs w:val="20"/>
        </w:rPr>
        <w:t>considered that the claim of non-inferior comparative effectiveness was reasonable.</w:t>
      </w:r>
    </w:p>
    <w:p w14:paraId="2C9416E8" w14:textId="7A733B7A" w:rsidR="00624CA8" w:rsidRPr="00CE42B4" w:rsidRDefault="00624CA8" w:rsidP="00033A63">
      <w:pPr>
        <w:pStyle w:val="3-BodyText"/>
        <w:rPr>
          <w:szCs w:val="20"/>
        </w:rPr>
      </w:pPr>
      <w:r w:rsidRPr="00CE42B4">
        <w:rPr>
          <w:szCs w:val="20"/>
        </w:rPr>
        <w:t xml:space="preserve">The PBAC considered </w:t>
      </w:r>
      <w:r w:rsidR="00177F7F">
        <w:rPr>
          <w:szCs w:val="20"/>
        </w:rPr>
        <w:t xml:space="preserve">that the incidence of adverse events for fremanezumab and galcanezumab was similar, noting that </w:t>
      </w:r>
      <w:r w:rsidR="001458FF">
        <w:rPr>
          <w:szCs w:val="20"/>
        </w:rPr>
        <w:t xml:space="preserve">there was a slightly higher incidence for </w:t>
      </w:r>
      <w:r w:rsidR="00177F7F">
        <w:rPr>
          <w:szCs w:val="20"/>
        </w:rPr>
        <w:t>quarterly administration of fremanezumab than monthly administration. The PBAC noted that there were no significant differences in adverse events for fremanezumab compared to galcanezumab</w:t>
      </w:r>
      <w:r w:rsidR="001458FF">
        <w:rPr>
          <w:szCs w:val="20"/>
        </w:rPr>
        <w:t>. The PBAC</w:t>
      </w:r>
      <w:r w:rsidR="00177F7F">
        <w:rPr>
          <w:szCs w:val="20"/>
        </w:rPr>
        <w:t xml:space="preserve"> considered </w:t>
      </w:r>
      <w:r w:rsidRPr="00CE42B4">
        <w:rPr>
          <w:szCs w:val="20"/>
        </w:rPr>
        <w:t>that the claim of non-inferior comparative safety was reasonabl</w:t>
      </w:r>
      <w:r w:rsidR="002B3CDA">
        <w:rPr>
          <w:szCs w:val="20"/>
        </w:rPr>
        <w:t>e</w:t>
      </w:r>
      <w:r w:rsidRPr="00CE42B4">
        <w:rPr>
          <w:szCs w:val="20"/>
        </w:rPr>
        <w:t>.</w:t>
      </w:r>
    </w:p>
    <w:p w14:paraId="33AB0C9F" w14:textId="77777777" w:rsidR="00BC4E63" w:rsidRPr="00C9624D" w:rsidRDefault="00BC4E63" w:rsidP="00BC4E63">
      <w:pPr>
        <w:pStyle w:val="4-SubsectionHeading"/>
      </w:pPr>
      <w:bookmarkStart w:id="51" w:name="_Toc22897645"/>
      <w:bookmarkStart w:id="52" w:name="_Toc107927631"/>
      <w:bookmarkStart w:id="53" w:name="_Toc114059211"/>
      <w:bookmarkEnd w:id="49"/>
      <w:r w:rsidRPr="00C9624D">
        <w:t>Economic analysis</w:t>
      </w:r>
      <w:bookmarkEnd w:id="51"/>
      <w:bookmarkEnd w:id="52"/>
      <w:bookmarkEnd w:id="53"/>
      <w:r w:rsidRPr="00C9624D">
        <w:t xml:space="preserve"> </w:t>
      </w:r>
    </w:p>
    <w:p w14:paraId="06798B98" w14:textId="4532C933" w:rsidR="00642F9F" w:rsidRPr="00277996" w:rsidRDefault="00C13971" w:rsidP="00033A63">
      <w:pPr>
        <w:pStyle w:val="3-BodyText"/>
        <w:numPr>
          <w:ilvl w:val="1"/>
          <w:numId w:val="5"/>
        </w:numPr>
        <w:ind w:left="720"/>
        <w:rPr>
          <w:b/>
          <w:bCs/>
          <w:iCs/>
          <w:color w:val="000000" w:themeColor="text1"/>
          <w:lang w:val="en-US"/>
        </w:rPr>
      </w:pPr>
      <w:r w:rsidRPr="00C13971">
        <w:rPr>
          <w:color w:val="000000" w:themeColor="text1"/>
        </w:rPr>
        <w:t xml:space="preserve">The submission presented a cost-minimisation approach. The key assumptions and components are summarised in </w:t>
      </w:r>
      <w:r w:rsidR="004A7E72" w:rsidRPr="004A7E72">
        <w:rPr>
          <w:rFonts w:cstheme="minorHAnsi"/>
          <w:b/>
          <w:bCs/>
          <w:color w:val="000000" w:themeColor="text1"/>
        </w:rPr>
        <w:fldChar w:fldCharType="begin" w:fldLock="1"/>
      </w:r>
      <w:r w:rsidR="004A7E72" w:rsidRPr="004A7E72">
        <w:rPr>
          <w:rFonts w:cstheme="minorHAnsi"/>
          <w:b/>
          <w:bCs/>
          <w:color w:val="000000" w:themeColor="text1"/>
        </w:rPr>
        <w:instrText xml:space="preserve"> REF _Ref113908288 \h  \* MERGEFORMAT </w:instrText>
      </w:r>
      <w:r w:rsidR="004A7E72" w:rsidRPr="004A7E72">
        <w:rPr>
          <w:rFonts w:cstheme="minorHAnsi"/>
          <w:b/>
          <w:bCs/>
          <w:color w:val="000000" w:themeColor="text1"/>
        </w:rPr>
      </w:r>
      <w:r w:rsidR="004A7E72" w:rsidRPr="004A7E72">
        <w:rPr>
          <w:rFonts w:cstheme="minorHAnsi"/>
          <w:b/>
          <w:bCs/>
          <w:color w:val="000000" w:themeColor="text1"/>
        </w:rPr>
        <w:fldChar w:fldCharType="separate"/>
      </w:r>
      <w:r w:rsidR="00B97129" w:rsidRPr="00B97129">
        <w:rPr>
          <w:rStyle w:val="CommentReference"/>
          <w:rFonts w:asciiTheme="minorHAnsi" w:hAnsiTheme="minorHAnsi" w:cstheme="minorHAnsi"/>
          <w:b w:val="0"/>
          <w:bCs/>
          <w:color w:val="000000" w:themeColor="text1"/>
          <w:sz w:val="24"/>
          <w:szCs w:val="24"/>
        </w:rPr>
        <w:t xml:space="preserve">Table </w:t>
      </w:r>
      <w:r w:rsidR="00B97129" w:rsidRPr="00B97129">
        <w:rPr>
          <w:rFonts w:cstheme="minorHAnsi"/>
          <w:noProof/>
        </w:rPr>
        <w:t>8</w:t>
      </w:r>
      <w:r w:rsidR="004A7E72" w:rsidRPr="004A7E72">
        <w:rPr>
          <w:rFonts w:cstheme="minorHAnsi"/>
          <w:b/>
          <w:bCs/>
          <w:color w:val="000000" w:themeColor="text1"/>
        </w:rPr>
        <w:fldChar w:fldCharType="end"/>
      </w:r>
      <w:r w:rsidRPr="00C13971">
        <w:rPr>
          <w:color w:val="000000" w:themeColor="text1"/>
        </w:rPr>
        <w:t xml:space="preserve">. </w:t>
      </w:r>
      <w:r w:rsidRPr="00277996">
        <w:rPr>
          <w:iCs/>
          <w:color w:val="000000" w:themeColor="text1"/>
        </w:rPr>
        <w:t>The cost-minimisation approach</w:t>
      </w:r>
      <w:r w:rsidR="00856A27">
        <w:rPr>
          <w:iCs/>
          <w:color w:val="000000" w:themeColor="text1"/>
        </w:rPr>
        <w:t xml:space="preserve"> wa</w:t>
      </w:r>
      <w:r w:rsidRPr="00277996">
        <w:rPr>
          <w:iCs/>
          <w:color w:val="000000" w:themeColor="text1"/>
        </w:rPr>
        <w:t xml:space="preserve">s consistent with the clinical </w:t>
      </w:r>
      <w:r w:rsidR="00ED6506">
        <w:rPr>
          <w:iCs/>
          <w:color w:val="000000" w:themeColor="text1"/>
        </w:rPr>
        <w:t>claim of non-inferiority</w:t>
      </w:r>
      <w:r w:rsidRPr="00277996">
        <w:rPr>
          <w:iCs/>
          <w:color w:val="000000" w:themeColor="text1"/>
        </w:rPr>
        <w:t>.</w:t>
      </w:r>
    </w:p>
    <w:p w14:paraId="7FECEC6E" w14:textId="0F443ADD" w:rsidR="00642F9F" w:rsidRPr="00AE4D60" w:rsidRDefault="00642F9F" w:rsidP="00642F9F">
      <w:pPr>
        <w:pStyle w:val="TableFigureHeading"/>
        <w:rPr>
          <w:rStyle w:val="CommentReference"/>
          <w:b/>
          <w:color w:val="000000" w:themeColor="text1"/>
          <w:szCs w:val="24"/>
        </w:rPr>
      </w:pPr>
      <w:bookmarkStart w:id="54" w:name="_Ref113908288"/>
      <w:r w:rsidRPr="00AE4D60">
        <w:rPr>
          <w:rStyle w:val="CommentReference"/>
          <w:b/>
          <w:color w:val="000000" w:themeColor="text1"/>
          <w:szCs w:val="24"/>
        </w:rPr>
        <w:t>Table</w:t>
      </w:r>
      <w:r w:rsidR="005D7669">
        <w:rPr>
          <w:rStyle w:val="CommentReference"/>
          <w:b/>
          <w:color w:val="000000" w:themeColor="text1"/>
          <w:szCs w:val="24"/>
        </w:rPr>
        <w:t xml:space="preserve"> </w:t>
      </w:r>
      <w:fldSimple w:instr=" SEQ Table \* ARABIC " w:fldLock="1">
        <w:r w:rsidR="00B97129">
          <w:rPr>
            <w:noProof/>
          </w:rPr>
          <w:t>8</w:t>
        </w:r>
      </w:fldSimple>
      <w:bookmarkEnd w:id="54"/>
      <w:r w:rsidRPr="00AE4D60">
        <w:rPr>
          <w:rStyle w:val="CommentReference"/>
          <w:b/>
          <w:color w:val="000000" w:themeColor="text1"/>
          <w:szCs w:val="24"/>
        </w:rPr>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520"/>
      </w:tblGrid>
      <w:tr w:rsidR="00642F9F" w:rsidRPr="00AE4D60" w14:paraId="56D6980F" w14:textId="77777777" w:rsidTr="00F95547">
        <w:tc>
          <w:tcPr>
            <w:tcW w:w="2660" w:type="dxa"/>
          </w:tcPr>
          <w:p w14:paraId="3F372A3A" w14:textId="77777777" w:rsidR="00642F9F" w:rsidRPr="00AE4D60" w:rsidRDefault="00642F9F" w:rsidP="00F95547">
            <w:pPr>
              <w:pStyle w:val="In-tableHeading"/>
              <w:rPr>
                <w:color w:val="000000" w:themeColor="text1"/>
              </w:rPr>
            </w:pPr>
            <w:r w:rsidRPr="00AE4D60">
              <w:rPr>
                <w:color w:val="000000" w:themeColor="text1"/>
              </w:rPr>
              <w:t>Component</w:t>
            </w:r>
          </w:p>
        </w:tc>
        <w:tc>
          <w:tcPr>
            <w:tcW w:w="6520" w:type="dxa"/>
          </w:tcPr>
          <w:p w14:paraId="425BCD0F" w14:textId="77777777" w:rsidR="00642F9F" w:rsidRPr="00AE4D60" w:rsidRDefault="00642F9F" w:rsidP="00F95547">
            <w:pPr>
              <w:pStyle w:val="In-tableHeading"/>
              <w:rPr>
                <w:color w:val="000000" w:themeColor="text1"/>
              </w:rPr>
            </w:pPr>
            <w:r w:rsidRPr="00AE4D60">
              <w:rPr>
                <w:color w:val="000000" w:themeColor="text1"/>
              </w:rPr>
              <w:t>Claim or assumption</w:t>
            </w:r>
          </w:p>
        </w:tc>
      </w:tr>
      <w:tr w:rsidR="00642F9F" w:rsidRPr="00AE4D60" w14:paraId="339A06A9" w14:textId="77777777" w:rsidTr="00FE11CC">
        <w:tc>
          <w:tcPr>
            <w:tcW w:w="2660" w:type="dxa"/>
            <w:vAlign w:val="center"/>
          </w:tcPr>
          <w:p w14:paraId="0194489A" w14:textId="77777777" w:rsidR="00642F9F" w:rsidRPr="00AE4D60" w:rsidRDefault="00642F9F" w:rsidP="00FE11CC">
            <w:pPr>
              <w:pStyle w:val="TableText0"/>
              <w:rPr>
                <w:color w:val="000000" w:themeColor="text1"/>
              </w:rPr>
            </w:pPr>
            <w:r w:rsidRPr="00AE4D60">
              <w:rPr>
                <w:color w:val="000000" w:themeColor="text1"/>
              </w:rPr>
              <w:t>Therapeutic claim: effectiveness</w:t>
            </w:r>
          </w:p>
        </w:tc>
        <w:tc>
          <w:tcPr>
            <w:tcW w:w="6520" w:type="dxa"/>
            <w:vAlign w:val="center"/>
          </w:tcPr>
          <w:p w14:paraId="30B1E48F" w14:textId="69CC3290" w:rsidR="00642F9F" w:rsidRPr="00AE4D60" w:rsidRDefault="00642F9F" w:rsidP="00FE11CC">
            <w:pPr>
              <w:pStyle w:val="TableText0"/>
              <w:rPr>
                <w:color w:val="000000" w:themeColor="text1"/>
              </w:rPr>
            </w:pPr>
            <w:r w:rsidRPr="00AE4D60">
              <w:rPr>
                <w:color w:val="000000" w:themeColor="text1"/>
              </w:rPr>
              <w:t xml:space="preserve">Based on </w:t>
            </w:r>
            <w:r>
              <w:rPr>
                <w:color w:val="000000" w:themeColor="text1"/>
              </w:rPr>
              <w:t xml:space="preserve">the </w:t>
            </w:r>
            <w:r w:rsidRPr="00AE4D60">
              <w:rPr>
                <w:color w:val="000000" w:themeColor="text1"/>
              </w:rPr>
              <w:t xml:space="preserve">evidence presented, </w:t>
            </w:r>
            <w:r>
              <w:rPr>
                <w:color w:val="000000" w:themeColor="text1"/>
              </w:rPr>
              <w:t xml:space="preserve">the </w:t>
            </w:r>
            <w:r w:rsidRPr="00AE4D60">
              <w:rPr>
                <w:color w:val="000000" w:themeColor="text1"/>
              </w:rPr>
              <w:t>effectiveness of</w:t>
            </w:r>
            <w:r w:rsidRPr="00AE4D60">
              <w:rPr>
                <w:rFonts w:ascii="Times New Roman" w:eastAsia="Times New Roman" w:hAnsi="Times New Roman" w:cs="Times New Roman"/>
                <w:color w:val="000000" w:themeColor="text1"/>
                <w:sz w:val="24"/>
                <w:lang w:val="en-GB" w:eastAsia="en-GB"/>
              </w:rPr>
              <w:t xml:space="preserve"> </w:t>
            </w:r>
            <w:r w:rsidRPr="00AE4D60">
              <w:rPr>
                <w:color w:val="000000" w:themeColor="text1"/>
                <w:lang w:val="en-GB"/>
              </w:rPr>
              <w:t>fremanezumab</w:t>
            </w:r>
            <w:r w:rsidRPr="00AE4D60">
              <w:rPr>
                <w:color w:val="000000" w:themeColor="text1"/>
              </w:rPr>
              <w:t xml:space="preserve"> is assumed to be non-inferior </w:t>
            </w:r>
            <w:r w:rsidRPr="00AE4D60">
              <w:rPr>
                <w:color w:val="000000" w:themeColor="text1"/>
                <w:lang w:val="en-GB"/>
              </w:rPr>
              <w:t xml:space="preserve">to galcanezumab in </w:t>
            </w:r>
            <w:r>
              <w:rPr>
                <w:color w:val="000000" w:themeColor="text1"/>
                <w:lang w:val="en-GB"/>
              </w:rPr>
              <w:t>patients with HFEM.</w:t>
            </w:r>
          </w:p>
        </w:tc>
      </w:tr>
      <w:tr w:rsidR="00642F9F" w:rsidRPr="00AE4D60" w14:paraId="1A8BBB9F" w14:textId="77777777" w:rsidTr="00FE11CC">
        <w:tc>
          <w:tcPr>
            <w:tcW w:w="2660" w:type="dxa"/>
            <w:vAlign w:val="center"/>
          </w:tcPr>
          <w:p w14:paraId="36FE5607" w14:textId="77777777" w:rsidR="00642F9F" w:rsidRPr="00AE4D60" w:rsidRDefault="00642F9F" w:rsidP="00FE11CC">
            <w:pPr>
              <w:pStyle w:val="TableText0"/>
              <w:rPr>
                <w:color w:val="000000" w:themeColor="text1"/>
              </w:rPr>
            </w:pPr>
            <w:r w:rsidRPr="00AE4D60">
              <w:rPr>
                <w:color w:val="000000" w:themeColor="text1"/>
              </w:rPr>
              <w:t>Therapeutic claim: safety</w:t>
            </w:r>
          </w:p>
        </w:tc>
        <w:tc>
          <w:tcPr>
            <w:tcW w:w="6520" w:type="dxa"/>
            <w:vAlign w:val="center"/>
          </w:tcPr>
          <w:p w14:paraId="56371775" w14:textId="59BCAE7B" w:rsidR="00642F9F" w:rsidRPr="00AE4D60" w:rsidRDefault="00642F9F" w:rsidP="00FE11CC">
            <w:pPr>
              <w:pStyle w:val="TableText0"/>
              <w:rPr>
                <w:color w:val="000000" w:themeColor="text1"/>
              </w:rPr>
            </w:pPr>
            <w:r w:rsidRPr="00AE4D60">
              <w:rPr>
                <w:color w:val="000000" w:themeColor="text1"/>
              </w:rPr>
              <w:t xml:space="preserve">Based on </w:t>
            </w:r>
            <w:r>
              <w:rPr>
                <w:color w:val="000000" w:themeColor="text1"/>
              </w:rPr>
              <w:t xml:space="preserve">the </w:t>
            </w:r>
            <w:r w:rsidRPr="00AE4D60">
              <w:rPr>
                <w:color w:val="000000" w:themeColor="text1"/>
              </w:rPr>
              <w:t xml:space="preserve">evidence presented, </w:t>
            </w:r>
            <w:r>
              <w:rPr>
                <w:color w:val="000000" w:themeColor="text1"/>
              </w:rPr>
              <w:t xml:space="preserve">the </w:t>
            </w:r>
            <w:r w:rsidRPr="00AE4D60">
              <w:rPr>
                <w:color w:val="000000" w:themeColor="text1"/>
              </w:rPr>
              <w:t>safety of</w:t>
            </w:r>
            <w:r w:rsidRPr="00AE4D60">
              <w:rPr>
                <w:rFonts w:ascii="Times New Roman" w:eastAsia="Times New Roman" w:hAnsi="Times New Roman" w:cs="Times New Roman"/>
                <w:color w:val="000000" w:themeColor="text1"/>
                <w:sz w:val="24"/>
                <w:lang w:val="en-GB" w:eastAsia="en-GB"/>
              </w:rPr>
              <w:t xml:space="preserve"> </w:t>
            </w:r>
            <w:r w:rsidRPr="00AE4D60">
              <w:rPr>
                <w:color w:val="000000" w:themeColor="text1"/>
                <w:lang w:val="en-GB"/>
              </w:rPr>
              <w:t>fremanezumab</w:t>
            </w:r>
            <w:r w:rsidRPr="00AE4D60">
              <w:rPr>
                <w:color w:val="000000" w:themeColor="text1"/>
              </w:rPr>
              <w:t xml:space="preserve"> is assumed to be non-inferior </w:t>
            </w:r>
            <w:r w:rsidRPr="00AE4D60">
              <w:rPr>
                <w:color w:val="000000" w:themeColor="text1"/>
                <w:lang w:val="en-GB"/>
              </w:rPr>
              <w:t>to galcanezumab</w:t>
            </w:r>
            <w:r>
              <w:rPr>
                <w:color w:val="000000" w:themeColor="text1"/>
                <w:lang w:val="en-GB"/>
              </w:rPr>
              <w:t xml:space="preserve"> for the proposed population</w:t>
            </w:r>
            <w:r w:rsidRPr="00AE4D60">
              <w:rPr>
                <w:color w:val="000000" w:themeColor="text1"/>
                <w:lang w:val="en-GB"/>
              </w:rPr>
              <w:t>.</w:t>
            </w:r>
          </w:p>
        </w:tc>
      </w:tr>
      <w:tr w:rsidR="00642F9F" w:rsidRPr="00AE4D60" w14:paraId="6A8179CE" w14:textId="77777777" w:rsidTr="00FE11CC">
        <w:tc>
          <w:tcPr>
            <w:tcW w:w="2660" w:type="dxa"/>
            <w:vAlign w:val="center"/>
          </w:tcPr>
          <w:p w14:paraId="7DA98D9D" w14:textId="77777777" w:rsidR="00642F9F" w:rsidRPr="00AE4D60" w:rsidRDefault="00642F9F" w:rsidP="00FE11CC">
            <w:pPr>
              <w:pStyle w:val="TableText0"/>
              <w:rPr>
                <w:color w:val="000000" w:themeColor="text1"/>
              </w:rPr>
            </w:pPr>
            <w:r w:rsidRPr="00AE4D60">
              <w:rPr>
                <w:color w:val="000000" w:themeColor="text1"/>
              </w:rPr>
              <w:t>Evidence base</w:t>
            </w:r>
          </w:p>
        </w:tc>
        <w:tc>
          <w:tcPr>
            <w:tcW w:w="6520" w:type="dxa"/>
            <w:vAlign w:val="center"/>
          </w:tcPr>
          <w:p w14:paraId="6CAAAB7B" w14:textId="77777777" w:rsidR="00642F9F" w:rsidRPr="00AE4D60" w:rsidRDefault="00642F9F" w:rsidP="00FE11CC">
            <w:pPr>
              <w:pStyle w:val="TableText0"/>
              <w:rPr>
                <w:color w:val="000000" w:themeColor="text1"/>
              </w:rPr>
            </w:pPr>
            <w:r w:rsidRPr="00AE4D60">
              <w:rPr>
                <w:color w:val="000000" w:themeColor="text1"/>
              </w:rPr>
              <w:t xml:space="preserve">Indirect comparison of </w:t>
            </w:r>
            <w:r>
              <w:rPr>
                <w:color w:val="000000" w:themeColor="text1"/>
              </w:rPr>
              <w:t>fremanezumab</w:t>
            </w:r>
            <w:r w:rsidRPr="00AE4D60">
              <w:rPr>
                <w:color w:val="000000" w:themeColor="text1"/>
              </w:rPr>
              <w:t xml:space="preserve"> and </w:t>
            </w:r>
            <w:r>
              <w:rPr>
                <w:color w:val="000000" w:themeColor="text1"/>
              </w:rPr>
              <w:t>galcanezumab.</w:t>
            </w:r>
            <w:r w:rsidRPr="00AE4D60">
              <w:rPr>
                <w:color w:val="000000" w:themeColor="text1"/>
              </w:rPr>
              <w:t xml:space="preserve"> </w:t>
            </w:r>
          </w:p>
        </w:tc>
      </w:tr>
      <w:tr w:rsidR="00642F9F" w:rsidRPr="00AE4D60" w14:paraId="3209CC96" w14:textId="77777777" w:rsidTr="00FE11CC">
        <w:tc>
          <w:tcPr>
            <w:tcW w:w="2660" w:type="dxa"/>
            <w:vAlign w:val="center"/>
          </w:tcPr>
          <w:p w14:paraId="042AB1E0" w14:textId="77777777" w:rsidR="00642F9F" w:rsidRPr="00AE4D60" w:rsidRDefault="00642F9F" w:rsidP="00FE11CC">
            <w:pPr>
              <w:pStyle w:val="TableText0"/>
              <w:rPr>
                <w:color w:val="000000" w:themeColor="text1"/>
              </w:rPr>
            </w:pPr>
            <w:r w:rsidRPr="00AE4D60">
              <w:rPr>
                <w:color w:val="000000" w:themeColor="text1"/>
              </w:rPr>
              <w:t>Equi-effective doses</w:t>
            </w:r>
          </w:p>
        </w:tc>
        <w:tc>
          <w:tcPr>
            <w:tcW w:w="6520" w:type="dxa"/>
            <w:vAlign w:val="center"/>
          </w:tcPr>
          <w:p w14:paraId="74F69046" w14:textId="11648D95" w:rsidR="00642F9F" w:rsidRPr="00AE4D60" w:rsidRDefault="00642F9F" w:rsidP="00FE11CC">
            <w:pPr>
              <w:pStyle w:val="TableText0"/>
              <w:rPr>
                <w:color w:val="000000" w:themeColor="text1"/>
              </w:rPr>
            </w:pPr>
            <w:r w:rsidRPr="00AE4D60">
              <w:rPr>
                <w:color w:val="000000" w:themeColor="text1"/>
                <w:lang w:val="en-GB"/>
              </w:rPr>
              <w:t>Fremanezumab 225</w:t>
            </w:r>
            <w:r w:rsidR="002961ED">
              <w:rPr>
                <w:color w:val="000000" w:themeColor="text1"/>
                <w:lang w:val="en-GB"/>
              </w:rPr>
              <w:t> </w:t>
            </w:r>
            <w:r w:rsidRPr="00AE4D60">
              <w:rPr>
                <w:color w:val="000000" w:themeColor="text1"/>
                <w:lang w:val="en-GB"/>
              </w:rPr>
              <w:t>mg every month (or 675</w:t>
            </w:r>
            <w:r w:rsidR="002961ED">
              <w:rPr>
                <w:color w:val="000000" w:themeColor="text1"/>
                <w:lang w:val="en-GB"/>
              </w:rPr>
              <w:t> </w:t>
            </w:r>
            <w:r w:rsidRPr="00AE4D60">
              <w:rPr>
                <w:color w:val="000000" w:themeColor="text1"/>
                <w:lang w:val="en-GB"/>
              </w:rPr>
              <w:t xml:space="preserve">mg quarterly) </w:t>
            </w:r>
            <w:r w:rsidRPr="00AE4D60">
              <w:rPr>
                <w:color w:val="000000" w:themeColor="text1"/>
              </w:rPr>
              <w:t xml:space="preserve">= </w:t>
            </w:r>
            <w:r w:rsidRPr="00AE4D60">
              <w:rPr>
                <w:color w:val="000000" w:themeColor="text1"/>
                <w:lang w:val="en-GB"/>
              </w:rPr>
              <w:t>Galcanezumab 240</w:t>
            </w:r>
            <w:r w:rsidR="002961ED">
              <w:rPr>
                <w:color w:val="000000" w:themeColor="text1"/>
                <w:lang w:val="en-GB"/>
              </w:rPr>
              <w:t> </w:t>
            </w:r>
            <w:r w:rsidRPr="00AE4D60">
              <w:rPr>
                <w:color w:val="000000" w:themeColor="text1"/>
                <w:lang w:val="en-GB"/>
              </w:rPr>
              <w:t>mg initially followed by 120</w:t>
            </w:r>
            <w:r w:rsidR="002961ED">
              <w:rPr>
                <w:color w:val="000000" w:themeColor="text1"/>
                <w:lang w:val="en-GB"/>
              </w:rPr>
              <w:t> </w:t>
            </w:r>
            <w:r w:rsidRPr="00AE4D60">
              <w:rPr>
                <w:color w:val="000000" w:themeColor="text1"/>
                <w:lang w:val="en-GB"/>
              </w:rPr>
              <w:t>mg every month</w:t>
            </w:r>
            <w:r>
              <w:rPr>
                <w:color w:val="000000" w:themeColor="text1"/>
                <w:lang w:val="en-GB"/>
              </w:rPr>
              <w:t>.</w:t>
            </w:r>
          </w:p>
        </w:tc>
      </w:tr>
      <w:tr w:rsidR="00642F9F" w:rsidRPr="00AE4D60" w14:paraId="4DA4D6D1" w14:textId="77777777" w:rsidTr="00FE11CC">
        <w:tc>
          <w:tcPr>
            <w:tcW w:w="2660" w:type="dxa"/>
            <w:vAlign w:val="center"/>
          </w:tcPr>
          <w:p w14:paraId="3CFA5369" w14:textId="77777777" w:rsidR="00642F9F" w:rsidRPr="00AE4D60" w:rsidRDefault="00642F9F" w:rsidP="00FE11CC">
            <w:pPr>
              <w:pStyle w:val="TableText0"/>
              <w:rPr>
                <w:color w:val="000000" w:themeColor="text1"/>
              </w:rPr>
            </w:pPr>
            <w:r w:rsidRPr="00AE4D60">
              <w:rPr>
                <w:color w:val="000000" w:themeColor="text1"/>
              </w:rPr>
              <w:t>Direct medicine costs</w:t>
            </w:r>
          </w:p>
        </w:tc>
        <w:tc>
          <w:tcPr>
            <w:tcW w:w="6520" w:type="dxa"/>
            <w:vAlign w:val="center"/>
          </w:tcPr>
          <w:p w14:paraId="6A5EB078" w14:textId="4792DF91" w:rsidR="00212B5C" w:rsidRPr="00AE4D60" w:rsidRDefault="00642F9F" w:rsidP="004F5F78">
            <w:pPr>
              <w:pStyle w:val="TableText0"/>
              <w:rPr>
                <w:color w:val="000000" w:themeColor="text1"/>
              </w:rPr>
            </w:pPr>
            <w:r w:rsidRPr="00AE4D60">
              <w:rPr>
                <w:color w:val="000000" w:themeColor="text1"/>
              </w:rPr>
              <w:t xml:space="preserve">The proposed drug cost of fremanezumab (12 doses over one year) was estimated to be the same as the drug cost of galcanezumab based on </w:t>
            </w:r>
            <w:r>
              <w:rPr>
                <w:color w:val="000000" w:themeColor="text1"/>
              </w:rPr>
              <w:t xml:space="preserve">its </w:t>
            </w:r>
            <w:r w:rsidRPr="00AE4D60">
              <w:rPr>
                <w:color w:val="000000" w:themeColor="text1"/>
              </w:rPr>
              <w:t>published price</w:t>
            </w:r>
          </w:p>
        </w:tc>
      </w:tr>
      <w:tr w:rsidR="00642F9F" w:rsidRPr="00AE4D60" w14:paraId="00497DD0" w14:textId="77777777" w:rsidTr="00FE11CC">
        <w:tc>
          <w:tcPr>
            <w:tcW w:w="2660" w:type="dxa"/>
            <w:vAlign w:val="center"/>
          </w:tcPr>
          <w:p w14:paraId="47D1E6FE" w14:textId="77777777" w:rsidR="00642F9F" w:rsidRPr="00AE4D60" w:rsidRDefault="00642F9F" w:rsidP="00FE11CC">
            <w:pPr>
              <w:pStyle w:val="TableText0"/>
              <w:rPr>
                <w:color w:val="000000" w:themeColor="text1"/>
              </w:rPr>
            </w:pPr>
            <w:r w:rsidRPr="00AE4D60">
              <w:rPr>
                <w:color w:val="000000" w:themeColor="text1"/>
              </w:rPr>
              <w:t>Other costs or cost offsets</w:t>
            </w:r>
          </w:p>
        </w:tc>
        <w:tc>
          <w:tcPr>
            <w:tcW w:w="6520" w:type="dxa"/>
            <w:vAlign w:val="center"/>
          </w:tcPr>
          <w:p w14:paraId="5A977AA9" w14:textId="081F33CC" w:rsidR="00642F9F" w:rsidRPr="00AE4D60" w:rsidRDefault="00642F9F" w:rsidP="00FE11CC">
            <w:pPr>
              <w:pStyle w:val="TableText0"/>
              <w:rPr>
                <w:color w:val="000000" w:themeColor="text1"/>
              </w:rPr>
            </w:pPr>
            <w:r w:rsidRPr="00AE4D60">
              <w:rPr>
                <w:color w:val="000000" w:themeColor="text1"/>
              </w:rPr>
              <w:t>The submission assumed that there was no difference in administration costs</w:t>
            </w:r>
            <w:r>
              <w:rPr>
                <w:color w:val="000000" w:themeColor="text1"/>
              </w:rPr>
              <w:t xml:space="preserve"> or costs </w:t>
            </w:r>
            <w:r w:rsidR="00D43422">
              <w:rPr>
                <w:color w:val="000000" w:themeColor="text1"/>
              </w:rPr>
              <w:t xml:space="preserve">to </w:t>
            </w:r>
            <w:r>
              <w:rPr>
                <w:color w:val="000000" w:themeColor="text1"/>
              </w:rPr>
              <w:t>treat</w:t>
            </w:r>
            <w:r w:rsidR="009C29FA">
              <w:rPr>
                <w:color w:val="000000" w:themeColor="text1"/>
              </w:rPr>
              <w:t xml:space="preserve"> </w:t>
            </w:r>
            <w:r>
              <w:rPr>
                <w:color w:val="000000" w:themeColor="text1"/>
              </w:rPr>
              <w:t>adverse events</w:t>
            </w:r>
            <w:r w:rsidRPr="00AE4D60">
              <w:rPr>
                <w:color w:val="000000" w:themeColor="text1"/>
              </w:rPr>
              <w:t xml:space="preserve"> between fremanezumab and galcanezumab. </w:t>
            </w:r>
          </w:p>
        </w:tc>
      </w:tr>
    </w:tbl>
    <w:p w14:paraId="1E6C54EE" w14:textId="0BA3238E" w:rsidR="00642F9F" w:rsidRPr="00AE4D60" w:rsidRDefault="00642F9F" w:rsidP="00642F9F">
      <w:pPr>
        <w:pStyle w:val="FooterTableFigure"/>
        <w:rPr>
          <w:color w:val="000000" w:themeColor="text1"/>
        </w:rPr>
      </w:pPr>
      <w:r w:rsidRPr="00AE4D60">
        <w:rPr>
          <w:color w:val="000000" w:themeColor="text1"/>
        </w:rPr>
        <w:t>Source: Compiled during</w:t>
      </w:r>
      <w:r>
        <w:rPr>
          <w:color w:val="000000" w:themeColor="text1"/>
        </w:rPr>
        <w:t xml:space="preserve"> the</w:t>
      </w:r>
      <w:r w:rsidRPr="00AE4D60">
        <w:rPr>
          <w:color w:val="000000" w:themeColor="text1"/>
        </w:rPr>
        <w:t xml:space="preserve"> evaluation</w:t>
      </w:r>
      <w:r>
        <w:rPr>
          <w:color w:val="000000" w:themeColor="text1"/>
        </w:rPr>
        <w:t xml:space="preserve"> based on </w:t>
      </w:r>
      <w:r w:rsidR="00152AC6">
        <w:rPr>
          <w:color w:val="000000" w:themeColor="text1"/>
        </w:rPr>
        <w:t xml:space="preserve">Section 3 of </w:t>
      </w:r>
      <w:r>
        <w:rPr>
          <w:color w:val="000000" w:themeColor="text1"/>
        </w:rPr>
        <w:t>the submission.</w:t>
      </w:r>
      <w:r w:rsidRPr="00AE4D60">
        <w:rPr>
          <w:color w:val="000000" w:themeColor="text1"/>
        </w:rPr>
        <w:t xml:space="preserve"> </w:t>
      </w:r>
    </w:p>
    <w:p w14:paraId="3D02E310" w14:textId="3AA7D441" w:rsidR="00642F9F" w:rsidRPr="00AE4D60" w:rsidRDefault="00642F9F" w:rsidP="00642F9F">
      <w:pPr>
        <w:pStyle w:val="FooterTableFigure"/>
        <w:rPr>
          <w:color w:val="000000" w:themeColor="text1"/>
          <w:sz w:val="20"/>
        </w:rPr>
      </w:pPr>
      <w:r>
        <w:rPr>
          <w:color w:val="000000" w:themeColor="text1"/>
        </w:rPr>
        <w:t>HFEM= high frequency episodic migraine.</w:t>
      </w:r>
    </w:p>
    <w:p w14:paraId="6C2BB88F" w14:textId="7351E24D" w:rsidR="00C13971" w:rsidRPr="002075D8" w:rsidRDefault="00C13971" w:rsidP="00033A63">
      <w:pPr>
        <w:pStyle w:val="3-BodyText"/>
        <w:numPr>
          <w:ilvl w:val="1"/>
          <w:numId w:val="5"/>
        </w:numPr>
        <w:ind w:left="720"/>
        <w:rPr>
          <w:color w:val="000000" w:themeColor="text1"/>
        </w:rPr>
      </w:pPr>
      <w:bookmarkStart w:id="55" w:name="_Ref118727386"/>
      <w:r w:rsidRPr="001160A1">
        <w:rPr>
          <w:color w:val="000000" w:themeColor="text1"/>
        </w:rPr>
        <w:t xml:space="preserve">The submission proposed that </w:t>
      </w:r>
      <w:r w:rsidRPr="001160A1">
        <w:rPr>
          <w:color w:val="000000" w:themeColor="text1"/>
          <w:lang w:val="en-GB"/>
        </w:rPr>
        <w:t xml:space="preserve">fremanezumab </w:t>
      </w:r>
      <w:r w:rsidR="002961ED" w:rsidRPr="001160A1">
        <w:rPr>
          <w:color w:val="000000" w:themeColor="text1"/>
          <w:lang w:val="en-GB"/>
        </w:rPr>
        <w:t>225</w:t>
      </w:r>
      <w:r w:rsidR="002961ED">
        <w:rPr>
          <w:color w:val="000000" w:themeColor="text1"/>
          <w:lang w:val="en-GB"/>
        </w:rPr>
        <w:t> </w:t>
      </w:r>
      <w:r w:rsidRPr="001160A1">
        <w:rPr>
          <w:color w:val="000000" w:themeColor="text1"/>
          <w:lang w:val="en-GB"/>
        </w:rPr>
        <w:t xml:space="preserve">mg every month (or </w:t>
      </w:r>
      <w:r w:rsidR="002961ED" w:rsidRPr="001160A1">
        <w:rPr>
          <w:color w:val="000000" w:themeColor="text1"/>
          <w:lang w:val="en-GB"/>
        </w:rPr>
        <w:t>675</w:t>
      </w:r>
      <w:r w:rsidR="002961ED">
        <w:rPr>
          <w:color w:val="000000" w:themeColor="text1"/>
          <w:lang w:val="en-GB"/>
        </w:rPr>
        <w:t> </w:t>
      </w:r>
      <w:r w:rsidRPr="001160A1">
        <w:rPr>
          <w:color w:val="000000" w:themeColor="text1"/>
          <w:lang w:val="en-GB"/>
        </w:rPr>
        <w:t xml:space="preserve">mg quarterly) is equi-effective </w:t>
      </w:r>
      <w:r>
        <w:rPr>
          <w:color w:val="000000" w:themeColor="text1"/>
          <w:lang w:val="en-GB"/>
        </w:rPr>
        <w:t>to</w:t>
      </w:r>
      <w:r w:rsidRPr="001160A1">
        <w:rPr>
          <w:color w:val="000000" w:themeColor="text1"/>
          <w:lang w:val="en-GB"/>
        </w:rPr>
        <w:t xml:space="preserve"> galcanezumab </w:t>
      </w:r>
      <w:r w:rsidR="002961ED" w:rsidRPr="001160A1">
        <w:rPr>
          <w:color w:val="000000" w:themeColor="text1"/>
          <w:lang w:val="en-GB"/>
        </w:rPr>
        <w:t>240</w:t>
      </w:r>
      <w:r w:rsidR="002961ED">
        <w:rPr>
          <w:color w:val="000000" w:themeColor="text1"/>
          <w:lang w:val="en-GB"/>
        </w:rPr>
        <w:t> </w:t>
      </w:r>
      <w:r w:rsidRPr="001160A1">
        <w:rPr>
          <w:color w:val="000000" w:themeColor="text1"/>
          <w:lang w:val="en-GB"/>
        </w:rPr>
        <w:t>mg initially</w:t>
      </w:r>
      <w:r>
        <w:rPr>
          <w:color w:val="000000" w:themeColor="text1"/>
          <w:lang w:val="en-GB"/>
        </w:rPr>
        <w:t>,</w:t>
      </w:r>
      <w:r w:rsidRPr="001160A1">
        <w:rPr>
          <w:color w:val="000000" w:themeColor="text1"/>
          <w:lang w:val="en-GB"/>
        </w:rPr>
        <w:t xml:space="preserve"> followed by </w:t>
      </w:r>
      <w:r w:rsidR="002961ED" w:rsidRPr="001160A1">
        <w:rPr>
          <w:color w:val="000000" w:themeColor="text1"/>
          <w:lang w:val="en-GB"/>
        </w:rPr>
        <w:t>120</w:t>
      </w:r>
      <w:r w:rsidR="002961ED">
        <w:rPr>
          <w:color w:val="000000" w:themeColor="text1"/>
          <w:lang w:val="en-GB"/>
        </w:rPr>
        <w:t> </w:t>
      </w:r>
      <w:r w:rsidRPr="001160A1">
        <w:rPr>
          <w:color w:val="000000" w:themeColor="text1"/>
          <w:lang w:val="en-GB"/>
        </w:rPr>
        <w:t>mg every month</w:t>
      </w:r>
      <w:r>
        <w:rPr>
          <w:color w:val="000000" w:themeColor="text1"/>
          <w:lang w:val="en-GB"/>
        </w:rPr>
        <w:t xml:space="preserve">. </w:t>
      </w:r>
      <w:r w:rsidRPr="00277996">
        <w:rPr>
          <w:iCs/>
          <w:color w:val="000000" w:themeColor="text1"/>
          <w:lang w:val="en-GB"/>
        </w:rPr>
        <w:t>The PBAC has previously accepted these proposed equi-effective doses for patients with chronic migraine, advising that a CMA should be conducted over 2 years of treatment for both medicines (</w:t>
      </w:r>
      <w:r w:rsidRPr="00277996">
        <w:rPr>
          <w:iCs/>
          <w:color w:val="000000" w:themeColor="text1"/>
        </w:rPr>
        <w:t>para 7.8, Fremanezumab PSD, November 2019 PBAC meeting).</w:t>
      </w:r>
      <w:bookmarkEnd w:id="55"/>
      <w:r w:rsidRPr="001160A1">
        <w:rPr>
          <w:color w:val="000000" w:themeColor="text1"/>
        </w:rPr>
        <w:t xml:space="preserve"> </w:t>
      </w:r>
    </w:p>
    <w:p w14:paraId="79ABF86A" w14:textId="545CF81D" w:rsidR="00C13971" w:rsidRPr="004D511B" w:rsidRDefault="00C13971" w:rsidP="00033A63">
      <w:pPr>
        <w:pStyle w:val="3-BodyText"/>
        <w:numPr>
          <w:ilvl w:val="1"/>
          <w:numId w:val="5"/>
        </w:numPr>
        <w:ind w:left="720"/>
        <w:rPr>
          <w:color w:val="000000" w:themeColor="text1"/>
        </w:rPr>
      </w:pPr>
      <w:r>
        <w:rPr>
          <w:snapToGrid/>
          <w:color w:val="000000" w:themeColor="text1"/>
          <w:lang w:val="en-US"/>
        </w:rPr>
        <w:t xml:space="preserve">The submission assumed that the price of fremanezumab for HFEM would remain unchanged from its current chronic migraine listing </w:t>
      </w:r>
      <w:r w:rsidRPr="00187B32">
        <w:rPr>
          <w:snapToGrid/>
          <w:color w:val="000000" w:themeColor="text1"/>
          <w:lang w:val="en-US"/>
        </w:rPr>
        <w:t>(</w:t>
      </w:r>
      <w:r w:rsidRPr="00187B32">
        <w:rPr>
          <w:bCs/>
          <w:snapToGrid/>
          <w:color w:val="000000" w:themeColor="text1"/>
        </w:rPr>
        <w:t xml:space="preserve">effective AEMP </w:t>
      </w:r>
      <w:r w:rsidRPr="004D511B">
        <w:rPr>
          <w:bCs/>
          <w:snapToGrid/>
          <w:color w:val="000000" w:themeColor="text1"/>
        </w:rPr>
        <w:t>of $</w:t>
      </w:r>
      <w:proofErr w:type="gramStart"/>
      <w:r w:rsidR="007A29C8" w:rsidRPr="00D90B4C">
        <w:rPr>
          <w:bCs/>
          <w:snapToGrid/>
          <w:color w:val="000000" w:themeColor="text1"/>
          <w:w w:val="15"/>
          <w:shd w:val="solid" w:color="000000" w:fill="000000"/>
          <w:fitText w:val="-20" w:id="-1303650558"/>
          <w14:textFill>
            <w14:solidFill>
              <w14:schemeClr w14:val="tx1">
                <w14:alpha w14:val="100000"/>
              </w14:schemeClr>
            </w14:solidFill>
          </w14:textFill>
        </w:rPr>
        <w:t xml:space="preserve">|  </w:t>
      </w:r>
      <w:r w:rsidR="007A29C8" w:rsidRPr="00D90B4C">
        <w:rPr>
          <w:bCs/>
          <w:snapToGrid/>
          <w:color w:val="000000" w:themeColor="text1"/>
          <w:spacing w:val="-69"/>
          <w:w w:val="15"/>
          <w:shd w:val="solid" w:color="000000" w:fill="000000"/>
          <w:fitText w:val="-20" w:id="-1303650558"/>
          <w14:textFill>
            <w14:solidFill>
              <w14:schemeClr w14:val="tx1">
                <w14:alpha w14:val="100000"/>
              </w14:schemeClr>
            </w14:solidFill>
          </w14:textFill>
        </w:rPr>
        <w:t>|</w:t>
      </w:r>
      <w:proofErr w:type="gramEnd"/>
      <w:r w:rsidRPr="004D511B">
        <w:rPr>
          <w:bCs/>
          <w:snapToGrid/>
          <w:color w:val="000000" w:themeColor="text1"/>
        </w:rPr>
        <w:t xml:space="preserve"> per syringe/pen</w:t>
      </w:r>
      <w:r w:rsidR="00170EE3">
        <w:rPr>
          <w:bCs/>
          <w:snapToGrid/>
          <w:color w:val="000000" w:themeColor="text1"/>
        </w:rPr>
        <w:t xml:space="preserve"> at the time of submission</w:t>
      </w:r>
      <w:r w:rsidRPr="004D511B">
        <w:rPr>
          <w:snapToGrid/>
          <w:color w:val="000000" w:themeColor="text1"/>
          <w:lang w:val="en-US"/>
        </w:rPr>
        <w:t xml:space="preserve">). Previously, </w:t>
      </w:r>
      <w:r w:rsidRPr="004D511B">
        <w:rPr>
          <w:snapToGrid/>
          <w:color w:val="000000" w:themeColor="text1"/>
        </w:rPr>
        <w:t xml:space="preserve">the PBAC considered galcanezumab would be cost-effective for the HFEM patient population at a price no </w:t>
      </w:r>
      <w:r w:rsidRPr="004D511B">
        <w:rPr>
          <w:snapToGrid/>
          <w:color w:val="000000" w:themeColor="text1"/>
        </w:rPr>
        <w:lastRenderedPageBreak/>
        <w:t>higher than the current effective price for patients with chronic migraine (para 7.5</w:t>
      </w:r>
      <w:r w:rsidR="003A0D09" w:rsidRPr="004D511B">
        <w:rPr>
          <w:snapToGrid/>
          <w:color w:val="000000" w:themeColor="text1"/>
        </w:rPr>
        <w:t xml:space="preserve">, </w:t>
      </w:r>
      <w:r w:rsidRPr="004D511B">
        <w:rPr>
          <w:snapToGrid/>
          <w:color w:val="000000" w:themeColor="text1"/>
        </w:rPr>
        <w:t>Galcanezumab PSD, March 2022 PBAC meeting)</w:t>
      </w:r>
      <w:r w:rsidRPr="004D511B">
        <w:rPr>
          <w:snapToGrid/>
          <w:color w:val="000000" w:themeColor="text1"/>
          <w:lang w:val="en-US"/>
        </w:rPr>
        <w:t>.</w:t>
      </w:r>
    </w:p>
    <w:p w14:paraId="4F5C3AA3" w14:textId="67480E6C" w:rsidR="003C4DD7" w:rsidRPr="004D511B" w:rsidRDefault="003C4DD7" w:rsidP="003C4DD7">
      <w:pPr>
        <w:pStyle w:val="3-BodyText"/>
        <w:rPr>
          <w:snapToGrid/>
        </w:rPr>
      </w:pPr>
      <w:bookmarkStart w:id="56" w:name="_Ref113908348"/>
      <w:bookmarkStart w:id="57" w:name="_Hlk113965420"/>
      <w:bookmarkStart w:id="58" w:name="_Hlk111624115"/>
      <w:r w:rsidRPr="004D511B">
        <w:rPr>
          <w:snapToGrid/>
        </w:rPr>
        <w:t xml:space="preserve">Results of the cost-minimisation approach, using the effective price for galcanezumab assumed in the submission, are presented in </w:t>
      </w:r>
      <w:r w:rsidRPr="004D511B">
        <w:rPr>
          <w:rFonts w:cstheme="minorHAnsi"/>
          <w:snapToGrid/>
        </w:rPr>
        <w:fldChar w:fldCharType="begin" w:fldLock="1"/>
      </w:r>
      <w:r w:rsidRPr="004D511B">
        <w:rPr>
          <w:rFonts w:cstheme="minorHAnsi"/>
          <w:snapToGrid/>
        </w:rPr>
        <w:instrText xml:space="preserve"> REF _Ref113908348 \h  \* MERGEFORMAT </w:instrText>
      </w:r>
      <w:r w:rsidRPr="004D511B">
        <w:rPr>
          <w:rFonts w:cstheme="minorHAnsi"/>
          <w:snapToGrid/>
        </w:rPr>
      </w:r>
      <w:r w:rsidRPr="004D511B">
        <w:rPr>
          <w:rFonts w:cstheme="minorHAnsi"/>
          <w:snapToGrid/>
        </w:rPr>
        <w:fldChar w:fldCharType="separate"/>
      </w:r>
      <w:r w:rsidRPr="004D511B">
        <w:rPr>
          <w:rStyle w:val="CommentReference"/>
          <w:rFonts w:asciiTheme="minorHAnsi" w:hAnsiTheme="minorHAnsi" w:cstheme="minorHAnsi"/>
          <w:b w:val="0"/>
          <w:bCs/>
          <w:sz w:val="24"/>
          <w:szCs w:val="24"/>
        </w:rPr>
        <w:t>Table</w:t>
      </w:r>
      <w:r w:rsidRPr="004D511B">
        <w:rPr>
          <w:rStyle w:val="CommentReference"/>
          <w:rFonts w:asciiTheme="minorHAnsi" w:hAnsiTheme="minorHAnsi" w:cstheme="minorHAnsi"/>
          <w:b w:val="0"/>
          <w:sz w:val="24"/>
          <w:szCs w:val="24"/>
        </w:rPr>
        <w:t xml:space="preserve"> </w:t>
      </w:r>
      <w:r w:rsidRPr="004D511B">
        <w:rPr>
          <w:rFonts w:cstheme="minorHAnsi"/>
          <w:noProof/>
        </w:rPr>
        <w:t>9</w:t>
      </w:r>
      <w:r w:rsidRPr="004D511B">
        <w:rPr>
          <w:rFonts w:cstheme="minorHAnsi"/>
          <w:snapToGrid/>
        </w:rPr>
        <w:fldChar w:fldCharType="end"/>
      </w:r>
      <w:r w:rsidRPr="004D511B">
        <w:rPr>
          <w:rFonts w:cstheme="minorHAnsi"/>
          <w:snapToGrid/>
        </w:rPr>
        <w:t xml:space="preserve">. </w:t>
      </w:r>
    </w:p>
    <w:p w14:paraId="1BAA5082" w14:textId="0A35067E" w:rsidR="00C13971" w:rsidRPr="004D511B" w:rsidRDefault="00C13971" w:rsidP="00C13971">
      <w:pPr>
        <w:pStyle w:val="TableHeading0"/>
        <w:rPr>
          <w:rStyle w:val="CommentReference"/>
          <w:b/>
          <w:szCs w:val="22"/>
        </w:rPr>
      </w:pPr>
      <w:r w:rsidRPr="004D511B">
        <w:rPr>
          <w:rStyle w:val="CommentReference"/>
          <w:b/>
          <w:szCs w:val="22"/>
        </w:rPr>
        <w:t>Table</w:t>
      </w:r>
      <w:r w:rsidR="005D7669" w:rsidRPr="004D511B">
        <w:rPr>
          <w:rStyle w:val="CommentReference"/>
          <w:b/>
          <w:szCs w:val="22"/>
        </w:rPr>
        <w:t xml:space="preserve"> </w:t>
      </w:r>
      <w:fldSimple w:instr=" SEQ Table \* ARABIC " w:fldLock="1">
        <w:r w:rsidR="00B97129" w:rsidRPr="004D511B">
          <w:rPr>
            <w:noProof/>
          </w:rPr>
          <w:t>9</w:t>
        </w:r>
      </w:fldSimple>
      <w:bookmarkEnd w:id="56"/>
      <w:r w:rsidRPr="004D511B">
        <w:rPr>
          <w:rStyle w:val="CommentReference"/>
          <w:b/>
          <w:szCs w:val="22"/>
        </w:rPr>
        <w:t xml:space="preserve">: Results of the cost-minimisation </w:t>
      </w:r>
      <w:r w:rsidR="005E4665" w:rsidRPr="004D511B">
        <w:rPr>
          <w:rStyle w:val="CommentReference"/>
          <w:b/>
          <w:szCs w:val="22"/>
        </w:rPr>
        <w:t>approach (fremanezumab effective AEMP and galcanezumab assumed effective AEMP)</w:t>
      </w:r>
    </w:p>
    <w:tbl>
      <w:tblPr>
        <w:tblStyle w:val="TableGrid"/>
        <w:tblW w:w="5000" w:type="pct"/>
        <w:tblLook w:val="04A0" w:firstRow="1" w:lastRow="0" w:firstColumn="1" w:lastColumn="0" w:noHBand="0" w:noVBand="1"/>
      </w:tblPr>
      <w:tblGrid>
        <w:gridCol w:w="563"/>
        <w:gridCol w:w="2551"/>
        <w:gridCol w:w="1701"/>
        <w:gridCol w:w="1843"/>
        <w:gridCol w:w="2359"/>
      </w:tblGrid>
      <w:tr w:rsidR="004777B7" w:rsidRPr="004D511B" w14:paraId="5F3C6630" w14:textId="77777777" w:rsidTr="002961ED">
        <w:trPr>
          <w:trHeight w:val="458"/>
          <w:tblHeader/>
        </w:trPr>
        <w:tc>
          <w:tcPr>
            <w:tcW w:w="312" w:type="pct"/>
          </w:tcPr>
          <w:p w14:paraId="3B7AD820" w14:textId="77777777" w:rsidR="004777B7" w:rsidRPr="004D511B" w:rsidRDefault="004777B7" w:rsidP="008723B2">
            <w:pPr>
              <w:pStyle w:val="Tabletext"/>
              <w:keepNext/>
              <w:keepLines/>
              <w:widowControl w:val="0"/>
              <w:jc w:val="center"/>
              <w:rPr>
                <w:b/>
                <w:bCs/>
              </w:rPr>
            </w:pPr>
            <w:r w:rsidRPr="004D511B">
              <w:rPr>
                <w:b/>
                <w:bCs/>
              </w:rPr>
              <w:t>Row</w:t>
            </w:r>
          </w:p>
        </w:tc>
        <w:tc>
          <w:tcPr>
            <w:tcW w:w="1415" w:type="pct"/>
            <w:shd w:val="clear" w:color="auto" w:fill="auto"/>
          </w:tcPr>
          <w:p w14:paraId="72C21332" w14:textId="77777777" w:rsidR="004777B7" w:rsidRPr="004D511B" w:rsidRDefault="004777B7" w:rsidP="008723B2">
            <w:pPr>
              <w:pStyle w:val="Tabletext"/>
              <w:keepNext/>
              <w:keepLines/>
              <w:widowControl w:val="0"/>
              <w:jc w:val="center"/>
              <w:rPr>
                <w:b/>
                <w:bCs/>
              </w:rPr>
            </w:pPr>
            <w:r w:rsidRPr="004D511B">
              <w:rPr>
                <w:b/>
                <w:bCs/>
              </w:rPr>
              <w:t>Component</w:t>
            </w:r>
          </w:p>
        </w:tc>
        <w:tc>
          <w:tcPr>
            <w:tcW w:w="943" w:type="pct"/>
          </w:tcPr>
          <w:p w14:paraId="1A67619F" w14:textId="77777777" w:rsidR="004777B7" w:rsidRPr="004D511B" w:rsidRDefault="004777B7" w:rsidP="008723B2">
            <w:pPr>
              <w:pStyle w:val="Tabletext"/>
              <w:keepNext/>
              <w:keepLines/>
              <w:widowControl w:val="0"/>
              <w:jc w:val="center"/>
              <w:rPr>
                <w:b/>
                <w:bCs/>
              </w:rPr>
            </w:pPr>
            <w:r w:rsidRPr="004D511B">
              <w:rPr>
                <w:b/>
                <w:bCs/>
              </w:rPr>
              <w:t>Fremanezumab</w:t>
            </w:r>
          </w:p>
        </w:tc>
        <w:tc>
          <w:tcPr>
            <w:tcW w:w="1022" w:type="pct"/>
            <w:shd w:val="clear" w:color="auto" w:fill="auto"/>
          </w:tcPr>
          <w:p w14:paraId="0B18DF5D" w14:textId="77777777" w:rsidR="004777B7" w:rsidRPr="004D511B" w:rsidRDefault="004777B7" w:rsidP="008723B2">
            <w:pPr>
              <w:pStyle w:val="Tabletext"/>
              <w:keepNext/>
              <w:keepLines/>
              <w:widowControl w:val="0"/>
              <w:jc w:val="center"/>
              <w:rPr>
                <w:b/>
                <w:bCs/>
              </w:rPr>
            </w:pPr>
            <w:r w:rsidRPr="004D511B">
              <w:rPr>
                <w:b/>
                <w:bCs/>
              </w:rPr>
              <w:t>Galcanezumab</w:t>
            </w:r>
          </w:p>
        </w:tc>
        <w:tc>
          <w:tcPr>
            <w:tcW w:w="1308" w:type="pct"/>
            <w:shd w:val="clear" w:color="auto" w:fill="auto"/>
          </w:tcPr>
          <w:p w14:paraId="543DBB04" w14:textId="77777777" w:rsidR="004777B7" w:rsidRPr="004D511B" w:rsidRDefault="004777B7" w:rsidP="008723B2">
            <w:pPr>
              <w:pStyle w:val="Tabletext"/>
              <w:keepNext/>
              <w:keepLines/>
              <w:widowControl w:val="0"/>
              <w:jc w:val="center"/>
              <w:rPr>
                <w:b/>
                <w:bCs/>
              </w:rPr>
            </w:pPr>
            <w:r w:rsidRPr="004D511B">
              <w:rPr>
                <w:b/>
                <w:bCs/>
              </w:rPr>
              <w:t>Source / calculation</w:t>
            </w:r>
          </w:p>
        </w:tc>
      </w:tr>
      <w:tr w:rsidR="004777B7" w:rsidRPr="004D511B" w14:paraId="5DC399C0" w14:textId="77777777" w:rsidTr="002961ED">
        <w:trPr>
          <w:trHeight w:val="217"/>
        </w:trPr>
        <w:tc>
          <w:tcPr>
            <w:tcW w:w="312" w:type="pct"/>
          </w:tcPr>
          <w:p w14:paraId="2B292232" w14:textId="77777777" w:rsidR="004777B7" w:rsidRPr="004D511B" w:rsidRDefault="004777B7" w:rsidP="008723B2">
            <w:pPr>
              <w:pStyle w:val="Tabletext"/>
              <w:keepNext/>
              <w:keepLines/>
              <w:widowControl w:val="0"/>
            </w:pPr>
            <w:r w:rsidRPr="004D511B">
              <w:t>A</w:t>
            </w:r>
          </w:p>
        </w:tc>
        <w:tc>
          <w:tcPr>
            <w:tcW w:w="1415" w:type="pct"/>
            <w:shd w:val="clear" w:color="auto" w:fill="auto"/>
          </w:tcPr>
          <w:p w14:paraId="64119B13" w14:textId="77777777" w:rsidR="004777B7" w:rsidRPr="004D511B" w:rsidRDefault="004777B7" w:rsidP="008723B2">
            <w:pPr>
              <w:pStyle w:val="Tabletext"/>
              <w:keepNext/>
              <w:keepLines/>
              <w:widowControl w:val="0"/>
              <w:rPr>
                <w:iCs/>
              </w:rPr>
            </w:pPr>
            <w:r w:rsidRPr="004D511B">
              <w:rPr>
                <w:iCs/>
              </w:rPr>
              <w:t>Time horizon, years</w:t>
            </w:r>
          </w:p>
        </w:tc>
        <w:tc>
          <w:tcPr>
            <w:tcW w:w="943" w:type="pct"/>
          </w:tcPr>
          <w:p w14:paraId="1277099D" w14:textId="77777777" w:rsidR="004777B7" w:rsidRPr="004D511B" w:rsidRDefault="004777B7" w:rsidP="008723B2">
            <w:pPr>
              <w:pStyle w:val="Tabletext"/>
              <w:keepNext/>
              <w:keepLines/>
              <w:widowControl w:val="0"/>
              <w:jc w:val="center"/>
              <w:rPr>
                <w:iCs/>
              </w:rPr>
            </w:pPr>
            <w:r w:rsidRPr="004D511B">
              <w:rPr>
                <w:iCs/>
              </w:rPr>
              <w:t>2</w:t>
            </w:r>
          </w:p>
        </w:tc>
        <w:tc>
          <w:tcPr>
            <w:tcW w:w="1022" w:type="pct"/>
            <w:shd w:val="clear" w:color="auto" w:fill="auto"/>
          </w:tcPr>
          <w:p w14:paraId="7BB87A1D" w14:textId="77777777" w:rsidR="004777B7" w:rsidRPr="004D511B" w:rsidRDefault="004777B7" w:rsidP="008723B2">
            <w:pPr>
              <w:pStyle w:val="Tabletext"/>
              <w:keepNext/>
              <w:keepLines/>
              <w:widowControl w:val="0"/>
              <w:jc w:val="center"/>
              <w:rPr>
                <w:iCs/>
              </w:rPr>
            </w:pPr>
            <w:r w:rsidRPr="004D511B">
              <w:rPr>
                <w:iCs/>
              </w:rPr>
              <w:t>2</w:t>
            </w:r>
          </w:p>
        </w:tc>
        <w:tc>
          <w:tcPr>
            <w:tcW w:w="1308" w:type="pct"/>
            <w:shd w:val="clear" w:color="auto" w:fill="auto"/>
          </w:tcPr>
          <w:p w14:paraId="6F319F92" w14:textId="77777777" w:rsidR="004777B7" w:rsidRPr="004D511B" w:rsidRDefault="004777B7" w:rsidP="008723B2">
            <w:pPr>
              <w:pStyle w:val="Tabletext"/>
              <w:keepNext/>
              <w:keepLines/>
              <w:widowControl w:val="0"/>
              <w:rPr>
                <w:iCs/>
              </w:rPr>
            </w:pPr>
            <w:r w:rsidRPr="004D511B">
              <w:rPr>
                <w:iCs/>
              </w:rPr>
              <w:t>Assumption</w:t>
            </w:r>
          </w:p>
        </w:tc>
      </w:tr>
      <w:tr w:rsidR="004777B7" w:rsidRPr="004D511B" w14:paraId="56753EBB" w14:textId="77777777" w:rsidTr="008723B2">
        <w:trPr>
          <w:trHeight w:val="228"/>
        </w:trPr>
        <w:tc>
          <w:tcPr>
            <w:tcW w:w="5000" w:type="pct"/>
            <w:gridSpan w:val="5"/>
          </w:tcPr>
          <w:p w14:paraId="33EE4260" w14:textId="77777777" w:rsidR="004777B7" w:rsidRPr="004D511B" w:rsidRDefault="004777B7" w:rsidP="008723B2">
            <w:pPr>
              <w:pStyle w:val="Tabletext"/>
              <w:keepNext/>
              <w:keepLines/>
              <w:widowControl w:val="0"/>
              <w:rPr>
                <w:b/>
                <w:bCs/>
              </w:rPr>
            </w:pPr>
            <w:r w:rsidRPr="004D511B">
              <w:rPr>
                <w:b/>
                <w:bCs/>
              </w:rPr>
              <w:t>Drug costs</w:t>
            </w:r>
          </w:p>
        </w:tc>
      </w:tr>
      <w:tr w:rsidR="004777B7" w:rsidRPr="004D511B" w14:paraId="0C7960B9" w14:textId="77777777" w:rsidTr="002961ED">
        <w:trPr>
          <w:trHeight w:val="690"/>
        </w:trPr>
        <w:tc>
          <w:tcPr>
            <w:tcW w:w="312" w:type="pct"/>
          </w:tcPr>
          <w:p w14:paraId="6AF46E50" w14:textId="77777777" w:rsidR="004777B7" w:rsidRPr="004D511B" w:rsidRDefault="004777B7" w:rsidP="008723B2">
            <w:pPr>
              <w:pStyle w:val="Tabletext"/>
              <w:keepNext/>
              <w:keepLines/>
              <w:widowControl w:val="0"/>
            </w:pPr>
            <w:r w:rsidRPr="004D511B">
              <w:t>B</w:t>
            </w:r>
          </w:p>
        </w:tc>
        <w:tc>
          <w:tcPr>
            <w:tcW w:w="1415" w:type="pct"/>
            <w:shd w:val="clear" w:color="auto" w:fill="auto"/>
          </w:tcPr>
          <w:p w14:paraId="3E38DFDC" w14:textId="77777777" w:rsidR="004777B7" w:rsidRPr="004D511B" w:rsidRDefault="004777B7" w:rsidP="008723B2">
            <w:pPr>
              <w:pStyle w:val="Tabletext"/>
              <w:keepNext/>
              <w:keepLines/>
              <w:widowControl w:val="0"/>
              <w:rPr>
                <w:iCs/>
              </w:rPr>
            </w:pPr>
            <w:r w:rsidRPr="004D511B">
              <w:rPr>
                <w:iCs/>
              </w:rPr>
              <w:t>Dosing details</w:t>
            </w:r>
          </w:p>
        </w:tc>
        <w:tc>
          <w:tcPr>
            <w:tcW w:w="943" w:type="pct"/>
          </w:tcPr>
          <w:p w14:paraId="26F0CADF" w14:textId="50A0A72B" w:rsidR="004777B7" w:rsidRPr="004D511B" w:rsidRDefault="002961ED" w:rsidP="008723B2">
            <w:pPr>
              <w:pStyle w:val="Tabletext"/>
              <w:keepNext/>
              <w:keepLines/>
              <w:widowControl w:val="0"/>
              <w:jc w:val="center"/>
              <w:rPr>
                <w:iCs/>
              </w:rPr>
            </w:pPr>
            <w:r w:rsidRPr="004D511B">
              <w:rPr>
                <w:bCs/>
                <w:iCs/>
              </w:rPr>
              <w:t>225</w:t>
            </w:r>
            <w:r>
              <w:rPr>
                <w:bCs/>
                <w:iCs/>
              </w:rPr>
              <w:t> </w:t>
            </w:r>
            <w:r w:rsidR="004777B7" w:rsidRPr="004D511B">
              <w:rPr>
                <w:bCs/>
                <w:iCs/>
              </w:rPr>
              <w:t>mg every month or 675</w:t>
            </w:r>
            <w:r>
              <w:rPr>
                <w:bCs/>
                <w:iCs/>
              </w:rPr>
              <w:t> </w:t>
            </w:r>
            <w:r w:rsidR="004777B7" w:rsidRPr="004D511B">
              <w:rPr>
                <w:bCs/>
                <w:iCs/>
              </w:rPr>
              <w:t>mg every 3 months</w:t>
            </w:r>
          </w:p>
        </w:tc>
        <w:tc>
          <w:tcPr>
            <w:tcW w:w="1022" w:type="pct"/>
            <w:shd w:val="clear" w:color="auto" w:fill="auto"/>
          </w:tcPr>
          <w:p w14:paraId="7EA39F94" w14:textId="36C1C2B7" w:rsidR="004777B7" w:rsidRPr="004D511B" w:rsidRDefault="004777B7" w:rsidP="008723B2">
            <w:pPr>
              <w:pStyle w:val="Tabletext"/>
              <w:keepNext/>
              <w:keepLines/>
              <w:widowControl w:val="0"/>
              <w:jc w:val="center"/>
              <w:rPr>
                <w:iCs/>
              </w:rPr>
            </w:pPr>
            <w:r w:rsidRPr="004D511B">
              <w:rPr>
                <w:iCs/>
              </w:rPr>
              <w:t>120</w:t>
            </w:r>
            <w:r w:rsidR="002961ED">
              <w:rPr>
                <w:iCs/>
              </w:rPr>
              <w:t> </w:t>
            </w:r>
            <w:r w:rsidRPr="004D511B">
              <w:rPr>
                <w:iCs/>
              </w:rPr>
              <w:t>mg per month with an initial 240</w:t>
            </w:r>
            <w:r w:rsidR="002961ED">
              <w:rPr>
                <w:iCs/>
              </w:rPr>
              <w:t> </w:t>
            </w:r>
            <w:r w:rsidRPr="004D511B">
              <w:rPr>
                <w:iCs/>
              </w:rPr>
              <w:t xml:space="preserve">mg loading dose </w:t>
            </w:r>
          </w:p>
        </w:tc>
        <w:tc>
          <w:tcPr>
            <w:tcW w:w="1308" w:type="pct"/>
            <w:shd w:val="clear" w:color="auto" w:fill="auto"/>
          </w:tcPr>
          <w:p w14:paraId="662DF769" w14:textId="77777777" w:rsidR="004777B7" w:rsidRPr="004D511B" w:rsidRDefault="004777B7" w:rsidP="008723B2">
            <w:pPr>
              <w:pStyle w:val="Tabletext"/>
              <w:keepNext/>
              <w:keepLines/>
              <w:widowControl w:val="0"/>
              <w:rPr>
                <w:iCs/>
              </w:rPr>
            </w:pPr>
            <w:r w:rsidRPr="004D511B">
              <w:rPr>
                <w:iCs/>
              </w:rPr>
              <w:t>Product information</w:t>
            </w:r>
          </w:p>
        </w:tc>
      </w:tr>
      <w:tr w:rsidR="004777B7" w:rsidRPr="004D511B" w14:paraId="2BF72513" w14:textId="77777777" w:rsidTr="002961ED">
        <w:trPr>
          <w:trHeight w:val="228"/>
        </w:trPr>
        <w:tc>
          <w:tcPr>
            <w:tcW w:w="312" w:type="pct"/>
          </w:tcPr>
          <w:p w14:paraId="27804A10" w14:textId="77777777" w:rsidR="004777B7" w:rsidRPr="004D511B" w:rsidRDefault="004777B7" w:rsidP="008723B2">
            <w:pPr>
              <w:pStyle w:val="Tabletext"/>
              <w:keepNext/>
              <w:keepLines/>
              <w:widowControl w:val="0"/>
            </w:pPr>
            <w:r w:rsidRPr="004D511B">
              <w:t>C</w:t>
            </w:r>
          </w:p>
        </w:tc>
        <w:tc>
          <w:tcPr>
            <w:tcW w:w="1415" w:type="pct"/>
            <w:shd w:val="clear" w:color="auto" w:fill="auto"/>
          </w:tcPr>
          <w:p w14:paraId="7FA60BC5" w14:textId="77777777" w:rsidR="004777B7" w:rsidRPr="004D511B" w:rsidRDefault="004777B7" w:rsidP="008723B2">
            <w:pPr>
              <w:pStyle w:val="Tabletext"/>
              <w:keepNext/>
              <w:keepLines/>
              <w:widowControl w:val="0"/>
              <w:rPr>
                <w:iCs/>
              </w:rPr>
            </w:pPr>
            <w:r w:rsidRPr="004D511B">
              <w:rPr>
                <w:iCs/>
              </w:rPr>
              <w:t>Effective AEMP per unit</w:t>
            </w:r>
          </w:p>
        </w:tc>
        <w:tc>
          <w:tcPr>
            <w:tcW w:w="943" w:type="pct"/>
          </w:tcPr>
          <w:p w14:paraId="201E7B1B" w14:textId="5C46DB63" w:rsidR="004777B7" w:rsidRPr="004D511B" w:rsidRDefault="004777B7" w:rsidP="008723B2">
            <w:pPr>
              <w:pStyle w:val="Tabletext"/>
              <w:keepNext/>
              <w:keepLines/>
              <w:widowControl w:val="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1022" w:type="pct"/>
            <w:shd w:val="clear" w:color="auto" w:fill="auto"/>
          </w:tcPr>
          <w:p w14:paraId="4C657C12" w14:textId="4ED2F274" w:rsidR="004777B7" w:rsidRPr="004D511B" w:rsidRDefault="004777B7" w:rsidP="008723B2">
            <w:pPr>
              <w:pStyle w:val="Tabletext"/>
              <w:keepNext/>
              <w:keepLines/>
              <w:widowControl w:val="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1308" w:type="pct"/>
            <w:vMerge w:val="restart"/>
            <w:shd w:val="clear" w:color="auto" w:fill="auto"/>
          </w:tcPr>
          <w:p w14:paraId="6C55A065" w14:textId="77777777" w:rsidR="004777B7" w:rsidRPr="004D511B" w:rsidRDefault="004777B7" w:rsidP="008723B2">
            <w:pPr>
              <w:pStyle w:val="Tabletext"/>
              <w:keepNext/>
              <w:keepLines/>
              <w:widowControl w:val="0"/>
              <w:rPr>
                <w:iCs/>
              </w:rPr>
            </w:pPr>
            <w:r w:rsidRPr="004D511B">
              <w:rPr>
                <w:iCs/>
              </w:rPr>
              <w:t>Reported by the submission</w:t>
            </w:r>
          </w:p>
        </w:tc>
      </w:tr>
      <w:tr w:rsidR="004777B7" w:rsidRPr="004D511B" w14:paraId="086F261F" w14:textId="77777777" w:rsidTr="002961ED">
        <w:trPr>
          <w:trHeight w:val="257"/>
        </w:trPr>
        <w:tc>
          <w:tcPr>
            <w:tcW w:w="312" w:type="pct"/>
          </w:tcPr>
          <w:p w14:paraId="43561069" w14:textId="77777777" w:rsidR="004777B7" w:rsidRPr="004D511B" w:rsidRDefault="004777B7" w:rsidP="008723B2">
            <w:pPr>
              <w:pStyle w:val="Tabletext"/>
              <w:keepNext/>
              <w:keepLines/>
              <w:widowControl w:val="0"/>
            </w:pPr>
            <w:r w:rsidRPr="004D511B">
              <w:t>D</w:t>
            </w:r>
          </w:p>
        </w:tc>
        <w:tc>
          <w:tcPr>
            <w:tcW w:w="1415" w:type="pct"/>
            <w:shd w:val="clear" w:color="auto" w:fill="auto"/>
          </w:tcPr>
          <w:p w14:paraId="57C0630F" w14:textId="77777777" w:rsidR="004777B7" w:rsidRPr="004D511B" w:rsidRDefault="004777B7" w:rsidP="008723B2">
            <w:pPr>
              <w:pStyle w:val="Tabletext"/>
              <w:keepNext/>
              <w:keepLines/>
              <w:widowControl w:val="0"/>
              <w:rPr>
                <w:iCs/>
              </w:rPr>
            </w:pPr>
            <w:r w:rsidRPr="004D511B">
              <w:rPr>
                <w:iCs/>
              </w:rPr>
              <w:t>Unit volume</w:t>
            </w:r>
          </w:p>
        </w:tc>
        <w:tc>
          <w:tcPr>
            <w:tcW w:w="943" w:type="pct"/>
          </w:tcPr>
          <w:p w14:paraId="0AA52B44" w14:textId="77777777" w:rsidR="004777B7" w:rsidRPr="004D511B" w:rsidRDefault="004777B7" w:rsidP="008723B2">
            <w:pPr>
              <w:pStyle w:val="Tabletext"/>
              <w:keepNext/>
              <w:keepLines/>
              <w:widowControl w:val="0"/>
              <w:jc w:val="center"/>
              <w:rPr>
                <w:iCs/>
              </w:rPr>
            </w:pPr>
            <w:r w:rsidRPr="004D511B">
              <w:rPr>
                <w:iCs/>
              </w:rPr>
              <w:t>225 mg</w:t>
            </w:r>
          </w:p>
        </w:tc>
        <w:tc>
          <w:tcPr>
            <w:tcW w:w="1022" w:type="pct"/>
            <w:shd w:val="clear" w:color="auto" w:fill="auto"/>
          </w:tcPr>
          <w:p w14:paraId="7D7989FE" w14:textId="77777777" w:rsidR="004777B7" w:rsidRPr="004D511B" w:rsidRDefault="004777B7" w:rsidP="008723B2">
            <w:pPr>
              <w:pStyle w:val="Tabletext"/>
              <w:keepNext/>
              <w:keepLines/>
              <w:widowControl w:val="0"/>
              <w:jc w:val="center"/>
              <w:rPr>
                <w:iCs/>
              </w:rPr>
            </w:pPr>
            <w:r w:rsidRPr="004D511B">
              <w:rPr>
                <w:iCs/>
              </w:rPr>
              <w:t>120 mg</w:t>
            </w:r>
          </w:p>
        </w:tc>
        <w:tc>
          <w:tcPr>
            <w:tcW w:w="1308" w:type="pct"/>
            <w:vMerge/>
            <w:shd w:val="clear" w:color="auto" w:fill="auto"/>
          </w:tcPr>
          <w:p w14:paraId="3AAFE19D" w14:textId="77777777" w:rsidR="004777B7" w:rsidRPr="004D511B" w:rsidRDefault="004777B7" w:rsidP="008723B2">
            <w:pPr>
              <w:pStyle w:val="Tabletext"/>
              <w:keepNext/>
              <w:keepLines/>
              <w:widowControl w:val="0"/>
              <w:rPr>
                <w:iCs/>
              </w:rPr>
            </w:pPr>
          </w:p>
        </w:tc>
      </w:tr>
      <w:tr w:rsidR="004777B7" w:rsidRPr="004D511B" w14:paraId="2F3D841D" w14:textId="77777777" w:rsidTr="002961ED">
        <w:trPr>
          <w:trHeight w:val="261"/>
        </w:trPr>
        <w:tc>
          <w:tcPr>
            <w:tcW w:w="312" w:type="pct"/>
          </w:tcPr>
          <w:p w14:paraId="2B161DD3" w14:textId="77777777" w:rsidR="004777B7" w:rsidRPr="004D511B" w:rsidRDefault="004777B7" w:rsidP="008723B2">
            <w:pPr>
              <w:pStyle w:val="Tabletext"/>
              <w:keepNext/>
              <w:keepLines/>
              <w:widowControl w:val="0"/>
            </w:pPr>
            <w:r w:rsidRPr="004D511B">
              <w:t>E</w:t>
            </w:r>
          </w:p>
        </w:tc>
        <w:tc>
          <w:tcPr>
            <w:tcW w:w="1415" w:type="pct"/>
            <w:shd w:val="clear" w:color="auto" w:fill="auto"/>
          </w:tcPr>
          <w:p w14:paraId="0A82E1BA" w14:textId="77777777" w:rsidR="004777B7" w:rsidRPr="004D511B" w:rsidRDefault="004777B7" w:rsidP="008723B2">
            <w:pPr>
              <w:pStyle w:val="Tabletext"/>
              <w:keepNext/>
              <w:keepLines/>
              <w:widowControl w:val="0"/>
              <w:rPr>
                <w:iCs/>
              </w:rPr>
            </w:pPr>
            <w:r w:rsidRPr="004D511B">
              <w:rPr>
                <w:iCs/>
              </w:rPr>
              <w:t>Number of doses first year</w:t>
            </w:r>
          </w:p>
        </w:tc>
        <w:tc>
          <w:tcPr>
            <w:tcW w:w="943" w:type="pct"/>
          </w:tcPr>
          <w:p w14:paraId="5A1A4747" w14:textId="77777777" w:rsidR="004777B7" w:rsidRPr="004D511B" w:rsidRDefault="004777B7" w:rsidP="008723B2">
            <w:pPr>
              <w:pStyle w:val="Tabletext"/>
              <w:keepNext/>
              <w:keepLines/>
              <w:widowControl w:val="0"/>
              <w:jc w:val="center"/>
              <w:rPr>
                <w:iCs/>
              </w:rPr>
            </w:pPr>
            <w:r w:rsidRPr="004D511B">
              <w:rPr>
                <w:iCs/>
              </w:rPr>
              <w:t>12</w:t>
            </w:r>
          </w:p>
        </w:tc>
        <w:tc>
          <w:tcPr>
            <w:tcW w:w="1022" w:type="pct"/>
            <w:shd w:val="clear" w:color="auto" w:fill="auto"/>
          </w:tcPr>
          <w:p w14:paraId="3D2D5D2A" w14:textId="77777777" w:rsidR="004777B7" w:rsidRPr="004D511B" w:rsidRDefault="004777B7" w:rsidP="008723B2">
            <w:pPr>
              <w:pStyle w:val="Tabletext"/>
              <w:keepNext/>
              <w:keepLines/>
              <w:widowControl w:val="0"/>
              <w:jc w:val="center"/>
              <w:rPr>
                <w:iCs/>
              </w:rPr>
            </w:pPr>
            <w:r w:rsidRPr="004D511B">
              <w:rPr>
                <w:iCs/>
              </w:rPr>
              <w:t>13</w:t>
            </w:r>
          </w:p>
        </w:tc>
        <w:tc>
          <w:tcPr>
            <w:tcW w:w="1308" w:type="pct"/>
            <w:shd w:val="clear" w:color="auto" w:fill="auto"/>
          </w:tcPr>
          <w:p w14:paraId="105BDD17" w14:textId="77777777" w:rsidR="004777B7" w:rsidRPr="004D511B" w:rsidRDefault="004777B7" w:rsidP="008723B2">
            <w:pPr>
              <w:pStyle w:val="Tabletext"/>
              <w:keepNext/>
              <w:keepLines/>
              <w:widowControl w:val="0"/>
              <w:rPr>
                <w:iCs/>
              </w:rPr>
            </w:pPr>
            <w:r w:rsidRPr="004D511B">
              <w:rPr>
                <w:iCs/>
              </w:rPr>
              <w:t>Reported by the submission</w:t>
            </w:r>
          </w:p>
        </w:tc>
      </w:tr>
      <w:tr w:rsidR="004777B7" w:rsidRPr="004D511B" w14:paraId="0E8E16EB" w14:textId="77777777" w:rsidTr="002961ED">
        <w:trPr>
          <w:trHeight w:val="261"/>
        </w:trPr>
        <w:tc>
          <w:tcPr>
            <w:tcW w:w="312" w:type="pct"/>
          </w:tcPr>
          <w:p w14:paraId="66020E52" w14:textId="77777777" w:rsidR="004777B7" w:rsidRPr="004D511B" w:rsidRDefault="004777B7" w:rsidP="008723B2">
            <w:pPr>
              <w:pStyle w:val="Tabletext"/>
              <w:keepNext/>
              <w:keepLines/>
              <w:widowControl w:val="0"/>
            </w:pPr>
            <w:r w:rsidRPr="004D511B">
              <w:t>F</w:t>
            </w:r>
          </w:p>
        </w:tc>
        <w:tc>
          <w:tcPr>
            <w:tcW w:w="1415" w:type="pct"/>
            <w:shd w:val="clear" w:color="auto" w:fill="auto"/>
          </w:tcPr>
          <w:p w14:paraId="77EC4C0F" w14:textId="77777777" w:rsidR="004777B7" w:rsidRPr="004D511B" w:rsidRDefault="004777B7" w:rsidP="008723B2">
            <w:pPr>
              <w:pStyle w:val="Tabletext"/>
              <w:keepNext/>
              <w:keepLines/>
              <w:widowControl w:val="0"/>
              <w:rPr>
                <w:iCs/>
              </w:rPr>
            </w:pPr>
            <w:r w:rsidRPr="004D511B">
              <w:rPr>
                <w:iCs/>
              </w:rPr>
              <w:t>Number of doses second year</w:t>
            </w:r>
          </w:p>
        </w:tc>
        <w:tc>
          <w:tcPr>
            <w:tcW w:w="943" w:type="pct"/>
          </w:tcPr>
          <w:p w14:paraId="3F2EC759" w14:textId="77777777" w:rsidR="004777B7" w:rsidRPr="004D511B" w:rsidRDefault="004777B7" w:rsidP="008723B2">
            <w:pPr>
              <w:pStyle w:val="Tabletext"/>
              <w:keepNext/>
              <w:keepLines/>
              <w:widowControl w:val="0"/>
              <w:jc w:val="center"/>
              <w:rPr>
                <w:iCs/>
              </w:rPr>
            </w:pPr>
            <w:r w:rsidRPr="004D511B">
              <w:rPr>
                <w:iCs/>
              </w:rPr>
              <w:t>12</w:t>
            </w:r>
          </w:p>
        </w:tc>
        <w:tc>
          <w:tcPr>
            <w:tcW w:w="1022" w:type="pct"/>
            <w:shd w:val="clear" w:color="auto" w:fill="auto"/>
          </w:tcPr>
          <w:p w14:paraId="00A26A64" w14:textId="77777777" w:rsidR="004777B7" w:rsidRPr="004D511B" w:rsidRDefault="004777B7" w:rsidP="008723B2">
            <w:pPr>
              <w:pStyle w:val="Tabletext"/>
              <w:keepNext/>
              <w:keepLines/>
              <w:widowControl w:val="0"/>
              <w:jc w:val="center"/>
              <w:rPr>
                <w:iCs/>
              </w:rPr>
            </w:pPr>
            <w:r w:rsidRPr="004D511B">
              <w:rPr>
                <w:iCs/>
              </w:rPr>
              <w:t>12</w:t>
            </w:r>
          </w:p>
        </w:tc>
        <w:tc>
          <w:tcPr>
            <w:tcW w:w="1308" w:type="pct"/>
            <w:shd w:val="clear" w:color="auto" w:fill="auto"/>
          </w:tcPr>
          <w:p w14:paraId="71D8359F" w14:textId="77777777" w:rsidR="004777B7" w:rsidRPr="004D511B" w:rsidRDefault="004777B7" w:rsidP="008723B2">
            <w:pPr>
              <w:pStyle w:val="Tabletext"/>
              <w:keepNext/>
              <w:keepLines/>
              <w:widowControl w:val="0"/>
              <w:rPr>
                <w:iCs/>
              </w:rPr>
            </w:pPr>
            <w:r w:rsidRPr="004D511B">
              <w:rPr>
                <w:iCs/>
              </w:rPr>
              <w:t>Reported by the submission</w:t>
            </w:r>
          </w:p>
        </w:tc>
      </w:tr>
      <w:tr w:rsidR="004777B7" w:rsidRPr="004D511B" w14:paraId="1DAD6B4A" w14:textId="77777777" w:rsidTr="002961ED">
        <w:trPr>
          <w:trHeight w:val="228"/>
        </w:trPr>
        <w:tc>
          <w:tcPr>
            <w:tcW w:w="312" w:type="pct"/>
          </w:tcPr>
          <w:p w14:paraId="7C11E1A6" w14:textId="77777777" w:rsidR="004777B7" w:rsidRPr="004D511B" w:rsidRDefault="004777B7" w:rsidP="008723B2">
            <w:pPr>
              <w:pStyle w:val="Tabletext"/>
              <w:keepNext/>
              <w:keepLines/>
              <w:widowControl w:val="0"/>
            </w:pPr>
            <w:r w:rsidRPr="004D511B">
              <w:t>G</w:t>
            </w:r>
          </w:p>
        </w:tc>
        <w:tc>
          <w:tcPr>
            <w:tcW w:w="1415" w:type="pct"/>
            <w:shd w:val="clear" w:color="auto" w:fill="auto"/>
          </w:tcPr>
          <w:p w14:paraId="550AAAEB" w14:textId="77777777" w:rsidR="004777B7" w:rsidRPr="004D511B" w:rsidRDefault="004777B7" w:rsidP="008723B2">
            <w:pPr>
              <w:pStyle w:val="Tabletext"/>
              <w:keepNext/>
              <w:keepLines/>
              <w:widowControl w:val="0"/>
              <w:rPr>
                <w:iCs/>
              </w:rPr>
            </w:pPr>
            <w:r w:rsidRPr="004D511B">
              <w:rPr>
                <w:iCs/>
              </w:rPr>
              <w:t>Units utilised over two years</w:t>
            </w:r>
          </w:p>
        </w:tc>
        <w:tc>
          <w:tcPr>
            <w:tcW w:w="943" w:type="pct"/>
          </w:tcPr>
          <w:p w14:paraId="154BDEE7" w14:textId="77777777" w:rsidR="004777B7" w:rsidRPr="004D511B" w:rsidRDefault="004777B7" w:rsidP="008723B2">
            <w:pPr>
              <w:pStyle w:val="Tabletext"/>
              <w:keepNext/>
              <w:keepLines/>
              <w:widowControl w:val="0"/>
              <w:jc w:val="center"/>
              <w:rPr>
                <w:iCs/>
              </w:rPr>
            </w:pPr>
            <w:r w:rsidRPr="004D511B">
              <w:rPr>
                <w:iCs/>
              </w:rPr>
              <w:t>24</w:t>
            </w:r>
          </w:p>
        </w:tc>
        <w:tc>
          <w:tcPr>
            <w:tcW w:w="1022" w:type="pct"/>
            <w:shd w:val="clear" w:color="auto" w:fill="auto"/>
          </w:tcPr>
          <w:p w14:paraId="1AB2FC1E" w14:textId="77777777" w:rsidR="004777B7" w:rsidRPr="004D511B" w:rsidRDefault="004777B7" w:rsidP="008723B2">
            <w:pPr>
              <w:pStyle w:val="Tabletext"/>
              <w:keepNext/>
              <w:keepLines/>
              <w:widowControl w:val="0"/>
              <w:jc w:val="center"/>
              <w:rPr>
                <w:iCs/>
              </w:rPr>
            </w:pPr>
            <w:r w:rsidRPr="004D511B">
              <w:rPr>
                <w:iCs/>
              </w:rPr>
              <w:t>25</w:t>
            </w:r>
          </w:p>
        </w:tc>
        <w:tc>
          <w:tcPr>
            <w:tcW w:w="1308" w:type="pct"/>
            <w:shd w:val="clear" w:color="auto" w:fill="auto"/>
          </w:tcPr>
          <w:p w14:paraId="5F7EC737" w14:textId="77777777" w:rsidR="004777B7" w:rsidRPr="004D511B" w:rsidRDefault="004777B7" w:rsidP="008723B2">
            <w:pPr>
              <w:pStyle w:val="Tabletext"/>
              <w:keepNext/>
              <w:keepLines/>
              <w:widowControl w:val="0"/>
              <w:rPr>
                <w:iCs/>
              </w:rPr>
            </w:pPr>
            <w:r w:rsidRPr="004D511B">
              <w:rPr>
                <w:iCs/>
              </w:rPr>
              <w:t>E+F</w:t>
            </w:r>
          </w:p>
        </w:tc>
      </w:tr>
      <w:tr w:rsidR="004777B7" w:rsidRPr="004D511B" w14:paraId="754F2047" w14:textId="77777777" w:rsidTr="002961ED">
        <w:trPr>
          <w:trHeight w:val="228"/>
        </w:trPr>
        <w:tc>
          <w:tcPr>
            <w:tcW w:w="312" w:type="pct"/>
          </w:tcPr>
          <w:p w14:paraId="20F9B559" w14:textId="77777777" w:rsidR="004777B7" w:rsidRPr="004D511B" w:rsidRDefault="004777B7" w:rsidP="008723B2">
            <w:pPr>
              <w:pStyle w:val="Tabletext"/>
              <w:keepNext/>
              <w:keepLines/>
              <w:widowControl w:val="0"/>
            </w:pPr>
            <w:r w:rsidRPr="004D511B">
              <w:t>H</w:t>
            </w:r>
          </w:p>
        </w:tc>
        <w:tc>
          <w:tcPr>
            <w:tcW w:w="1415" w:type="pct"/>
            <w:shd w:val="clear" w:color="auto" w:fill="auto"/>
          </w:tcPr>
          <w:p w14:paraId="26AEEB67" w14:textId="77777777" w:rsidR="004777B7" w:rsidRPr="004D511B" w:rsidRDefault="004777B7" w:rsidP="008723B2">
            <w:pPr>
              <w:pStyle w:val="Tabletext"/>
              <w:keepNext/>
              <w:keepLines/>
              <w:widowControl w:val="0"/>
              <w:rPr>
                <w:iCs/>
              </w:rPr>
            </w:pPr>
            <w:r w:rsidRPr="004D511B">
              <w:rPr>
                <w:iCs/>
              </w:rPr>
              <w:t>Total drug costs over two years</w:t>
            </w:r>
          </w:p>
        </w:tc>
        <w:tc>
          <w:tcPr>
            <w:tcW w:w="943" w:type="pct"/>
          </w:tcPr>
          <w:p w14:paraId="1F89A09E" w14:textId="285294CA" w:rsidR="004777B7" w:rsidRPr="004D511B" w:rsidRDefault="004777B7" w:rsidP="008723B2">
            <w:pPr>
              <w:pStyle w:val="Tabletext"/>
              <w:keepNext/>
              <w:keepLines/>
              <w:widowControl w:val="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1022" w:type="pct"/>
            <w:shd w:val="clear" w:color="auto" w:fill="auto"/>
          </w:tcPr>
          <w:p w14:paraId="7DE38AD6" w14:textId="597BF5B5" w:rsidR="004777B7" w:rsidRPr="004D511B" w:rsidRDefault="004777B7" w:rsidP="008723B2">
            <w:pPr>
              <w:pStyle w:val="Tabletext"/>
              <w:keepNext/>
              <w:keepLines/>
              <w:widowControl w:val="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1308" w:type="pct"/>
            <w:shd w:val="clear" w:color="auto" w:fill="auto"/>
          </w:tcPr>
          <w:p w14:paraId="1D5231D9" w14:textId="77777777" w:rsidR="004777B7" w:rsidRPr="004D511B" w:rsidRDefault="004777B7" w:rsidP="008723B2">
            <w:pPr>
              <w:pStyle w:val="Tabletext"/>
              <w:keepNext/>
              <w:keepLines/>
              <w:widowControl w:val="0"/>
              <w:rPr>
                <w:iCs/>
              </w:rPr>
            </w:pPr>
            <w:r w:rsidRPr="004D511B">
              <w:rPr>
                <w:iCs/>
              </w:rPr>
              <w:t>C*G</w:t>
            </w:r>
          </w:p>
        </w:tc>
      </w:tr>
      <w:tr w:rsidR="004777B7" w:rsidRPr="00277996" w14:paraId="6EC903C1" w14:textId="77777777" w:rsidTr="002961ED">
        <w:trPr>
          <w:trHeight w:val="228"/>
        </w:trPr>
        <w:tc>
          <w:tcPr>
            <w:tcW w:w="312" w:type="pct"/>
          </w:tcPr>
          <w:p w14:paraId="77964AD0" w14:textId="77777777" w:rsidR="004777B7" w:rsidRPr="004D511B" w:rsidRDefault="004777B7" w:rsidP="008723B2">
            <w:pPr>
              <w:pStyle w:val="Tabletext"/>
              <w:keepNext/>
              <w:keepLines/>
              <w:widowControl w:val="0"/>
            </w:pPr>
            <w:r w:rsidRPr="004D511B">
              <w:t>I</w:t>
            </w:r>
          </w:p>
        </w:tc>
        <w:tc>
          <w:tcPr>
            <w:tcW w:w="1415" w:type="pct"/>
            <w:shd w:val="clear" w:color="auto" w:fill="auto"/>
          </w:tcPr>
          <w:p w14:paraId="5BC0F3B0" w14:textId="77777777" w:rsidR="004777B7" w:rsidRPr="004D511B" w:rsidRDefault="004777B7" w:rsidP="008723B2">
            <w:pPr>
              <w:pStyle w:val="Tabletext"/>
              <w:keepNext/>
              <w:keepLines/>
              <w:widowControl w:val="0"/>
              <w:rPr>
                <w:iCs/>
              </w:rPr>
            </w:pPr>
            <w:r w:rsidRPr="004D511B">
              <w:rPr>
                <w:iCs/>
              </w:rPr>
              <w:t>Difference in cost over two years [effective AEMP]</w:t>
            </w:r>
          </w:p>
        </w:tc>
        <w:tc>
          <w:tcPr>
            <w:tcW w:w="1965" w:type="pct"/>
            <w:gridSpan w:val="2"/>
          </w:tcPr>
          <w:p w14:paraId="145196F5" w14:textId="0511DC19" w:rsidR="004777B7" w:rsidRPr="004D511B" w:rsidRDefault="004777B7" w:rsidP="008723B2">
            <w:pPr>
              <w:pStyle w:val="Tabletext"/>
              <w:keepNext/>
              <w:keepLines/>
              <w:widowControl w:val="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1308" w:type="pct"/>
            <w:shd w:val="clear" w:color="auto" w:fill="auto"/>
          </w:tcPr>
          <w:p w14:paraId="1918FDB0" w14:textId="77777777" w:rsidR="004777B7" w:rsidRPr="00277996" w:rsidRDefault="004777B7" w:rsidP="008723B2">
            <w:pPr>
              <w:pStyle w:val="Tabletext"/>
              <w:keepNext/>
              <w:keepLines/>
              <w:widowControl w:val="0"/>
              <w:rPr>
                <w:iCs/>
              </w:rPr>
            </w:pPr>
            <w:r w:rsidRPr="004D511B">
              <w:rPr>
                <w:iCs/>
                <w:szCs w:val="26"/>
              </w:rPr>
              <w:t>Fremanezumab Row H- Galcanezumab Row H</w:t>
            </w:r>
          </w:p>
        </w:tc>
      </w:tr>
    </w:tbl>
    <w:p w14:paraId="30A1F382" w14:textId="77777777" w:rsidR="004777B7" w:rsidRPr="00741098" w:rsidRDefault="004777B7" w:rsidP="004777B7">
      <w:pPr>
        <w:jc w:val="left"/>
        <w:rPr>
          <w:rFonts w:ascii="Arial Narrow" w:hAnsi="Arial Narrow"/>
          <w:sz w:val="18"/>
        </w:rPr>
      </w:pPr>
      <w:r w:rsidRPr="00741098">
        <w:rPr>
          <w:rFonts w:ascii="Arial Narrow" w:hAnsi="Arial Narrow"/>
          <w:sz w:val="18"/>
        </w:rPr>
        <w:t>Source: Compiled during</w:t>
      </w:r>
      <w:r>
        <w:rPr>
          <w:rFonts w:ascii="Arial Narrow" w:hAnsi="Arial Narrow"/>
          <w:sz w:val="18"/>
        </w:rPr>
        <w:t xml:space="preserve"> the</w:t>
      </w:r>
      <w:r w:rsidRPr="00741098">
        <w:rPr>
          <w:rFonts w:ascii="Arial Narrow" w:hAnsi="Arial Narrow"/>
          <w:sz w:val="18"/>
        </w:rPr>
        <w:t xml:space="preserve"> evaluation based on effective AEMP fremanezumab reported in the fremanezumab financial base case Excel sheet (3c Impact-proposed eff). Effective AEMP of galcanezumab </w:t>
      </w:r>
      <w:r>
        <w:rPr>
          <w:rFonts w:ascii="Arial Narrow" w:hAnsi="Arial Narrow"/>
          <w:sz w:val="18"/>
        </w:rPr>
        <w:t>a</w:t>
      </w:r>
      <w:r w:rsidRPr="00741098">
        <w:rPr>
          <w:rFonts w:ascii="Arial Narrow" w:hAnsi="Arial Narrow"/>
          <w:sz w:val="18"/>
        </w:rPr>
        <w:t xml:space="preserve">s reported in the fremanezumab financial base case Excel sheet (4c Impact-affected eff). Table 3-1, p102 of the submission. </w:t>
      </w:r>
    </w:p>
    <w:p w14:paraId="6545563C" w14:textId="4257A68B" w:rsidR="00BC4E63" w:rsidRPr="00E40C6F" w:rsidRDefault="004777B7" w:rsidP="00824A55">
      <w:pPr>
        <w:spacing w:after="120"/>
        <w:jc w:val="left"/>
      </w:pPr>
      <w:r w:rsidRPr="00741098">
        <w:rPr>
          <w:rFonts w:ascii="Arial Narrow" w:hAnsi="Arial Narrow"/>
          <w:sz w:val="18"/>
        </w:rPr>
        <w:t xml:space="preserve">AEMP= </w:t>
      </w:r>
      <w:r>
        <w:rPr>
          <w:rFonts w:ascii="Arial Narrow" w:hAnsi="Arial Narrow"/>
          <w:sz w:val="18"/>
        </w:rPr>
        <w:t>approved e</w:t>
      </w:r>
      <w:r w:rsidRPr="00741098">
        <w:rPr>
          <w:rFonts w:ascii="Arial Narrow" w:hAnsi="Arial Narrow"/>
          <w:sz w:val="18"/>
        </w:rPr>
        <w:t>x manufacturer price</w:t>
      </w:r>
      <w:r w:rsidR="00881B6D">
        <w:rPr>
          <w:rFonts w:ascii="Arial Narrow" w:hAnsi="Arial Narrow"/>
          <w:sz w:val="18"/>
        </w:rPr>
        <w:t>.</w:t>
      </w:r>
      <w:bookmarkEnd w:id="57"/>
    </w:p>
    <w:bookmarkEnd w:id="58"/>
    <w:p w14:paraId="561C4AD7" w14:textId="1E46CCDF" w:rsidR="00A4719C" w:rsidRPr="002961ED" w:rsidRDefault="00121EA0" w:rsidP="001B0470">
      <w:pPr>
        <w:pStyle w:val="3-BodyText"/>
        <w:numPr>
          <w:ilvl w:val="1"/>
          <w:numId w:val="5"/>
        </w:numPr>
        <w:ind w:left="720"/>
        <w:jc w:val="left"/>
        <w:rPr>
          <w:rFonts w:eastAsiaTheme="majorEastAsia" w:cstheme="majorBidi"/>
          <w:b/>
          <w:i/>
          <w:iCs/>
          <w:spacing w:val="5"/>
          <w:kern w:val="28"/>
          <w:sz w:val="28"/>
          <w:szCs w:val="36"/>
        </w:rPr>
      </w:pPr>
      <w:r w:rsidRPr="002961ED">
        <w:rPr>
          <w:snapToGrid/>
          <w:color w:val="000000" w:themeColor="text1"/>
        </w:rPr>
        <w:t>The submission</w:t>
      </w:r>
      <w:r w:rsidR="002B38B3" w:rsidRPr="002961ED">
        <w:rPr>
          <w:snapToGrid/>
          <w:color w:val="000000" w:themeColor="text1"/>
        </w:rPr>
        <w:t xml:space="preserve"> assumed no</w:t>
      </w:r>
      <w:r w:rsidRPr="002961ED">
        <w:rPr>
          <w:snapToGrid/>
          <w:color w:val="000000" w:themeColor="text1"/>
        </w:rPr>
        <w:t xml:space="preserve"> additional costs or cost offsets.</w:t>
      </w:r>
      <w:r w:rsidR="0015221F" w:rsidRPr="002961ED">
        <w:rPr>
          <w:snapToGrid/>
          <w:color w:val="000000" w:themeColor="text1"/>
        </w:rPr>
        <w:t xml:space="preserve"> </w:t>
      </w:r>
      <w:r w:rsidR="0015221F" w:rsidRPr="002961ED">
        <w:rPr>
          <w:iCs/>
          <w:snapToGrid/>
          <w:color w:val="000000" w:themeColor="text1"/>
        </w:rPr>
        <w:t>Th</w:t>
      </w:r>
      <w:r w:rsidR="00D31096" w:rsidRPr="002961ED">
        <w:rPr>
          <w:iCs/>
          <w:snapToGrid/>
          <w:color w:val="000000" w:themeColor="text1"/>
        </w:rPr>
        <w:t>e evaluation considered this</w:t>
      </w:r>
      <w:r w:rsidR="0015221F" w:rsidRPr="002961ED">
        <w:rPr>
          <w:iCs/>
          <w:snapToGrid/>
          <w:color w:val="000000" w:themeColor="text1"/>
        </w:rPr>
        <w:t xml:space="preserve"> </w:t>
      </w:r>
      <w:r w:rsidR="00A352B8" w:rsidRPr="002961ED">
        <w:rPr>
          <w:iCs/>
          <w:snapToGrid/>
          <w:color w:val="000000" w:themeColor="text1"/>
        </w:rPr>
        <w:t>wa</w:t>
      </w:r>
      <w:r w:rsidR="0015221F" w:rsidRPr="002961ED">
        <w:rPr>
          <w:iCs/>
          <w:snapToGrid/>
          <w:color w:val="000000" w:themeColor="text1"/>
        </w:rPr>
        <w:t>s reasonable</w:t>
      </w:r>
      <w:r w:rsidR="0015221F" w:rsidRPr="002961ED">
        <w:rPr>
          <w:snapToGrid/>
          <w:color w:val="000000" w:themeColor="text1"/>
        </w:rPr>
        <w:t>.</w:t>
      </w:r>
      <w:bookmarkStart w:id="59" w:name="_Toc22897646"/>
      <w:bookmarkStart w:id="60" w:name="_Toc107927632"/>
      <w:bookmarkStart w:id="61" w:name="_Toc114059212"/>
    </w:p>
    <w:p w14:paraId="6DACACE6" w14:textId="4F7BA957" w:rsidR="00483D3F" w:rsidRPr="00277996" w:rsidRDefault="00A84D50" w:rsidP="00642F9F">
      <w:pPr>
        <w:pStyle w:val="4-SubsectionHeading"/>
        <w:rPr>
          <w:iCs/>
        </w:rPr>
      </w:pPr>
      <w:r w:rsidRPr="00277996">
        <w:rPr>
          <w:iCs/>
        </w:rPr>
        <w:t>Drug cost/patient/year</w:t>
      </w:r>
      <w:bookmarkEnd w:id="59"/>
      <w:bookmarkEnd w:id="60"/>
      <w:bookmarkEnd w:id="61"/>
    </w:p>
    <w:p w14:paraId="1455BAFD" w14:textId="5B3947D7" w:rsidR="00C13971" w:rsidRPr="00B86B04" w:rsidRDefault="00C13971" w:rsidP="00033A63">
      <w:pPr>
        <w:pStyle w:val="3-BodyText"/>
        <w:numPr>
          <w:ilvl w:val="1"/>
          <w:numId w:val="5"/>
        </w:numPr>
        <w:ind w:left="720"/>
        <w:rPr>
          <w:iCs/>
        </w:rPr>
      </w:pPr>
      <w:r w:rsidRPr="007B5A4F">
        <w:t xml:space="preserve">The estimated costs per patient for </w:t>
      </w:r>
      <w:r>
        <w:t>fremanezumab</w:t>
      </w:r>
      <w:r w:rsidRPr="007B5A4F">
        <w:t xml:space="preserve"> and galcanezumab are presented in</w:t>
      </w:r>
      <w:r>
        <w:t xml:space="preserve"> </w:t>
      </w:r>
      <w:r w:rsidR="004A7E72">
        <w:fldChar w:fldCharType="begin" w:fldLock="1"/>
      </w:r>
      <w:r w:rsidR="004A7E72">
        <w:instrText xml:space="preserve"> REF _Ref113908393 \h </w:instrText>
      </w:r>
      <w:r w:rsidR="004A7E72">
        <w:fldChar w:fldCharType="separate"/>
      </w:r>
      <w:r w:rsidR="00B97129" w:rsidRPr="00410A1F">
        <w:t xml:space="preserve">Table </w:t>
      </w:r>
      <w:r w:rsidR="00B97129">
        <w:rPr>
          <w:noProof/>
        </w:rPr>
        <w:t>10</w:t>
      </w:r>
      <w:r w:rsidR="004A7E72">
        <w:fldChar w:fldCharType="end"/>
      </w:r>
      <w:r>
        <w:t>. The calculation</w:t>
      </w:r>
      <w:r w:rsidR="00785ABA">
        <w:t>s</w:t>
      </w:r>
      <w:r>
        <w:t xml:space="preserve"> used </w:t>
      </w:r>
      <w:r w:rsidR="00D31096">
        <w:t xml:space="preserve">the </w:t>
      </w:r>
      <w:r>
        <w:t>effective prices reported in the submission.</w:t>
      </w:r>
    </w:p>
    <w:p w14:paraId="2F48E825" w14:textId="49F1357B" w:rsidR="00785ABA" w:rsidRDefault="00785ABA" w:rsidP="00785ABA">
      <w:pPr>
        <w:pStyle w:val="TableFigureHeading"/>
        <w:rPr>
          <w:rStyle w:val="CommentReference"/>
          <w:b/>
          <w:bCs w:val="0"/>
        </w:rPr>
      </w:pPr>
      <w:bookmarkStart w:id="62" w:name="_Ref113908393"/>
      <w:bookmarkStart w:id="63" w:name="_Hlk113968161"/>
      <w:r w:rsidRPr="00410A1F">
        <w:lastRenderedPageBreak/>
        <w:t xml:space="preserve">Table </w:t>
      </w:r>
      <w:fldSimple w:instr=" SEQ Table \* ARABIC " w:fldLock="1">
        <w:r w:rsidR="00B97129">
          <w:rPr>
            <w:noProof/>
          </w:rPr>
          <w:t>10</w:t>
        </w:r>
      </w:fldSimple>
      <w:bookmarkEnd w:id="62"/>
      <w:r>
        <w:rPr>
          <w:rStyle w:val="CommentReference"/>
        </w:rPr>
        <w:t xml:space="preserve">: </w:t>
      </w:r>
      <w:r w:rsidRPr="009F43F3">
        <w:rPr>
          <w:rStyle w:val="CommentReference"/>
          <w:b/>
          <w:bCs w:val="0"/>
        </w:rPr>
        <w:t>Drug cost per patient for fremanezumab and galcanezumab (</w:t>
      </w:r>
      <w:r>
        <w:rPr>
          <w:rStyle w:val="CommentReference"/>
          <w:b/>
          <w:bCs w:val="0"/>
        </w:rPr>
        <w:t xml:space="preserve">assumed </w:t>
      </w:r>
      <w:r w:rsidRPr="009F43F3">
        <w:rPr>
          <w:rStyle w:val="CommentReference"/>
          <w:b/>
          <w:bCs w:val="0"/>
        </w:rPr>
        <w:t>effective AEMP and DPMQ)</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84"/>
        <w:gridCol w:w="1672"/>
        <w:gridCol w:w="1985"/>
        <w:gridCol w:w="1705"/>
        <w:gridCol w:w="2030"/>
      </w:tblGrid>
      <w:tr w:rsidR="00785ABA" w14:paraId="2197D0F5" w14:textId="77777777" w:rsidTr="00A70DB5">
        <w:trPr>
          <w:trHeight w:val="233"/>
          <w:tblHeader/>
        </w:trPr>
        <w:tc>
          <w:tcPr>
            <w:tcW w:w="882" w:type="pct"/>
            <w:tcBorders>
              <w:top w:val="single" w:sz="4" w:space="0" w:color="auto"/>
              <w:left w:val="single" w:sz="4" w:space="0" w:color="auto"/>
              <w:bottom w:val="nil"/>
              <w:right w:val="single" w:sz="4" w:space="0" w:color="auto"/>
            </w:tcBorders>
            <w:shd w:val="clear" w:color="auto" w:fill="auto"/>
            <w:vAlign w:val="center"/>
          </w:tcPr>
          <w:p w14:paraId="1AFE90CF" w14:textId="77777777" w:rsidR="00785ABA" w:rsidRPr="000F4BDB" w:rsidRDefault="00785ABA" w:rsidP="008723B2">
            <w:pPr>
              <w:pStyle w:val="In-tableHeading"/>
            </w:pPr>
          </w:p>
        </w:tc>
        <w:tc>
          <w:tcPr>
            <w:tcW w:w="2037" w:type="pct"/>
            <w:gridSpan w:val="2"/>
            <w:tcBorders>
              <w:top w:val="single" w:sz="4" w:space="0" w:color="auto"/>
              <w:left w:val="single" w:sz="4" w:space="0" w:color="auto"/>
              <w:bottom w:val="single" w:sz="4" w:space="0" w:color="auto"/>
              <w:right w:val="single" w:sz="8" w:space="0" w:color="auto"/>
            </w:tcBorders>
            <w:shd w:val="clear" w:color="auto" w:fill="auto"/>
            <w:vAlign w:val="center"/>
            <w:hideMark/>
          </w:tcPr>
          <w:p w14:paraId="330625F9" w14:textId="77777777" w:rsidR="00785ABA" w:rsidRPr="000F4BDB" w:rsidRDefault="00785ABA" w:rsidP="008723B2">
            <w:pPr>
              <w:pStyle w:val="In-tableHeading"/>
              <w:jc w:val="center"/>
            </w:pPr>
            <w:r w:rsidRPr="000F4BDB">
              <w:rPr>
                <w:lang w:val="en-AU"/>
              </w:rPr>
              <w:t>Fremanezumab</w:t>
            </w:r>
          </w:p>
        </w:tc>
        <w:tc>
          <w:tcPr>
            <w:tcW w:w="2081"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DEB93F5" w14:textId="77777777" w:rsidR="00785ABA" w:rsidRPr="000F4BDB" w:rsidRDefault="00785ABA" w:rsidP="008723B2">
            <w:pPr>
              <w:pStyle w:val="In-tableHeading"/>
              <w:jc w:val="center"/>
            </w:pPr>
            <w:r w:rsidRPr="000F4BDB">
              <w:t>Galcanezumab</w:t>
            </w:r>
          </w:p>
        </w:tc>
      </w:tr>
      <w:tr w:rsidR="00785ABA" w14:paraId="377975F0" w14:textId="77777777" w:rsidTr="00B02F94">
        <w:trPr>
          <w:trHeight w:val="693"/>
          <w:tblHeader/>
        </w:trPr>
        <w:tc>
          <w:tcPr>
            <w:tcW w:w="882" w:type="pct"/>
            <w:tcBorders>
              <w:top w:val="nil"/>
              <w:left w:val="single" w:sz="4" w:space="0" w:color="auto"/>
              <w:bottom w:val="single" w:sz="4" w:space="0" w:color="auto"/>
              <w:right w:val="single" w:sz="4" w:space="0" w:color="auto"/>
            </w:tcBorders>
            <w:shd w:val="clear" w:color="auto" w:fill="auto"/>
          </w:tcPr>
          <w:p w14:paraId="58380E42" w14:textId="77777777" w:rsidR="00785ABA" w:rsidRPr="000F4BDB" w:rsidRDefault="00785ABA" w:rsidP="008723B2">
            <w:pPr>
              <w:pStyle w:val="In-tableHeading"/>
            </w:pPr>
          </w:p>
        </w:tc>
        <w:tc>
          <w:tcPr>
            <w:tcW w:w="931" w:type="pct"/>
            <w:tcBorders>
              <w:top w:val="single" w:sz="4" w:space="0" w:color="auto"/>
              <w:left w:val="single" w:sz="4" w:space="0" w:color="auto"/>
              <w:bottom w:val="single" w:sz="4" w:space="0" w:color="auto"/>
              <w:right w:val="single" w:sz="4" w:space="0" w:color="auto"/>
            </w:tcBorders>
            <w:shd w:val="clear" w:color="auto" w:fill="auto"/>
            <w:hideMark/>
          </w:tcPr>
          <w:p w14:paraId="7987F036" w14:textId="3D07C0E0" w:rsidR="00785ABA" w:rsidRPr="00ED6506" w:rsidRDefault="00785ABA" w:rsidP="008723B2">
            <w:pPr>
              <w:pStyle w:val="In-tableHeading"/>
              <w:jc w:val="center"/>
            </w:pPr>
            <w:r w:rsidRPr="00ED6506">
              <w:t>Cost-minimisation a</w:t>
            </w:r>
            <w:r w:rsidR="00ED6506" w:rsidRPr="00ED6506">
              <w:t>pproach</w:t>
            </w:r>
            <w:r w:rsidRPr="00ED6506">
              <w:t xml:space="preserve"> (based on AEMP</w:t>
            </w:r>
            <w:r w:rsidR="00B02F94" w:rsidRPr="00ED6506">
              <w:t xml:space="preserve"> per dose</w:t>
            </w:r>
            <w:r w:rsidRPr="00ED6506">
              <w:t>)</w:t>
            </w:r>
          </w:p>
        </w:tc>
        <w:tc>
          <w:tcPr>
            <w:tcW w:w="1106" w:type="pct"/>
            <w:tcBorders>
              <w:top w:val="single" w:sz="4" w:space="0" w:color="auto"/>
              <w:left w:val="single" w:sz="4" w:space="0" w:color="auto"/>
              <w:bottom w:val="single" w:sz="4" w:space="0" w:color="auto"/>
              <w:right w:val="single" w:sz="8" w:space="0" w:color="auto"/>
            </w:tcBorders>
            <w:shd w:val="clear" w:color="auto" w:fill="auto"/>
            <w:hideMark/>
          </w:tcPr>
          <w:p w14:paraId="6F173995" w14:textId="409ED153" w:rsidR="00785ABA" w:rsidRPr="00ED6506" w:rsidRDefault="00785ABA" w:rsidP="008723B2">
            <w:pPr>
              <w:pStyle w:val="In-tableHeading"/>
              <w:jc w:val="center"/>
            </w:pPr>
            <w:r w:rsidRPr="00ED6506">
              <w:t>Financial estimates (</w:t>
            </w:r>
            <w:r w:rsidR="00400D72" w:rsidRPr="00ED6506">
              <w:t>b</w:t>
            </w:r>
            <w:r w:rsidRPr="00ED6506">
              <w:t>ased on DPMQ</w:t>
            </w:r>
            <w:r w:rsidR="00B02F94" w:rsidRPr="00ED6506">
              <w:t xml:space="preserve"> per script</w:t>
            </w:r>
            <w:r w:rsidRPr="00ED6506">
              <w:t>)</w:t>
            </w:r>
          </w:p>
        </w:tc>
        <w:tc>
          <w:tcPr>
            <w:tcW w:w="950" w:type="pct"/>
            <w:tcBorders>
              <w:top w:val="single" w:sz="4" w:space="0" w:color="auto"/>
              <w:left w:val="single" w:sz="8" w:space="0" w:color="auto"/>
              <w:bottom w:val="single" w:sz="4" w:space="0" w:color="auto"/>
              <w:right w:val="single" w:sz="4" w:space="0" w:color="auto"/>
            </w:tcBorders>
            <w:shd w:val="clear" w:color="auto" w:fill="auto"/>
            <w:hideMark/>
          </w:tcPr>
          <w:p w14:paraId="6908ED9B" w14:textId="6D7F2764" w:rsidR="00785ABA" w:rsidRPr="00ED6506" w:rsidRDefault="00785ABA" w:rsidP="008723B2">
            <w:pPr>
              <w:pStyle w:val="In-tableHeading"/>
              <w:jc w:val="center"/>
            </w:pPr>
            <w:r w:rsidRPr="00ED6506">
              <w:t xml:space="preserve">Cost-minimisation </w:t>
            </w:r>
            <w:r w:rsidR="00ED6506" w:rsidRPr="00ED6506">
              <w:t>approach</w:t>
            </w:r>
            <w:r w:rsidRPr="00ED6506">
              <w:t xml:space="preserve"> (based on AEMP</w:t>
            </w:r>
            <w:r w:rsidR="00B02F94" w:rsidRPr="00ED6506">
              <w:t xml:space="preserve"> per dose</w:t>
            </w:r>
            <w:r w:rsidRPr="00ED6506">
              <w:t>)</w:t>
            </w:r>
          </w:p>
        </w:tc>
        <w:tc>
          <w:tcPr>
            <w:tcW w:w="1131" w:type="pct"/>
            <w:tcBorders>
              <w:top w:val="single" w:sz="4" w:space="0" w:color="auto"/>
              <w:left w:val="single" w:sz="4" w:space="0" w:color="auto"/>
              <w:bottom w:val="single" w:sz="4" w:space="0" w:color="auto"/>
              <w:right w:val="single" w:sz="4" w:space="0" w:color="auto"/>
            </w:tcBorders>
            <w:shd w:val="clear" w:color="auto" w:fill="auto"/>
            <w:hideMark/>
          </w:tcPr>
          <w:p w14:paraId="1690437B" w14:textId="4B2AB642" w:rsidR="00785ABA" w:rsidRPr="000F4BDB" w:rsidRDefault="00785ABA" w:rsidP="008723B2">
            <w:pPr>
              <w:pStyle w:val="In-tableHeading"/>
              <w:jc w:val="center"/>
            </w:pPr>
            <w:r w:rsidRPr="000F4BDB">
              <w:t>Financial estimates (</w:t>
            </w:r>
            <w:r w:rsidR="00400D72">
              <w:t>b</w:t>
            </w:r>
            <w:r w:rsidRPr="000F4BDB">
              <w:t>ased on DPMQ</w:t>
            </w:r>
            <w:r w:rsidR="00B02F94">
              <w:t xml:space="preserve"> per script</w:t>
            </w:r>
            <w:r w:rsidRPr="000F4BDB">
              <w:t>)</w:t>
            </w:r>
          </w:p>
        </w:tc>
      </w:tr>
      <w:tr w:rsidR="00785ABA" w14:paraId="3EDB8B4E" w14:textId="77777777" w:rsidTr="002961ED">
        <w:trPr>
          <w:trHeight w:val="497"/>
        </w:trPr>
        <w:tc>
          <w:tcPr>
            <w:tcW w:w="882" w:type="pct"/>
            <w:tcBorders>
              <w:top w:val="single" w:sz="4" w:space="0" w:color="auto"/>
              <w:left w:val="single" w:sz="4" w:space="0" w:color="auto"/>
              <w:bottom w:val="single" w:sz="4" w:space="0" w:color="auto"/>
              <w:right w:val="single" w:sz="4" w:space="0" w:color="auto"/>
            </w:tcBorders>
            <w:shd w:val="clear" w:color="auto" w:fill="auto"/>
            <w:hideMark/>
          </w:tcPr>
          <w:p w14:paraId="49AE5121" w14:textId="6A71D561" w:rsidR="00785ABA" w:rsidRPr="000F4BDB" w:rsidRDefault="00785ABA" w:rsidP="008723B2">
            <w:pPr>
              <w:pStyle w:val="TableText0"/>
              <w:rPr>
                <w:vertAlign w:val="superscript"/>
                <w:lang w:val="en-US"/>
              </w:rPr>
            </w:pPr>
            <w:r w:rsidRPr="000F4BDB">
              <w:rPr>
                <w:lang w:val="en-US"/>
              </w:rPr>
              <w:t xml:space="preserve"> Dose</w:t>
            </w:r>
          </w:p>
        </w:tc>
        <w:tc>
          <w:tcPr>
            <w:tcW w:w="2037" w:type="pct"/>
            <w:gridSpan w:val="2"/>
            <w:tcBorders>
              <w:top w:val="single" w:sz="4" w:space="0" w:color="auto"/>
              <w:left w:val="single" w:sz="4" w:space="0" w:color="auto"/>
              <w:bottom w:val="single" w:sz="4" w:space="0" w:color="auto"/>
              <w:right w:val="single" w:sz="8" w:space="0" w:color="auto"/>
            </w:tcBorders>
            <w:shd w:val="clear" w:color="auto" w:fill="auto"/>
            <w:hideMark/>
          </w:tcPr>
          <w:p w14:paraId="3F6B29C4" w14:textId="2DF71903" w:rsidR="00785ABA" w:rsidRPr="000F4BDB" w:rsidRDefault="002961ED" w:rsidP="008723B2">
            <w:pPr>
              <w:pStyle w:val="TableText0"/>
              <w:jc w:val="center"/>
              <w:rPr>
                <w:lang w:val="en-US"/>
              </w:rPr>
            </w:pPr>
            <w:r w:rsidRPr="000F4BDB">
              <w:t>625</w:t>
            </w:r>
            <w:r>
              <w:t> </w:t>
            </w:r>
            <w:r w:rsidR="00785ABA" w:rsidRPr="000F4BDB">
              <w:t xml:space="preserve">mg </w:t>
            </w:r>
            <w:r w:rsidR="001214DF">
              <w:t>(</w:t>
            </w:r>
            <w:r>
              <w:t>225 </w:t>
            </w:r>
            <w:r w:rsidR="001214DF">
              <w:t xml:space="preserve">mg x 3) </w:t>
            </w:r>
            <w:r w:rsidR="00785ABA" w:rsidRPr="000F4BDB">
              <w:t>administered quarterly</w:t>
            </w:r>
            <w:r w:rsidR="00386EF6">
              <w:t>,</w:t>
            </w:r>
            <w:r w:rsidR="00785ABA" w:rsidRPr="000F4BDB">
              <w:t xml:space="preserve"> or </w:t>
            </w:r>
            <w:r w:rsidRPr="000F4BDB">
              <w:t>225</w:t>
            </w:r>
            <w:r>
              <w:t> </w:t>
            </w:r>
            <w:r w:rsidR="00785ABA" w:rsidRPr="000F4BDB">
              <w:t>mg administered monthly</w:t>
            </w:r>
          </w:p>
        </w:tc>
        <w:tc>
          <w:tcPr>
            <w:tcW w:w="2081" w:type="pct"/>
            <w:gridSpan w:val="2"/>
            <w:tcBorders>
              <w:top w:val="single" w:sz="4" w:space="0" w:color="auto"/>
              <w:left w:val="single" w:sz="8" w:space="0" w:color="auto"/>
              <w:bottom w:val="single" w:sz="4" w:space="0" w:color="auto"/>
              <w:right w:val="single" w:sz="4" w:space="0" w:color="auto"/>
            </w:tcBorders>
            <w:shd w:val="clear" w:color="auto" w:fill="auto"/>
            <w:hideMark/>
          </w:tcPr>
          <w:p w14:paraId="0D2E28AF" w14:textId="06296BF1" w:rsidR="00785ABA" w:rsidRPr="000F4BDB" w:rsidRDefault="00785ABA" w:rsidP="008723B2">
            <w:pPr>
              <w:pStyle w:val="TableText0"/>
              <w:jc w:val="center"/>
              <w:rPr>
                <w:bCs w:val="0"/>
                <w:lang w:val="en-US"/>
              </w:rPr>
            </w:pPr>
            <w:r w:rsidRPr="000F4BDB">
              <w:rPr>
                <w:bCs w:val="0"/>
              </w:rPr>
              <w:t>240</w:t>
            </w:r>
            <w:r w:rsidR="002961ED">
              <w:rPr>
                <w:bCs w:val="0"/>
              </w:rPr>
              <w:t> </w:t>
            </w:r>
            <w:r w:rsidRPr="000F4BDB">
              <w:rPr>
                <w:bCs w:val="0"/>
              </w:rPr>
              <w:t>mg (120</w:t>
            </w:r>
            <w:r w:rsidR="002961ED">
              <w:rPr>
                <w:bCs w:val="0"/>
              </w:rPr>
              <w:t> </w:t>
            </w:r>
            <w:r w:rsidRPr="000F4BDB">
              <w:rPr>
                <w:bCs w:val="0"/>
              </w:rPr>
              <w:t>mg x 2) loading dose followed by 120</w:t>
            </w:r>
            <w:r w:rsidR="00824A55">
              <w:rPr>
                <w:bCs w:val="0"/>
              </w:rPr>
              <w:t> </w:t>
            </w:r>
            <w:r w:rsidRPr="000F4BDB">
              <w:rPr>
                <w:bCs w:val="0"/>
              </w:rPr>
              <w:t>mg monthly</w:t>
            </w:r>
          </w:p>
        </w:tc>
      </w:tr>
      <w:tr w:rsidR="00A70DB5" w14:paraId="6BBF68A2" w14:textId="77777777" w:rsidTr="00746322">
        <w:trPr>
          <w:trHeight w:val="459"/>
        </w:trPr>
        <w:tc>
          <w:tcPr>
            <w:tcW w:w="882" w:type="pct"/>
            <w:tcBorders>
              <w:top w:val="single" w:sz="4" w:space="0" w:color="auto"/>
              <w:left w:val="single" w:sz="4" w:space="0" w:color="auto"/>
              <w:bottom w:val="single" w:sz="4" w:space="0" w:color="auto"/>
              <w:right w:val="single" w:sz="4" w:space="0" w:color="auto"/>
            </w:tcBorders>
            <w:shd w:val="clear" w:color="auto" w:fill="auto"/>
            <w:hideMark/>
          </w:tcPr>
          <w:p w14:paraId="077BFEFD" w14:textId="40078D43" w:rsidR="00A70DB5" w:rsidRPr="000F4BDB" w:rsidRDefault="00A70DB5" w:rsidP="008723B2">
            <w:pPr>
              <w:pStyle w:val="TableText0"/>
              <w:rPr>
                <w:lang w:val="en-US"/>
              </w:rPr>
            </w:pPr>
            <w:r w:rsidRPr="000F4BDB">
              <w:rPr>
                <w:lang w:val="en-US"/>
              </w:rPr>
              <w:t>Number of doses</w:t>
            </w:r>
            <w:r>
              <w:rPr>
                <w:lang w:val="en-US"/>
              </w:rPr>
              <w:t>/ scripts in Year 1</w:t>
            </w:r>
          </w:p>
        </w:tc>
        <w:tc>
          <w:tcPr>
            <w:tcW w:w="931" w:type="pct"/>
            <w:tcBorders>
              <w:top w:val="single" w:sz="4" w:space="0" w:color="auto"/>
              <w:left w:val="single" w:sz="4" w:space="0" w:color="auto"/>
              <w:bottom w:val="single" w:sz="4" w:space="0" w:color="auto"/>
              <w:right w:val="single" w:sz="8" w:space="0" w:color="auto"/>
            </w:tcBorders>
            <w:shd w:val="clear" w:color="auto" w:fill="auto"/>
            <w:hideMark/>
          </w:tcPr>
          <w:p w14:paraId="5C759AC2" w14:textId="0820E1BD" w:rsidR="00A70DB5" w:rsidRDefault="00B02F94" w:rsidP="008723B2">
            <w:pPr>
              <w:pStyle w:val="TableText0"/>
              <w:jc w:val="center"/>
            </w:pPr>
            <w:r>
              <w:t>12 doses</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4E50F5E7" w14:textId="377E6DD6" w:rsidR="00A70DB5" w:rsidRPr="000F4BDB" w:rsidRDefault="00A70DB5" w:rsidP="00746322">
            <w:pPr>
              <w:pStyle w:val="TableText0"/>
              <w:jc w:val="center"/>
              <w:rPr>
                <w:lang w:val="en-US"/>
              </w:rPr>
            </w:pPr>
            <w:proofErr w:type="gramStart"/>
            <w:r>
              <w:rPr>
                <w:lang w:val="en-US"/>
              </w:rPr>
              <w:t>3</w:t>
            </w:r>
            <w:proofErr w:type="gramEnd"/>
            <w:r>
              <w:rPr>
                <w:lang w:val="en-US"/>
              </w:rPr>
              <w:t xml:space="preserve"> initial and 3 continuing scripts</w:t>
            </w:r>
          </w:p>
        </w:tc>
        <w:tc>
          <w:tcPr>
            <w:tcW w:w="950" w:type="pct"/>
            <w:tcBorders>
              <w:top w:val="single" w:sz="4" w:space="0" w:color="auto"/>
              <w:left w:val="single" w:sz="8" w:space="0" w:color="auto"/>
              <w:bottom w:val="single" w:sz="4" w:space="0" w:color="auto"/>
              <w:right w:val="single" w:sz="4" w:space="0" w:color="auto"/>
            </w:tcBorders>
            <w:shd w:val="clear" w:color="auto" w:fill="auto"/>
            <w:hideMark/>
          </w:tcPr>
          <w:p w14:paraId="1AE277F6" w14:textId="7BD0B1D5" w:rsidR="00A70DB5" w:rsidRPr="000F4BDB" w:rsidRDefault="00B02F94" w:rsidP="00746322">
            <w:pPr>
              <w:pStyle w:val="TableText0"/>
              <w:jc w:val="center"/>
              <w:rPr>
                <w:bCs w:val="0"/>
                <w:lang w:val="en-US"/>
              </w:rPr>
            </w:pPr>
            <w:proofErr w:type="gramStart"/>
            <w:r>
              <w:rPr>
                <w:bCs w:val="0"/>
                <w:lang w:val="en-US"/>
              </w:rPr>
              <w:t>13</w:t>
            </w:r>
            <w:proofErr w:type="gramEnd"/>
            <w:r>
              <w:rPr>
                <w:bCs w:val="0"/>
                <w:lang w:val="en-US"/>
              </w:rPr>
              <w:t xml:space="preserve"> doses</w:t>
            </w:r>
          </w:p>
        </w:tc>
        <w:tc>
          <w:tcPr>
            <w:tcW w:w="1131" w:type="pct"/>
            <w:tcBorders>
              <w:top w:val="single" w:sz="4" w:space="0" w:color="auto"/>
              <w:left w:val="single" w:sz="8" w:space="0" w:color="auto"/>
              <w:bottom w:val="single" w:sz="4" w:space="0" w:color="auto"/>
              <w:right w:val="single" w:sz="4" w:space="0" w:color="auto"/>
            </w:tcBorders>
            <w:shd w:val="clear" w:color="auto" w:fill="auto"/>
          </w:tcPr>
          <w:p w14:paraId="152FF464" w14:textId="58BDE5AC" w:rsidR="00A70DB5" w:rsidRPr="000F4BDB" w:rsidRDefault="00B02F94" w:rsidP="00746322">
            <w:pPr>
              <w:pStyle w:val="TableText0"/>
              <w:jc w:val="center"/>
              <w:rPr>
                <w:bCs w:val="0"/>
                <w:vertAlign w:val="superscript"/>
                <w:lang w:val="en-US"/>
              </w:rPr>
            </w:pPr>
            <w:r>
              <w:t>2 initial and 9 continuing scripts</w:t>
            </w:r>
          </w:p>
        </w:tc>
      </w:tr>
      <w:tr w:rsidR="00A70DB5" w14:paraId="75A97C9B" w14:textId="77777777" w:rsidTr="00746322">
        <w:trPr>
          <w:trHeight w:val="459"/>
        </w:trPr>
        <w:tc>
          <w:tcPr>
            <w:tcW w:w="882" w:type="pct"/>
            <w:tcBorders>
              <w:top w:val="single" w:sz="4" w:space="0" w:color="auto"/>
              <w:left w:val="single" w:sz="4" w:space="0" w:color="auto"/>
              <w:bottom w:val="single" w:sz="4" w:space="0" w:color="auto"/>
              <w:right w:val="single" w:sz="4" w:space="0" w:color="auto"/>
            </w:tcBorders>
            <w:shd w:val="clear" w:color="auto" w:fill="auto"/>
          </w:tcPr>
          <w:p w14:paraId="291DF38F" w14:textId="3AB8E769" w:rsidR="00A70DB5" w:rsidRPr="000F4BDB" w:rsidRDefault="00A70DB5" w:rsidP="008723B2">
            <w:pPr>
              <w:pStyle w:val="TableText0"/>
              <w:rPr>
                <w:lang w:val="en-US"/>
              </w:rPr>
            </w:pPr>
            <w:r w:rsidRPr="000F4BDB">
              <w:rPr>
                <w:lang w:val="en-US"/>
              </w:rPr>
              <w:t>Number of doses</w:t>
            </w:r>
            <w:r>
              <w:rPr>
                <w:lang w:val="en-US"/>
              </w:rPr>
              <w:t>/ scripts in Year 2</w:t>
            </w:r>
          </w:p>
        </w:tc>
        <w:tc>
          <w:tcPr>
            <w:tcW w:w="931" w:type="pct"/>
            <w:tcBorders>
              <w:top w:val="single" w:sz="4" w:space="0" w:color="auto"/>
              <w:left w:val="single" w:sz="4" w:space="0" w:color="auto"/>
              <w:bottom w:val="single" w:sz="4" w:space="0" w:color="auto"/>
              <w:right w:val="single" w:sz="8" w:space="0" w:color="auto"/>
            </w:tcBorders>
            <w:shd w:val="clear" w:color="auto" w:fill="auto"/>
          </w:tcPr>
          <w:p w14:paraId="67C23529" w14:textId="73BD6F3E" w:rsidR="00A70DB5" w:rsidRPr="000F4BDB" w:rsidDel="00606127" w:rsidRDefault="00A70DB5" w:rsidP="008723B2">
            <w:pPr>
              <w:pStyle w:val="TableText0"/>
              <w:jc w:val="center"/>
              <w:rPr>
                <w:lang w:val="en-US"/>
              </w:rPr>
            </w:pPr>
            <w:proofErr w:type="gramStart"/>
            <w:r>
              <w:rPr>
                <w:lang w:val="en-US"/>
              </w:rPr>
              <w:t>12</w:t>
            </w:r>
            <w:proofErr w:type="gramEnd"/>
            <w:r>
              <w:rPr>
                <w:lang w:val="en-US"/>
              </w:rPr>
              <w:t xml:space="preserve"> doses</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7D156D38" w14:textId="33A93140" w:rsidR="00A70DB5" w:rsidRPr="000F4BDB" w:rsidDel="00606127" w:rsidRDefault="00B02F94" w:rsidP="008723B2">
            <w:pPr>
              <w:pStyle w:val="TableText0"/>
              <w:jc w:val="center"/>
              <w:rPr>
                <w:lang w:val="en-US"/>
              </w:rPr>
            </w:pPr>
            <w:proofErr w:type="gramStart"/>
            <w:r>
              <w:rPr>
                <w:lang w:val="en-US"/>
              </w:rPr>
              <w:t>4</w:t>
            </w:r>
            <w:proofErr w:type="gramEnd"/>
            <w:r>
              <w:rPr>
                <w:lang w:val="en-US"/>
              </w:rPr>
              <w:t xml:space="preserve"> continuing scripts</w:t>
            </w:r>
          </w:p>
        </w:tc>
        <w:tc>
          <w:tcPr>
            <w:tcW w:w="950" w:type="pct"/>
            <w:tcBorders>
              <w:top w:val="single" w:sz="4" w:space="0" w:color="auto"/>
              <w:left w:val="single" w:sz="8" w:space="0" w:color="auto"/>
              <w:bottom w:val="single" w:sz="4" w:space="0" w:color="auto"/>
              <w:right w:val="single" w:sz="4" w:space="0" w:color="auto"/>
            </w:tcBorders>
            <w:shd w:val="clear" w:color="auto" w:fill="auto"/>
          </w:tcPr>
          <w:p w14:paraId="69F70C81" w14:textId="6FA04D2B" w:rsidR="00A70DB5" w:rsidRPr="000F4BDB" w:rsidRDefault="00A70DB5" w:rsidP="008723B2">
            <w:pPr>
              <w:pStyle w:val="TableText0"/>
              <w:jc w:val="center"/>
            </w:pPr>
            <w:r>
              <w:t>12</w:t>
            </w:r>
            <w:r>
              <w:rPr>
                <w:lang w:val="en-US"/>
              </w:rPr>
              <w:t xml:space="preserve"> doses</w:t>
            </w:r>
          </w:p>
        </w:tc>
        <w:tc>
          <w:tcPr>
            <w:tcW w:w="1131" w:type="pct"/>
            <w:tcBorders>
              <w:top w:val="single" w:sz="4" w:space="0" w:color="auto"/>
              <w:left w:val="single" w:sz="8" w:space="0" w:color="auto"/>
              <w:bottom w:val="single" w:sz="4" w:space="0" w:color="auto"/>
              <w:right w:val="single" w:sz="4" w:space="0" w:color="auto"/>
            </w:tcBorders>
            <w:shd w:val="clear" w:color="auto" w:fill="auto"/>
          </w:tcPr>
          <w:p w14:paraId="3A0BE6FE" w14:textId="58EB3AF0" w:rsidR="00A70DB5" w:rsidRPr="000F4BDB" w:rsidRDefault="00B02F94" w:rsidP="008723B2">
            <w:pPr>
              <w:pStyle w:val="TableText0"/>
              <w:jc w:val="center"/>
            </w:pPr>
            <w:r>
              <w:t>12 continuing scripts</w:t>
            </w:r>
          </w:p>
        </w:tc>
      </w:tr>
      <w:tr w:rsidR="00785ABA" w14:paraId="4EDE6920" w14:textId="77777777" w:rsidTr="00746322">
        <w:trPr>
          <w:trHeight w:val="693"/>
        </w:trPr>
        <w:tc>
          <w:tcPr>
            <w:tcW w:w="882" w:type="pct"/>
            <w:tcBorders>
              <w:top w:val="single" w:sz="4" w:space="0" w:color="auto"/>
              <w:left w:val="single" w:sz="4" w:space="0" w:color="auto"/>
              <w:bottom w:val="single" w:sz="4" w:space="0" w:color="auto"/>
              <w:right w:val="single" w:sz="4" w:space="0" w:color="auto"/>
            </w:tcBorders>
            <w:shd w:val="clear" w:color="auto" w:fill="auto"/>
          </w:tcPr>
          <w:p w14:paraId="021E3A74" w14:textId="77777777" w:rsidR="00785ABA" w:rsidRPr="000F4BDB" w:rsidRDefault="00785ABA" w:rsidP="008723B2">
            <w:pPr>
              <w:pStyle w:val="TableText0"/>
              <w:rPr>
                <w:lang w:val="en-US"/>
              </w:rPr>
            </w:pPr>
            <w:r w:rsidRPr="000F4BDB">
              <w:rPr>
                <w:lang w:val="en-US"/>
              </w:rPr>
              <w:t>Drug cost per injection</w:t>
            </w:r>
          </w:p>
        </w:tc>
        <w:tc>
          <w:tcPr>
            <w:tcW w:w="931" w:type="pct"/>
            <w:tcBorders>
              <w:top w:val="single" w:sz="4" w:space="0" w:color="auto"/>
              <w:left w:val="single" w:sz="4" w:space="0" w:color="auto"/>
              <w:bottom w:val="single" w:sz="4" w:space="0" w:color="auto"/>
              <w:right w:val="single" w:sz="4" w:space="0" w:color="auto"/>
            </w:tcBorders>
            <w:shd w:val="clear" w:color="auto" w:fill="auto"/>
          </w:tcPr>
          <w:p w14:paraId="5CB5163B" w14:textId="73777526" w:rsidR="00785ABA" w:rsidRPr="004D511B" w:rsidDel="002E64DA" w:rsidRDefault="00785ABA" w:rsidP="008723B2">
            <w:pPr>
              <w:pStyle w:val="TableText0"/>
              <w:jc w:val="center"/>
              <w:rPr>
                <w:lang w:val="en-US"/>
              </w:rPr>
            </w:pPr>
            <w:r w:rsidRPr="004D511B">
              <w:t>$</w:t>
            </w:r>
            <w:r w:rsidR="007A29C8" w:rsidRPr="007A29C8">
              <w:rPr>
                <w:bCs w:val="0"/>
                <w:color w:val="000000"/>
                <w:shd w:val="solid" w:color="000000" w:fill="000000"/>
                <w14:textFill>
                  <w14:solidFill>
                    <w14:srgbClr w14:val="000000">
                      <w14:alpha w14:val="100000"/>
                    </w14:srgbClr>
                  </w14:solidFill>
                </w14:textFill>
              </w:rPr>
              <w:t>|</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2A22C814" w14:textId="53749245" w:rsidR="00785ABA" w:rsidRPr="004D511B" w:rsidRDefault="00785ABA" w:rsidP="008723B2">
            <w:pPr>
              <w:pStyle w:val="TableText0"/>
              <w:jc w:val="center"/>
            </w:pPr>
            <w:r w:rsidRPr="004D511B">
              <w:t>$</w:t>
            </w:r>
            <w:r w:rsidR="007A29C8" w:rsidRPr="007A29C8">
              <w:rPr>
                <w:color w:val="000000"/>
                <w:shd w:val="solid" w:color="000000" w:fill="000000"/>
                <w14:textFill>
                  <w14:solidFill>
                    <w14:srgbClr w14:val="000000">
                      <w14:alpha w14:val="100000"/>
                    </w14:srgbClr>
                  </w14:solidFill>
                </w14:textFill>
              </w:rPr>
              <w:t>|</w:t>
            </w:r>
            <w:r w:rsidRPr="004D511B">
              <w:t xml:space="preserve"> (</w:t>
            </w:r>
            <w:r w:rsidR="00C53282">
              <w:t>i</w:t>
            </w:r>
            <w:r w:rsidRPr="004D511B">
              <w:t>nitial)</w:t>
            </w:r>
          </w:p>
          <w:p w14:paraId="13626E4D" w14:textId="6F905767" w:rsidR="00785ABA" w:rsidRPr="004D511B" w:rsidRDefault="00785ABA" w:rsidP="008723B2">
            <w:pPr>
              <w:pStyle w:val="TableText0"/>
              <w:jc w:val="center"/>
            </w:pPr>
            <w:r w:rsidRPr="004D511B">
              <w:t>$</w:t>
            </w:r>
            <w:r w:rsidR="007A29C8" w:rsidRPr="007A29C8">
              <w:rPr>
                <w:color w:val="000000"/>
                <w:shd w:val="solid" w:color="000000" w:fill="000000"/>
                <w14:textFill>
                  <w14:solidFill>
                    <w14:srgbClr w14:val="000000">
                      <w14:alpha w14:val="100000"/>
                    </w14:srgbClr>
                  </w14:solidFill>
                </w14:textFill>
              </w:rPr>
              <w:t>|</w:t>
            </w:r>
            <w:r w:rsidRPr="004D511B">
              <w:t xml:space="preserve"> (quarterly continuing)</w:t>
            </w:r>
          </w:p>
        </w:tc>
        <w:tc>
          <w:tcPr>
            <w:tcW w:w="950" w:type="pct"/>
            <w:tcBorders>
              <w:top w:val="single" w:sz="4" w:space="0" w:color="auto"/>
              <w:left w:val="single" w:sz="8" w:space="0" w:color="auto"/>
              <w:bottom w:val="single" w:sz="4" w:space="0" w:color="auto"/>
              <w:right w:val="single" w:sz="4" w:space="0" w:color="auto"/>
            </w:tcBorders>
            <w:shd w:val="clear" w:color="auto" w:fill="auto"/>
          </w:tcPr>
          <w:p w14:paraId="422E3AF1" w14:textId="125419E4" w:rsidR="00785ABA" w:rsidRPr="004D511B" w:rsidRDefault="00785ABA" w:rsidP="008723B2">
            <w:pPr>
              <w:pStyle w:val="TableText0"/>
              <w:jc w:val="center"/>
            </w:pPr>
            <w:r w:rsidRPr="004D511B">
              <w:t>$</w:t>
            </w:r>
            <w:r w:rsidR="007A29C8" w:rsidRPr="007A29C8">
              <w:rPr>
                <w:bCs w:val="0"/>
                <w:color w:val="000000"/>
                <w:shd w:val="solid" w:color="000000" w:fill="000000"/>
                <w14:textFill>
                  <w14:solidFill>
                    <w14:srgbClr w14:val="000000">
                      <w14:alpha w14:val="100000"/>
                    </w14:srgbClr>
                  </w14:solidFill>
                </w14:textFill>
              </w:rPr>
              <w:t>|</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02980785" w14:textId="08FFCA0D" w:rsidR="00785ABA" w:rsidRPr="004D511B" w:rsidRDefault="00785ABA" w:rsidP="008723B2">
            <w:pPr>
              <w:pStyle w:val="TableText0"/>
              <w:jc w:val="center"/>
            </w:pPr>
            <w:r w:rsidRPr="004D511B">
              <w:t>$</w:t>
            </w:r>
            <w:r w:rsidR="007A29C8" w:rsidRPr="007A29C8">
              <w:rPr>
                <w:color w:val="000000"/>
                <w:shd w:val="solid" w:color="000000" w:fill="000000"/>
                <w14:textFill>
                  <w14:solidFill>
                    <w14:srgbClr w14:val="000000">
                      <w14:alpha w14:val="100000"/>
                    </w14:srgbClr>
                  </w14:solidFill>
                </w14:textFill>
              </w:rPr>
              <w:t>|</w:t>
            </w:r>
            <w:r w:rsidRPr="004D511B">
              <w:t xml:space="preserve"> (</w:t>
            </w:r>
            <w:r w:rsidR="00C53282">
              <w:t>i</w:t>
            </w:r>
            <w:r w:rsidRPr="004D511B">
              <w:t>nitial)</w:t>
            </w:r>
          </w:p>
          <w:p w14:paraId="1D65363C" w14:textId="55DA99F8" w:rsidR="00785ABA" w:rsidRPr="004D511B" w:rsidRDefault="00785ABA" w:rsidP="008723B2">
            <w:pPr>
              <w:pStyle w:val="TableText0"/>
              <w:jc w:val="center"/>
            </w:pPr>
            <w:r w:rsidRPr="004D511B">
              <w:t>$</w:t>
            </w:r>
            <w:r w:rsidR="007A29C8" w:rsidRPr="007A29C8">
              <w:rPr>
                <w:color w:val="000000"/>
                <w:shd w:val="solid" w:color="000000" w:fill="000000"/>
                <w14:textFill>
                  <w14:solidFill>
                    <w14:srgbClr w14:val="000000">
                      <w14:alpha w14:val="100000"/>
                    </w14:srgbClr>
                  </w14:solidFill>
                </w14:textFill>
              </w:rPr>
              <w:t>|</w:t>
            </w:r>
            <w:r w:rsidRPr="004D511B">
              <w:t xml:space="preserve"> (monthly continuing)</w:t>
            </w:r>
          </w:p>
        </w:tc>
      </w:tr>
      <w:tr w:rsidR="00785ABA" w:rsidRPr="00277996" w14:paraId="28E8D7CC" w14:textId="77777777" w:rsidTr="00B02F94">
        <w:trPr>
          <w:trHeight w:val="225"/>
        </w:trPr>
        <w:tc>
          <w:tcPr>
            <w:tcW w:w="882" w:type="pct"/>
            <w:tcBorders>
              <w:top w:val="single" w:sz="4" w:space="0" w:color="auto"/>
              <w:left w:val="single" w:sz="4" w:space="0" w:color="auto"/>
              <w:bottom w:val="single" w:sz="4" w:space="0" w:color="auto"/>
              <w:right w:val="single" w:sz="4" w:space="0" w:color="auto"/>
            </w:tcBorders>
            <w:shd w:val="clear" w:color="auto" w:fill="auto"/>
          </w:tcPr>
          <w:p w14:paraId="4573CC7D" w14:textId="77777777" w:rsidR="00785ABA" w:rsidRPr="00277996" w:rsidRDefault="00785ABA" w:rsidP="008723B2">
            <w:pPr>
              <w:pStyle w:val="TableText0"/>
              <w:rPr>
                <w:lang w:val="en-US"/>
              </w:rPr>
            </w:pPr>
            <w:r w:rsidRPr="00277996">
              <w:rPr>
                <w:lang w:val="en-US"/>
              </w:rPr>
              <w:t>Cost/patient Year 1</w:t>
            </w:r>
          </w:p>
        </w:tc>
        <w:tc>
          <w:tcPr>
            <w:tcW w:w="931" w:type="pct"/>
            <w:tcBorders>
              <w:top w:val="single" w:sz="4" w:space="0" w:color="auto"/>
              <w:left w:val="single" w:sz="4" w:space="0" w:color="auto"/>
              <w:bottom w:val="single" w:sz="4" w:space="0" w:color="auto"/>
              <w:right w:val="single" w:sz="4" w:space="0" w:color="auto"/>
            </w:tcBorders>
            <w:shd w:val="clear" w:color="auto" w:fill="auto"/>
          </w:tcPr>
          <w:p w14:paraId="0678A56A" w14:textId="0A376559" w:rsidR="00785ABA" w:rsidRPr="004D511B" w:rsidRDefault="00785ABA" w:rsidP="008723B2">
            <w:pPr>
              <w:pStyle w:val="TableText0"/>
              <w:jc w:val="center"/>
              <w:rPr>
                <w:iCs/>
                <w:lang w:val="en-US"/>
              </w:rPr>
            </w:pPr>
            <w:r w:rsidRPr="004D511B">
              <w:rPr>
                <w:iCs/>
                <w:lang w:val="en-US"/>
              </w:rPr>
              <w:t>$</w:t>
            </w:r>
            <w:r w:rsidR="007A29C8" w:rsidRPr="007A29C8">
              <w:rPr>
                <w:iCs/>
                <w:color w:val="000000"/>
                <w:shd w:val="solid" w:color="000000" w:fill="000000"/>
                <w:lang w:val="en-US"/>
                <w14:textFill>
                  <w14:solidFill>
                    <w14:srgbClr w14:val="000000">
                      <w14:alpha w14:val="100000"/>
                    </w14:srgbClr>
                  </w14:solidFill>
                </w14:textFill>
              </w:rPr>
              <w:t>|</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5D6E8A5B" w14:textId="30ECF8A6" w:rsidR="00785ABA" w:rsidRPr="004D511B" w:rsidRDefault="00785ABA"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950" w:type="pct"/>
            <w:tcBorders>
              <w:top w:val="single" w:sz="4" w:space="0" w:color="auto"/>
              <w:left w:val="single" w:sz="8" w:space="0" w:color="auto"/>
              <w:bottom w:val="single" w:sz="4" w:space="0" w:color="auto"/>
              <w:right w:val="single" w:sz="4" w:space="0" w:color="auto"/>
            </w:tcBorders>
            <w:shd w:val="clear" w:color="auto" w:fill="auto"/>
          </w:tcPr>
          <w:p w14:paraId="74BE9D65" w14:textId="7EE64F74" w:rsidR="00785ABA" w:rsidRPr="004D511B" w:rsidRDefault="00785ABA" w:rsidP="008723B2">
            <w:pPr>
              <w:pStyle w:val="TableText0"/>
              <w:jc w:val="center"/>
              <w:rPr>
                <w:bCs w:val="0"/>
                <w:iCs/>
                <w:lang w:val="en-US"/>
              </w:rPr>
            </w:pPr>
            <w:r w:rsidRPr="004D511B">
              <w:rPr>
                <w:bCs w:val="0"/>
                <w:iCs/>
                <w:lang w:val="en-US"/>
              </w:rPr>
              <w:t>$</w:t>
            </w:r>
            <w:r w:rsidR="007A29C8" w:rsidRPr="007A29C8">
              <w:rPr>
                <w:bCs w:val="0"/>
                <w:iCs/>
                <w:color w:val="000000"/>
                <w:shd w:val="solid" w:color="000000" w:fill="000000"/>
                <w:lang w:val="en-US"/>
                <w14:textFill>
                  <w14:solidFill>
                    <w14:srgbClr w14:val="000000">
                      <w14:alpha w14:val="100000"/>
                    </w14:srgbClr>
                  </w14:solidFill>
                </w14:textFill>
              </w:rPr>
              <w:t>|</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4FA931D0" w14:textId="4C8D37FC" w:rsidR="00785ABA" w:rsidRPr="004D511B" w:rsidRDefault="00785ABA"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r>
      <w:tr w:rsidR="00785ABA" w:rsidRPr="00277996" w14:paraId="56DC4F6D" w14:textId="77777777" w:rsidTr="00B02F94">
        <w:trPr>
          <w:trHeight w:val="225"/>
        </w:trPr>
        <w:tc>
          <w:tcPr>
            <w:tcW w:w="882" w:type="pct"/>
            <w:tcBorders>
              <w:top w:val="single" w:sz="4" w:space="0" w:color="auto"/>
              <w:left w:val="single" w:sz="4" w:space="0" w:color="auto"/>
              <w:bottom w:val="single" w:sz="4" w:space="0" w:color="auto"/>
              <w:right w:val="single" w:sz="4" w:space="0" w:color="auto"/>
            </w:tcBorders>
            <w:shd w:val="clear" w:color="auto" w:fill="auto"/>
          </w:tcPr>
          <w:p w14:paraId="07AB81C8" w14:textId="77777777" w:rsidR="00785ABA" w:rsidRPr="00277996" w:rsidRDefault="00785ABA" w:rsidP="008723B2">
            <w:pPr>
              <w:pStyle w:val="TableText0"/>
              <w:rPr>
                <w:lang w:val="en-US"/>
              </w:rPr>
            </w:pPr>
            <w:r w:rsidRPr="00277996">
              <w:rPr>
                <w:lang w:val="en-US"/>
              </w:rPr>
              <w:t>Cost/patient Year 2</w:t>
            </w:r>
          </w:p>
        </w:tc>
        <w:tc>
          <w:tcPr>
            <w:tcW w:w="931" w:type="pct"/>
            <w:tcBorders>
              <w:top w:val="single" w:sz="4" w:space="0" w:color="auto"/>
              <w:left w:val="single" w:sz="4" w:space="0" w:color="auto"/>
              <w:bottom w:val="single" w:sz="4" w:space="0" w:color="auto"/>
              <w:right w:val="single" w:sz="4" w:space="0" w:color="auto"/>
            </w:tcBorders>
            <w:shd w:val="clear" w:color="auto" w:fill="auto"/>
          </w:tcPr>
          <w:p w14:paraId="599E92DF" w14:textId="2ED507A5" w:rsidR="00785ABA" w:rsidRPr="004D511B" w:rsidRDefault="00785ABA" w:rsidP="008723B2">
            <w:pPr>
              <w:pStyle w:val="TableText0"/>
              <w:jc w:val="center"/>
              <w:rPr>
                <w:iCs/>
                <w:lang w:val="en-US"/>
              </w:rPr>
            </w:pPr>
            <w:r w:rsidRPr="004D511B">
              <w:rPr>
                <w:iCs/>
                <w:lang w:val="en-US"/>
              </w:rPr>
              <w:t>$</w:t>
            </w:r>
            <w:r w:rsidR="007A29C8" w:rsidRPr="007A29C8">
              <w:rPr>
                <w:iCs/>
                <w:color w:val="000000"/>
                <w:shd w:val="solid" w:color="000000" w:fill="000000"/>
                <w:lang w:val="en-US"/>
                <w14:textFill>
                  <w14:solidFill>
                    <w14:srgbClr w14:val="000000">
                      <w14:alpha w14:val="100000"/>
                    </w14:srgbClr>
                  </w14:solidFill>
                </w14:textFill>
              </w:rPr>
              <w:t>|</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33755E36" w14:textId="1886A6B6" w:rsidR="00785ABA" w:rsidRPr="004D511B" w:rsidRDefault="00785ABA"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950" w:type="pct"/>
            <w:tcBorders>
              <w:top w:val="single" w:sz="4" w:space="0" w:color="auto"/>
              <w:left w:val="single" w:sz="8" w:space="0" w:color="auto"/>
              <w:bottom w:val="single" w:sz="4" w:space="0" w:color="auto"/>
              <w:right w:val="single" w:sz="4" w:space="0" w:color="auto"/>
            </w:tcBorders>
            <w:shd w:val="clear" w:color="auto" w:fill="auto"/>
          </w:tcPr>
          <w:p w14:paraId="38AC185B" w14:textId="0639BC78" w:rsidR="00785ABA" w:rsidRPr="004D511B" w:rsidRDefault="00785ABA" w:rsidP="008723B2">
            <w:pPr>
              <w:pStyle w:val="TableText0"/>
              <w:jc w:val="center"/>
              <w:rPr>
                <w:bCs w:val="0"/>
                <w:iCs/>
                <w:lang w:val="en-US"/>
              </w:rPr>
            </w:pPr>
            <w:r w:rsidRPr="004D511B">
              <w:rPr>
                <w:iCs/>
                <w:lang w:val="en-US"/>
              </w:rPr>
              <w:t>$</w:t>
            </w:r>
            <w:r w:rsidR="007A29C8" w:rsidRPr="007A29C8">
              <w:rPr>
                <w:iCs/>
                <w:color w:val="000000"/>
                <w:shd w:val="solid" w:color="000000" w:fill="000000"/>
                <w:lang w:val="en-US"/>
                <w14:textFill>
                  <w14:solidFill>
                    <w14:srgbClr w14:val="000000">
                      <w14:alpha w14:val="100000"/>
                    </w14:srgbClr>
                  </w14:solidFill>
                </w14:textFill>
              </w:rPr>
              <w:t>|</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3D2F33A0" w14:textId="7BAEB12C" w:rsidR="00785ABA" w:rsidRPr="004D511B" w:rsidRDefault="00785ABA"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r>
      <w:tr w:rsidR="00B02F94" w:rsidRPr="00277996" w14:paraId="0A9CDD6F" w14:textId="77777777" w:rsidTr="00B02F94">
        <w:trPr>
          <w:trHeight w:val="225"/>
        </w:trPr>
        <w:tc>
          <w:tcPr>
            <w:tcW w:w="882" w:type="pct"/>
            <w:tcBorders>
              <w:top w:val="single" w:sz="4" w:space="0" w:color="auto"/>
              <w:left w:val="single" w:sz="4" w:space="0" w:color="auto"/>
              <w:bottom w:val="single" w:sz="4" w:space="0" w:color="auto"/>
              <w:right w:val="single" w:sz="4" w:space="0" w:color="auto"/>
            </w:tcBorders>
            <w:shd w:val="clear" w:color="auto" w:fill="auto"/>
          </w:tcPr>
          <w:p w14:paraId="7E2C3A07" w14:textId="17AAD552" w:rsidR="00B02F94" w:rsidRPr="00277996" w:rsidRDefault="00B02F94" w:rsidP="008723B2">
            <w:pPr>
              <w:pStyle w:val="TableText0"/>
              <w:rPr>
                <w:lang w:val="en-US"/>
              </w:rPr>
            </w:pPr>
            <w:r>
              <w:rPr>
                <w:lang w:val="en-US"/>
              </w:rPr>
              <w:t>Total cost/ patient</w:t>
            </w:r>
          </w:p>
        </w:tc>
        <w:tc>
          <w:tcPr>
            <w:tcW w:w="931" w:type="pct"/>
            <w:tcBorders>
              <w:top w:val="single" w:sz="4" w:space="0" w:color="auto"/>
              <w:left w:val="single" w:sz="4" w:space="0" w:color="auto"/>
              <w:bottom w:val="single" w:sz="4" w:space="0" w:color="auto"/>
              <w:right w:val="single" w:sz="4" w:space="0" w:color="auto"/>
            </w:tcBorders>
            <w:shd w:val="clear" w:color="auto" w:fill="auto"/>
          </w:tcPr>
          <w:p w14:paraId="01BB2352" w14:textId="1119EEB6" w:rsidR="00B02F94" w:rsidRPr="004D511B" w:rsidRDefault="00B02F94" w:rsidP="008723B2">
            <w:pPr>
              <w:pStyle w:val="TableText0"/>
              <w:jc w:val="center"/>
              <w:rPr>
                <w:iCs/>
                <w:lang w:val="en-US"/>
              </w:rPr>
            </w:pPr>
            <w:r w:rsidRPr="004D511B">
              <w:rPr>
                <w:iCs/>
                <w:lang w:val="en-US"/>
              </w:rPr>
              <w:t>$</w:t>
            </w:r>
            <w:r w:rsidR="007A29C8" w:rsidRPr="007A29C8">
              <w:rPr>
                <w:iCs/>
                <w:color w:val="000000"/>
                <w:shd w:val="solid" w:color="000000" w:fill="000000"/>
                <w:lang w:val="en-US"/>
                <w14:textFill>
                  <w14:solidFill>
                    <w14:srgbClr w14:val="000000">
                      <w14:alpha w14:val="100000"/>
                    </w14:srgbClr>
                  </w14:solidFill>
                </w14:textFill>
              </w:rPr>
              <w:t>|</w:t>
            </w:r>
          </w:p>
        </w:tc>
        <w:tc>
          <w:tcPr>
            <w:tcW w:w="1106" w:type="pct"/>
            <w:tcBorders>
              <w:top w:val="single" w:sz="4" w:space="0" w:color="auto"/>
              <w:left w:val="single" w:sz="4" w:space="0" w:color="auto"/>
              <w:bottom w:val="single" w:sz="4" w:space="0" w:color="auto"/>
              <w:right w:val="single" w:sz="8" w:space="0" w:color="auto"/>
            </w:tcBorders>
            <w:shd w:val="clear" w:color="auto" w:fill="auto"/>
          </w:tcPr>
          <w:p w14:paraId="0346AF2C" w14:textId="2E177351" w:rsidR="00B02F94" w:rsidRPr="004D511B" w:rsidRDefault="00B02F94"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c>
          <w:tcPr>
            <w:tcW w:w="950" w:type="pct"/>
            <w:tcBorders>
              <w:top w:val="single" w:sz="4" w:space="0" w:color="auto"/>
              <w:left w:val="single" w:sz="8" w:space="0" w:color="auto"/>
              <w:bottom w:val="single" w:sz="4" w:space="0" w:color="auto"/>
              <w:right w:val="single" w:sz="4" w:space="0" w:color="auto"/>
            </w:tcBorders>
            <w:shd w:val="clear" w:color="auto" w:fill="auto"/>
          </w:tcPr>
          <w:p w14:paraId="49BAEF2C" w14:textId="42C2E9DB" w:rsidR="00B02F94" w:rsidRPr="004D511B" w:rsidRDefault="00B02F94" w:rsidP="008723B2">
            <w:pPr>
              <w:pStyle w:val="TableText0"/>
              <w:jc w:val="center"/>
              <w:rPr>
                <w:iCs/>
                <w:lang w:val="en-US"/>
              </w:rPr>
            </w:pPr>
            <w:r w:rsidRPr="004D511B">
              <w:rPr>
                <w:iCs/>
                <w:lang w:val="en-US"/>
              </w:rPr>
              <w:t>$</w:t>
            </w:r>
            <w:r w:rsidR="007A29C8" w:rsidRPr="007A29C8">
              <w:rPr>
                <w:iCs/>
                <w:color w:val="000000"/>
                <w:shd w:val="solid" w:color="000000" w:fill="000000"/>
                <w:lang w:val="en-US"/>
                <w14:textFill>
                  <w14:solidFill>
                    <w14:srgbClr w14:val="000000">
                      <w14:alpha w14:val="100000"/>
                    </w14:srgbClr>
                  </w14:solidFill>
                </w14:textFill>
              </w:rPr>
              <w:t>|</w:t>
            </w:r>
          </w:p>
        </w:tc>
        <w:tc>
          <w:tcPr>
            <w:tcW w:w="1131" w:type="pct"/>
            <w:tcBorders>
              <w:top w:val="single" w:sz="4" w:space="0" w:color="auto"/>
              <w:left w:val="single" w:sz="4" w:space="0" w:color="auto"/>
              <w:bottom w:val="single" w:sz="4" w:space="0" w:color="auto"/>
              <w:right w:val="single" w:sz="4" w:space="0" w:color="auto"/>
            </w:tcBorders>
            <w:shd w:val="clear" w:color="auto" w:fill="auto"/>
          </w:tcPr>
          <w:p w14:paraId="237640B3" w14:textId="268EF1BD" w:rsidR="00B02F94" w:rsidRPr="004D511B" w:rsidRDefault="00B02F94" w:rsidP="008723B2">
            <w:pPr>
              <w:pStyle w:val="TableText0"/>
              <w:jc w:val="center"/>
              <w:rPr>
                <w:iCs/>
              </w:rPr>
            </w:pPr>
            <w:r w:rsidRPr="004D511B">
              <w:rPr>
                <w:iCs/>
              </w:rPr>
              <w:t>$</w:t>
            </w:r>
            <w:r w:rsidR="007A29C8" w:rsidRPr="007A29C8">
              <w:rPr>
                <w:iCs/>
                <w:color w:val="000000"/>
                <w:shd w:val="solid" w:color="000000" w:fill="000000"/>
                <w14:textFill>
                  <w14:solidFill>
                    <w14:srgbClr w14:val="000000">
                      <w14:alpha w14:val="100000"/>
                    </w14:srgbClr>
                  </w14:solidFill>
                </w14:textFill>
              </w:rPr>
              <w:t>|</w:t>
            </w:r>
          </w:p>
        </w:tc>
      </w:tr>
    </w:tbl>
    <w:p w14:paraId="5CDFDB51" w14:textId="77777777" w:rsidR="00785ABA" w:rsidRDefault="00785ABA" w:rsidP="00785ABA">
      <w:pPr>
        <w:pStyle w:val="TableFigureFooter"/>
        <w:spacing w:after="0"/>
      </w:pPr>
      <w:r w:rsidRPr="003A33C9">
        <w:t>Source: Table compiled during the evaluation based on information provided in the submission and Table 3-1 p102 of the submission</w:t>
      </w:r>
      <w:r>
        <w:t>.</w:t>
      </w:r>
    </w:p>
    <w:p w14:paraId="12EDA0A6" w14:textId="16AC318B" w:rsidR="00785ABA" w:rsidRDefault="00785ABA" w:rsidP="00785ABA">
      <w:pPr>
        <w:pStyle w:val="3-BodyText"/>
        <w:numPr>
          <w:ilvl w:val="0"/>
          <w:numId w:val="0"/>
        </w:numPr>
        <w:spacing w:after="0"/>
        <w:rPr>
          <w:rFonts w:ascii="Arial Narrow" w:hAnsi="Arial Narrow"/>
          <w:sz w:val="18"/>
          <w:szCs w:val="22"/>
        </w:rPr>
      </w:pPr>
      <w:r w:rsidRPr="0074574E">
        <w:rPr>
          <w:rFonts w:ascii="Arial Narrow" w:hAnsi="Arial Narrow"/>
          <w:sz w:val="18"/>
          <w:szCs w:val="22"/>
        </w:rPr>
        <w:t>Note: Duration of treatment is based on the PBAC advi</w:t>
      </w:r>
      <w:r w:rsidR="00386EF6">
        <w:rPr>
          <w:rFonts w:ascii="Arial Narrow" w:hAnsi="Arial Narrow"/>
          <w:sz w:val="18"/>
          <w:szCs w:val="22"/>
        </w:rPr>
        <w:t>ce</w:t>
      </w:r>
      <w:r w:rsidRPr="0074574E">
        <w:rPr>
          <w:rFonts w:ascii="Arial Narrow" w:hAnsi="Arial Narrow"/>
          <w:sz w:val="18"/>
          <w:szCs w:val="22"/>
        </w:rPr>
        <w:t xml:space="preserve"> that the </w:t>
      </w:r>
      <w:r w:rsidR="00ED6506">
        <w:rPr>
          <w:rFonts w:ascii="Arial Narrow" w:hAnsi="Arial Narrow"/>
          <w:sz w:val="18"/>
          <w:szCs w:val="22"/>
        </w:rPr>
        <w:t>cost-minimisation approach</w:t>
      </w:r>
      <w:r w:rsidRPr="0074574E">
        <w:rPr>
          <w:rFonts w:ascii="Arial Narrow" w:hAnsi="Arial Narrow"/>
          <w:sz w:val="18"/>
          <w:szCs w:val="22"/>
        </w:rPr>
        <w:t xml:space="preserve"> should be conducted over 2 years of treatment for both medicines (para 7.8, fremanezumab PSD, November 2019 PBAC meeting).</w:t>
      </w:r>
    </w:p>
    <w:p w14:paraId="5C5D24E6" w14:textId="3C90F8D1" w:rsidR="00785ABA" w:rsidRDefault="00785ABA" w:rsidP="00785ABA">
      <w:pPr>
        <w:pStyle w:val="TableFigureFooter"/>
        <w:spacing w:after="0"/>
      </w:pPr>
    </w:p>
    <w:p w14:paraId="26D620E2" w14:textId="108DF415" w:rsidR="00BC4E63" w:rsidRPr="00C9624D" w:rsidRDefault="00BC4E63" w:rsidP="00BC4E63">
      <w:pPr>
        <w:pStyle w:val="4-SubsectionHeading"/>
      </w:pPr>
      <w:bookmarkStart w:id="64" w:name="_Toc22897647"/>
      <w:bookmarkStart w:id="65" w:name="_Toc107927633"/>
      <w:bookmarkStart w:id="66" w:name="_Toc114059213"/>
      <w:bookmarkEnd w:id="63"/>
      <w:r w:rsidRPr="00C9624D">
        <w:t xml:space="preserve">Estimated PBS usage &amp; financial </w:t>
      </w:r>
      <w:proofErr w:type="gramStart"/>
      <w:r w:rsidRPr="00C9624D">
        <w:t>implications</w:t>
      </w:r>
      <w:bookmarkEnd w:id="64"/>
      <w:bookmarkEnd w:id="65"/>
      <w:bookmarkEnd w:id="66"/>
      <w:proofErr w:type="gramEnd"/>
    </w:p>
    <w:p w14:paraId="2BC07D62" w14:textId="7CB91848" w:rsidR="00541EE2" w:rsidRDefault="00541EE2" w:rsidP="00033A63">
      <w:pPr>
        <w:pStyle w:val="3-BodyText"/>
        <w:numPr>
          <w:ilvl w:val="1"/>
          <w:numId w:val="5"/>
        </w:numPr>
        <w:ind w:left="720"/>
        <w:rPr>
          <w:color w:val="0066FF"/>
        </w:rPr>
      </w:pPr>
      <w:r>
        <w:t>This submission w</w:t>
      </w:r>
      <w:r w:rsidR="00FC2479">
        <w:t>as not</w:t>
      </w:r>
      <w:r>
        <w:t xml:space="preserve"> considered by DUSC</w:t>
      </w:r>
      <w:r w:rsidRPr="009772BD">
        <w:rPr>
          <w:color w:val="000000" w:themeColor="text1"/>
        </w:rPr>
        <w:t>.</w:t>
      </w:r>
      <w:r>
        <w:rPr>
          <w:color w:val="0070C0"/>
        </w:rPr>
        <w:t xml:space="preserve"> </w:t>
      </w:r>
      <w:r w:rsidRPr="00292DFA">
        <w:rPr>
          <w:color w:val="000000" w:themeColor="text1"/>
        </w:rPr>
        <w:t>The submission used a</w:t>
      </w:r>
      <w:r>
        <w:rPr>
          <w:color w:val="000000" w:themeColor="text1"/>
        </w:rPr>
        <w:t>n</w:t>
      </w:r>
      <w:r w:rsidRPr="00292DFA">
        <w:rPr>
          <w:color w:val="000000" w:themeColor="text1"/>
        </w:rPr>
        <w:t xml:space="preserve"> epidemiological approach to estimate the utilisation and financial impacts </w:t>
      </w:r>
      <w:r w:rsidR="009C29FA">
        <w:rPr>
          <w:color w:val="000000" w:themeColor="text1"/>
        </w:rPr>
        <w:t>of</w:t>
      </w:r>
      <w:r w:rsidRPr="00292DFA">
        <w:rPr>
          <w:color w:val="000000" w:themeColor="text1"/>
        </w:rPr>
        <w:t xml:space="preserve"> listing fremanezumab for patients with </w:t>
      </w:r>
      <w:r>
        <w:rPr>
          <w:color w:val="000000" w:themeColor="text1"/>
        </w:rPr>
        <w:t>HFEM (</w:t>
      </w:r>
      <w:r>
        <w:rPr>
          <w:rFonts w:cstheme="minorHAnsi"/>
          <w:color w:val="000000" w:themeColor="text1"/>
        </w:rPr>
        <w:t>≥</w:t>
      </w:r>
      <w:r>
        <w:rPr>
          <w:color w:val="000000" w:themeColor="text1"/>
        </w:rPr>
        <w:t xml:space="preserve">3 prior migraine therapies). </w:t>
      </w:r>
    </w:p>
    <w:p w14:paraId="16117507" w14:textId="03C55663" w:rsidR="00541EE2" w:rsidRPr="00D50C14" w:rsidRDefault="00541EE2" w:rsidP="00033A63">
      <w:pPr>
        <w:pStyle w:val="3-BodyText"/>
        <w:numPr>
          <w:ilvl w:val="1"/>
          <w:numId w:val="5"/>
        </w:numPr>
        <w:ind w:left="720"/>
        <w:rPr>
          <w:color w:val="0066FF"/>
        </w:rPr>
      </w:pPr>
      <w:r w:rsidRPr="00292DFA">
        <w:t xml:space="preserve">The submission </w:t>
      </w:r>
      <w:r>
        <w:t xml:space="preserve">assumed that </w:t>
      </w:r>
      <w:r w:rsidRPr="00292DFA">
        <w:t xml:space="preserve">fremanezumab </w:t>
      </w:r>
      <w:r>
        <w:t>would</w:t>
      </w:r>
      <w:r w:rsidRPr="00292DFA">
        <w:t xml:space="preserve"> displace</w:t>
      </w:r>
      <w:r>
        <w:t xml:space="preserve"> only</w:t>
      </w:r>
      <w:r w:rsidRPr="00292DFA">
        <w:t xml:space="preserve"> galcanezumab. The submission </w:t>
      </w:r>
      <w:r>
        <w:t xml:space="preserve">also </w:t>
      </w:r>
      <w:r w:rsidRPr="00292DFA">
        <w:t>assumed no overall market expansion</w:t>
      </w:r>
      <w:r>
        <w:t xml:space="preserve"> if fremanezumab were to be PBS-listed. </w:t>
      </w:r>
      <w:r w:rsidRPr="00277996">
        <w:rPr>
          <w:iCs/>
        </w:rPr>
        <w:t>The</w:t>
      </w:r>
      <w:r w:rsidR="00B86B04">
        <w:rPr>
          <w:iCs/>
        </w:rPr>
        <w:t xml:space="preserve"> evaluation considered that the</w:t>
      </w:r>
      <w:r w:rsidRPr="00277996">
        <w:rPr>
          <w:iCs/>
        </w:rPr>
        <w:t xml:space="preserve">se assumptions are reasonable only </w:t>
      </w:r>
      <w:r w:rsidR="0014145E" w:rsidRPr="00277996">
        <w:rPr>
          <w:iCs/>
        </w:rPr>
        <w:t xml:space="preserve">if </w:t>
      </w:r>
      <w:r w:rsidRPr="00277996">
        <w:rPr>
          <w:iCs/>
        </w:rPr>
        <w:t xml:space="preserve">galcanezumab </w:t>
      </w:r>
      <w:r w:rsidR="0014145E" w:rsidRPr="00277996">
        <w:rPr>
          <w:iCs/>
        </w:rPr>
        <w:t xml:space="preserve">is listed on the PBS for the HFEM population. </w:t>
      </w:r>
    </w:p>
    <w:p w14:paraId="659DD458" w14:textId="706FDC18" w:rsidR="00692829" w:rsidRPr="00824A55" w:rsidRDefault="001A1F49" w:rsidP="00824A55">
      <w:pPr>
        <w:pStyle w:val="3-BodyText"/>
        <w:numPr>
          <w:ilvl w:val="1"/>
          <w:numId w:val="5"/>
        </w:numPr>
        <w:ind w:left="720"/>
      </w:pPr>
      <w:r>
        <w:fldChar w:fldCharType="begin" w:fldLock="1"/>
      </w:r>
      <w:r>
        <w:instrText xml:space="preserve"> REF _Ref114037936 \h </w:instrText>
      </w:r>
      <w:r>
        <w:fldChar w:fldCharType="separate"/>
      </w:r>
      <w:r w:rsidR="00B97129">
        <w:t xml:space="preserve">Table </w:t>
      </w:r>
      <w:r w:rsidR="00B97129">
        <w:rPr>
          <w:noProof/>
        </w:rPr>
        <w:t>11</w:t>
      </w:r>
      <w:r>
        <w:fldChar w:fldCharType="end"/>
      </w:r>
      <w:r>
        <w:t xml:space="preserve"> </w:t>
      </w:r>
      <w:r w:rsidR="00807932">
        <w:t>shows t</w:t>
      </w:r>
      <w:r w:rsidR="006877E5" w:rsidRPr="003A0C0A">
        <w:t>he key inputs for the financial estimates</w:t>
      </w:r>
      <w:r>
        <w:t>.</w:t>
      </w:r>
      <w:r w:rsidR="00807932">
        <w:t xml:space="preserve"> </w:t>
      </w:r>
    </w:p>
    <w:p w14:paraId="0A89E2A0" w14:textId="46CBDAFA" w:rsidR="001A1F49" w:rsidRPr="007925DF" w:rsidRDefault="001A1F49" w:rsidP="001A1F49">
      <w:pPr>
        <w:pStyle w:val="TableHeading0"/>
        <w:widowControl w:val="0"/>
        <w:rPr>
          <w:rStyle w:val="CommentReference"/>
          <w:b/>
          <w:szCs w:val="24"/>
        </w:rPr>
      </w:pPr>
      <w:bookmarkStart w:id="67" w:name="_Ref114037936"/>
      <w:r>
        <w:t xml:space="preserve">Table </w:t>
      </w:r>
      <w:fldSimple w:instr=" SEQ Table \* ARABIC " w:fldLock="1">
        <w:r w:rsidR="00B97129">
          <w:rPr>
            <w:noProof/>
          </w:rPr>
          <w:t>11</w:t>
        </w:r>
      </w:fldSimple>
      <w:bookmarkEnd w:id="67"/>
      <w:r>
        <w:t>:</w:t>
      </w:r>
      <w:r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2977"/>
        <w:gridCol w:w="4202"/>
      </w:tblGrid>
      <w:tr w:rsidR="001A1F49" w:rsidRPr="005D7218" w14:paraId="6A88ED92" w14:textId="77777777" w:rsidTr="00824A55">
        <w:trPr>
          <w:tblHeader/>
        </w:trPr>
        <w:tc>
          <w:tcPr>
            <w:tcW w:w="1019" w:type="pct"/>
            <w:shd w:val="clear" w:color="auto" w:fill="auto"/>
          </w:tcPr>
          <w:p w14:paraId="66C7CC05" w14:textId="77777777" w:rsidR="001A1F49" w:rsidRPr="005D7218" w:rsidRDefault="001A1F49" w:rsidP="005930ED">
            <w:pPr>
              <w:pStyle w:val="In-tableHeading"/>
              <w:widowControl w:val="0"/>
              <w:rPr>
                <w:szCs w:val="20"/>
              </w:rPr>
            </w:pPr>
            <w:r w:rsidRPr="005D7218">
              <w:rPr>
                <w:szCs w:val="20"/>
              </w:rPr>
              <w:t>Parameter</w:t>
            </w:r>
          </w:p>
        </w:tc>
        <w:tc>
          <w:tcPr>
            <w:tcW w:w="1651" w:type="pct"/>
            <w:shd w:val="clear" w:color="auto" w:fill="auto"/>
          </w:tcPr>
          <w:p w14:paraId="19EAC8FD" w14:textId="77777777" w:rsidR="001A1F49" w:rsidRPr="005D7218" w:rsidRDefault="001A1F49" w:rsidP="005930ED">
            <w:pPr>
              <w:pStyle w:val="In-tableHeading"/>
              <w:widowControl w:val="0"/>
              <w:rPr>
                <w:szCs w:val="20"/>
              </w:rPr>
            </w:pPr>
            <w:r w:rsidRPr="005D7218">
              <w:rPr>
                <w:szCs w:val="20"/>
              </w:rPr>
              <w:t>Value applied and source</w:t>
            </w:r>
          </w:p>
        </w:tc>
        <w:tc>
          <w:tcPr>
            <w:tcW w:w="2330" w:type="pct"/>
            <w:shd w:val="clear" w:color="auto" w:fill="auto"/>
          </w:tcPr>
          <w:p w14:paraId="5F2D5E56" w14:textId="77777777" w:rsidR="001A1F49" w:rsidRPr="005D7218" w:rsidRDefault="001A1F49" w:rsidP="005930ED">
            <w:pPr>
              <w:pStyle w:val="In-tableHeading"/>
              <w:widowControl w:val="0"/>
              <w:rPr>
                <w:szCs w:val="20"/>
              </w:rPr>
            </w:pPr>
            <w:r w:rsidRPr="005D7218">
              <w:rPr>
                <w:szCs w:val="20"/>
              </w:rPr>
              <w:t>Comment</w:t>
            </w:r>
          </w:p>
        </w:tc>
      </w:tr>
      <w:tr w:rsidR="001A1F49" w:rsidRPr="005D7218" w14:paraId="4A0C3259" w14:textId="77777777" w:rsidTr="00824A55">
        <w:tc>
          <w:tcPr>
            <w:tcW w:w="1019" w:type="pct"/>
            <w:shd w:val="clear" w:color="auto" w:fill="auto"/>
            <w:vAlign w:val="center"/>
          </w:tcPr>
          <w:p w14:paraId="220EDC33" w14:textId="77777777" w:rsidR="001A1F49" w:rsidRPr="005D7218" w:rsidRDefault="001A1F49" w:rsidP="005930ED">
            <w:pPr>
              <w:pStyle w:val="TableText0"/>
              <w:widowControl w:val="0"/>
              <w:rPr>
                <w:szCs w:val="20"/>
                <w:lang w:val="en-US"/>
              </w:rPr>
            </w:pPr>
            <w:r w:rsidRPr="00F02F66">
              <w:t>Migraine prevalence (Australian population 18 to 90 years of age)</w:t>
            </w:r>
          </w:p>
        </w:tc>
        <w:tc>
          <w:tcPr>
            <w:tcW w:w="1651" w:type="pct"/>
            <w:shd w:val="clear" w:color="auto" w:fill="auto"/>
            <w:vAlign w:val="center"/>
          </w:tcPr>
          <w:p w14:paraId="2F22420E" w14:textId="77777777" w:rsidR="001A1F49" w:rsidRPr="005D7218" w:rsidRDefault="001A1F49" w:rsidP="005930ED">
            <w:pPr>
              <w:pStyle w:val="TableText0"/>
              <w:widowControl w:val="0"/>
              <w:rPr>
                <w:szCs w:val="20"/>
                <w:lang w:val="en-US"/>
              </w:rPr>
            </w:pPr>
            <w:r w:rsidRPr="00F02F66">
              <w:t xml:space="preserve">14.5%. </w:t>
            </w:r>
          </w:p>
        </w:tc>
        <w:tc>
          <w:tcPr>
            <w:tcW w:w="2330" w:type="pct"/>
            <w:shd w:val="clear" w:color="auto" w:fill="auto"/>
            <w:vAlign w:val="center"/>
          </w:tcPr>
          <w:p w14:paraId="3288ED81" w14:textId="0E5B87D9" w:rsidR="001A1F49" w:rsidRPr="005D7218" w:rsidRDefault="001A1F49" w:rsidP="005930ED">
            <w:pPr>
              <w:pStyle w:val="TableText0"/>
              <w:widowControl w:val="0"/>
              <w:rPr>
                <w:i/>
                <w:iCs/>
                <w:szCs w:val="20"/>
              </w:rPr>
            </w:pPr>
            <w:r w:rsidRPr="00277996">
              <w:rPr>
                <w:iCs/>
              </w:rPr>
              <w:t>The PBAC has previously accepted this value as appropriate (para 7.6, Galcanezumab PSD, March 2022 PBAC meeting)</w:t>
            </w:r>
            <w:r w:rsidRPr="00F02F66">
              <w:t>.</w:t>
            </w:r>
          </w:p>
        </w:tc>
      </w:tr>
      <w:tr w:rsidR="001A1F49" w:rsidRPr="005D7218" w14:paraId="549F1816" w14:textId="77777777" w:rsidTr="00824A55">
        <w:tc>
          <w:tcPr>
            <w:tcW w:w="1019" w:type="pct"/>
            <w:shd w:val="clear" w:color="auto" w:fill="auto"/>
            <w:vAlign w:val="center"/>
          </w:tcPr>
          <w:p w14:paraId="50F45AEB" w14:textId="77777777" w:rsidR="001A1F49" w:rsidRPr="005D7218" w:rsidRDefault="001A1F49" w:rsidP="005930ED">
            <w:pPr>
              <w:pStyle w:val="TableText0"/>
              <w:widowControl w:val="0"/>
              <w:rPr>
                <w:szCs w:val="20"/>
                <w:lang w:val="en-US"/>
              </w:rPr>
            </w:pPr>
            <w:r w:rsidRPr="005D7218">
              <w:rPr>
                <w:szCs w:val="20"/>
              </w:rPr>
              <w:t>Proportion of patient</w:t>
            </w:r>
            <w:r>
              <w:rPr>
                <w:szCs w:val="20"/>
              </w:rPr>
              <w:t>s</w:t>
            </w:r>
            <w:r w:rsidRPr="005D7218">
              <w:rPr>
                <w:szCs w:val="20"/>
              </w:rPr>
              <w:t xml:space="preserve"> diagnosed</w:t>
            </w:r>
            <w:r>
              <w:rPr>
                <w:szCs w:val="20"/>
              </w:rPr>
              <w:t xml:space="preserve"> by physician (Episodic migraine)</w:t>
            </w:r>
          </w:p>
        </w:tc>
        <w:tc>
          <w:tcPr>
            <w:tcW w:w="1651" w:type="pct"/>
            <w:shd w:val="clear" w:color="auto" w:fill="auto"/>
            <w:vAlign w:val="center"/>
          </w:tcPr>
          <w:p w14:paraId="3DD5F854" w14:textId="68773E83" w:rsidR="001A1F49" w:rsidRPr="00983988" w:rsidRDefault="001A1F49" w:rsidP="005930ED">
            <w:pPr>
              <w:pStyle w:val="TableText0"/>
              <w:widowControl w:val="0"/>
              <w:rPr>
                <w:szCs w:val="20"/>
                <w:lang w:val="en-US"/>
              </w:rPr>
            </w:pPr>
            <w:r w:rsidRPr="00983988">
              <w:rPr>
                <w:szCs w:val="20"/>
              </w:rPr>
              <w:t>45.9%. Based on the galcanezumab for HFEM</w:t>
            </w:r>
            <w:r>
              <w:rPr>
                <w:szCs w:val="20"/>
              </w:rPr>
              <w:t xml:space="preserve"> submission</w:t>
            </w:r>
            <w:r w:rsidRPr="00983988">
              <w:rPr>
                <w:szCs w:val="20"/>
              </w:rPr>
              <w:t xml:space="preserve"> (Table 15, Galcanezumab PSD, Nov</w:t>
            </w:r>
            <w:r>
              <w:rPr>
                <w:szCs w:val="20"/>
              </w:rPr>
              <w:t>ember</w:t>
            </w:r>
            <w:r w:rsidRPr="00983988">
              <w:rPr>
                <w:szCs w:val="20"/>
              </w:rPr>
              <w:t xml:space="preserve"> 2020 PBAC </w:t>
            </w:r>
            <w:r>
              <w:rPr>
                <w:szCs w:val="20"/>
              </w:rPr>
              <w:t>m</w:t>
            </w:r>
            <w:r w:rsidRPr="00983988">
              <w:rPr>
                <w:szCs w:val="20"/>
              </w:rPr>
              <w:t>eeting).</w:t>
            </w:r>
          </w:p>
        </w:tc>
        <w:tc>
          <w:tcPr>
            <w:tcW w:w="2330" w:type="pct"/>
            <w:shd w:val="clear" w:color="auto" w:fill="auto"/>
            <w:vAlign w:val="center"/>
          </w:tcPr>
          <w:p w14:paraId="45E20A4F" w14:textId="628196E4" w:rsidR="001A1F49" w:rsidRPr="00277996" w:rsidRDefault="001A1F49" w:rsidP="005930ED">
            <w:pPr>
              <w:pStyle w:val="TableText0"/>
              <w:widowControl w:val="0"/>
              <w:rPr>
                <w:iCs/>
                <w:szCs w:val="20"/>
              </w:rPr>
            </w:pPr>
            <w:r w:rsidRPr="00277996">
              <w:rPr>
                <w:iCs/>
                <w:szCs w:val="20"/>
              </w:rPr>
              <w:t>Assuming less than half of episodic migraine patients were diagnosed by physicians reduces the eligible patient pool significantly. The percentage is based on a sample survey of a European study (Table 15, Galcanezumab PSD, November 2020 PBAC Meeting).</w:t>
            </w:r>
          </w:p>
          <w:p w14:paraId="0BB25CCF" w14:textId="43E7AD5C" w:rsidR="007B653A" w:rsidRPr="007B653A" w:rsidRDefault="001A1F49" w:rsidP="005930ED">
            <w:pPr>
              <w:pStyle w:val="TableText0"/>
              <w:widowControl w:val="0"/>
              <w:rPr>
                <w:iCs/>
                <w:szCs w:val="20"/>
              </w:rPr>
            </w:pPr>
            <w:r w:rsidRPr="00277996">
              <w:rPr>
                <w:rStyle w:val="Emphasis"/>
                <w:i w:val="0"/>
                <w:color w:val="0E101A"/>
              </w:rPr>
              <w:t>Physicians in Australia may diagnose more episodic migraine patients</w:t>
            </w:r>
            <w:r w:rsidRPr="00277996">
              <w:rPr>
                <w:iCs/>
                <w:szCs w:val="20"/>
              </w:rPr>
              <w:t xml:space="preserve">. </w:t>
            </w:r>
          </w:p>
        </w:tc>
      </w:tr>
      <w:tr w:rsidR="001A1F49" w:rsidRPr="00277996" w14:paraId="089864D2" w14:textId="77777777" w:rsidTr="00824A55">
        <w:tc>
          <w:tcPr>
            <w:tcW w:w="1019" w:type="pct"/>
            <w:shd w:val="clear" w:color="auto" w:fill="auto"/>
            <w:vAlign w:val="center"/>
          </w:tcPr>
          <w:p w14:paraId="766BE83E" w14:textId="77777777" w:rsidR="001A1F49" w:rsidRPr="00277996" w:rsidRDefault="001A1F49" w:rsidP="005930ED">
            <w:pPr>
              <w:pStyle w:val="TableText0"/>
              <w:keepNext w:val="0"/>
              <w:widowControl w:val="0"/>
              <w:rPr>
                <w:szCs w:val="20"/>
              </w:rPr>
            </w:pPr>
            <w:r w:rsidRPr="00277996">
              <w:rPr>
                <w:szCs w:val="20"/>
              </w:rPr>
              <w:t xml:space="preserve">Proportion of migraine that is episodic </w:t>
            </w:r>
          </w:p>
        </w:tc>
        <w:tc>
          <w:tcPr>
            <w:tcW w:w="1651" w:type="pct"/>
            <w:shd w:val="clear" w:color="auto" w:fill="auto"/>
            <w:vAlign w:val="center"/>
          </w:tcPr>
          <w:p w14:paraId="24B99414" w14:textId="77777777" w:rsidR="001A1F49" w:rsidRPr="00277996" w:rsidRDefault="001A1F49" w:rsidP="005930ED">
            <w:pPr>
              <w:pStyle w:val="TableText0"/>
              <w:keepNext w:val="0"/>
              <w:widowControl w:val="0"/>
              <w:rPr>
                <w:szCs w:val="20"/>
              </w:rPr>
            </w:pPr>
            <w:r w:rsidRPr="00277996">
              <w:rPr>
                <w:szCs w:val="20"/>
              </w:rPr>
              <w:t xml:space="preserve">90%. </w:t>
            </w:r>
          </w:p>
        </w:tc>
        <w:tc>
          <w:tcPr>
            <w:tcW w:w="2330" w:type="pct"/>
            <w:shd w:val="clear" w:color="auto" w:fill="auto"/>
            <w:vAlign w:val="center"/>
          </w:tcPr>
          <w:p w14:paraId="7E7278FC" w14:textId="77777777" w:rsidR="001A1F49" w:rsidRPr="00277996" w:rsidRDefault="001A1F49" w:rsidP="005930ED">
            <w:pPr>
              <w:pStyle w:val="TableText0"/>
              <w:keepNext w:val="0"/>
              <w:widowControl w:val="0"/>
              <w:rPr>
                <w:iCs/>
                <w:szCs w:val="20"/>
              </w:rPr>
            </w:pPr>
            <w:r w:rsidRPr="00277996">
              <w:rPr>
                <w:iCs/>
                <w:szCs w:val="20"/>
              </w:rPr>
              <w:t>The PBAC has previously accepted this value as appropriate</w:t>
            </w:r>
            <w:r w:rsidRPr="00277996">
              <w:rPr>
                <w:iCs/>
              </w:rPr>
              <w:t xml:space="preserve"> (para 7.6, Galcanezumab PSD, March 2022 PBAC meeting).</w:t>
            </w:r>
          </w:p>
        </w:tc>
      </w:tr>
      <w:tr w:rsidR="001A1F49" w:rsidRPr="00277996" w14:paraId="6BA74218" w14:textId="77777777" w:rsidTr="00824A55">
        <w:tc>
          <w:tcPr>
            <w:tcW w:w="1019" w:type="pct"/>
            <w:shd w:val="clear" w:color="auto" w:fill="auto"/>
            <w:vAlign w:val="center"/>
          </w:tcPr>
          <w:p w14:paraId="596076C6" w14:textId="77777777" w:rsidR="001A1F49" w:rsidRPr="00277996" w:rsidRDefault="001A1F49" w:rsidP="005930ED">
            <w:pPr>
              <w:pStyle w:val="TableText0"/>
              <w:keepNext w:val="0"/>
              <w:widowControl w:val="0"/>
              <w:rPr>
                <w:szCs w:val="20"/>
              </w:rPr>
            </w:pPr>
            <w:r w:rsidRPr="00277996">
              <w:rPr>
                <w:szCs w:val="20"/>
              </w:rPr>
              <w:t xml:space="preserve">Proportion of episodic migraine that is high frequency </w:t>
            </w:r>
          </w:p>
        </w:tc>
        <w:tc>
          <w:tcPr>
            <w:tcW w:w="1651" w:type="pct"/>
            <w:shd w:val="clear" w:color="auto" w:fill="auto"/>
            <w:vAlign w:val="center"/>
          </w:tcPr>
          <w:p w14:paraId="64B96364" w14:textId="77777777" w:rsidR="001A1F49" w:rsidRPr="00277996" w:rsidRDefault="001A1F49" w:rsidP="005930ED">
            <w:pPr>
              <w:pStyle w:val="TableText0"/>
              <w:keepNext w:val="0"/>
              <w:widowControl w:val="0"/>
              <w:rPr>
                <w:szCs w:val="20"/>
              </w:rPr>
            </w:pPr>
            <w:r w:rsidRPr="00277996">
              <w:rPr>
                <w:szCs w:val="20"/>
              </w:rPr>
              <w:t xml:space="preserve">19.5%. Based on the average of 13% reported by general practitioners and 26% reported by neurologists cited in </w:t>
            </w:r>
            <w:r w:rsidRPr="00277996">
              <w:rPr>
                <w:szCs w:val="20"/>
              </w:rPr>
              <w:lastRenderedPageBreak/>
              <w:t>the galcanezumab for HFEM submission (Table 16, Galcanezumab PSD, March 2022 PBAC meeting).</w:t>
            </w:r>
          </w:p>
        </w:tc>
        <w:tc>
          <w:tcPr>
            <w:tcW w:w="2330" w:type="pct"/>
            <w:shd w:val="clear" w:color="auto" w:fill="auto"/>
            <w:vAlign w:val="center"/>
          </w:tcPr>
          <w:p w14:paraId="3726EEE3" w14:textId="77777777" w:rsidR="001A1F49" w:rsidRPr="00277996" w:rsidRDefault="001A1F49" w:rsidP="005930ED">
            <w:pPr>
              <w:pStyle w:val="TableText0"/>
              <w:keepNext w:val="0"/>
              <w:widowControl w:val="0"/>
              <w:rPr>
                <w:iCs/>
                <w:szCs w:val="20"/>
              </w:rPr>
            </w:pPr>
            <w:r w:rsidRPr="00277996">
              <w:rPr>
                <w:iCs/>
                <w:szCs w:val="20"/>
              </w:rPr>
              <w:lastRenderedPageBreak/>
              <w:t xml:space="preserve">Consistent with galcanezumab financial estimates. </w:t>
            </w:r>
          </w:p>
        </w:tc>
      </w:tr>
      <w:tr w:rsidR="001A1F49" w:rsidRPr="005D7218" w14:paraId="1227643D" w14:textId="77777777" w:rsidTr="00824A55">
        <w:tc>
          <w:tcPr>
            <w:tcW w:w="1019" w:type="pct"/>
            <w:shd w:val="clear" w:color="auto" w:fill="auto"/>
            <w:vAlign w:val="center"/>
          </w:tcPr>
          <w:p w14:paraId="0A9F8570" w14:textId="77777777" w:rsidR="001A1F49" w:rsidRPr="005D7218" w:rsidRDefault="001A1F49" w:rsidP="005930ED">
            <w:pPr>
              <w:pStyle w:val="TableText0"/>
              <w:keepNext w:val="0"/>
              <w:widowControl w:val="0"/>
              <w:rPr>
                <w:szCs w:val="20"/>
              </w:rPr>
            </w:pPr>
            <w:r w:rsidRPr="00204157">
              <w:t xml:space="preserve">On ≥3 preventatives and intolerant, contraindicated, </w:t>
            </w:r>
            <w:r w:rsidRPr="00FE6592">
              <w:t>or have failed</w:t>
            </w:r>
            <w:r>
              <w:t>,</w:t>
            </w:r>
            <w:r w:rsidRPr="00FE6592">
              <w:t xml:space="preserve"> ≥3 </w:t>
            </w:r>
            <w:r>
              <w:t xml:space="preserve">prior </w:t>
            </w:r>
            <w:r w:rsidRPr="00FE6592">
              <w:t>preventative treatments</w:t>
            </w:r>
          </w:p>
        </w:tc>
        <w:tc>
          <w:tcPr>
            <w:tcW w:w="1651" w:type="pct"/>
            <w:shd w:val="clear" w:color="auto" w:fill="auto"/>
            <w:vAlign w:val="center"/>
          </w:tcPr>
          <w:p w14:paraId="24CED0C3" w14:textId="77777777" w:rsidR="001A1F49" w:rsidRPr="005D7218" w:rsidRDefault="001A1F49" w:rsidP="005930ED">
            <w:pPr>
              <w:pStyle w:val="TableText0"/>
              <w:keepNext w:val="0"/>
              <w:widowControl w:val="0"/>
              <w:rPr>
                <w:szCs w:val="20"/>
              </w:rPr>
            </w:pPr>
            <w:r>
              <w:rPr>
                <w:szCs w:val="20"/>
              </w:rPr>
              <w:t xml:space="preserve">12.0% based on galcanezumab for chronic migraine submission (Table 15, Galcanezumab PSD, November 2020 PBAC meeting). </w:t>
            </w:r>
          </w:p>
        </w:tc>
        <w:tc>
          <w:tcPr>
            <w:tcW w:w="2330" w:type="pct"/>
            <w:shd w:val="clear" w:color="auto" w:fill="auto"/>
            <w:vAlign w:val="center"/>
          </w:tcPr>
          <w:p w14:paraId="6D6D38C2" w14:textId="19803FE7" w:rsidR="001A1F49" w:rsidRPr="00B7713A" w:rsidRDefault="001A1F49" w:rsidP="005930ED">
            <w:pPr>
              <w:pStyle w:val="TableText0"/>
              <w:keepNext w:val="0"/>
              <w:widowControl w:val="0"/>
              <w:rPr>
                <w:i/>
                <w:iCs/>
                <w:szCs w:val="20"/>
              </w:rPr>
            </w:pPr>
            <w:r w:rsidRPr="00277996">
              <w:rPr>
                <w:iCs/>
                <w:szCs w:val="20"/>
              </w:rPr>
              <w:t>The galcanezumab submission estimated this value based on</w:t>
            </w:r>
            <w:r w:rsidRPr="007A3F64">
              <w:rPr>
                <w:rFonts w:ascii="Calibri" w:eastAsia="Times New Roman" w:hAnsi="Calibri" w:cs="Arial"/>
                <w:bCs w:val="0"/>
                <w:sz w:val="24"/>
              </w:rPr>
              <w:t xml:space="preserve"> </w:t>
            </w:r>
            <w:r w:rsidRPr="00277996">
              <w:rPr>
                <w:iCs/>
                <w:szCs w:val="20"/>
              </w:rPr>
              <w:t xml:space="preserve">Ford (2017), </w:t>
            </w:r>
            <w:r w:rsidRPr="00277996">
              <w:rPr>
                <w:iCs/>
              </w:rPr>
              <w:t xml:space="preserve">a small US study. </w:t>
            </w:r>
          </w:p>
        </w:tc>
      </w:tr>
      <w:tr w:rsidR="001A1F49" w:rsidRPr="005D7218" w14:paraId="79E84872" w14:textId="77777777" w:rsidTr="00824A55">
        <w:tc>
          <w:tcPr>
            <w:tcW w:w="1019" w:type="pct"/>
            <w:shd w:val="clear" w:color="auto" w:fill="auto"/>
            <w:vAlign w:val="center"/>
          </w:tcPr>
          <w:p w14:paraId="0C3D3215" w14:textId="77777777" w:rsidR="001A1F49" w:rsidRPr="00130995" w:rsidRDefault="001A1F49" w:rsidP="005930ED">
            <w:pPr>
              <w:pStyle w:val="FooterTableFigure"/>
              <w:widowControl w:val="0"/>
              <w:rPr>
                <w:bCs/>
                <w:sz w:val="20"/>
                <w:szCs w:val="20"/>
              </w:rPr>
            </w:pPr>
            <w:r w:rsidRPr="00130995">
              <w:rPr>
                <w:bCs/>
                <w:sz w:val="20"/>
                <w:szCs w:val="20"/>
              </w:rPr>
              <w:t>Uptake rate</w:t>
            </w:r>
          </w:p>
          <w:p w14:paraId="22B712C4" w14:textId="77777777" w:rsidR="001A1F49" w:rsidRPr="00130995" w:rsidRDefault="001A1F49" w:rsidP="005930ED">
            <w:pPr>
              <w:pStyle w:val="FooterTableFigure"/>
              <w:widowControl w:val="0"/>
              <w:rPr>
                <w:bCs/>
                <w:sz w:val="20"/>
                <w:szCs w:val="20"/>
              </w:rPr>
            </w:pPr>
            <w:r w:rsidRPr="00130995">
              <w:rPr>
                <w:sz w:val="20"/>
                <w:szCs w:val="20"/>
              </w:rPr>
              <w:t>(Initiating treatment)</w:t>
            </w:r>
          </w:p>
        </w:tc>
        <w:tc>
          <w:tcPr>
            <w:tcW w:w="1651" w:type="pct"/>
            <w:shd w:val="clear" w:color="auto" w:fill="auto"/>
            <w:vAlign w:val="center"/>
          </w:tcPr>
          <w:p w14:paraId="6457B973" w14:textId="65B6F835" w:rsidR="001A1F49" w:rsidRPr="00130995" w:rsidRDefault="001A1F49" w:rsidP="005930ED">
            <w:pPr>
              <w:pStyle w:val="FooterTableFigure"/>
              <w:widowControl w:val="0"/>
              <w:rPr>
                <w:bCs/>
                <w:sz w:val="20"/>
                <w:szCs w:val="20"/>
              </w:rPr>
            </w:pPr>
            <w:r w:rsidRPr="00130995">
              <w:rPr>
                <w:bCs/>
                <w:sz w:val="20"/>
                <w:szCs w:val="20"/>
              </w:rPr>
              <w:t xml:space="preserve">Yr 1: </w:t>
            </w:r>
            <w:proofErr w:type="gramStart"/>
            <w:r w:rsidR="007A29C8" w:rsidRPr="00683FF6">
              <w:rPr>
                <w:bCs/>
                <w:color w:val="000000"/>
                <w:spacing w:val="26"/>
                <w:sz w:val="20"/>
                <w:szCs w:val="20"/>
                <w:shd w:val="solid" w:color="000000" w:fill="000000"/>
                <w:fitText w:val="257" w:id="-1303650557"/>
                <w14:textFill>
                  <w14:solidFill>
                    <w14:srgbClr w14:val="000000">
                      <w14:alpha w14:val="100000"/>
                    </w14:srgbClr>
                  </w14:solidFill>
                </w14:textFill>
              </w:rPr>
              <w:t xml:space="preserve">|  </w:t>
            </w:r>
            <w:r w:rsidR="007A29C8" w:rsidRPr="00683FF6">
              <w:rPr>
                <w:bCs/>
                <w:color w:val="000000"/>
                <w:spacing w:val="3"/>
                <w:sz w:val="20"/>
                <w:szCs w:val="20"/>
                <w:shd w:val="solid" w:color="000000" w:fill="000000"/>
                <w:fitText w:val="257" w:id="-1303650557"/>
                <w14:textFill>
                  <w14:solidFill>
                    <w14:srgbClr w14:val="000000">
                      <w14:alpha w14:val="100000"/>
                    </w14:srgbClr>
                  </w14:solidFill>
                </w14:textFill>
              </w:rPr>
              <w:t>|</w:t>
            </w:r>
            <w:proofErr w:type="gramEnd"/>
            <w:r w:rsidRPr="00130995">
              <w:rPr>
                <w:bCs/>
                <w:sz w:val="20"/>
                <w:szCs w:val="20"/>
              </w:rPr>
              <w:t xml:space="preserve">%; Yr 2: </w:t>
            </w:r>
            <w:r w:rsidR="007A29C8" w:rsidRPr="00683FF6">
              <w:rPr>
                <w:bCs/>
                <w:color w:val="000000"/>
                <w:spacing w:val="26"/>
                <w:sz w:val="20"/>
                <w:szCs w:val="20"/>
                <w:shd w:val="solid" w:color="000000" w:fill="000000"/>
                <w:fitText w:val="257" w:id="-1303650556"/>
                <w14:textFill>
                  <w14:solidFill>
                    <w14:srgbClr w14:val="000000">
                      <w14:alpha w14:val="100000"/>
                    </w14:srgbClr>
                  </w14:solidFill>
                </w14:textFill>
              </w:rPr>
              <w:t xml:space="preserve">|  </w:t>
            </w:r>
            <w:r w:rsidR="007A29C8" w:rsidRPr="00683FF6">
              <w:rPr>
                <w:bCs/>
                <w:color w:val="000000"/>
                <w:spacing w:val="3"/>
                <w:sz w:val="20"/>
                <w:szCs w:val="20"/>
                <w:shd w:val="solid" w:color="000000" w:fill="000000"/>
                <w:fitText w:val="257" w:id="-1303650556"/>
                <w14:textFill>
                  <w14:solidFill>
                    <w14:srgbClr w14:val="000000">
                      <w14:alpha w14:val="100000"/>
                    </w14:srgbClr>
                  </w14:solidFill>
                </w14:textFill>
              </w:rPr>
              <w:t>|</w:t>
            </w:r>
            <w:r w:rsidRPr="00130995">
              <w:rPr>
                <w:bCs/>
                <w:sz w:val="20"/>
                <w:szCs w:val="20"/>
              </w:rPr>
              <w:t xml:space="preserve">%; Yr 3: </w:t>
            </w:r>
            <w:r w:rsidR="007A29C8" w:rsidRPr="00683FF6">
              <w:rPr>
                <w:bCs/>
                <w:color w:val="000000"/>
                <w:spacing w:val="24"/>
                <w:sz w:val="20"/>
                <w:szCs w:val="20"/>
                <w:shd w:val="solid" w:color="000000" w:fill="000000"/>
                <w:fitText w:val="249" w:id="-1303650555"/>
                <w14:textFill>
                  <w14:solidFill>
                    <w14:srgbClr w14:val="000000">
                      <w14:alpha w14:val="100000"/>
                    </w14:srgbClr>
                  </w14:solidFill>
                </w14:textFill>
              </w:rPr>
              <w:t xml:space="preserve">|  </w:t>
            </w:r>
            <w:r w:rsidR="007A29C8" w:rsidRPr="00683FF6">
              <w:rPr>
                <w:bCs/>
                <w:color w:val="000000"/>
                <w:spacing w:val="1"/>
                <w:sz w:val="20"/>
                <w:szCs w:val="20"/>
                <w:shd w:val="solid" w:color="000000" w:fill="000000"/>
                <w:fitText w:val="249" w:id="-1303650555"/>
                <w14:textFill>
                  <w14:solidFill>
                    <w14:srgbClr w14:val="000000">
                      <w14:alpha w14:val="100000"/>
                    </w14:srgbClr>
                  </w14:solidFill>
                </w14:textFill>
              </w:rPr>
              <w:t>|</w:t>
            </w:r>
            <w:r w:rsidRPr="00130995">
              <w:rPr>
                <w:bCs/>
                <w:sz w:val="20"/>
                <w:szCs w:val="20"/>
              </w:rPr>
              <w:t xml:space="preserve">%; Yr 4: </w:t>
            </w:r>
            <w:r w:rsidR="007A29C8" w:rsidRPr="00683FF6">
              <w:rPr>
                <w:bCs/>
                <w:color w:val="000000"/>
                <w:spacing w:val="24"/>
                <w:sz w:val="20"/>
                <w:szCs w:val="20"/>
                <w:shd w:val="solid" w:color="000000" w:fill="000000"/>
                <w:fitText w:val="250" w:id="-1303650554"/>
                <w14:textFill>
                  <w14:solidFill>
                    <w14:srgbClr w14:val="000000">
                      <w14:alpha w14:val="100000"/>
                    </w14:srgbClr>
                  </w14:solidFill>
                </w14:textFill>
              </w:rPr>
              <w:t xml:space="preserve">|  </w:t>
            </w:r>
            <w:r w:rsidR="007A29C8" w:rsidRPr="00683FF6">
              <w:rPr>
                <w:bCs/>
                <w:color w:val="000000"/>
                <w:spacing w:val="2"/>
                <w:sz w:val="20"/>
                <w:szCs w:val="20"/>
                <w:shd w:val="solid" w:color="000000" w:fill="000000"/>
                <w:fitText w:val="250" w:id="-1303650554"/>
                <w14:textFill>
                  <w14:solidFill>
                    <w14:srgbClr w14:val="000000">
                      <w14:alpha w14:val="100000"/>
                    </w14:srgbClr>
                  </w14:solidFill>
                </w14:textFill>
              </w:rPr>
              <w:t>|</w:t>
            </w:r>
            <w:r w:rsidRPr="00130995">
              <w:rPr>
                <w:bCs/>
                <w:sz w:val="20"/>
                <w:szCs w:val="20"/>
              </w:rPr>
              <w:t xml:space="preserve">% Yr 5: </w:t>
            </w:r>
            <w:r w:rsidR="007A29C8" w:rsidRPr="00683FF6">
              <w:rPr>
                <w:bCs/>
                <w:color w:val="000000"/>
                <w:spacing w:val="24"/>
                <w:sz w:val="20"/>
                <w:szCs w:val="20"/>
                <w:shd w:val="solid" w:color="000000" w:fill="000000"/>
                <w:fitText w:val="250" w:id="-1303650553"/>
                <w14:textFill>
                  <w14:solidFill>
                    <w14:srgbClr w14:val="000000">
                      <w14:alpha w14:val="100000"/>
                    </w14:srgbClr>
                  </w14:solidFill>
                </w14:textFill>
              </w:rPr>
              <w:t xml:space="preserve">|  </w:t>
            </w:r>
            <w:r w:rsidR="007A29C8" w:rsidRPr="00683FF6">
              <w:rPr>
                <w:bCs/>
                <w:color w:val="000000"/>
                <w:spacing w:val="2"/>
                <w:sz w:val="20"/>
                <w:szCs w:val="20"/>
                <w:shd w:val="solid" w:color="000000" w:fill="000000"/>
                <w:fitText w:val="250" w:id="-1303650553"/>
                <w14:textFill>
                  <w14:solidFill>
                    <w14:srgbClr w14:val="000000">
                      <w14:alpha w14:val="100000"/>
                    </w14:srgbClr>
                  </w14:solidFill>
                </w14:textFill>
              </w:rPr>
              <w:t>|</w:t>
            </w:r>
            <w:r w:rsidRPr="00130995">
              <w:rPr>
                <w:bCs/>
                <w:sz w:val="20"/>
                <w:szCs w:val="20"/>
              </w:rPr>
              <w:t xml:space="preserve">%; Yr 6: </w:t>
            </w:r>
            <w:r w:rsidR="007A29C8" w:rsidRPr="00683FF6">
              <w:rPr>
                <w:bCs/>
                <w:color w:val="000000"/>
                <w:spacing w:val="26"/>
                <w:sz w:val="20"/>
                <w:szCs w:val="20"/>
                <w:shd w:val="solid" w:color="000000" w:fill="000000"/>
                <w:fitText w:val="257" w:id="-1303650552"/>
                <w14:textFill>
                  <w14:solidFill>
                    <w14:srgbClr w14:val="000000">
                      <w14:alpha w14:val="100000"/>
                    </w14:srgbClr>
                  </w14:solidFill>
                </w14:textFill>
              </w:rPr>
              <w:t xml:space="preserve">|  </w:t>
            </w:r>
            <w:r w:rsidR="007A29C8" w:rsidRPr="00683FF6">
              <w:rPr>
                <w:bCs/>
                <w:color w:val="000000"/>
                <w:spacing w:val="3"/>
                <w:sz w:val="20"/>
                <w:szCs w:val="20"/>
                <w:shd w:val="solid" w:color="000000" w:fill="000000"/>
                <w:fitText w:val="257" w:id="-1303650552"/>
                <w14:textFill>
                  <w14:solidFill>
                    <w14:srgbClr w14:val="000000">
                      <w14:alpha w14:val="100000"/>
                    </w14:srgbClr>
                  </w14:solidFill>
                </w14:textFill>
              </w:rPr>
              <w:t>|</w:t>
            </w:r>
            <w:r w:rsidRPr="00130995">
              <w:rPr>
                <w:bCs/>
                <w:sz w:val="20"/>
                <w:szCs w:val="20"/>
              </w:rPr>
              <w:t xml:space="preserve">%. </w:t>
            </w:r>
          </w:p>
          <w:p w14:paraId="14725F3A" w14:textId="77777777" w:rsidR="001A1F49" w:rsidRPr="00130995" w:rsidRDefault="001A1F49" w:rsidP="005930ED">
            <w:pPr>
              <w:pStyle w:val="FooterTableFigure"/>
              <w:widowControl w:val="0"/>
              <w:rPr>
                <w:bCs/>
                <w:sz w:val="20"/>
                <w:szCs w:val="20"/>
              </w:rPr>
            </w:pPr>
            <w:r w:rsidRPr="00130995">
              <w:rPr>
                <w:bCs/>
                <w:sz w:val="20"/>
                <w:szCs w:val="20"/>
              </w:rPr>
              <w:t>Based on the submission’s expectations</w:t>
            </w:r>
          </w:p>
        </w:tc>
        <w:tc>
          <w:tcPr>
            <w:tcW w:w="2330" w:type="pct"/>
            <w:shd w:val="clear" w:color="auto" w:fill="auto"/>
            <w:vAlign w:val="center"/>
          </w:tcPr>
          <w:p w14:paraId="7C2D88DC" w14:textId="6E4F32FF" w:rsidR="001A1F49" w:rsidRPr="005D7218" w:rsidRDefault="001A1F49" w:rsidP="005930ED">
            <w:pPr>
              <w:pStyle w:val="TableText0"/>
              <w:keepNext w:val="0"/>
              <w:widowControl w:val="0"/>
              <w:rPr>
                <w:i/>
                <w:szCs w:val="20"/>
                <w:lang w:val="en-US"/>
              </w:rPr>
            </w:pPr>
          </w:p>
        </w:tc>
      </w:tr>
      <w:tr w:rsidR="001A1F49" w:rsidRPr="005D7218" w14:paraId="29561474" w14:textId="77777777" w:rsidTr="00824A55">
        <w:trPr>
          <w:cantSplit/>
        </w:trPr>
        <w:tc>
          <w:tcPr>
            <w:tcW w:w="1019" w:type="pct"/>
            <w:shd w:val="clear" w:color="auto" w:fill="auto"/>
            <w:vAlign w:val="center"/>
          </w:tcPr>
          <w:p w14:paraId="5F303D2A" w14:textId="77777777" w:rsidR="001A1F49" w:rsidRPr="005D7218" w:rsidRDefault="001A1F49" w:rsidP="005930ED">
            <w:pPr>
              <w:pStyle w:val="TableText0"/>
              <w:keepNext w:val="0"/>
              <w:widowControl w:val="0"/>
              <w:rPr>
                <w:szCs w:val="20"/>
                <w:lang w:val="en-US"/>
              </w:rPr>
            </w:pPr>
            <w:r>
              <w:rPr>
                <w:szCs w:val="20"/>
              </w:rPr>
              <w:t xml:space="preserve"> Response rate for c</w:t>
            </w:r>
            <w:r w:rsidRPr="005D7218">
              <w:rPr>
                <w:szCs w:val="20"/>
              </w:rPr>
              <w:t>ontinuing patients</w:t>
            </w:r>
          </w:p>
        </w:tc>
        <w:tc>
          <w:tcPr>
            <w:tcW w:w="1651" w:type="pct"/>
            <w:shd w:val="clear" w:color="auto" w:fill="auto"/>
            <w:vAlign w:val="center"/>
          </w:tcPr>
          <w:p w14:paraId="58A768EC" w14:textId="2F553213" w:rsidR="001A1F49" w:rsidRDefault="001A1F49" w:rsidP="005930ED">
            <w:pPr>
              <w:pStyle w:val="TableText0"/>
              <w:keepNext w:val="0"/>
              <w:widowControl w:val="0"/>
              <w:rPr>
                <w:szCs w:val="20"/>
              </w:rPr>
            </w:pPr>
          </w:p>
          <w:p w14:paraId="2970F875" w14:textId="77777777" w:rsidR="001A1F49" w:rsidRDefault="001A1F49" w:rsidP="005930ED">
            <w:pPr>
              <w:pStyle w:val="TableText0"/>
              <w:keepNext w:val="0"/>
              <w:widowControl w:val="0"/>
              <w:rPr>
                <w:szCs w:val="20"/>
              </w:rPr>
            </w:pPr>
            <w:r w:rsidRPr="00376F47">
              <w:rPr>
                <w:szCs w:val="20"/>
              </w:rPr>
              <w:t>47% of patients are expected to achieve a 50% reduction in migraine frequency</w:t>
            </w:r>
            <w:r>
              <w:rPr>
                <w:szCs w:val="20"/>
              </w:rPr>
              <w:t xml:space="preserve"> and therefore, continue treatment. </w:t>
            </w:r>
          </w:p>
          <w:p w14:paraId="6DF8685C" w14:textId="7160F634" w:rsidR="001A1F49" w:rsidRDefault="001A1F49" w:rsidP="005930ED">
            <w:pPr>
              <w:pStyle w:val="TableText0"/>
              <w:keepNext w:val="0"/>
              <w:widowControl w:val="0"/>
              <w:rPr>
                <w:szCs w:val="20"/>
              </w:rPr>
            </w:pPr>
          </w:p>
          <w:p w14:paraId="7720B9DF" w14:textId="77777777" w:rsidR="00675B8C" w:rsidRDefault="00675B8C" w:rsidP="005930ED">
            <w:pPr>
              <w:pStyle w:val="TableText0"/>
              <w:keepNext w:val="0"/>
              <w:widowControl w:val="0"/>
              <w:rPr>
                <w:szCs w:val="20"/>
              </w:rPr>
            </w:pPr>
          </w:p>
          <w:p w14:paraId="2FD2263F" w14:textId="7B9AA7B5" w:rsidR="00675B8C" w:rsidRDefault="00675B8C" w:rsidP="005930ED">
            <w:pPr>
              <w:pStyle w:val="TableText0"/>
              <w:keepNext w:val="0"/>
              <w:widowControl w:val="0"/>
              <w:rPr>
                <w:szCs w:val="20"/>
              </w:rPr>
            </w:pPr>
            <w:r>
              <w:rPr>
                <w:szCs w:val="20"/>
              </w:rPr>
              <w:t>100% in subsequent years</w:t>
            </w:r>
          </w:p>
          <w:p w14:paraId="6DC872AD" w14:textId="6F24BF25" w:rsidR="001A1F49" w:rsidRDefault="001A1F49" w:rsidP="005930ED">
            <w:pPr>
              <w:pStyle w:val="TableText0"/>
              <w:keepNext w:val="0"/>
              <w:widowControl w:val="0"/>
              <w:rPr>
                <w:szCs w:val="20"/>
              </w:rPr>
            </w:pPr>
          </w:p>
          <w:p w14:paraId="3DE44E5C" w14:textId="77777777" w:rsidR="001A1F49" w:rsidRPr="005D7218" w:rsidRDefault="001A1F49" w:rsidP="005930ED">
            <w:pPr>
              <w:pStyle w:val="TableText0"/>
              <w:keepNext w:val="0"/>
              <w:widowControl w:val="0"/>
              <w:rPr>
                <w:szCs w:val="20"/>
                <w:lang w:val="en-US"/>
              </w:rPr>
            </w:pPr>
          </w:p>
        </w:tc>
        <w:tc>
          <w:tcPr>
            <w:tcW w:w="2330" w:type="pct"/>
            <w:shd w:val="clear" w:color="auto" w:fill="auto"/>
            <w:vAlign w:val="center"/>
          </w:tcPr>
          <w:p w14:paraId="3E2F63A3" w14:textId="44667648" w:rsidR="001A1F49" w:rsidRPr="00277996" w:rsidRDefault="001A1F49" w:rsidP="005930ED">
            <w:pPr>
              <w:pStyle w:val="TableText0"/>
              <w:keepNext w:val="0"/>
              <w:widowControl w:val="0"/>
              <w:rPr>
                <w:szCs w:val="20"/>
              </w:rPr>
            </w:pPr>
            <w:r w:rsidRPr="00277996">
              <w:rPr>
                <w:szCs w:val="20"/>
              </w:rPr>
              <w:t xml:space="preserve">The response rate for continuing patients was higher than the response rate applied in the galcanezumab financial estimates (40%) (Table 16, Galcanezumab PSD, March 2022 PBAC meeting). </w:t>
            </w:r>
            <w:r w:rsidR="00F9671F">
              <w:rPr>
                <w:szCs w:val="20"/>
              </w:rPr>
              <w:t xml:space="preserve">The PBAC considered it was unlikely the response rate </w:t>
            </w:r>
            <w:r w:rsidR="0011389D">
              <w:rPr>
                <w:szCs w:val="20"/>
              </w:rPr>
              <w:t xml:space="preserve">for fremanezumab </w:t>
            </w:r>
            <w:r w:rsidR="00F9671F">
              <w:rPr>
                <w:szCs w:val="20"/>
              </w:rPr>
              <w:t>would be different in clinical practi</w:t>
            </w:r>
            <w:r w:rsidR="0011389D">
              <w:rPr>
                <w:szCs w:val="20"/>
              </w:rPr>
              <w:t>c</w:t>
            </w:r>
            <w:r w:rsidR="00F9671F">
              <w:rPr>
                <w:szCs w:val="20"/>
              </w:rPr>
              <w:t xml:space="preserve">e given the non-inferiority claim. </w:t>
            </w:r>
          </w:p>
          <w:p w14:paraId="271DC571" w14:textId="77777777" w:rsidR="001A1F49" w:rsidRPr="00277996" w:rsidRDefault="001A1F49" w:rsidP="005930ED">
            <w:pPr>
              <w:pStyle w:val="TableText0"/>
              <w:keepNext w:val="0"/>
              <w:widowControl w:val="0"/>
              <w:rPr>
                <w:szCs w:val="20"/>
                <w:lang w:val="en-US"/>
              </w:rPr>
            </w:pPr>
          </w:p>
          <w:p w14:paraId="3B0E2960" w14:textId="211A4214" w:rsidR="00C25C41" w:rsidRPr="005D7218" w:rsidRDefault="000E0276" w:rsidP="005930ED">
            <w:pPr>
              <w:pStyle w:val="TableText0"/>
              <w:keepNext w:val="0"/>
              <w:widowControl w:val="0"/>
              <w:rPr>
                <w:i/>
                <w:szCs w:val="20"/>
                <w:lang w:val="en-US"/>
              </w:rPr>
            </w:pPr>
            <w:r w:rsidRPr="00277996">
              <w:rPr>
                <w:szCs w:val="20"/>
                <w:lang w:val="en-US"/>
              </w:rPr>
              <w:t>The submission stated a</w:t>
            </w:r>
            <w:r w:rsidR="00C25C41" w:rsidRPr="00277996">
              <w:rPr>
                <w:szCs w:val="20"/>
                <w:lang w:val="en-US"/>
              </w:rPr>
              <w:t xml:space="preserve"> continuation rate of </w:t>
            </w:r>
            <w:r w:rsidR="003A0D09" w:rsidRPr="00277996">
              <w:rPr>
                <w:szCs w:val="20"/>
                <w:lang w:val="en-US"/>
              </w:rPr>
              <w:t>95</w:t>
            </w:r>
            <w:r w:rsidR="00C25C41" w:rsidRPr="00277996">
              <w:rPr>
                <w:szCs w:val="20"/>
                <w:lang w:val="en-US"/>
              </w:rPr>
              <w:t xml:space="preserve">% </w:t>
            </w:r>
            <w:proofErr w:type="gramStart"/>
            <w:r w:rsidR="00C25C41" w:rsidRPr="00277996">
              <w:rPr>
                <w:szCs w:val="20"/>
                <w:lang w:val="en-US"/>
              </w:rPr>
              <w:t>was applied</w:t>
            </w:r>
            <w:proofErr w:type="gramEnd"/>
            <w:r w:rsidR="00C25C41" w:rsidRPr="00277996">
              <w:rPr>
                <w:szCs w:val="20"/>
                <w:lang w:val="en-US"/>
              </w:rPr>
              <w:t xml:space="preserve"> in subsequent years</w:t>
            </w:r>
            <w:r w:rsidRPr="00277996">
              <w:rPr>
                <w:szCs w:val="20"/>
                <w:lang w:val="en-US"/>
              </w:rPr>
              <w:t>; however, the spreadsheet assume</w:t>
            </w:r>
            <w:r w:rsidR="00A472A4">
              <w:rPr>
                <w:szCs w:val="20"/>
                <w:lang w:val="en-US"/>
              </w:rPr>
              <w:t>d</w:t>
            </w:r>
            <w:r w:rsidRPr="00277996">
              <w:rPr>
                <w:szCs w:val="20"/>
                <w:lang w:val="en-US"/>
              </w:rPr>
              <w:t xml:space="preserve"> 100%</w:t>
            </w:r>
            <w:r w:rsidR="00C25C41" w:rsidRPr="00277996">
              <w:rPr>
                <w:szCs w:val="20"/>
                <w:lang w:val="en-US"/>
              </w:rPr>
              <w:t xml:space="preserve">. </w:t>
            </w:r>
            <w:r w:rsidR="0017647E" w:rsidRPr="009F62C4">
              <w:rPr>
                <w:iCs/>
                <w:szCs w:val="20"/>
                <w:lang w:val="en-US"/>
              </w:rPr>
              <w:t>The PSCR</w:t>
            </w:r>
            <w:r w:rsidR="00A472A4" w:rsidRPr="009F62C4">
              <w:rPr>
                <w:iCs/>
                <w:szCs w:val="20"/>
                <w:lang w:val="en-US"/>
              </w:rPr>
              <w:t xml:space="preserve"> </w:t>
            </w:r>
            <w:r w:rsidR="0017647E" w:rsidRPr="009F62C4">
              <w:rPr>
                <w:iCs/>
                <w:szCs w:val="20"/>
                <w:lang w:val="en-US"/>
              </w:rPr>
              <w:t>confirmed that the continuation rate applied in the financial estimates was 100%.</w:t>
            </w:r>
            <w:r w:rsidR="00675B8C">
              <w:rPr>
                <w:iCs/>
                <w:szCs w:val="20"/>
                <w:lang w:val="en-US"/>
              </w:rPr>
              <w:t xml:space="preserve"> The PBAC noted the galcanezumab financial estimates applied a continuation rate of 95% in subsequent years (Table 16, Galcanezumab PSD, March 2022 PBAC meeting). </w:t>
            </w:r>
          </w:p>
        </w:tc>
      </w:tr>
      <w:tr w:rsidR="001A1F49" w:rsidRPr="005D7218" w14:paraId="35894CFC" w14:textId="77777777" w:rsidTr="00824A55">
        <w:tc>
          <w:tcPr>
            <w:tcW w:w="1019" w:type="pct"/>
            <w:shd w:val="clear" w:color="auto" w:fill="auto"/>
            <w:vAlign w:val="center"/>
          </w:tcPr>
          <w:p w14:paraId="665B720A" w14:textId="77777777" w:rsidR="001A1F49" w:rsidRPr="005D7218" w:rsidRDefault="001A1F49" w:rsidP="005930ED">
            <w:pPr>
              <w:pStyle w:val="TableText0"/>
              <w:keepNext w:val="0"/>
              <w:widowControl w:val="0"/>
              <w:rPr>
                <w:szCs w:val="20"/>
                <w:lang w:val="en-US"/>
              </w:rPr>
            </w:pPr>
            <w:r w:rsidRPr="005D7218">
              <w:rPr>
                <w:szCs w:val="20"/>
                <w:lang w:val="en-US"/>
              </w:rPr>
              <w:t>Grandfathered patients</w:t>
            </w:r>
          </w:p>
        </w:tc>
        <w:tc>
          <w:tcPr>
            <w:tcW w:w="1651" w:type="pct"/>
            <w:shd w:val="clear" w:color="auto" w:fill="auto"/>
            <w:vAlign w:val="center"/>
          </w:tcPr>
          <w:p w14:paraId="5D32E9E9" w14:textId="77777777" w:rsidR="001A1F49" w:rsidRPr="005D7218" w:rsidRDefault="001A1F49" w:rsidP="005930ED">
            <w:pPr>
              <w:pStyle w:val="TableText0"/>
              <w:keepNext w:val="0"/>
              <w:widowControl w:val="0"/>
              <w:rPr>
                <w:szCs w:val="20"/>
                <w:lang w:val="en-US"/>
              </w:rPr>
            </w:pPr>
            <w:r w:rsidRPr="005D7218">
              <w:rPr>
                <w:szCs w:val="20"/>
              </w:rPr>
              <w:t>None</w:t>
            </w:r>
          </w:p>
        </w:tc>
        <w:tc>
          <w:tcPr>
            <w:tcW w:w="2330" w:type="pct"/>
            <w:shd w:val="clear" w:color="auto" w:fill="auto"/>
            <w:vAlign w:val="center"/>
          </w:tcPr>
          <w:p w14:paraId="2C618DCA" w14:textId="0765BDD4" w:rsidR="001A1F49" w:rsidRPr="005D7218" w:rsidRDefault="001A1F49" w:rsidP="005930ED">
            <w:pPr>
              <w:pStyle w:val="TableText0"/>
              <w:keepNext w:val="0"/>
              <w:widowControl w:val="0"/>
              <w:rPr>
                <w:i/>
                <w:szCs w:val="20"/>
                <w:lang w:val="en-US"/>
              </w:rPr>
            </w:pPr>
            <w:r w:rsidRPr="00357A72">
              <w:rPr>
                <w:szCs w:val="20"/>
              </w:rPr>
              <w:t>The submission indicated that no such provisions are required for the proposed listing as there is currently no product familiarisation program for HFEM.</w:t>
            </w:r>
            <w:r w:rsidRPr="00277996">
              <w:rPr>
                <w:iCs/>
                <w:szCs w:val="20"/>
              </w:rPr>
              <w:t xml:space="preserve"> </w:t>
            </w:r>
          </w:p>
        </w:tc>
      </w:tr>
      <w:tr w:rsidR="001A1F49" w:rsidRPr="005D7218" w14:paraId="35447439" w14:textId="77777777" w:rsidTr="00824A55">
        <w:trPr>
          <w:trHeight w:val="3423"/>
        </w:trPr>
        <w:tc>
          <w:tcPr>
            <w:tcW w:w="1019" w:type="pct"/>
            <w:shd w:val="clear" w:color="auto" w:fill="auto"/>
            <w:vAlign w:val="center"/>
          </w:tcPr>
          <w:p w14:paraId="6F5B27C6" w14:textId="77777777" w:rsidR="001A1F49" w:rsidRPr="005D7218" w:rsidRDefault="001A1F49" w:rsidP="005930ED">
            <w:pPr>
              <w:pStyle w:val="TableText0"/>
              <w:keepNext w:val="0"/>
              <w:widowControl w:val="0"/>
              <w:rPr>
                <w:szCs w:val="20"/>
                <w:lang w:val="en-US"/>
              </w:rPr>
            </w:pPr>
            <w:r w:rsidRPr="005D7218">
              <w:rPr>
                <w:szCs w:val="20"/>
                <w:lang w:val="en-US"/>
              </w:rPr>
              <w:t>Dose</w:t>
            </w:r>
            <w:r>
              <w:rPr>
                <w:szCs w:val="20"/>
                <w:lang w:val="en-US"/>
              </w:rPr>
              <w:t xml:space="preserve"> &amp; </w:t>
            </w:r>
            <w:r w:rsidRPr="005D7218">
              <w:rPr>
                <w:szCs w:val="20"/>
                <w:lang w:val="en-US"/>
              </w:rPr>
              <w:t>duration</w:t>
            </w:r>
          </w:p>
        </w:tc>
        <w:tc>
          <w:tcPr>
            <w:tcW w:w="1651" w:type="pct"/>
            <w:shd w:val="clear" w:color="auto" w:fill="auto"/>
            <w:vAlign w:val="center"/>
          </w:tcPr>
          <w:p w14:paraId="1711DB08" w14:textId="77777777" w:rsidR="001A1F49" w:rsidRPr="00614796" w:rsidRDefault="001A1F49" w:rsidP="005930ED">
            <w:pPr>
              <w:pStyle w:val="TableText0"/>
              <w:keepNext w:val="0"/>
              <w:widowControl w:val="0"/>
              <w:rPr>
                <w:b/>
                <w:bCs w:val="0"/>
                <w:szCs w:val="20"/>
                <w:lang w:val="en-GB"/>
              </w:rPr>
            </w:pPr>
            <w:r w:rsidRPr="00614796">
              <w:rPr>
                <w:b/>
                <w:bCs w:val="0"/>
                <w:szCs w:val="20"/>
                <w:lang w:val="en-GB"/>
              </w:rPr>
              <w:t>First Year:</w:t>
            </w:r>
          </w:p>
          <w:p w14:paraId="230C7E60" w14:textId="2086A463" w:rsidR="001A1F49" w:rsidRPr="009824B6" w:rsidRDefault="001A1F49" w:rsidP="005930ED">
            <w:pPr>
              <w:pStyle w:val="TableText0"/>
              <w:keepNext w:val="0"/>
              <w:widowControl w:val="0"/>
              <w:rPr>
                <w:szCs w:val="20"/>
                <w:lang w:val="en-GB"/>
              </w:rPr>
            </w:pPr>
            <w:r>
              <w:rPr>
                <w:szCs w:val="20"/>
                <w:lang w:val="en-GB"/>
              </w:rPr>
              <w:t xml:space="preserve">Fremanezumab: </w:t>
            </w:r>
            <w:r w:rsidRPr="009824B6">
              <w:rPr>
                <w:szCs w:val="20"/>
                <w:lang w:val="en-GB"/>
              </w:rPr>
              <w:t>225 mg once monthly or</w:t>
            </w:r>
          </w:p>
          <w:p w14:paraId="3158F2C1" w14:textId="4278E5BC" w:rsidR="001A1F49" w:rsidRDefault="001A1F49" w:rsidP="005930ED">
            <w:pPr>
              <w:pStyle w:val="TableText0"/>
              <w:keepNext w:val="0"/>
              <w:widowControl w:val="0"/>
              <w:rPr>
                <w:szCs w:val="20"/>
                <w:lang w:val="en-GB"/>
              </w:rPr>
            </w:pPr>
            <w:r w:rsidRPr="009824B6">
              <w:rPr>
                <w:szCs w:val="20"/>
                <w:lang w:val="en-GB"/>
              </w:rPr>
              <w:t xml:space="preserve">675 mg every three months </w:t>
            </w:r>
          </w:p>
          <w:p w14:paraId="3C65B3B3" w14:textId="65302935" w:rsidR="001A1F49" w:rsidRDefault="001A1F49" w:rsidP="005930ED">
            <w:pPr>
              <w:pStyle w:val="TableText0"/>
              <w:keepNext w:val="0"/>
              <w:widowControl w:val="0"/>
              <w:rPr>
                <w:szCs w:val="20"/>
              </w:rPr>
            </w:pPr>
            <w:r>
              <w:rPr>
                <w:szCs w:val="20"/>
                <w:lang w:val="en-GB"/>
              </w:rPr>
              <w:t xml:space="preserve">Galcanezumab: </w:t>
            </w:r>
            <w:r w:rsidRPr="003753E6">
              <w:rPr>
                <w:szCs w:val="20"/>
              </w:rPr>
              <w:t xml:space="preserve">120 mg injected subcutaneously once monthly, </w:t>
            </w:r>
            <w:r>
              <w:rPr>
                <w:szCs w:val="20"/>
              </w:rPr>
              <w:t>after</w:t>
            </w:r>
            <w:r w:rsidRPr="003753E6">
              <w:rPr>
                <w:szCs w:val="20"/>
              </w:rPr>
              <w:t xml:space="preserve"> a </w:t>
            </w:r>
            <w:r w:rsidR="00824A55" w:rsidRPr="003753E6">
              <w:rPr>
                <w:szCs w:val="20"/>
              </w:rPr>
              <w:t>240</w:t>
            </w:r>
            <w:r w:rsidR="00824A55">
              <w:rPr>
                <w:szCs w:val="20"/>
              </w:rPr>
              <w:t> </w:t>
            </w:r>
            <w:r w:rsidRPr="003753E6">
              <w:rPr>
                <w:szCs w:val="20"/>
              </w:rPr>
              <w:t xml:space="preserve">mg </w:t>
            </w:r>
            <w:r>
              <w:rPr>
                <w:szCs w:val="20"/>
              </w:rPr>
              <w:t xml:space="preserve">initial </w:t>
            </w:r>
            <w:r w:rsidRPr="003753E6">
              <w:rPr>
                <w:szCs w:val="20"/>
              </w:rPr>
              <w:t>loading</w:t>
            </w:r>
            <w:r>
              <w:rPr>
                <w:szCs w:val="20"/>
              </w:rPr>
              <w:t xml:space="preserve"> dose.</w:t>
            </w:r>
          </w:p>
          <w:p w14:paraId="24ABAED9" w14:textId="77777777" w:rsidR="001A1F49" w:rsidRPr="00614796" w:rsidRDefault="001A1F49" w:rsidP="005930ED">
            <w:pPr>
              <w:pStyle w:val="TableText0"/>
              <w:keepNext w:val="0"/>
              <w:widowControl w:val="0"/>
              <w:rPr>
                <w:b/>
                <w:bCs w:val="0"/>
                <w:szCs w:val="20"/>
                <w:lang w:val="en-GB"/>
              </w:rPr>
            </w:pPr>
            <w:r w:rsidRPr="00614796">
              <w:rPr>
                <w:b/>
                <w:bCs w:val="0"/>
                <w:szCs w:val="20"/>
              </w:rPr>
              <w:t>Subsequent year</w:t>
            </w:r>
            <w:r>
              <w:rPr>
                <w:b/>
                <w:bCs w:val="0"/>
                <w:szCs w:val="20"/>
              </w:rPr>
              <w:t>:</w:t>
            </w:r>
          </w:p>
          <w:p w14:paraId="695F85FC" w14:textId="77777777" w:rsidR="001A1F49" w:rsidRDefault="001A1F49" w:rsidP="005930ED">
            <w:pPr>
              <w:pStyle w:val="TableText0"/>
              <w:keepNext w:val="0"/>
              <w:widowControl w:val="0"/>
              <w:rPr>
                <w:szCs w:val="20"/>
                <w:lang w:val="en-GB"/>
              </w:rPr>
            </w:pPr>
            <w:r>
              <w:rPr>
                <w:szCs w:val="20"/>
                <w:lang w:val="en-GB"/>
              </w:rPr>
              <w:t xml:space="preserve">Fremanezumab: </w:t>
            </w:r>
            <w:r w:rsidRPr="009824B6">
              <w:rPr>
                <w:szCs w:val="20"/>
                <w:lang w:val="en-GB"/>
              </w:rPr>
              <w:t>675 mg every three months</w:t>
            </w:r>
            <w:r>
              <w:rPr>
                <w:szCs w:val="20"/>
                <w:lang w:val="en-GB"/>
              </w:rPr>
              <w:t>.</w:t>
            </w:r>
          </w:p>
          <w:p w14:paraId="7D0E3159" w14:textId="218761D3" w:rsidR="001A1F49" w:rsidRPr="005D7218" w:rsidRDefault="001A1F49" w:rsidP="005930ED">
            <w:pPr>
              <w:pStyle w:val="TableText0"/>
              <w:keepNext w:val="0"/>
              <w:widowControl w:val="0"/>
              <w:rPr>
                <w:szCs w:val="20"/>
                <w:lang w:val="en-US"/>
              </w:rPr>
            </w:pPr>
            <w:r>
              <w:rPr>
                <w:szCs w:val="20"/>
                <w:lang w:val="en-GB"/>
              </w:rPr>
              <w:t xml:space="preserve">Galcanezumab: </w:t>
            </w:r>
            <w:r w:rsidRPr="003753E6">
              <w:rPr>
                <w:szCs w:val="20"/>
              </w:rPr>
              <w:t>120 mg once monthly</w:t>
            </w:r>
            <w:r>
              <w:rPr>
                <w:szCs w:val="20"/>
              </w:rPr>
              <w:t>.</w:t>
            </w:r>
          </w:p>
        </w:tc>
        <w:tc>
          <w:tcPr>
            <w:tcW w:w="2330" w:type="pct"/>
            <w:shd w:val="clear" w:color="auto" w:fill="auto"/>
            <w:vAlign w:val="center"/>
          </w:tcPr>
          <w:p w14:paraId="24881B38" w14:textId="3312223B" w:rsidR="001A1F49" w:rsidRPr="00277996" w:rsidRDefault="001A1F49" w:rsidP="00824A55">
            <w:pPr>
              <w:pStyle w:val="TableText0"/>
              <w:keepNext w:val="0"/>
              <w:widowControl w:val="0"/>
              <w:rPr>
                <w:iCs/>
                <w:szCs w:val="20"/>
              </w:rPr>
            </w:pPr>
            <w:r w:rsidRPr="00277996">
              <w:rPr>
                <w:iCs/>
                <w:szCs w:val="20"/>
              </w:rPr>
              <w:t>Th</w:t>
            </w:r>
            <w:r w:rsidR="00D21DA2">
              <w:rPr>
                <w:iCs/>
                <w:szCs w:val="20"/>
              </w:rPr>
              <w:t>ese assumptions were</w:t>
            </w:r>
            <w:r w:rsidRPr="00277996">
              <w:rPr>
                <w:iCs/>
                <w:szCs w:val="20"/>
              </w:rPr>
              <w:t xml:space="preserve"> consistent with the economic evaluation. </w:t>
            </w:r>
          </w:p>
          <w:p w14:paraId="1488FECD" w14:textId="77777777" w:rsidR="001A1F49" w:rsidRPr="00277996" w:rsidRDefault="001A1F49" w:rsidP="00824A55">
            <w:pPr>
              <w:pStyle w:val="TableText0"/>
              <w:keepNext w:val="0"/>
              <w:widowControl w:val="0"/>
              <w:rPr>
                <w:iCs/>
                <w:szCs w:val="20"/>
              </w:rPr>
            </w:pPr>
          </w:p>
          <w:p w14:paraId="66A3AE93" w14:textId="20E37318" w:rsidR="001A1F49" w:rsidRDefault="001A1F49" w:rsidP="00824A55">
            <w:pPr>
              <w:pStyle w:val="TableText0"/>
              <w:keepNext w:val="0"/>
              <w:widowControl w:val="0"/>
              <w:rPr>
                <w:iCs/>
                <w:szCs w:val="20"/>
              </w:rPr>
            </w:pPr>
            <w:r w:rsidRPr="00277996">
              <w:rPr>
                <w:iCs/>
                <w:szCs w:val="20"/>
              </w:rPr>
              <w:t xml:space="preserve">The assumptions around scripts per initial patient, continuing patients </w:t>
            </w:r>
            <w:r w:rsidR="00D21DA2">
              <w:rPr>
                <w:iCs/>
                <w:szCs w:val="20"/>
              </w:rPr>
              <w:t>we</w:t>
            </w:r>
            <w:r w:rsidRPr="00277996">
              <w:rPr>
                <w:iCs/>
                <w:szCs w:val="20"/>
              </w:rPr>
              <w:t>re as follows:</w:t>
            </w:r>
          </w:p>
          <w:p w14:paraId="50C314C4" w14:textId="77777777" w:rsidR="00824A55" w:rsidRPr="00277996" w:rsidRDefault="00824A55" w:rsidP="00824A55">
            <w:pPr>
              <w:pStyle w:val="TableText0"/>
              <w:keepNext w:val="0"/>
              <w:widowControl w:val="0"/>
              <w:rPr>
                <w:iCs/>
                <w:szCs w:val="20"/>
              </w:rPr>
            </w:pPr>
          </w:p>
          <w:p w14:paraId="306D2EC5" w14:textId="6700941E" w:rsidR="001A1F49" w:rsidRDefault="001A1F49" w:rsidP="00824A55">
            <w:pPr>
              <w:pStyle w:val="pf0"/>
              <w:spacing w:before="0" w:beforeAutospacing="0" w:after="0" w:afterAutospacing="0"/>
              <w:rPr>
                <w:rFonts w:ascii="Arial Narrow" w:eastAsiaTheme="majorEastAsia" w:hAnsi="Arial Narrow" w:cstheme="majorBidi"/>
                <w:bCs/>
                <w:iCs/>
                <w:sz w:val="20"/>
                <w:szCs w:val="20"/>
              </w:rPr>
            </w:pPr>
            <w:r w:rsidRPr="00277996">
              <w:rPr>
                <w:rFonts w:ascii="Arial Narrow" w:eastAsiaTheme="majorEastAsia" w:hAnsi="Arial Narrow" w:cstheme="majorBidi"/>
                <w:bCs/>
                <w:iCs/>
                <w:sz w:val="20"/>
                <w:szCs w:val="20"/>
              </w:rPr>
              <w:t>Fremanezumab proposed 3 scripts (pack size 1) (3 months) for each initial patient, 3 quarterly scripts (pack size 3) (9 months) for first continuing and 4 quarterly scripts (pack size 3) (12 months) for ongoing patients.</w:t>
            </w:r>
          </w:p>
          <w:p w14:paraId="1C3F38D7" w14:textId="77777777" w:rsidR="00824A55" w:rsidRPr="00277996" w:rsidRDefault="00824A55" w:rsidP="00824A55">
            <w:pPr>
              <w:pStyle w:val="pf0"/>
              <w:spacing w:before="0" w:beforeAutospacing="0" w:after="0" w:afterAutospacing="0"/>
              <w:rPr>
                <w:rFonts w:ascii="Arial Narrow" w:eastAsiaTheme="majorEastAsia" w:hAnsi="Arial Narrow" w:cstheme="majorBidi"/>
                <w:bCs/>
                <w:iCs/>
                <w:sz w:val="20"/>
                <w:szCs w:val="20"/>
              </w:rPr>
            </w:pPr>
          </w:p>
          <w:p w14:paraId="67A80E96" w14:textId="053646DD" w:rsidR="001A1F49" w:rsidRPr="00C0165E" w:rsidRDefault="001A1F49" w:rsidP="00824A55">
            <w:pPr>
              <w:pStyle w:val="pf0"/>
              <w:spacing w:before="0" w:beforeAutospacing="0" w:after="0" w:afterAutospacing="0"/>
              <w:rPr>
                <w:rFonts w:ascii="Arial" w:hAnsi="Arial" w:cs="Arial"/>
                <w:sz w:val="20"/>
                <w:szCs w:val="20"/>
              </w:rPr>
            </w:pPr>
            <w:r w:rsidRPr="00277996">
              <w:rPr>
                <w:rFonts w:ascii="Arial Narrow" w:eastAsiaTheme="majorEastAsia" w:hAnsi="Arial Narrow" w:cstheme="majorBidi"/>
                <w:bCs/>
                <w:iCs/>
                <w:sz w:val="20"/>
                <w:szCs w:val="20"/>
              </w:rPr>
              <w:t>Galcanezumab:2 scripts (pack size 2) (</w:t>
            </w:r>
            <w:r w:rsidR="00A70DB5" w:rsidRPr="009F62C4">
              <w:rPr>
                <w:rFonts w:ascii="Arial Narrow" w:eastAsiaTheme="majorEastAsia" w:hAnsi="Arial Narrow" w:cstheme="majorBidi"/>
                <w:bCs/>
                <w:sz w:val="20"/>
                <w:szCs w:val="20"/>
              </w:rPr>
              <w:t>3</w:t>
            </w:r>
            <w:r w:rsidR="00A70DB5" w:rsidRPr="00277996">
              <w:rPr>
                <w:rFonts w:ascii="Arial Narrow" w:eastAsiaTheme="majorEastAsia" w:hAnsi="Arial Narrow" w:cstheme="majorBidi"/>
                <w:bCs/>
                <w:iCs/>
                <w:sz w:val="20"/>
                <w:szCs w:val="20"/>
              </w:rPr>
              <w:t xml:space="preserve"> </w:t>
            </w:r>
            <w:r w:rsidRPr="00277996">
              <w:rPr>
                <w:rFonts w:ascii="Arial Narrow" w:eastAsiaTheme="majorEastAsia" w:hAnsi="Arial Narrow" w:cstheme="majorBidi"/>
                <w:bCs/>
                <w:iCs/>
                <w:sz w:val="20"/>
                <w:szCs w:val="20"/>
              </w:rPr>
              <w:t>months for each initial patient, 9 scripts (pack size 1) (9 months) for first continuing and 12 scripts (pack size 1) (12 months) for ongoing patients.</w:t>
            </w:r>
            <w:r>
              <w:rPr>
                <w:rStyle w:val="cf01"/>
              </w:rPr>
              <w:t xml:space="preserve"> </w:t>
            </w:r>
          </w:p>
        </w:tc>
      </w:tr>
      <w:tr w:rsidR="001A1F49" w:rsidRPr="00277996" w14:paraId="7C065DCC" w14:textId="77777777" w:rsidTr="00824A55">
        <w:tc>
          <w:tcPr>
            <w:tcW w:w="1019" w:type="pct"/>
            <w:tcBorders>
              <w:right w:val="nil"/>
            </w:tcBorders>
            <w:shd w:val="clear" w:color="auto" w:fill="auto"/>
            <w:vAlign w:val="center"/>
          </w:tcPr>
          <w:p w14:paraId="1E2B7F7B" w14:textId="77777777" w:rsidR="001A1F49" w:rsidRPr="00277996" w:rsidRDefault="001A1F49" w:rsidP="005930ED">
            <w:pPr>
              <w:pStyle w:val="TableText0"/>
              <w:keepNext w:val="0"/>
              <w:widowControl w:val="0"/>
              <w:rPr>
                <w:b/>
                <w:bCs w:val="0"/>
                <w:szCs w:val="20"/>
                <w:lang w:val="en-US"/>
              </w:rPr>
            </w:pPr>
            <w:r w:rsidRPr="00277996">
              <w:rPr>
                <w:b/>
                <w:bCs w:val="0"/>
                <w:szCs w:val="20"/>
                <w:lang w:val="en-US"/>
              </w:rPr>
              <w:t>Costs</w:t>
            </w:r>
          </w:p>
        </w:tc>
        <w:tc>
          <w:tcPr>
            <w:tcW w:w="1651" w:type="pct"/>
            <w:tcBorders>
              <w:left w:val="nil"/>
              <w:right w:val="nil"/>
            </w:tcBorders>
            <w:shd w:val="clear" w:color="auto" w:fill="auto"/>
            <w:vAlign w:val="center"/>
          </w:tcPr>
          <w:p w14:paraId="05C6642F" w14:textId="77777777" w:rsidR="001A1F49" w:rsidRPr="00277996" w:rsidRDefault="001A1F49" w:rsidP="005930ED">
            <w:pPr>
              <w:pStyle w:val="TableText0"/>
              <w:keepNext w:val="0"/>
              <w:widowControl w:val="0"/>
              <w:rPr>
                <w:szCs w:val="20"/>
                <w:lang w:val="en-US"/>
              </w:rPr>
            </w:pPr>
          </w:p>
        </w:tc>
        <w:tc>
          <w:tcPr>
            <w:tcW w:w="2330" w:type="pct"/>
            <w:tcBorders>
              <w:left w:val="nil"/>
            </w:tcBorders>
            <w:shd w:val="clear" w:color="auto" w:fill="auto"/>
            <w:vAlign w:val="center"/>
          </w:tcPr>
          <w:p w14:paraId="26FE1207" w14:textId="77777777" w:rsidR="001A1F49" w:rsidRPr="00277996" w:rsidRDefault="001A1F49" w:rsidP="005930ED">
            <w:pPr>
              <w:pStyle w:val="TableText0"/>
              <w:keepNext w:val="0"/>
              <w:widowControl w:val="0"/>
              <w:rPr>
                <w:szCs w:val="20"/>
                <w:lang w:val="en-US"/>
              </w:rPr>
            </w:pPr>
          </w:p>
        </w:tc>
      </w:tr>
      <w:tr w:rsidR="001A1F49" w:rsidRPr="005D7218" w14:paraId="4FD52A3F" w14:textId="77777777" w:rsidTr="00824A55">
        <w:tc>
          <w:tcPr>
            <w:tcW w:w="1019" w:type="pct"/>
            <w:shd w:val="clear" w:color="auto" w:fill="auto"/>
            <w:vAlign w:val="center"/>
          </w:tcPr>
          <w:p w14:paraId="1B495159" w14:textId="77777777" w:rsidR="001A1F49" w:rsidRPr="00F36350" w:rsidRDefault="001A1F49" w:rsidP="005930ED">
            <w:pPr>
              <w:pStyle w:val="TableText0"/>
              <w:keepNext w:val="0"/>
              <w:widowControl w:val="0"/>
              <w:rPr>
                <w:szCs w:val="20"/>
                <w:lang w:val="en-US"/>
              </w:rPr>
            </w:pPr>
            <w:r w:rsidRPr="00F36350">
              <w:t>Fremanezumab</w:t>
            </w:r>
          </w:p>
        </w:tc>
        <w:tc>
          <w:tcPr>
            <w:tcW w:w="1651" w:type="pct"/>
            <w:shd w:val="clear" w:color="auto" w:fill="auto"/>
            <w:vAlign w:val="center"/>
          </w:tcPr>
          <w:p w14:paraId="66C28F15" w14:textId="36EB0EBC" w:rsidR="001A1F49" w:rsidRPr="004D511B" w:rsidRDefault="001A1F49" w:rsidP="005930ED">
            <w:pPr>
              <w:pStyle w:val="TableText0"/>
              <w:keepNext w:val="0"/>
              <w:widowControl w:val="0"/>
            </w:pPr>
            <w:r w:rsidRPr="004D511B">
              <w:t>$</w:t>
            </w:r>
            <w:r w:rsidR="007A29C8" w:rsidRPr="007A29C8">
              <w:rPr>
                <w:color w:val="000000"/>
                <w:spacing w:val="184"/>
                <w:shd w:val="solid" w:color="000000" w:fill="000000"/>
                <w:fitText w:val="270" w:id="-1303650551"/>
                <w14:textFill>
                  <w14:solidFill>
                    <w14:srgbClr w14:val="000000">
                      <w14:alpha w14:val="100000"/>
                    </w14:srgbClr>
                  </w14:solidFill>
                </w14:textFill>
              </w:rPr>
              <w:t>|</w:t>
            </w:r>
            <w:r w:rsidR="007A29C8" w:rsidRPr="007A29C8">
              <w:rPr>
                <w:color w:val="000000"/>
                <w:spacing w:val="1"/>
                <w:shd w:val="solid" w:color="000000" w:fill="000000"/>
                <w:fitText w:val="270" w:id="-1303650551"/>
                <w14:textFill>
                  <w14:solidFill>
                    <w14:srgbClr w14:val="000000">
                      <w14:alpha w14:val="100000"/>
                    </w14:srgbClr>
                  </w14:solidFill>
                </w14:textFill>
              </w:rPr>
              <w:t>|</w:t>
            </w:r>
            <w:r w:rsidRPr="004D511B">
              <w:t xml:space="preserve"> (Initiating: Requested effective DPMQ) (Maximum quantity 1)</w:t>
            </w:r>
          </w:p>
          <w:p w14:paraId="50F80AF8" w14:textId="02188E95" w:rsidR="001A1F49" w:rsidRPr="004D511B" w:rsidRDefault="001A1F49" w:rsidP="005930ED">
            <w:pPr>
              <w:pStyle w:val="TableText0"/>
              <w:keepNext w:val="0"/>
              <w:widowControl w:val="0"/>
              <w:rPr>
                <w:szCs w:val="20"/>
                <w:lang w:val="en-US"/>
              </w:rPr>
            </w:pPr>
            <w:r w:rsidRPr="004D511B">
              <w:t>$</w:t>
            </w:r>
            <w:r w:rsidR="007A29C8" w:rsidRPr="007A29C8">
              <w:rPr>
                <w:color w:val="000000"/>
                <w:spacing w:val="184"/>
                <w:shd w:val="solid" w:color="000000" w:fill="000000"/>
                <w:fitText w:val="270" w:id="-1303650550"/>
                <w14:textFill>
                  <w14:solidFill>
                    <w14:srgbClr w14:val="000000">
                      <w14:alpha w14:val="100000"/>
                    </w14:srgbClr>
                  </w14:solidFill>
                </w14:textFill>
              </w:rPr>
              <w:t>|</w:t>
            </w:r>
            <w:r w:rsidR="007A29C8" w:rsidRPr="007A29C8">
              <w:rPr>
                <w:color w:val="000000"/>
                <w:spacing w:val="1"/>
                <w:shd w:val="solid" w:color="000000" w:fill="000000"/>
                <w:fitText w:val="270" w:id="-1303650550"/>
                <w14:textFill>
                  <w14:solidFill>
                    <w14:srgbClr w14:val="000000">
                      <w14:alpha w14:val="100000"/>
                    </w14:srgbClr>
                  </w14:solidFill>
                </w14:textFill>
              </w:rPr>
              <w:t>|</w:t>
            </w:r>
            <w:r w:rsidRPr="004D511B">
              <w:t xml:space="preserve"> (Continuing: Requested effective DPMQ) (Maximum quantity=3)</w:t>
            </w:r>
          </w:p>
        </w:tc>
        <w:tc>
          <w:tcPr>
            <w:tcW w:w="2330" w:type="pct"/>
            <w:shd w:val="clear" w:color="auto" w:fill="auto"/>
            <w:vAlign w:val="center"/>
          </w:tcPr>
          <w:p w14:paraId="11FDC758" w14:textId="61C099EB" w:rsidR="001A1F49" w:rsidRPr="004D511B" w:rsidRDefault="001A1F49" w:rsidP="005930ED">
            <w:pPr>
              <w:pStyle w:val="TableText0"/>
              <w:keepNext w:val="0"/>
              <w:widowControl w:val="0"/>
              <w:rPr>
                <w:i/>
                <w:szCs w:val="20"/>
                <w:lang w:val="en-US"/>
              </w:rPr>
            </w:pPr>
            <w:r w:rsidRPr="004D511B">
              <w:rPr>
                <w:iCs/>
                <w:szCs w:val="20"/>
              </w:rPr>
              <w:t>Th</w:t>
            </w:r>
            <w:r w:rsidR="00D21DA2" w:rsidRPr="004D511B">
              <w:rPr>
                <w:iCs/>
                <w:szCs w:val="20"/>
              </w:rPr>
              <w:t>e costs were</w:t>
            </w:r>
            <w:r w:rsidRPr="004D511B">
              <w:rPr>
                <w:iCs/>
                <w:szCs w:val="20"/>
              </w:rPr>
              <w:t xml:space="preserve"> consistent with </w:t>
            </w:r>
            <w:r w:rsidR="00D21DA2" w:rsidRPr="004D511B">
              <w:rPr>
                <w:iCs/>
                <w:szCs w:val="20"/>
              </w:rPr>
              <w:t xml:space="preserve">those applied in the economic evaluation and </w:t>
            </w:r>
            <w:r w:rsidRPr="004D511B">
              <w:rPr>
                <w:iCs/>
                <w:szCs w:val="20"/>
              </w:rPr>
              <w:t>based on the assumed effective DPMQ of galcanezumab.</w:t>
            </w:r>
          </w:p>
        </w:tc>
      </w:tr>
      <w:tr w:rsidR="001A1F49" w:rsidRPr="00277996" w14:paraId="3A1128BB" w14:textId="77777777" w:rsidTr="00824A55">
        <w:tc>
          <w:tcPr>
            <w:tcW w:w="1019" w:type="pct"/>
            <w:shd w:val="clear" w:color="auto" w:fill="auto"/>
            <w:vAlign w:val="center"/>
          </w:tcPr>
          <w:p w14:paraId="3FC2A454" w14:textId="77777777" w:rsidR="001A1F49" w:rsidRPr="00277996" w:rsidRDefault="001A1F49" w:rsidP="005930ED">
            <w:pPr>
              <w:pStyle w:val="TableText0"/>
              <w:keepNext w:val="0"/>
              <w:widowControl w:val="0"/>
            </w:pPr>
            <w:r w:rsidRPr="00277996">
              <w:lastRenderedPageBreak/>
              <w:t>Galcanezumab</w:t>
            </w:r>
          </w:p>
        </w:tc>
        <w:tc>
          <w:tcPr>
            <w:tcW w:w="1651" w:type="pct"/>
            <w:shd w:val="clear" w:color="auto" w:fill="auto"/>
            <w:vAlign w:val="center"/>
          </w:tcPr>
          <w:p w14:paraId="29270482" w14:textId="77777777" w:rsidR="001A1F49" w:rsidRPr="004D511B" w:rsidRDefault="001A1F49" w:rsidP="005930ED">
            <w:pPr>
              <w:pStyle w:val="TableText0"/>
            </w:pPr>
            <w:r w:rsidRPr="004D511B">
              <w:t>The submission assumed:</w:t>
            </w:r>
          </w:p>
          <w:p w14:paraId="58E4A878" w14:textId="32800C40" w:rsidR="001A1F49" w:rsidRPr="004D511B" w:rsidRDefault="001A1F49" w:rsidP="005930ED">
            <w:pPr>
              <w:pStyle w:val="TableText0"/>
            </w:pPr>
            <w:r w:rsidRPr="004D511B">
              <w:t>$</w:t>
            </w:r>
            <w:r w:rsidR="007A29C8" w:rsidRPr="007A29C8">
              <w:rPr>
                <w:color w:val="000000"/>
                <w:spacing w:val="184"/>
                <w:shd w:val="solid" w:color="000000" w:fill="000000"/>
                <w:fitText w:val="270" w:id="-1303650549"/>
                <w14:textFill>
                  <w14:solidFill>
                    <w14:srgbClr w14:val="000000">
                      <w14:alpha w14:val="100000"/>
                    </w14:srgbClr>
                  </w14:solidFill>
                </w14:textFill>
              </w:rPr>
              <w:t>|</w:t>
            </w:r>
            <w:r w:rsidR="007A29C8" w:rsidRPr="007A29C8">
              <w:rPr>
                <w:color w:val="000000"/>
                <w:spacing w:val="1"/>
                <w:shd w:val="solid" w:color="000000" w:fill="000000"/>
                <w:fitText w:val="270" w:id="-1303650549"/>
                <w14:textFill>
                  <w14:solidFill>
                    <w14:srgbClr w14:val="000000">
                      <w14:alpha w14:val="100000"/>
                    </w14:srgbClr>
                  </w14:solidFill>
                </w14:textFill>
              </w:rPr>
              <w:t>|</w:t>
            </w:r>
            <w:r w:rsidRPr="004D511B">
              <w:t xml:space="preserve"> (Initiating: Requested effective DPMQ) (Maximum quantity 1)</w:t>
            </w:r>
          </w:p>
          <w:p w14:paraId="571FFB1A" w14:textId="487ECC32" w:rsidR="001A1F49" w:rsidRPr="00277996" w:rsidRDefault="001A1F49" w:rsidP="005930ED">
            <w:pPr>
              <w:pStyle w:val="TableText0"/>
              <w:keepNext w:val="0"/>
              <w:widowControl w:val="0"/>
            </w:pPr>
            <w:r w:rsidRPr="004D511B">
              <w:t>$</w:t>
            </w:r>
            <w:r w:rsidR="007A29C8" w:rsidRPr="007A29C8">
              <w:rPr>
                <w:color w:val="000000"/>
                <w:spacing w:val="184"/>
                <w:shd w:val="solid" w:color="000000" w:fill="000000"/>
                <w:fitText w:val="270" w:id="-1303650548"/>
                <w14:textFill>
                  <w14:solidFill>
                    <w14:srgbClr w14:val="000000">
                      <w14:alpha w14:val="100000"/>
                    </w14:srgbClr>
                  </w14:solidFill>
                </w14:textFill>
              </w:rPr>
              <w:t>|</w:t>
            </w:r>
            <w:r w:rsidR="007A29C8" w:rsidRPr="007A29C8">
              <w:rPr>
                <w:color w:val="000000"/>
                <w:spacing w:val="1"/>
                <w:shd w:val="solid" w:color="000000" w:fill="000000"/>
                <w:fitText w:val="270" w:id="-1303650548"/>
                <w14:textFill>
                  <w14:solidFill>
                    <w14:srgbClr w14:val="000000">
                      <w14:alpha w14:val="100000"/>
                    </w14:srgbClr>
                  </w14:solidFill>
                </w14:textFill>
              </w:rPr>
              <w:t>|</w:t>
            </w:r>
            <w:r w:rsidRPr="004D511B">
              <w:t xml:space="preserve"> (</w:t>
            </w:r>
            <w:r w:rsidRPr="00277996">
              <w:t>Continuing: Requested effective DPMQ) (Maximum quantity=2)</w:t>
            </w:r>
          </w:p>
        </w:tc>
        <w:tc>
          <w:tcPr>
            <w:tcW w:w="2330" w:type="pct"/>
            <w:shd w:val="clear" w:color="auto" w:fill="auto"/>
            <w:vAlign w:val="center"/>
          </w:tcPr>
          <w:p w14:paraId="00F109CA" w14:textId="15C4D2C0" w:rsidR="001A1F49" w:rsidRPr="00277996" w:rsidRDefault="001A1F49" w:rsidP="005930ED">
            <w:pPr>
              <w:pStyle w:val="TableText0"/>
              <w:keepNext w:val="0"/>
              <w:widowControl w:val="0"/>
              <w:rPr>
                <w:iCs/>
                <w:szCs w:val="20"/>
              </w:rPr>
            </w:pPr>
          </w:p>
        </w:tc>
      </w:tr>
    </w:tbl>
    <w:p w14:paraId="3F545711" w14:textId="22CB948A" w:rsidR="001A1F49" w:rsidRPr="000C4F23" w:rsidRDefault="001A1F49" w:rsidP="001A1F49">
      <w:pPr>
        <w:widowControl w:val="0"/>
        <w:rPr>
          <w:rFonts w:ascii="Arial Narrow" w:hAnsi="Arial Narrow"/>
          <w:snapToGrid w:val="0"/>
          <w:sz w:val="18"/>
          <w:szCs w:val="22"/>
        </w:rPr>
      </w:pPr>
      <w:r w:rsidRPr="000C4F23">
        <w:rPr>
          <w:rFonts w:ascii="Arial Narrow" w:hAnsi="Arial Narrow"/>
          <w:snapToGrid w:val="0"/>
          <w:sz w:val="18"/>
          <w:szCs w:val="22"/>
        </w:rPr>
        <w:t xml:space="preserve">Source: Compiled during evaluation from information provided in the submission. Also based on Table 1-3 (p4 of the submission), Table 1-4 (p5 of the submission), Table 3-1 (p102 of the submission). </w:t>
      </w:r>
    </w:p>
    <w:p w14:paraId="219CF0E8" w14:textId="591528DD" w:rsidR="001A1F49" w:rsidRPr="000C4F23" w:rsidRDefault="001A1F49" w:rsidP="001A1F49">
      <w:pPr>
        <w:widowControl w:val="0"/>
        <w:rPr>
          <w:rFonts w:ascii="Arial Narrow" w:hAnsi="Arial Narrow"/>
          <w:snapToGrid w:val="0"/>
          <w:sz w:val="18"/>
          <w:szCs w:val="22"/>
        </w:rPr>
      </w:pPr>
      <w:r w:rsidRPr="000C4F23">
        <w:rPr>
          <w:rFonts w:ascii="Arial Narrow" w:hAnsi="Arial Narrow"/>
          <w:snapToGrid w:val="0"/>
          <w:sz w:val="18"/>
          <w:szCs w:val="22"/>
        </w:rPr>
        <w:t>AEMP= approved ex-manufacturer price; DPMQ= dispensed price for maximum quantity; PBAC= Pharmaceutical Benefits Advisory Committee; HFEM= high frequency episodic migraine; PSD= public summary document</w:t>
      </w:r>
      <w:r w:rsidR="00CB5664">
        <w:rPr>
          <w:rFonts w:ascii="Arial Narrow" w:hAnsi="Arial Narrow"/>
          <w:snapToGrid w:val="0"/>
          <w:sz w:val="18"/>
          <w:szCs w:val="22"/>
        </w:rPr>
        <w:t>; PSCR = Pre-Sub-Committee Response</w:t>
      </w:r>
      <w:r w:rsidRPr="000C4F23">
        <w:rPr>
          <w:rFonts w:ascii="Arial Narrow" w:hAnsi="Arial Narrow"/>
          <w:snapToGrid w:val="0"/>
          <w:sz w:val="18"/>
          <w:szCs w:val="22"/>
        </w:rPr>
        <w:t>.</w:t>
      </w:r>
    </w:p>
    <w:p w14:paraId="1CD2C3EF" w14:textId="77777777" w:rsidR="001A1F49" w:rsidRPr="000C4F23" w:rsidRDefault="001A1F49" w:rsidP="001A1F49">
      <w:pPr>
        <w:widowControl w:val="0"/>
        <w:rPr>
          <w:rFonts w:ascii="Arial Narrow" w:hAnsi="Arial Narrow"/>
          <w:snapToGrid w:val="0"/>
          <w:sz w:val="18"/>
          <w:szCs w:val="22"/>
        </w:rPr>
      </w:pPr>
      <w:r w:rsidRPr="000C4F23">
        <w:rPr>
          <w:rFonts w:ascii="Arial Narrow" w:hAnsi="Arial Narrow"/>
          <w:snapToGrid w:val="0"/>
          <w:sz w:val="18"/>
          <w:szCs w:val="22"/>
          <w:vertAlign w:val="superscript"/>
        </w:rPr>
        <w:t>a</w:t>
      </w:r>
      <w:r w:rsidRPr="000C4F23">
        <w:rPr>
          <w:rFonts w:ascii="Arial Narrow" w:hAnsi="Arial Narrow"/>
          <w:snapToGrid w:val="0"/>
          <w:sz w:val="18"/>
          <w:szCs w:val="22"/>
        </w:rPr>
        <w:t xml:space="preserve"> The Stark et al. (2007) estimate of 14.5% was included in the 2020 galcanezumab episodic migraine submission. The PBAC agreed with the ESC that a migraine prevalence</w:t>
      </w:r>
      <w:r>
        <w:rPr>
          <w:rFonts w:ascii="Arial Narrow" w:hAnsi="Arial Narrow"/>
          <w:snapToGrid w:val="0"/>
          <w:sz w:val="18"/>
          <w:szCs w:val="22"/>
        </w:rPr>
        <w:t>,</w:t>
      </w:r>
      <w:r w:rsidRPr="000C4F23">
        <w:rPr>
          <w:rFonts w:ascii="Arial Narrow" w:hAnsi="Arial Narrow"/>
          <w:snapToGrid w:val="0"/>
          <w:sz w:val="18"/>
          <w:szCs w:val="22"/>
        </w:rPr>
        <w:t xml:space="preserve"> as reported in the Stark publication</w:t>
      </w:r>
      <w:r>
        <w:rPr>
          <w:rFonts w:ascii="Arial Narrow" w:hAnsi="Arial Narrow"/>
          <w:snapToGrid w:val="0"/>
          <w:sz w:val="18"/>
          <w:szCs w:val="22"/>
        </w:rPr>
        <w:t>,</w:t>
      </w:r>
      <w:r w:rsidRPr="000C4F23">
        <w:rPr>
          <w:rFonts w:ascii="Arial Narrow" w:hAnsi="Arial Narrow"/>
          <w:snapToGrid w:val="0"/>
          <w:sz w:val="18"/>
          <w:szCs w:val="22"/>
        </w:rPr>
        <w:t xml:space="preserve"> would be appropriate </w:t>
      </w:r>
      <w:r>
        <w:rPr>
          <w:rFonts w:ascii="Arial Narrow" w:hAnsi="Arial Narrow"/>
          <w:snapToGrid w:val="0"/>
          <w:sz w:val="18"/>
          <w:szCs w:val="22"/>
        </w:rPr>
        <w:t xml:space="preserve">and </w:t>
      </w:r>
      <w:r w:rsidRPr="000C4F23">
        <w:rPr>
          <w:rFonts w:ascii="Arial Narrow" w:hAnsi="Arial Narrow"/>
          <w:snapToGrid w:val="0"/>
          <w:sz w:val="18"/>
          <w:szCs w:val="22"/>
        </w:rPr>
        <w:t>consistent with previous considerations of migraine (</w:t>
      </w:r>
      <w:r>
        <w:rPr>
          <w:rFonts w:ascii="Arial Narrow" w:hAnsi="Arial Narrow"/>
          <w:snapToGrid w:val="0"/>
          <w:sz w:val="18"/>
          <w:szCs w:val="22"/>
        </w:rPr>
        <w:t>p</w:t>
      </w:r>
      <w:r w:rsidRPr="000C4F23">
        <w:rPr>
          <w:rFonts w:ascii="Arial Narrow" w:hAnsi="Arial Narrow"/>
          <w:snapToGrid w:val="0"/>
          <w:sz w:val="18"/>
          <w:szCs w:val="22"/>
        </w:rPr>
        <w:t>ara 6.64, Galcanezumab PSD, March 2022 PBAC Meeting).</w:t>
      </w:r>
    </w:p>
    <w:p w14:paraId="5666BE91" w14:textId="77777777" w:rsidR="005C44A6" w:rsidRPr="005C44A6" w:rsidRDefault="005C44A6" w:rsidP="00B21124">
      <w:pPr>
        <w:pStyle w:val="TableFooter"/>
      </w:pPr>
    </w:p>
    <w:bookmarkStart w:id="68" w:name="_Hlk112356500"/>
    <w:bookmarkStart w:id="69" w:name="_Hlk112166008"/>
    <w:p w14:paraId="489BEEEA" w14:textId="1CF23105" w:rsidR="00D33722" w:rsidRPr="00E814DE" w:rsidRDefault="004A7E72" w:rsidP="00033A63">
      <w:pPr>
        <w:pStyle w:val="3-BodyText"/>
        <w:numPr>
          <w:ilvl w:val="1"/>
          <w:numId w:val="5"/>
        </w:numPr>
        <w:ind w:left="720"/>
        <w:rPr>
          <w:color w:val="000000" w:themeColor="text1"/>
        </w:rPr>
      </w:pPr>
      <w:r>
        <w:rPr>
          <w:color w:val="000000" w:themeColor="text1"/>
        </w:rPr>
        <w:fldChar w:fldCharType="begin" w:fldLock="1"/>
      </w:r>
      <w:r>
        <w:rPr>
          <w:color w:val="000000" w:themeColor="text1"/>
        </w:rPr>
        <w:instrText xml:space="preserve"> REF _Ref113908481 \h </w:instrText>
      </w:r>
      <w:r>
        <w:rPr>
          <w:color w:val="000000" w:themeColor="text1"/>
        </w:rPr>
      </w:r>
      <w:r>
        <w:rPr>
          <w:color w:val="000000" w:themeColor="text1"/>
        </w:rPr>
        <w:fldChar w:fldCharType="separate"/>
      </w:r>
      <w:r w:rsidR="00B97129">
        <w:t xml:space="preserve">Table </w:t>
      </w:r>
      <w:r w:rsidR="00B97129">
        <w:rPr>
          <w:noProof/>
        </w:rPr>
        <w:t>12</w:t>
      </w:r>
      <w:r>
        <w:rPr>
          <w:color w:val="000000" w:themeColor="text1"/>
        </w:rPr>
        <w:fldChar w:fldCharType="end"/>
      </w:r>
      <w:r w:rsidR="00EC0B8E">
        <w:rPr>
          <w:color w:val="000000" w:themeColor="text1"/>
        </w:rPr>
        <w:t xml:space="preserve"> </w:t>
      </w:r>
      <w:r w:rsidR="00EC0B8E" w:rsidRPr="000A3BAA">
        <w:rPr>
          <w:color w:val="000000" w:themeColor="text1"/>
        </w:rPr>
        <w:t xml:space="preserve">presents the estimated use and financial implications for </w:t>
      </w:r>
      <w:r w:rsidR="00EC0B8E">
        <w:rPr>
          <w:color w:val="000000" w:themeColor="text1"/>
        </w:rPr>
        <w:t>listing</w:t>
      </w:r>
      <w:r w:rsidR="00EC0B8E" w:rsidRPr="000A3BAA">
        <w:rPr>
          <w:color w:val="000000" w:themeColor="text1"/>
        </w:rPr>
        <w:t xml:space="preserve"> fremanezumab based on the </w:t>
      </w:r>
      <w:r w:rsidR="0000637B">
        <w:rPr>
          <w:color w:val="000000" w:themeColor="text1"/>
        </w:rPr>
        <w:t xml:space="preserve">assumed </w:t>
      </w:r>
      <w:r w:rsidR="00EC0B8E" w:rsidRPr="000A3BAA">
        <w:rPr>
          <w:color w:val="000000" w:themeColor="text1"/>
        </w:rPr>
        <w:t xml:space="preserve">effective DPMQ </w:t>
      </w:r>
      <w:r w:rsidR="00EC0B8E">
        <w:rPr>
          <w:color w:val="000000" w:themeColor="text1"/>
        </w:rPr>
        <w:t>of galcanezumab</w:t>
      </w:r>
      <w:r w:rsidR="0000637B">
        <w:rPr>
          <w:color w:val="000000" w:themeColor="text1"/>
        </w:rPr>
        <w:t>.</w:t>
      </w:r>
      <w:r w:rsidR="00C16B00" w:rsidRPr="00277996">
        <w:rPr>
          <w:iCs/>
          <w:color w:val="000000" w:themeColor="text1"/>
        </w:rPr>
        <w:t xml:space="preserve"> </w:t>
      </w:r>
    </w:p>
    <w:p w14:paraId="26FD364A" w14:textId="528BB650" w:rsidR="00594DA5" w:rsidRPr="00537078" w:rsidRDefault="00594DA5" w:rsidP="00594DA5">
      <w:pPr>
        <w:pStyle w:val="TableHeading0"/>
        <w:rPr>
          <w:snapToGrid w:val="0"/>
        </w:rPr>
      </w:pPr>
      <w:bookmarkStart w:id="70" w:name="_Ref113908481"/>
      <w:bookmarkStart w:id="71" w:name="_Hlk113275951"/>
      <w:bookmarkEnd w:id="68"/>
      <w:bookmarkEnd w:id="69"/>
      <w:r>
        <w:lastRenderedPageBreak/>
        <w:t xml:space="preserve">Table </w:t>
      </w:r>
      <w:fldSimple w:instr=" SEQ Table \* ARABIC " w:fldLock="1">
        <w:r w:rsidR="00B97129">
          <w:rPr>
            <w:noProof/>
          </w:rPr>
          <w:t>12</w:t>
        </w:r>
      </w:fldSimple>
      <w:bookmarkEnd w:id="70"/>
      <w:r w:rsidRPr="00537078">
        <w:rPr>
          <w:snapToGrid w:val="0"/>
        </w:rPr>
        <w:t>: Estimated use and financial implications (</w:t>
      </w:r>
      <w:r w:rsidRPr="000A3BAA">
        <w:rPr>
          <w:color w:val="000000" w:themeColor="text1"/>
        </w:rPr>
        <w:t xml:space="preserve">based on the </w:t>
      </w:r>
      <w:r w:rsidR="0000637B">
        <w:rPr>
          <w:color w:val="000000" w:themeColor="text1"/>
        </w:rPr>
        <w:t xml:space="preserve">assumed </w:t>
      </w:r>
      <w:r w:rsidRPr="000A3BAA">
        <w:rPr>
          <w:color w:val="000000" w:themeColor="text1"/>
        </w:rPr>
        <w:t>effective DPMQ</w:t>
      </w:r>
      <w:r w:rsidRPr="00537078">
        <w:rPr>
          <w:snapToGrid w:val="0"/>
        </w:rPr>
        <w:t>)</w:t>
      </w:r>
      <w:r>
        <w:rPr>
          <w:snapToGrid w:val="0"/>
        </w:rPr>
        <w:t xml:space="preserve"> </w:t>
      </w:r>
    </w:p>
    <w:tbl>
      <w:tblPr>
        <w:tblStyle w:val="TableGrid"/>
        <w:tblW w:w="5028" w:type="pct"/>
        <w:tblLayout w:type="fixed"/>
        <w:tblCellMar>
          <w:left w:w="57" w:type="dxa"/>
          <w:right w:w="57" w:type="dxa"/>
        </w:tblCellMar>
        <w:tblLook w:val="04A0" w:firstRow="1" w:lastRow="0" w:firstColumn="1" w:lastColumn="0" w:noHBand="0" w:noVBand="1"/>
      </w:tblPr>
      <w:tblGrid>
        <w:gridCol w:w="1696"/>
        <w:gridCol w:w="1228"/>
        <w:gridCol w:w="1229"/>
        <w:gridCol w:w="1229"/>
        <w:gridCol w:w="1228"/>
        <w:gridCol w:w="1229"/>
        <w:gridCol w:w="1228"/>
      </w:tblGrid>
      <w:tr w:rsidR="00594DA5" w:rsidRPr="00187B32" w14:paraId="23C2AC0B" w14:textId="77777777" w:rsidTr="002F7DD2">
        <w:trPr>
          <w:trHeight w:val="267"/>
          <w:tblHeader/>
        </w:trPr>
        <w:tc>
          <w:tcPr>
            <w:tcW w:w="935" w:type="pct"/>
            <w:tcBorders>
              <w:top w:val="single" w:sz="4" w:space="0" w:color="auto"/>
              <w:bottom w:val="single" w:sz="4" w:space="0" w:color="auto"/>
            </w:tcBorders>
            <w:shd w:val="clear" w:color="auto" w:fill="auto"/>
            <w:noWrap/>
          </w:tcPr>
          <w:p w14:paraId="5B18867A" w14:textId="77777777" w:rsidR="00594DA5" w:rsidRPr="00187B32" w:rsidRDefault="00594DA5" w:rsidP="003B236E">
            <w:pPr>
              <w:jc w:val="left"/>
              <w:rPr>
                <w:rFonts w:ascii="Arial Narrow" w:hAnsi="Arial Narrow"/>
                <w:b/>
                <w:bCs/>
                <w:sz w:val="20"/>
                <w:szCs w:val="20"/>
              </w:rPr>
            </w:pPr>
          </w:p>
        </w:tc>
        <w:tc>
          <w:tcPr>
            <w:tcW w:w="677" w:type="pct"/>
            <w:tcBorders>
              <w:left w:val="single" w:sz="4" w:space="0" w:color="auto"/>
              <w:right w:val="single" w:sz="4" w:space="0" w:color="auto"/>
            </w:tcBorders>
            <w:shd w:val="clear" w:color="auto" w:fill="auto"/>
            <w:noWrap/>
          </w:tcPr>
          <w:p w14:paraId="56EBEF1B"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1</w:t>
            </w:r>
          </w:p>
        </w:tc>
        <w:tc>
          <w:tcPr>
            <w:tcW w:w="678" w:type="pct"/>
            <w:tcBorders>
              <w:left w:val="single" w:sz="4" w:space="0" w:color="auto"/>
              <w:right w:val="single" w:sz="4" w:space="0" w:color="auto"/>
            </w:tcBorders>
            <w:shd w:val="clear" w:color="auto" w:fill="auto"/>
            <w:noWrap/>
          </w:tcPr>
          <w:p w14:paraId="3440B128"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2</w:t>
            </w:r>
          </w:p>
        </w:tc>
        <w:tc>
          <w:tcPr>
            <w:tcW w:w="678" w:type="pct"/>
            <w:tcBorders>
              <w:left w:val="single" w:sz="4" w:space="0" w:color="auto"/>
              <w:right w:val="single" w:sz="4" w:space="0" w:color="auto"/>
            </w:tcBorders>
            <w:shd w:val="clear" w:color="auto" w:fill="auto"/>
            <w:noWrap/>
          </w:tcPr>
          <w:p w14:paraId="30D916E9"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3</w:t>
            </w:r>
          </w:p>
        </w:tc>
        <w:tc>
          <w:tcPr>
            <w:tcW w:w="677" w:type="pct"/>
            <w:tcBorders>
              <w:left w:val="single" w:sz="4" w:space="0" w:color="auto"/>
              <w:right w:val="single" w:sz="4" w:space="0" w:color="auto"/>
            </w:tcBorders>
            <w:shd w:val="clear" w:color="auto" w:fill="auto"/>
            <w:noWrap/>
          </w:tcPr>
          <w:p w14:paraId="1350B826"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4</w:t>
            </w:r>
          </w:p>
        </w:tc>
        <w:tc>
          <w:tcPr>
            <w:tcW w:w="678" w:type="pct"/>
            <w:tcBorders>
              <w:left w:val="single" w:sz="4" w:space="0" w:color="auto"/>
              <w:right w:val="single" w:sz="4" w:space="0" w:color="auto"/>
            </w:tcBorders>
            <w:shd w:val="clear" w:color="auto" w:fill="auto"/>
            <w:noWrap/>
          </w:tcPr>
          <w:p w14:paraId="1AB53291"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5</w:t>
            </w:r>
          </w:p>
        </w:tc>
        <w:tc>
          <w:tcPr>
            <w:tcW w:w="678" w:type="pct"/>
            <w:tcBorders>
              <w:left w:val="single" w:sz="4" w:space="0" w:color="auto"/>
            </w:tcBorders>
            <w:shd w:val="clear" w:color="auto" w:fill="auto"/>
            <w:noWrap/>
          </w:tcPr>
          <w:p w14:paraId="3461B753" w14:textId="77777777" w:rsidR="00594DA5" w:rsidRPr="00187B32" w:rsidRDefault="00594DA5" w:rsidP="001458FF">
            <w:pPr>
              <w:jc w:val="center"/>
              <w:rPr>
                <w:rFonts w:ascii="Arial Narrow" w:hAnsi="Arial Narrow"/>
                <w:b/>
                <w:bCs/>
                <w:sz w:val="20"/>
                <w:szCs w:val="20"/>
              </w:rPr>
            </w:pPr>
            <w:r w:rsidRPr="00187B32">
              <w:rPr>
                <w:rFonts w:ascii="Arial Narrow" w:hAnsi="Arial Narrow"/>
                <w:b/>
                <w:bCs/>
                <w:sz w:val="20"/>
                <w:szCs w:val="20"/>
              </w:rPr>
              <w:t>Year 6</w:t>
            </w:r>
          </w:p>
        </w:tc>
      </w:tr>
      <w:tr w:rsidR="00594DA5" w:rsidRPr="00187B32" w14:paraId="331B00B7" w14:textId="77777777" w:rsidTr="002F7DD2">
        <w:trPr>
          <w:trHeight w:val="219"/>
          <w:tblHeader/>
        </w:trPr>
        <w:tc>
          <w:tcPr>
            <w:tcW w:w="5000" w:type="pct"/>
            <w:gridSpan w:val="7"/>
            <w:shd w:val="clear" w:color="auto" w:fill="auto"/>
            <w:noWrap/>
            <w:vAlign w:val="center"/>
          </w:tcPr>
          <w:p w14:paraId="7E4EE102" w14:textId="77777777" w:rsidR="00594DA5" w:rsidRPr="00187B32" w:rsidRDefault="00594DA5" w:rsidP="003B236E">
            <w:pPr>
              <w:rPr>
                <w:rFonts w:ascii="Arial Narrow" w:hAnsi="Arial Narrow"/>
                <w:b/>
                <w:bCs/>
                <w:sz w:val="20"/>
                <w:szCs w:val="20"/>
              </w:rPr>
            </w:pPr>
            <w:r w:rsidRPr="00187B32">
              <w:rPr>
                <w:rFonts w:ascii="Arial Narrow" w:hAnsi="Arial Narrow"/>
                <w:b/>
                <w:bCs/>
                <w:sz w:val="20"/>
                <w:szCs w:val="20"/>
              </w:rPr>
              <w:t>Estimated extent of use</w:t>
            </w:r>
          </w:p>
        </w:tc>
      </w:tr>
      <w:tr w:rsidR="00594DA5" w:rsidRPr="00187B32" w14:paraId="7A2C2135" w14:textId="77777777" w:rsidTr="002F7DD2">
        <w:trPr>
          <w:trHeight w:val="265"/>
          <w:tblHeader/>
        </w:trPr>
        <w:tc>
          <w:tcPr>
            <w:tcW w:w="935" w:type="pct"/>
            <w:shd w:val="clear" w:color="auto" w:fill="auto"/>
            <w:noWrap/>
            <w:vAlign w:val="center"/>
          </w:tcPr>
          <w:p w14:paraId="2DF7310B" w14:textId="77777777" w:rsidR="00594DA5" w:rsidRDefault="00594DA5" w:rsidP="003B236E">
            <w:pPr>
              <w:jc w:val="left"/>
              <w:rPr>
                <w:rFonts w:ascii="Arial Narrow" w:hAnsi="Arial Narrow"/>
                <w:sz w:val="20"/>
                <w:szCs w:val="20"/>
              </w:rPr>
            </w:pPr>
            <w:r>
              <w:rPr>
                <w:rFonts w:ascii="Arial Narrow" w:hAnsi="Arial Narrow"/>
                <w:sz w:val="20"/>
                <w:szCs w:val="20"/>
              </w:rPr>
              <w:t>Number of patients with HFEM</w:t>
            </w:r>
          </w:p>
        </w:tc>
        <w:tc>
          <w:tcPr>
            <w:tcW w:w="677" w:type="pct"/>
            <w:shd w:val="clear" w:color="auto" w:fill="auto"/>
            <w:noWrap/>
            <w:vAlign w:val="center"/>
          </w:tcPr>
          <w:p w14:paraId="7F212E30" w14:textId="41541666" w:rsidR="00594DA5" w:rsidRPr="001C13C0" w:rsidRDefault="007A29C8" w:rsidP="00853F5B">
            <w:pPr>
              <w:jc w:val="center"/>
              <w:rPr>
                <w:rFonts w:ascii="Arial Narrow" w:hAnsi="Arial Narrow"/>
                <w:sz w:val="20"/>
                <w:szCs w:val="20"/>
                <w:vertAlign w:val="superscript"/>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1C13C0">
              <w:rPr>
                <w:rFonts w:ascii="Arial Narrow" w:hAnsi="Arial Narrow"/>
                <w:sz w:val="20"/>
                <w:szCs w:val="20"/>
                <w:vertAlign w:val="superscript"/>
              </w:rPr>
              <w:t>1</w:t>
            </w:r>
          </w:p>
        </w:tc>
        <w:tc>
          <w:tcPr>
            <w:tcW w:w="678" w:type="pct"/>
            <w:shd w:val="clear" w:color="auto" w:fill="auto"/>
            <w:noWrap/>
            <w:vAlign w:val="center"/>
          </w:tcPr>
          <w:p w14:paraId="36F5D44F" w14:textId="39E1B2A8"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1C13C0">
              <w:rPr>
                <w:rFonts w:ascii="Arial Narrow" w:hAnsi="Arial Narrow"/>
                <w:sz w:val="20"/>
                <w:szCs w:val="20"/>
                <w:vertAlign w:val="superscript"/>
              </w:rPr>
              <w:t>1</w:t>
            </w:r>
          </w:p>
        </w:tc>
        <w:tc>
          <w:tcPr>
            <w:tcW w:w="678" w:type="pct"/>
            <w:shd w:val="clear" w:color="auto" w:fill="auto"/>
            <w:noWrap/>
            <w:vAlign w:val="center"/>
          </w:tcPr>
          <w:p w14:paraId="0FDEB1B2" w14:textId="78BD78B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1</w:t>
            </w:r>
          </w:p>
        </w:tc>
        <w:tc>
          <w:tcPr>
            <w:tcW w:w="677" w:type="pct"/>
            <w:shd w:val="clear" w:color="auto" w:fill="auto"/>
            <w:noWrap/>
            <w:vAlign w:val="center"/>
          </w:tcPr>
          <w:p w14:paraId="6D53A8B7" w14:textId="18D625B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sidRPr="00C3190A">
              <w:rPr>
                <w:rFonts w:ascii="Arial Narrow" w:hAnsi="Arial Narrow"/>
                <w:sz w:val="20"/>
                <w:szCs w:val="20"/>
                <w:vertAlign w:val="superscript"/>
              </w:rPr>
              <w:t>1</w:t>
            </w:r>
          </w:p>
        </w:tc>
        <w:tc>
          <w:tcPr>
            <w:tcW w:w="678" w:type="pct"/>
            <w:shd w:val="clear" w:color="auto" w:fill="auto"/>
            <w:noWrap/>
            <w:vAlign w:val="center"/>
          </w:tcPr>
          <w:p w14:paraId="3D7C7761" w14:textId="0FFB9087"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1</w:t>
            </w:r>
          </w:p>
        </w:tc>
        <w:tc>
          <w:tcPr>
            <w:tcW w:w="678" w:type="pct"/>
            <w:shd w:val="clear" w:color="auto" w:fill="auto"/>
            <w:noWrap/>
            <w:vAlign w:val="center"/>
          </w:tcPr>
          <w:p w14:paraId="6AFCAAAA" w14:textId="55898AAD" w:rsidR="00594DA5" w:rsidRPr="00C3190A"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sidRPr="00C3190A">
              <w:rPr>
                <w:rFonts w:ascii="Arial Narrow" w:hAnsi="Arial Narrow"/>
                <w:sz w:val="20"/>
                <w:szCs w:val="20"/>
                <w:vertAlign w:val="superscript"/>
              </w:rPr>
              <w:t>1</w:t>
            </w:r>
          </w:p>
        </w:tc>
      </w:tr>
      <w:tr w:rsidR="00594DA5" w:rsidRPr="00187B32" w14:paraId="42346868" w14:textId="77777777" w:rsidTr="002F7DD2">
        <w:trPr>
          <w:trHeight w:val="265"/>
          <w:tblHeader/>
        </w:trPr>
        <w:tc>
          <w:tcPr>
            <w:tcW w:w="935" w:type="pct"/>
            <w:shd w:val="clear" w:color="auto" w:fill="auto"/>
            <w:noWrap/>
            <w:vAlign w:val="center"/>
          </w:tcPr>
          <w:p w14:paraId="0A02EC5D" w14:textId="77777777" w:rsidR="00594DA5" w:rsidRDefault="00594DA5" w:rsidP="003B236E">
            <w:pPr>
              <w:jc w:val="left"/>
              <w:rPr>
                <w:rFonts w:ascii="Arial Narrow" w:hAnsi="Arial Narrow"/>
                <w:sz w:val="20"/>
                <w:szCs w:val="20"/>
              </w:rPr>
            </w:pPr>
            <w:r>
              <w:rPr>
                <w:rFonts w:ascii="Arial Narrow" w:hAnsi="Arial Narrow"/>
                <w:sz w:val="20"/>
                <w:szCs w:val="20"/>
              </w:rPr>
              <w:t>Number of patients with HFEM eligible for treatment (12%)</w:t>
            </w:r>
          </w:p>
        </w:tc>
        <w:tc>
          <w:tcPr>
            <w:tcW w:w="677" w:type="pct"/>
            <w:shd w:val="clear" w:color="auto" w:fill="auto"/>
            <w:noWrap/>
            <w:vAlign w:val="center"/>
          </w:tcPr>
          <w:p w14:paraId="2D3253E0" w14:textId="0B659678"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sidRPr="002F7DD2">
              <w:rPr>
                <w:rFonts w:ascii="Arial Narrow" w:hAnsi="Arial Narrow"/>
                <w:sz w:val="20"/>
                <w:szCs w:val="20"/>
                <w:vertAlign w:val="superscript"/>
              </w:rPr>
              <w:t>2</w:t>
            </w:r>
          </w:p>
        </w:tc>
        <w:tc>
          <w:tcPr>
            <w:tcW w:w="678" w:type="pct"/>
            <w:shd w:val="clear" w:color="auto" w:fill="auto"/>
            <w:noWrap/>
            <w:vAlign w:val="center"/>
          </w:tcPr>
          <w:p w14:paraId="7EC872AA" w14:textId="6EC3299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2</w:t>
            </w:r>
          </w:p>
        </w:tc>
        <w:tc>
          <w:tcPr>
            <w:tcW w:w="678" w:type="pct"/>
            <w:shd w:val="clear" w:color="auto" w:fill="auto"/>
            <w:noWrap/>
            <w:vAlign w:val="center"/>
          </w:tcPr>
          <w:p w14:paraId="6AE3F019" w14:textId="545DCD02"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7" w:type="pct"/>
            <w:shd w:val="clear" w:color="auto" w:fill="auto"/>
            <w:noWrap/>
            <w:vAlign w:val="center"/>
          </w:tcPr>
          <w:p w14:paraId="457ED12A" w14:textId="74C1733A"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8" w:type="pct"/>
            <w:shd w:val="clear" w:color="auto" w:fill="auto"/>
            <w:noWrap/>
            <w:vAlign w:val="center"/>
          </w:tcPr>
          <w:p w14:paraId="2D2B0942" w14:textId="3C09D5AB"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8" w:type="pct"/>
            <w:shd w:val="clear" w:color="auto" w:fill="auto"/>
            <w:noWrap/>
            <w:vAlign w:val="center"/>
          </w:tcPr>
          <w:p w14:paraId="670EEA03" w14:textId="42D153C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r>
      <w:tr w:rsidR="00594DA5" w:rsidRPr="00187B32" w14:paraId="20AF85A5" w14:textId="77777777" w:rsidTr="002F7DD2">
        <w:trPr>
          <w:trHeight w:val="265"/>
          <w:tblHeader/>
        </w:trPr>
        <w:tc>
          <w:tcPr>
            <w:tcW w:w="935" w:type="pct"/>
            <w:shd w:val="clear" w:color="auto" w:fill="auto"/>
            <w:noWrap/>
            <w:vAlign w:val="center"/>
          </w:tcPr>
          <w:p w14:paraId="6F962629" w14:textId="77777777" w:rsidR="00594DA5" w:rsidRDefault="00594DA5" w:rsidP="003B236E">
            <w:pPr>
              <w:jc w:val="left"/>
              <w:rPr>
                <w:rFonts w:ascii="Arial Narrow" w:hAnsi="Arial Narrow"/>
                <w:sz w:val="20"/>
                <w:szCs w:val="20"/>
              </w:rPr>
            </w:pPr>
            <w:r>
              <w:rPr>
                <w:rFonts w:ascii="Arial Narrow" w:hAnsi="Arial Narrow"/>
                <w:sz w:val="20"/>
                <w:szCs w:val="20"/>
              </w:rPr>
              <w:t>Cumulative Uptake rate</w:t>
            </w:r>
          </w:p>
        </w:tc>
        <w:tc>
          <w:tcPr>
            <w:tcW w:w="677" w:type="pct"/>
            <w:shd w:val="clear" w:color="auto" w:fill="auto"/>
            <w:noWrap/>
            <w:vAlign w:val="center"/>
          </w:tcPr>
          <w:p w14:paraId="6E42DE90" w14:textId="7802A896"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c>
          <w:tcPr>
            <w:tcW w:w="678" w:type="pct"/>
            <w:shd w:val="clear" w:color="auto" w:fill="auto"/>
            <w:noWrap/>
            <w:vAlign w:val="center"/>
          </w:tcPr>
          <w:p w14:paraId="16613B44" w14:textId="552E40C7"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c>
          <w:tcPr>
            <w:tcW w:w="678" w:type="pct"/>
            <w:shd w:val="clear" w:color="auto" w:fill="auto"/>
            <w:noWrap/>
            <w:vAlign w:val="center"/>
          </w:tcPr>
          <w:p w14:paraId="2B2B6A69" w14:textId="49E76785"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c>
          <w:tcPr>
            <w:tcW w:w="677" w:type="pct"/>
            <w:shd w:val="clear" w:color="auto" w:fill="auto"/>
            <w:noWrap/>
            <w:vAlign w:val="center"/>
          </w:tcPr>
          <w:p w14:paraId="3B9DF54B" w14:textId="4983991E"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c>
          <w:tcPr>
            <w:tcW w:w="678" w:type="pct"/>
            <w:shd w:val="clear" w:color="auto" w:fill="auto"/>
            <w:noWrap/>
            <w:vAlign w:val="center"/>
          </w:tcPr>
          <w:p w14:paraId="35D80C19" w14:textId="42FB701D"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c>
          <w:tcPr>
            <w:tcW w:w="678" w:type="pct"/>
            <w:shd w:val="clear" w:color="auto" w:fill="auto"/>
            <w:noWrap/>
            <w:vAlign w:val="center"/>
          </w:tcPr>
          <w:p w14:paraId="3C54EA5B" w14:textId="182770FB" w:rsidR="00594DA5" w:rsidRPr="00130995"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594DA5" w:rsidRPr="00130995">
              <w:rPr>
                <w:rFonts w:ascii="Arial Narrow" w:hAnsi="Arial Narrow"/>
                <w:sz w:val="20"/>
                <w:szCs w:val="20"/>
              </w:rPr>
              <w:t>%</w:t>
            </w:r>
          </w:p>
        </w:tc>
      </w:tr>
      <w:tr w:rsidR="00594DA5" w:rsidRPr="00187B32" w14:paraId="525C840A" w14:textId="77777777" w:rsidTr="002F7DD2">
        <w:trPr>
          <w:trHeight w:val="265"/>
          <w:tblHeader/>
        </w:trPr>
        <w:tc>
          <w:tcPr>
            <w:tcW w:w="935" w:type="pct"/>
            <w:shd w:val="clear" w:color="auto" w:fill="auto"/>
            <w:noWrap/>
            <w:vAlign w:val="center"/>
          </w:tcPr>
          <w:p w14:paraId="08A6C397" w14:textId="77777777" w:rsidR="00594DA5" w:rsidRPr="00187B32" w:rsidRDefault="00594DA5" w:rsidP="003B236E">
            <w:pPr>
              <w:jc w:val="left"/>
              <w:rPr>
                <w:rFonts w:ascii="Arial Narrow" w:hAnsi="Arial Narrow"/>
                <w:sz w:val="20"/>
                <w:szCs w:val="20"/>
              </w:rPr>
            </w:pPr>
            <w:r>
              <w:rPr>
                <w:rFonts w:ascii="Arial Narrow" w:hAnsi="Arial Narrow"/>
                <w:sz w:val="20"/>
                <w:szCs w:val="20"/>
              </w:rPr>
              <w:t>Number of patients initiating treatment</w:t>
            </w:r>
          </w:p>
        </w:tc>
        <w:tc>
          <w:tcPr>
            <w:tcW w:w="6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A37A0" w14:textId="27FF32E3"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1D249858" w14:textId="7BA39146"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1FF529AF" w14:textId="61951C75"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5</w:t>
            </w:r>
          </w:p>
        </w:tc>
        <w:tc>
          <w:tcPr>
            <w:tcW w:w="677" w:type="pct"/>
            <w:tcBorders>
              <w:top w:val="single" w:sz="4" w:space="0" w:color="auto"/>
              <w:left w:val="nil"/>
              <w:bottom w:val="single" w:sz="4" w:space="0" w:color="auto"/>
              <w:right w:val="single" w:sz="4" w:space="0" w:color="auto"/>
            </w:tcBorders>
            <w:shd w:val="clear" w:color="auto" w:fill="auto"/>
            <w:noWrap/>
            <w:vAlign w:val="center"/>
          </w:tcPr>
          <w:p w14:paraId="1B4CE905" w14:textId="74D770E0"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5</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709416C1" w14:textId="7A0878FE"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5</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7C39D991" w14:textId="1721A6AE" w:rsidR="00594DA5" w:rsidRPr="00060BC0"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5</w:t>
            </w:r>
          </w:p>
        </w:tc>
      </w:tr>
      <w:tr w:rsidR="00594DA5" w:rsidRPr="00187B32" w14:paraId="5999F1CB" w14:textId="77777777" w:rsidTr="002F7DD2">
        <w:trPr>
          <w:trHeight w:val="265"/>
          <w:tblHeader/>
        </w:trPr>
        <w:tc>
          <w:tcPr>
            <w:tcW w:w="935" w:type="pct"/>
            <w:shd w:val="clear" w:color="auto" w:fill="auto"/>
            <w:noWrap/>
            <w:vAlign w:val="center"/>
          </w:tcPr>
          <w:p w14:paraId="424250EB" w14:textId="77777777" w:rsidR="00594DA5" w:rsidRPr="00187B32" w:rsidRDefault="00594DA5" w:rsidP="003B236E">
            <w:pPr>
              <w:jc w:val="left"/>
              <w:rPr>
                <w:rFonts w:ascii="Arial Narrow" w:hAnsi="Arial Narrow"/>
                <w:sz w:val="20"/>
                <w:szCs w:val="20"/>
              </w:rPr>
            </w:pPr>
            <w:r>
              <w:rPr>
                <w:rFonts w:ascii="Arial Narrow" w:hAnsi="Arial Narrow"/>
                <w:sz w:val="20"/>
                <w:szCs w:val="20"/>
              </w:rPr>
              <w:t>Continuing patients</w:t>
            </w:r>
          </w:p>
        </w:tc>
        <w:tc>
          <w:tcPr>
            <w:tcW w:w="677" w:type="pct"/>
            <w:shd w:val="clear" w:color="auto" w:fill="auto"/>
            <w:noWrap/>
            <w:vAlign w:val="center"/>
          </w:tcPr>
          <w:p w14:paraId="052726AF" w14:textId="1EC56EE4"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5</w:t>
            </w:r>
          </w:p>
        </w:tc>
        <w:tc>
          <w:tcPr>
            <w:tcW w:w="678" w:type="pct"/>
            <w:shd w:val="clear" w:color="auto" w:fill="auto"/>
            <w:noWrap/>
            <w:vAlign w:val="center"/>
          </w:tcPr>
          <w:p w14:paraId="4A03BCD9" w14:textId="746B02C7"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8" w:type="pct"/>
            <w:shd w:val="clear" w:color="auto" w:fill="auto"/>
            <w:noWrap/>
            <w:vAlign w:val="center"/>
          </w:tcPr>
          <w:p w14:paraId="0C70B04B" w14:textId="2595282C"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7" w:type="pct"/>
            <w:shd w:val="clear" w:color="auto" w:fill="auto"/>
            <w:noWrap/>
            <w:vAlign w:val="center"/>
          </w:tcPr>
          <w:p w14:paraId="5A27F075" w14:textId="3B00EC31" w:rsidR="00594DA5" w:rsidRPr="00C3190A"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sidRPr="00C3190A">
              <w:rPr>
                <w:rFonts w:ascii="Arial Narrow" w:hAnsi="Arial Narrow"/>
                <w:sz w:val="20"/>
                <w:szCs w:val="20"/>
                <w:vertAlign w:val="superscript"/>
              </w:rPr>
              <w:t>4</w:t>
            </w:r>
          </w:p>
        </w:tc>
        <w:tc>
          <w:tcPr>
            <w:tcW w:w="678" w:type="pct"/>
            <w:shd w:val="clear" w:color="auto" w:fill="auto"/>
            <w:noWrap/>
            <w:vAlign w:val="center"/>
          </w:tcPr>
          <w:p w14:paraId="49408FB8" w14:textId="78C35AE7"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6</w:t>
            </w:r>
          </w:p>
        </w:tc>
        <w:tc>
          <w:tcPr>
            <w:tcW w:w="678" w:type="pct"/>
            <w:shd w:val="clear" w:color="auto" w:fill="auto"/>
            <w:noWrap/>
            <w:vAlign w:val="center"/>
          </w:tcPr>
          <w:p w14:paraId="4CD6702B" w14:textId="4CBC1E99"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6</w:t>
            </w:r>
          </w:p>
        </w:tc>
      </w:tr>
      <w:tr w:rsidR="00594DA5" w:rsidRPr="00187B32" w14:paraId="4041095B" w14:textId="77777777" w:rsidTr="002F7DD2">
        <w:trPr>
          <w:trHeight w:val="265"/>
          <w:tblHeader/>
        </w:trPr>
        <w:tc>
          <w:tcPr>
            <w:tcW w:w="935" w:type="pct"/>
            <w:shd w:val="clear" w:color="auto" w:fill="auto"/>
            <w:noWrap/>
          </w:tcPr>
          <w:p w14:paraId="2B19D0A6" w14:textId="7EB0AD60" w:rsidR="00594DA5" w:rsidRDefault="00594DA5" w:rsidP="00594DA5">
            <w:pPr>
              <w:jc w:val="left"/>
              <w:rPr>
                <w:rFonts w:ascii="Arial Narrow" w:hAnsi="Arial Narrow"/>
                <w:sz w:val="20"/>
                <w:szCs w:val="20"/>
              </w:rPr>
            </w:pPr>
            <w:r w:rsidRPr="00594DA5">
              <w:rPr>
                <w:rFonts w:ascii="Arial Narrow" w:hAnsi="Arial Narrow"/>
                <w:sz w:val="20"/>
                <w:szCs w:val="20"/>
              </w:rPr>
              <w:t>Initiating</w:t>
            </w:r>
            <w:r>
              <w:rPr>
                <w:rFonts w:ascii="Arial Narrow" w:hAnsi="Arial Narrow"/>
                <w:sz w:val="20"/>
                <w:szCs w:val="20"/>
              </w:rPr>
              <w:t xml:space="preserve"> (Monthly scripts)</w:t>
            </w:r>
          </w:p>
        </w:tc>
        <w:tc>
          <w:tcPr>
            <w:tcW w:w="677" w:type="pct"/>
            <w:shd w:val="clear" w:color="auto" w:fill="auto"/>
            <w:noWrap/>
            <w:vAlign w:val="center"/>
          </w:tcPr>
          <w:p w14:paraId="18662DC0" w14:textId="17494C2E"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2</w:t>
            </w:r>
          </w:p>
        </w:tc>
        <w:tc>
          <w:tcPr>
            <w:tcW w:w="678" w:type="pct"/>
            <w:shd w:val="clear" w:color="auto" w:fill="auto"/>
            <w:noWrap/>
            <w:vAlign w:val="center"/>
          </w:tcPr>
          <w:p w14:paraId="22F5DE84" w14:textId="293E0FC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2</w:t>
            </w:r>
          </w:p>
        </w:tc>
        <w:tc>
          <w:tcPr>
            <w:tcW w:w="678" w:type="pct"/>
            <w:shd w:val="clear" w:color="auto" w:fill="auto"/>
            <w:noWrap/>
            <w:vAlign w:val="center"/>
          </w:tcPr>
          <w:p w14:paraId="4D663788" w14:textId="233DE775"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7" w:type="pct"/>
            <w:shd w:val="clear" w:color="auto" w:fill="auto"/>
            <w:noWrap/>
            <w:vAlign w:val="center"/>
          </w:tcPr>
          <w:p w14:paraId="656D447B" w14:textId="7B2B846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8" w:type="pct"/>
            <w:shd w:val="clear" w:color="auto" w:fill="auto"/>
            <w:noWrap/>
            <w:vAlign w:val="center"/>
          </w:tcPr>
          <w:p w14:paraId="2BE907FD" w14:textId="37E9F44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c>
          <w:tcPr>
            <w:tcW w:w="678" w:type="pct"/>
            <w:shd w:val="clear" w:color="auto" w:fill="auto"/>
            <w:noWrap/>
            <w:vAlign w:val="center"/>
          </w:tcPr>
          <w:p w14:paraId="25E43E91" w14:textId="201C802D"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4</w:t>
            </w:r>
          </w:p>
        </w:tc>
      </w:tr>
      <w:tr w:rsidR="00594DA5" w:rsidRPr="00187B32" w14:paraId="5AC0C6DF" w14:textId="77777777" w:rsidTr="002F7DD2">
        <w:trPr>
          <w:trHeight w:val="265"/>
          <w:tblHeader/>
        </w:trPr>
        <w:tc>
          <w:tcPr>
            <w:tcW w:w="935" w:type="pct"/>
            <w:shd w:val="clear" w:color="auto" w:fill="auto"/>
            <w:noWrap/>
          </w:tcPr>
          <w:p w14:paraId="53E4C790" w14:textId="295E558E" w:rsidR="00594DA5" w:rsidRDefault="00594DA5" w:rsidP="00594DA5">
            <w:pPr>
              <w:jc w:val="left"/>
              <w:rPr>
                <w:rFonts w:ascii="Arial Narrow" w:hAnsi="Arial Narrow"/>
                <w:sz w:val="20"/>
                <w:szCs w:val="20"/>
              </w:rPr>
            </w:pPr>
            <w:r w:rsidRPr="00594DA5">
              <w:rPr>
                <w:rFonts w:ascii="Arial Narrow" w:hAnsi="Arial Narrow"/>
                <w:sz w:val="20"/>
                <w:szCs w:val="20"/>
              </w:rPr>
              <w:t>Continuing</w:t>
            </w:r>
            <w:r>
              <w:rPr>
                <w:rFonts w:ascii="Arial Narrow" w:hAnsi="Arial Narrow"/>
                <w:sz w:val="20"/>
                <w:szCs w:val="20"/>
              </w:rPr>
              <w:t xml:space="preserve"> (Quarterly scripts)</w:t>
            </w:r>
          </w:p>
        </w:tc>
        <w:tc>
          <w:tcPr>
            <w:tcW w:w="677" w:type="pct"/>
            <w:shd w:val="clear" w:color="auto" w:fill="auto"/>
            <w:noWrap/>
            <w:vAlign w:val="center"/>
          </w:tcPr>
          <w:p w14:paraId="0AC8C5BE" w14:textId="368B00AE"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6</w:t>
            </w:r>
          </w:p>
        </w:tc>
        <w:tc>
          <w:tcPr>
            <w:tcW w:w="678" w:type="pct"/>
            <w:shd w:val="clear" w:color="auto" w:fill="auto"/>
            <w:noWrap/>
            <w:vAlign w:val="center"/>
          </w:tcPr>
          <w:p w14:paraId="5356C91D" w14:textId="51348DF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sidRPr="002F7DD2">
              <w:rPr>
                <w:rFonts w:ascii="Arial Narrow" w:hAnsi="Arial Narrow"/>
                <w:sz w:val="20"/>
                <w:szCs w:val="20"/>
                <w:vertAlign w:val="superscript"/>
              </w:rPr>
              <w:t>2</w:t>
            </w:r>
          </w:p>
        </w:tc>
        <w:tc>
          <w:tcPr>
            <w:tcW w:w="678" w:type="pct"/>
            <w:shd w:val="clear" w:color="auto" w:fill="auto"/>
            <w:noWrap/>
            <w:vAlign w:val="center"/>
          </w:tcPr>
          <w:p w14:paraId="436E3520" w14:textId="7EDFA61F"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7" w:type="pct"/>
            <w:shd w:val="clear" w:color="auto" w:fill="auto"/>
            <w:noWrap/>
            <w:vAlign w:val="center"/>
          </w:tcPr>
          <w:p w14:paraId="75F8F36C" w14:textId="2FBD3BE9"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8" w:type="pct"/>
            <w:shd w:val="clear" w:color="auto" w:fill="auto"/>
            <w:noWrap/>
            <w:vAlign w:val="center"/>
          </w:tcPr>
          <w:p w14:paraId="6A9F7E87" w14:textId="0229789C"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7</w:t>
            </w:r>
          </w:p>
        </w:tc>
        <w:tc>
          <w:tcPr>
            <w:tcW w:w="678" w:type="pct"/>
            <w:shd w:val="clear" w:color="auto" w:fill="auto"/>
            <w:noWrap/>
            <w:vAlign w:val="center"/>
          </w:tcPr>
          <w:p w14:paraId="03C5EA79" w14:textId="38C6DE1F"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7</w:t>
            </w:r>
          </w:p>
        </w:tc>
      </w:tr>
      <w:tr w:rsidR="00594DA5" w:rsidRPr="00187B32" w14:paraId="1625F426" w14:textId="77777777" w:rsidTr="002F7DD2">
        <w:trPr>
          <w:trHeight w:val="265"/>
          <w:tblHeader/>
        </w:trPr>
        <w:tc>
          <w:tcPr>
            <w:tcW w:w="935" w:type="pct"/>
            <w:shd w:val="clear" w:color="auto" w:fill="auto"/>
            <w:noWrap/>
            <w:vAlign w:val="center"/>
          </w:tcPr>
          <w:p w14:paraId="01DDE03A" w14:textId="77777777" w:rsidR="00594DA5" w:rsidRPr="00187B32" w:rsidRDefault="00594DA5" w:rsidP="003B236E">
            <w:pPr>
              <w:jc w:val="left"/>
              <w:rPr>
                <w:rFonts w:ascii="Arial Narrow" w:hAnsi="Arial Narrow"/>
                <w:sz w:val="20"/>
                <w:szCs w:val="20"/>
              </w:rPr>
            </w:pPr>
            <w:r w:rsidRPr="00187B32">
              <w:rPr>
                <w:rFonts w:ascii="Arial Narrow" w:hAnsi="Arial Narrow"/>
                <w:sz w:val="20"/>
                <w:szCs w:val="20"/>
              </w:rPr>
              <w:t>Scripts dispensed</w:t>
            </w:r>
            <w:r w:rsidRPr="00187B32">
              <w:rPr>
                <w:rFonts w:ascii="Arial Narrow" w:hAnsi="Arial Narrow"/>
                <w:sz w:val="20"/>
                <w:szCs w:val="20"/>
                <w:vertAlign w:val="superscript"/>
              </w:rPr>
              <w:t>a</w:t>
            </w:r>
          </w:p>
        </w:tc>
        <w:tc>
          <w:tcPr>
            <w:tcW w:w="677" w:type="pct"/>
            <w:shd w:val="clear" w:color="auto" w:fill="auto"/>
            <w:noWrap/>
            <w:vAlign w:val="center"/>
          </w:tcPr>
          <w:p w14:paraId="37EFBEA1" w14:textId="395D661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ED3DF4">
              <w:rPr>
                <w:rFonts w:ascii="Arial Narrow" w:hAnsi="Arial Narrow"/>
                <w:sz w:val="20"/>
                <w:szCs w:val="20"/>
                <w:vertAlign w:val="superscript"/>
              </w:rPr>
              <w:t>3</w:t>
            </w:r>
          </w:p>
        </w:tc>
        <w:tc>
          <w:tcPr>
            <w:tcW w:w="678" w:type="pct"/>
            <w:shd w:val="clear" w:color="auto" w:fill="auto"/>
            <w:noWrap/>
            <w:vAlign w:val="center"/>
          </w:tcPr>
          <w:p w14:paraId="0370EAC1" w14:textId="3DD77E1C"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7</w:t>
            </w:r>
          </w:p>
        </w:tc>
        <w:tc>
          <w:tcPr>
            <w:tcW w:w="678" w:type="pct"/>
            <w:shd w:val="clear" w:color="auto" w:fill="auto"/>
            <w:noWrap/>
            <w:vAlign w:val="center"/>
          </w:tcPr>
          <w:p w14:paraId="1DEAA470" w14:textId="261544A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7</w:t>
            </w:r>
          </w:p>
        </w:tc>
        <w:tc>
          <w:tcPr>
            <w:tcW w:w="677" w:type="pct"/>
            <w:shd w:val="clear" w:color="auto" w:fill="auto"/>
            <w:noWrap/>
            <w:vAlign w:val="center"/>
          </w:tcPr>
          <w:p w14:paraId="4DB32A9D" w14:textId="6C82A443"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7</w:t>
            </w:r>
          </w:p>
        </w:tc>
        <w:tc>
          <w:tcPr>
            <w:tcW w:w="678" w:type="pct"/>
            <w:shd w:val="clear" w:color="auto" w:fill="auto"/>
            <w:noWrap/>
            <w:vAlign w:val="center"/>
          </w:tcPr>
          <w:p w14:paraId="6D769F46" w14:textId="7A125E26"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8</w:t>
            </w:r>
          </w:p>
        </w:tc>
        <w:tc>
          <w:tcPr>
            <w:tcW w:w="678" w:type="pct"/>
            <w:shd w:val="clear" w:color="auto" w:fill="auto"/>
            <w:noWrap/>
            <w:vAlign w:val="center"/>
          </w:tcPr>
          <w:p w14:paraId="7AC94340" w14:textId="5C8F1E18"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8</w:t>
            </w:r>
          </w:p>
        </w:tc>
      </w:tr>
      <w:tr w:rsidR="00594DA5" w:rsidRPr="00187B32" w14:paraId="241EB984" w14:textId="77777777" w:rsidTr="002F7DD2">
        <w:trPr>
          <w:trHeight w:val="269"/>
          <w:tblHeader/>
        </w:trPr>
        <w:tc>
          <w:tcPr>
            <w:tcW w:w="5000" w:type="pct"/>
            <w:gridSpan w:val="7"/>
            <w:shd w:val="clear" w:color="auto" w:fill="auto"/>
            <w:noWrap/>
            <w:vAlign w:val="center"/>
            <w:hideMark/>
          </w:tcPr>
          <w:p w14:paraId="4914200F" w14:textId="77777777" w:rsidR="00594DA5" w:rsidRPr="00187B32" w:rsidRDefault="00594DA5" w:rsidP="003B236E">
            <w:pPr>
              <w:rPr>
                <w:rFonts w:ascii="Arial Narrow" w:hAnsi="Arial Narrow"/>
                <w:i/>
                <w:iCs/>
                <w:sz w:val="20"/>
                <w:szCs w:val="20"/>
              </w:rPr>
            </w:pPr>
            <w:r w:rsidRPr="00187B32">
              <w:rPr>
                <w:rFonts w:ascii="Arial Narrow" w:hAnsi="Arial Narrow"/>
                <w:b/>
                <w:bCs/>
                <w:sz w:val="20"/>
                <w:szCs w:val="20"/>
              </w:rPr>
              <w:t>Estimated financial implications of fremanezumab</w:t>
            </w:r>
          </w:p>
        </w:tc>
      </w:tr>
      <w:tr w:rsidR="00594DA5" w:rsidRPr="00187B32" w14:paraId="3B846D5C" w14:textId="77777777" w:rsidTr="002F7DD2">
        <w:trPr>
          <w:trHeight w:val="462"/>
          <w:tblHeader/>
        </w:trPr>
        <w:tc>
          <w:tcPr>
            <w:tcW w:w="935" w:type="pct"/>
            <w:shd w:val="clear" w:color="auto" w:fill="auto"/>
            <w:noWrap/>
            <w:vAlign w:val="center"/>
          </w:tcPr>
          <w:p w14:paraId="49BFBD2B" w14:textId="2D9D9C7E" w:rsidR="00594DA5" w:rsidRPr="00187B32" w:rsidRDefault="00594DA5" w:rsidP="003B236E">
            <w:pPr>
              <w:rPr>
                <w:rFonts w:ascii="Arial Narrow" w:hAnsi="Arial Narrow"/>
                <w:b/>
                <w:bCs/>
                <w:sz w:val="20"/>
                <w:szCs w:val="20"/>
              </w:rPr>
            </w:pPr>
            <w:bookmarkStart w:id="72" w:name="_Hlk113884113"/>
            <w:r w:rsidRPr="00187B32">
              <w:rPr>
                <w:rFonts w:ascii="Arial Narrow" w:hAnsi="Arial Narrow"/>
                <w:sz w:val="20"/>
                <w:szCs w:val="20"/>
              </w:rPr>
              <w:t>Cost to PBS/RPBS less copayments</w:t>
            </w:r>
            <w:bookmarkEnd w:id="72"/>
            <w:r w:rsidR="002F7DD2">
              <w:rPr>
                <w:rFonts w:ascii="Arial Narrow" w:hAnsi="Arial Narrow"/>
                <w:sz w:val="20"/>
                <w:szCs w:val="20"/>
              </w:rPr>
              <w:t xml:space="preserve"> ($)</w:t>
            </w:r>
          </w:p>
        </w:tc>
        <w:tc>
          <w:tcPr>
            <w:tcW w:w="677" w:type="pct"/>
            <w:shd w:val="clear" w:color="auto" w:fill="auto"/>
            <w:noWrap/>
            <w:vAlign w:val="center"/>
          </w:tcPr>
          <w:p w14:paraId="5BC8E7A5" w14:textId="291BB7FA" w:rsidR="00594DA5" w:rsidRPr="00853F5B" w:rsidRDefault="007A29C8" w:rsidP="00853F5B">
            <w:pPr>
              <w:jc w:val="center"/>
              <w:rPr>
                <w:rFonts w:ascii="Arial Narrow" w:hAnsi="Arial Narrow"/>
                <w:sz w:val="20"/>
                <w:szCs w:val="20"/>
                <w:vertAlign w:val="superscript"/>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9</w:t>
            </w:r>
          </w:p>
        </w:tc>
        <w:tc>
          <w:tcPr>
            <w:tcW w:w="678" w:type="pct"/>
            <w:shd w:val="clear" w:color="auto" w:fill="auto"/>
            <w:noWrap/>
            <w:vAlign w:val="center"/>
          </w:tcPr>
          <w:p w14:paraId="456B9AA7" w14:textId="0A61918A" w:rsidR="00594DA5" w:rsidRPr="002F7DD2" w:rsidRDefault="007A29C8" w:rsidP="00853F5B">
            <w:pPr>
              <w:jc w:val="center"/>
              <w:rPr>
                <w:rFonts w:ascii="Arial Narrow" w:hAnsi="Arial Narrow"/>
                <w:sz w:val="20"/>
                <w:szCs w:val="20"/>
                <w:highlight w:val="darkGray"/>
                <w:vertAlign w:val="superscript"/>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10</w:t>
            </w:r>
          </w:p>
        </w:tc>
        <w:tc>
          <w:tcPr>
            <w:tcW w:w="678" w:type="pct"/>
            <w:shd w:val="clear" w:color="auto" w:fill="auto"/>
            <w:noWrap/>
            <w:vAlign w:val="center"/>
          </w:tcPr>
          <w:p w14:paraId="4C18E038" w14:textId="354A1CC0"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10</w:t>
            </w:r>
          </w:p>
        </w:tc>
        <w:tc>
          <w:tcPr>
            <w:tcW w:w="677" w:type="pct"/>
            <w:shd w:val="clear" w:color="auto" w:fill="auto"/>
            <w:noWrap/>
            <w:vAlign w:val="center"/>
          </w:tcPr>
          <w:p w14:paraId="715E9F3B" w14:textId="149CC62B" w:rsidR="00594DA5" w:rsidRPr="002F7DD2"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10</w:t>
            </w:r>
          </w:p>
        </w:tc>
        <w:tc>
          <w:tcPr>
            <w:tcW w:w="678" w:type="pct"/>
            <w:shd w:val="clear" w:color="auto" w:fill="auto"/>
            <w:noWrap/>
            <w:vAlign w:val="center"/>
          </w:tcPr>
          <w:p w14:paraId="560F80EF" w14:textId="3D9B0B1A" w:rsidR="00594DA5" w:rsidRPr="002F7DD2"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11</w:t>
            </w:r>
          </w:p>
        </w:tc>
        <w:tc>
          <w:tcPr>
            <w:tcW w:w="678" w:type="pct"/>
            <w:shd w:val="clear" w:color="auto" w:fill="auto"/>
            <w:noWrap/>
            <w:vAlign w:val="center"/>
          </w:tcPr>
          <w:p w14:paraId="2BD23D3F" w14:textId="4B0E3BD2"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Pr>
                <w:rFonts w:ascii="Arial Narrow" w:hAnsi="Arial Narrow"/>
                <w:sz w:val="20"/>
                <w:szCs w:val="20"/>
                <w:vertAlign w:val="superscript"/>
              </w:rPr>
              <w:t>11</w:t>
            </w:r>
          </w:p>
        </w:tc>
      </w:tr>
      <w:tr w:rsidR="00594DA5" w:rsidRPr="00187B32" w14:paraId="4F66CFFE" w14:textId="77777777" w:rsidTr="002F7DD2">
        <w:trPr>
          <w:trHeight w:val="231"/>
          <w:tblHeader/>
        </w:trPr>
        <w:tc>
          <w:tcPr>
            <w:tcW w:w="935" w:type="pct"/>
            <w:shd w:val="clear" w:color="auto" w:fill="auto"/>
            <w:noWrap/>
            <w:vAlign w:val="center"/>
          </w:tcPr>
          <w:p w14:paraId="6264233C" w14:textId="69A4AF93" w:rsidR="00594DA5" w:rsidRPr="00187B32" w:rsidRDefault="00594DA5" w:rsidP="003B236E">
            <w:pPr>
              <w:rPr>
                <w:rFonts w:ascii="Arial Narrow" w:hAnsi="Arial Narrow"/>
                <w:sz w:val="20"/>
                <w:szCs w:val="20"/>
              </w:rPr>
            </w:pPr>
            <w:r>
              <w:rPr>
                <w:rFonts w:ascii="Arial Narrow" w:hAnsi="Arial Narrow"/>
                <w:sz w:val="20"/>
                <w:szCs w:val="20"/>
              </w:rPr>
              <w:t>MBS costs</w:t>
            </w:r>
            <w:r w:rsidRPr="00A2739B">
              <w:rPr>
                <w:rFonts w:ascii="Arial Narrow" w:hAnsi="Arial Narrow"/>
                <w:sz w:val="20"/>
                <w:szCs w:val="20"/>
                <w:vertAlign w:val="superscript"/>
              </w:rPr>
              <w:t>c</w:t>
            </w:r>
            <w:r w:rsidR="002F7DD2">
              <w:rPr>
                <w:rFonts w:ascii="Arial Narrow" w:hAnsi="Arial Narrow"/>
                <w:sz w:val="20"/>
                <w:szCs w:val="20"/>
              </w:rPr>
              <w:t xml:space="preserve"> ($)</w:t>
            </w:r>
          </w:p>
        </w:tc>
        <w:tc>
          <w:tcPr>
            <w:tcW w:w="677" w:type="pct"/>
            <w:shd w:val="clear" w:color="auto" w:fill="auto"/>
            <w:noWrap/>
            <w:vAlign w:val="center"/>
          </w:tcPr>
          <w:p w14:paraId="36A89335" w14:textId="3EF5A832"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8" w:type="pct"/>
            <w:shd w:val="clear" w:color="auto" w:fill="auto"/>
            <w:noWrap/>
            <w:vAlign w:val="center"/>
          </w:tcPr>
          <w:p w14:paraId="7C242CFF" w14:textId="3D51B647"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8" w:type="pct"/>
            <w:shd w:val="clear" w:color="auto" w:fill="auto"/>
            <w:noWrap/>
            <w:vAlign w:val="center"/>
          </w:tcPr>
          <w:p w14:paraId="12DF1D30" w14:textId="6421DB4D"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7" w:type="pct"/>
            <w:shd w:val="clear" w:color="auto" w:fill="auto"/>
            <w:noWrap/>
            <w:vAlign w:val="center"/>
          </w:tcPr>
          <w:p w14:paraId="146F794E" w14:textId="10D9EC3F"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8" w:type="pct"/>
            <w:shd w:val="clear" w:color="auto" w:fill="auto"/>
            <w:noWrap/>
            <w:vAlign w:val="center"/>
          </w:tcPr>
          <w:p w14:paraId="138D6806" w14:textId="1C8AC33B"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8" w:type="pct"/>
            <w:shd w:val="clear" w:color="auto" w:fill="auto"/>
            <w:noWrap/>
            <w:vAlign w:val="center"/>
          </w:tcPr>
          <w:p w14:paraId="32DC7AFB" w14:textId="4B0E3FF5"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r>
      <w:tr w:rsidR="00594DA5" w:rsidRPr="00187B32" w14:paraId="3900486B" w14:textId="77777777" w:rsidTr="002F7DD2">
        <w:trPr>
          <w:trHeight w:val="223"/>
          <w:tblHeader/>
        </w:trPr>
        <w:tc>
          <w:tcPr>
            <w:tcW w:w="5000" w:type="pct"/>
            <w:gridSpan w:val="7"/>
            <w:shd w:val="clear" w:color="auto" w:fill="auto"/>
            <w:noWrap/>
          </w:tcPr>
          <w:p w14:paraId="364610D3" w14:textId="77777777" w:rsidR="00594DA5" w:rsidRPr="00187B32" w:rsidRDefault="00594DA5" w:rsidP="003B236E">
            <w:pPr>
              <w:rPr>
                <w:rFonts w:ascii="Arial Narrow" w:hAnsi="Arial Narrow"/>
                <w:sz w:val="20"/>
                <w:szCs w:val="20"/>
              </w:rPr>
            </w:pPr>
            <w:r w:rsidRPr="00187B32">
              <w:rPr>
                <w:rFonts w:ascii="Arial Narrow" w:hAnsi="Arial Narrow"/>
                <w:b/>
                <w:sz w:val="20"/>
                <w:szCs w:val="20"/>
              </w:rPr>
              <w:t>Estimated financial implications of galcanezumab</w:t>
            </w:r>
          </w:p>
        </w:tc>
      </w:tr>
      <w:tr w:rsidR="00594DA5" w:rsidRPr="00187B32" w14:paraId="61D3C5DE" w14:textId="77777777" w:rsidTr="002F7DD2">
        <w:trPr>
          <w:trHeight w:val="794"/>
          <w:tblHeader/>
        </w:trPr>
        <w:tc>
          <w:tcPr>
            <w:tcW w:w="935" w:type="pct"/>
            <w:shd w:val="clear" w:color="auto" w:fill="auto"/>
            <w:noWrap/>
            <w:vAlign w:val="center"/>
          </w:tcPr>
          <w:p w14:paraId="5AE6FB93" w14:textId="56A2E311" w:rsidR="00594DA5" w:rsidRPr="00187B32" w:rsidRDefault="00594DA5" w:rsidP="001C13C0">
            <w:pPr>
              <w:jc w:val="left"/>
              <w:rPr>
                <w:rFonts w:ascii="Arial Narrow" w:hAnsi="Arial Narrow"/>
                <w:bCs/>
                <w:sz w:val="20"/>
                <w:szCs w:val="20"/>
              </w:rPr>
            </w:pPr>
            <w:r w:rsidRPr="00187B32">
              <w:rPr>
                <w:rFonts w:ascii="Arial Narrow" w:hAnsi="Arial Narrow"/>
                <w:bCs/>
                <w:sz w:val="20"/>
                <w:szCs w:val="20"/>
              </w:rPr>
              <w:t xml:space="preserve">Total net savings of replacing </w:t>
            </w:r>
            <w:r w:rsidR="001C13C0">
              <w:rPr>
                <w:rFonts w:ascii="Arial Narrow" w:hAnsi="Arial Narrow"/>
                <w:bCs/>
                <w:sz w:val="20"/>
                <w:szCs w:val="20"/>
              </w:rPr>
              <w:t>GALC</w:t>
            </w:r>
            <w:r w:rsidR="001C13C0" w:rsidRPr="00187B32">
              <w:rPr>
                <w:rFonts w:ascii="Arial Narrow" w:hAnsi="Arial Narrow"/>
                <w:bCs/>
                <w:sz w:val="20"/>
                <w:szCs w:val="20"/>
              </w:rPr>
              <w:t xml:space="preserve"> </w:t>
            </w:r>
            <w:r w:rsidRPr="00187B32">
              <w:rPr>
                <w:rFonts w:ascii="Arial Narrow" w:hAnsi="Arial Narrow"/>
                <w:bCs/>
                <w:sz w:val="20"/>
                <w:szCs w:val="20"/>
              </w:rPr>
              <w:t>(</w:t>
            </w:r>
            <w:r w:rsidR="001C13C0">
              <w:rPr>
                <w:rFonts w:ascii="Arial Narrow" w:hAnsi="Arial Narrow"/>
                <w:bCs/>
                <w:sz w:val="20"/>
                <w:szCs w:val="20"/>
              </w:rPr>
              <w:t xml:space="preserve">less </w:t>
            </w:r>
            <w:r w:rsidRPr="00187B32">
              <w:rPr>
                <w:rFonts w:ascii="Arial Narrow" w:hAnsi="Arial Narrow"/>
                <w:bCs/>
                <w:sz w:val="20"/>
                <w:szCs w:val="20"/>
              </w:rPr>
              <w:t>copay</w:t>
            </w:r>
            <w:r w:rsidR="00342B98">
              <w:rPr>
                <w:rFonts w:ascii="Arial Narrow" w:hAnsi="Arial Narrow"/>
                <w:bCs/>
                <w:sz w:val="20"/>
                <w:szCs w:val="20"/>
              </w:rPr>
              <w:t>ment</w:t>
            </w:r>
            <w:r w:rsidR="001C13C0">
              <w:rPr>
                <w:rFonts w:ascii="Arial Narrow" w:hAnsi="Arial Narrow"/>
                <w:bCs/>
                <w:sz w:val="20"/>
                <w:szCs w:val="20"/>
              </w:rPr>
              <w:t>s</w:t>
            </w:r>
            <w:r w:rsidRPr="00187B32">
              <w:rPr>
                <w:rFonts w:ascii="Arial Narrow" w:hAnsi="Arial Narrow"/>
                <w:bCs/>
                <w:sz w:val="20"/>
                <w:szCs w:val="20"/>
              </w:rPr>
              <w:t>)</w:t>
            </w:r>
            <w:r w:rsidR="002F7DD2">
              <w:rPr>
                <w:rFonts w:ascii="Arial Narrow" w:hAnsi="Arial Narrow"/>
                <w:sz w:val="20"/>
                <w:szCs w:val="20"/>
              </w:rPr>
              <w:t xml:space="preserve"> ($)</w:t>
            </w:r>
          </w:p>
        </w:tc>
        <w:tc>
          <w:tcPr>
            <w:tcW w:w="677" w:type="pct"/>
            <w:shd w:val="clear" w:color="auto" w:fill="auto"/>
            <w:noWrap/>
            <w:vAlign w:val="center"/>
          </w:tcPr>
          <w:p w14:paraId="6A4E13E9" w14:textId="3CE0F298" w:rsidR="00594DA5" w:rsidRPr="002F7DD2"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13</w:t>
            </w:r>
          </w:p>
        </w:tc>
        <w:tc>
          <w:tcPr>
            <w:tcW w:w="678" w:type="pct"/>
            <w:shd w:val="clear" w:color="auto" w:fill="auto"/>
            <w:noWrap/>
            <w:vAlign w:val="center"/>
          </w:tcPr>
          <w:p w14:paraId="505EC5DC" w14:textId="35F3B698"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5ED95832" w14:textId="64E8FD80"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7" w:type="pct"/>
            <w:shd w:val="clear" w:color="auto" w:fill="auto"/>
            <w:noWrap/>
            <w:vAlign w:val="center"/>
          </w:tcPr>
          <w:p w14:paraId="531956BF" w14:textId="584E0053" w:rsidR="00594DA5" w:rsidRPr="002F7DD2"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13</w:t>
            </w:r>
          </w:p>
        </w:tc>
        <w:tc>
          <w:tcPr>
            <w:tcW w:w="678" w:type="pct"/>
            <w:shd w:val="clear" w:color="auto" w:fill="auto"/>
            <w:noWrap/>
            <w:vAlign w:val="center"/>
          </w:tcPr>
          <w:p w14:paraId="0E21BC66" w14:textId="0AFF9EF7"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3F4554D2" w14:textId="27CD498B"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r>
      <w:tr w:rsidR="00594DA5" w:rsidRPr="00187B32" w14:paraId="0497A4B3" w14:textId="77777777" w:rsidTr="002F7DD2">
        <w:trPr>
          <w:trHeight w:val="221"/>
          <w:tblHeader/>
        </w:trPr>
        <w:tc>
          <w:tcPr>
            <w:tcW w:w="935" w:type="pct"/>
            <w:shd w:val="clear" w:color="auto" w:fill="auto"/>
            <w:noWrap/>
            <w:vAlign w:val="center"/>
          </w:tcPr>
          <w:p w14:paraId="145ABDBA" w14:textId="4298DBC8" w:rsidR="00594DA5" w:rsidRPr="00187B32" w:rsidRDefault="00594DA5" w:rsidP="003B236E">
            <w:pPr>
              <w:rPr>
                <w:rFonts w:ascii="Arial Narrow" w:hAnsi="Arial Narrow"/>
                <w:bCs/>
                <w:sz w:val="20"/>
                <w:szCs w:val="20"/>
              </w:rPr>
            </w:pPr>
            <w:r>
              <w:rPr>
                <w:rFonts w:ascii="Arial Narrow" w:hAnsi="Arial Narrow"/>
                <w:bCs/>
                <w:sz w:val="20"/>
                <w:szCs w:val="20"/>
              </w:rPr>
              <w:t>MBS cost</w:t>
            </w:r>
            <w:r w:rsidR="00EB0252">
              <w:rPr>
                <w:rFonts w:ascii="Arial Narrow" w:hAnsi="Arial Narrow"/>
                <w:bCs/>
                <w:sz w:val="20"/>
                <w:szCs w:val="20"/>
              </w:rPr>
              <w:t xml:space="preserve"> saving</w:t>
            </w:r>
            <w:r>
              <w:rPr>
                <w:rFonts w:ascii="Arial Narrow" w:hAnsi="Arial Narrow"/>
                <w:bCs/>
                <w:sz w:val="20"/>
                <w:szCs w:val="20"/>
              </w:rPr>
              <w:t>s</w:t>
            </w:r>
            <w:r w:rsidRPr="00A2739B">
              <w:rPr>
                <w:rFonts w:ascii="Arial Narrow" w:hAnsi="Arial Narrow"/>
                <w:bCs/>
                <w:sz w:val="20"/>
                <w:szCs w:val="20"/>
                <w:vertAlign w:val="superscript"/>
              </w:rPr>
              <w:t>c</w:t>
            </w:r>
            <w:r w:rsidR="002F7DD2">
              <w:rPr>
                <w:rFonts w:ascii="Arial Narrow" w:hAnsi="Arial Narrow"/>
                <w:sz w:val="20"/>
                <w:szCs w:val="20"/>
              </w:rPr>
              <w:t xml:space="preserve"> ($)</w:t>
            </w:r>
          </w:p>
        </w:tc>
        <w:tc>
          <w:tcPr>
            <w:tcW w:w="677" w:type="pct"/>
            <w:shd w:val="clear" w:color="auto" w:fill="auto"/>
            <w:noWrap/>
            <w:vAlign w:val="center"/>
          </w:tcPr>
          <w:p w14:paraId="782D4782" w14:textId="6833B52D"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7C1D363E" w14:textId="2F1BAEBA"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07B6D7A5" w14:textId="483CA497"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7" w:type="pct"/>
            <w:shd w:val="clear" w:color="auto" w:fill="auto"/>
            <w:noWrap/>
            <w:vAlign w:val="center"/>
          </w:tcPr>
          <w:p w14:paraId="0C7B96CF" w14:textId="2B1B6AFB"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7C5529B6" w14:textId="05A9A520"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6A2E12E4" w14:textId="6A536A0F" w:rsidR="00594DA5" w:rsidRPr="00187B32" w:rsidRDefault="007A29C8" w:rsidP="00853F5B">
            <w:pPr>
              <w:jc w:val="center"/>
              <w:rPr>
                <w:rFonts w:ascii="Arial Narrow" w:hAnsi="Arial Narrow"/>
                <w:sz w:val="20"/>
                <w:szCs w:val="20"/>
              </w:rPr>
            </w:pPr>
            <w:r w:rsidRPr="007A29C8">
              <w:rPr>
                <w:rFonts w:ascii="Arial Narrow" w:hAnsi="Arial Narrow"/>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r>
      <w:tr w:rsidR="00594DA5" w:rsidRPr="00187B32" w14:paraId="429A6BFE" w14:textId="77777777" w:rsidTr="002F7DD2">
        <w:trPr>
          <w:trHeight w:val="239"/>
          <w:tblHeader/>
        </w:trPr>
        <w:tc>
          <w:tcPr>
            <w:tcW w:w="5000" w:type="pct"/>
            <w:gridSpan w:val="7"/>
            <w:shd w:val="clear" w:color="auto" w:fill="auto"/>
            <w:noWrap/>
          </w:tcPr>
          <w:p w14:paraId="489621C5" w14:textId="77777777" w:rsidR="00594DA5" w:rsidRPr="00187B32" w:rsidRDefault="00594DA5" w:rsidP="003B236E">
            <w:pPr>
              <w:rPr>
                <w:rFonts w:ascii="Arial Narrow" w:hAnsi="Arial Narrow"/>
                <w:b/>
                <w:sz w:val="20"/>
                <w:szCs w:val="20"/>
              </w:rPr>
            </w:pPr>
            <w:r w:rsidRPr="00187B32">
              <w:rPr>
                <w:rFonts w:ascii="Arial Narrow" w:hAnsi="Arial Narrow"/>
                <w:b/>
                <w:sz w:val="20"/>
                <w:szCs w:val="20"/>
              </w:rPr>
              <w:t>Net financial implications</w:t>
            </w:r>
          </w:p>
        </w:tc>
      </w:tr>
      <w:tr w:rsidR="00594DA5" w:rsidRPr="00187B32" w14:paraId="044EF1D2" w14:textId="77777777" w:rsidTr="002F7DD2">
        <w:trPr>
          <w:trHeight w:val="235"/>
          <w:tblHeader/>
        </w:trPr>
        <w:tc>
          <w:tcPr>
            <w:tcW w:w="935" w:type="pct"/>
            <w:shd w:val="clear" w:color="auto" w:fill="auto"/>
            <w:noWrap/>
            <w:vAlign w:val="center"/>
          </w:tcPr>
          <w:p w14:paraId="392DB88E" w14:textId="22390B91" w:rsidR="00594DA5" w:rsidRPr="00187B32" w:rsidRDefault="00594DA5" w:rsidP="003B236E">
            <w:pPr>
              <w:jc w:val="left"/>
              <w:rPr>
                <w:rFonts w:ascii="Arial Narrow" w:hAnsi="Arial Narrow"/>
                <w:sz w:val="20"/>
                <w:szCs w:val="20"/>
              </w:rPr>
            </w:pPr>
            <w:r w:rsidRPr="00187B32">
              <w:rPr>
                <w:rFonts w:ascii="Arial Narrow" w:hAnsi="Arial Narrow"/>
                <w:sz w:val="20"/>
                <w:szCs w:val="20"/>
              </w:rPr>
              <w:t>Savings to PBS/RPBS</w:t>
            </w:r>
            <w:r w:rsidR="002F7DD2">
              <w:rPr>
                <w:rFonts w:ascii="Arial Narrow" w:hAnsi="Arial Narrow"/>
                <w:sz w:val="20"/>
                <w:szCs w:val="20"/>
              </w:rPr>
              <w:t xml:space="preserve"> ($)</w:t>
            </w:r>
          </w:p>
        </w:tc>
        <w:tc>
          <w:tcPr>
            <w:tcW w:w="677" w:type="pct"/>
            <w:shd w:val="clear" w:color="auto" w:fill="auto"/>
            <w:noWrap/>
            <w:vAlign w:val="center"/>
          </w:tcPr>
          <w:p w14:paraId="2A0DEBCA" w14:textId="5E7AEF8D"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731B73CE" w14:textId="217F112A"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3</w:t>
            </w:r>
          </w:p>
        </w:tc>
        <w:tc>
          <w:tcPr>
            <w:tcW w:w="678" w:type="pct"/>
            <w:shd w:val="clear" w:color="auto" w:fill="auto"/>
            <w:noWrap/>
            <w:vAlign w:val="center"/>
          </w:tcPr>
          <w:p w14:paraId="7F36945A" w14:textId="396D8AD4" w:rsidR="00594DA5" w:rsidRPr="002F7DD2" w:rsidRDefault="007A29C8" w:rsidP="00853F5B">
            <w:pPr>
              <w:jc w:val="center"/>
              <w:rPr>
                <w:rFonts w:ascii="Arial Narrow" w:hAnsi="Arial Narrow"/>
                <w:sz w:val="20"/>
                <w:szCs w:val="20"/>
                <w:highlight w:val="darkGray"/>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12</w:t>
            </w:r>
          </w:p>
        </w:tc>
        <w:tc>
          <w:tcPr>
            <w:tcW w:w="677" w:type="pct"/>
            <w:shd w:val="clear" w:color="auto" w:fill="auto"/>
            <w:noWrap/>
            <w:vAlign w:val="center"/>
          </w:tcPr>
          <w:p w14:paraId="6BE63DE6" w14:textId="3854907F"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sz w:val="20"/>
                <w:szCs w:val="20"/>
                <w:vertAlign w:val="superscript"/>
              </w:rPr>
              <w:t>12</w:t>
            </w:r>
          </w:p>
        </w:tc>
        <w:tc>
          <w:tcPr>
            <w:tcW w:w="678" w:type="pct"/>
            <w:shd w:val="clear" w:color="auto" w:fill="auto"/>
            <w:noWrap/>
            <w:vAlign w:val="center"/>
          </w:tcPr>
          <w:p w14:paraId="7AE18E79" w14:textId="2D1FA091"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c>
          <w:tcPr>
            <w:tcW w:w="678" w:type="pct"/>
            <w:shd w:val="clear" w:color="auto" w:fill="auto"/>
            <w:noWrap/>
            <w:vAlign w:val="center"/>
          </w:tcPr>
          <w:p w14:paraId="3A23A3C8" w14:textId="08EEEF6D" w:rsidR="00594DA5" w:rsidRPr="00187B32" w:rsidRDefault="007A29C8" w:rsidP="00853F5B">
            <w:pPr>
              <w:jc w:val="center"/>
              <w:rPr>
                <w:rFonts w:ascii="Arial Narrow" w:hAnsi="Arial Narrow"/>
                <w:sz w:val="20"/>
                <w:szCs w:val="20"/>
              </w:rPr>
            </w:pPr>
            <w:r w:rsidRPr="007A29C8">
              <w:rPr>
                <w:rFonts w:ascii="Arial Narrow" w:hAnsi="Arial Narrow"/>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sz w:val="20"/>
                <w:szCs w:val="20"/>
                <w:vertAlign w:val="superscript"/>
              </w:rPr>
              <w:t>1</w:t>
            </w:r>
            <w:r w:rsidR="00853F5B">
              <w:rPr>
                <w:rFonts w:ascii="Arial Narrow" w:hAnsi="Arial Narrow"/>
                <w:sz w:val="20"/>
                <w:szCs w:val="20"/>
                <w:vertAlign w:val="superscript"/>
              </w:rPr>
              <w:t>2</w:t>
            </w:r>
          </w:p>
        </w:tc>
      </w:tr>
      <w:tr w:rsidR="00594DA5" w:rsidRPr="00187B32" w14:paraId="6F3E3D2E" w14:textId="77777777" w:rsidTr="002F7DD2">
        <w:trPr>
          <w:trHeight w:val="181"/>
          <w:tblHeader/>
        </w:trPr>
        <w:tc>
          <w:tcPr>
            <w:tcW w:w="935" w:type="pct"/>
            <w:shd w:val="clear" w:color="auto" w:fill="auto"/>
            <w:noWrap/>
            <w:vAlign w:val="center"/>
          </w:tcPr>
          <w:p w14:paraId="639FC7AC" w14:textId="5E7E8BF2" w:rsidR="00594DA5" w:rsidRPr="00187B32" w:rsidRDefault="00594DA5" w:rsidP="003B236E">
            <w:pPr>
              <w:jc w:val="left"/>
              <w:rPr>
                <w:rFonts w:ascii="Arial Narrow" w:hAnsi="Arial Narrow"/>
                <w:sz w:val="20"/>
                <w:szCs w:val="20"/>
              </w:rPr>
            </w:pPr>
            <w:r w:rsidRPr="00187B32">
              <w:rPr>
                <w:rFonts w:ascii="Arial Narrow" w:hAnsi="Arial Narrow"/>
                <w:sz w:val="20"/>
                <w:szCs w:val="20"/>
              </w:rPr>
              <w:t>Net cost to MBS</w:t>
            </w:r>
            <w:r w:rsidRPr="00187B32">
              <w:rPr>
                <w:rFonts w:ascii="Arial Narrow" w:hAnsi="Arial Narrow"/>
                <w:sz w:val="20"/>
                <w:szCs w:val="20"/>
                <w:vertAlign w:val="superscript"/>
              </w:rPr>
              <w:t>b</w:t>
            </w:r>
            <w:r w:rsidR="002F7DD2">
              <w:rPr>
                <w:rFonts w:ascii="Arial Narrow" w:hAnsi="Arial Narrow"/>
                <w:sz w:val="20"/>
                <w:szCs w:val="20"/>
              </w:rPr>
              <w:t xml:space="preserve"> ($)</w:t>
            </w:r>
          </w:p>
        </w:tc>
        <w:tc>
          <w:tcPr>
            <w:tcW w:w="677" w:type="pct"/>
            <w:shd w:val="clear" w:color="auto" w:fill="auto"/>
            <w:noWrap/>
            <w:vAlign w:val="center"/>
          </w:tcPr>
          <w:p w14:paraId="03BC0F25"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c>
          <w:tcPr>
            <w:tcW w:w="678" w:type="pct"/>
            <w:shd w:val="clear" w:color="auto" w:fill="auto"/>
            <w:noWrap/>
            <w:vAlign w:val="center"/>
          </w:tcPr>
          <w:p w14:paraId="609DA301"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c>
          <w:tcPr>
            <w:tcW w:w="678" w:type="pct"/>
            <w:shd w:val="clear" w:color="auto" w:fill="auto"/>
            <w:noWrap/>
            <w:vAlign w:val="center"/>
          </w:tcPr>
          <w:p w14:paraId="1A834FC8"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c>
          <w:tcPr>
            <w:tcW w:w="677" w:type="pct"/>
            <w:shd w:val="clear" w:color="auto" w:fill="auto"/>
            <w:noWrap/>
            <w:vAlign w:val="center"/>
          </w:tcPr>
          <w:p w14:paraId="3A986D25"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c>
          <w:tcPr>
            <w:tcW w:w="678" w:type="pct"/>
            <w:shd w:val="clear" w:color="auto" w:fill="auto"/>
            <w:noWrap/>
            <w:vAlign w:val="center"/>
          </w:tcPr>
          <w:p w14:paraId="049FF4D8"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c>
          <w:tcPr>
            <w:tcW w:w="678" w:type="pct"/>
            <w:shd w:val="clear" w:color="auto" w:fill="auto"/>
            <w:noWrap/>
            <w:vAlign w:val="center"/>
          </w:tcPr>
          <w:p w14:paraId="0780B220" w14:textId="77777777" w:rsidR="00594DA5" w:rsidRPr="00187B32" w:rsidRDefault="00594DA5" w:rsidP="00853F5B">
            <w:pPr>
              <w:jc w:val="center"/>
              <w:rPr>
                <w:rFonts w:ascii="Arial Narrow" w:hAnsi="Arial Narrow"/>
                <w:sz w:val="20"/>
                <w:szCs w:val="20"/>
              </w:rPr>
            </w:pPr>
            <w:r w:rsidRPr="00187B32">
              <w:rPr>
                <w:rFonts w:ascii="Arial Narrow" w:hAnsi="Arial Narrow"/>
                <w:sz w:val="20"/>
                <w:szCs w:val="20"/>
              </w:rPr>
              <w:t>$0</w:t>
            </w:r>
          </w:p>
        </w:tc>
      </w:tr>
      <w:tr w:rsidR="00594DA5" w:rsidRPr="00786BC6" w14:paraId="3E449FE7" w14:textId="77777777" w:rsidTr="002F7DD2">
        <w:trPr>
          <w:trHeight w:val="313"/>
          <w:tblHeader/>
        </w:trPr>
        <w:tc>
          <w:tcPr>
            <w:tcW w:w="935" w:type="pct"/>
            <w:shd w:val="clear" w:color="auto" w:fill="auto"/>
            <w:noWrap/>
            <w:vAlign w:val="center"/>
          </w:tcPr>
          <w:p w14:paraId="41BDF975" w14:textId="37CB9B8E" w:rsidR="00594DA5" w:rsidRPr="001834C5" w:rsidRDefault="00594DA5" w:rsidP="003B236E">
            <w:pPr>
              <w:jc w:val="left"/>
              <w:rPr>
                <w:rFonts w:ascii="Arial Narrow" w:hAnsi="Arial Narrow"/>
                <w:b/>
                <w:bCs/>
                <w:sz w:val="20"/>
                <w:szCs w:val="20"/>
              </w:rPr>
            </w:pPr>
            <w:r w:rsidRPr="001834C5">
              <w:rPr>
                <w:rFonts w:ascii="Arial Narrow" w:hAnsi="Arial Narrow"/>
                <w:b/>
                <w:bCs/>
                <w:sz w:val="20"/>
                <w:szCs w:val="20"/>
              </w:rPr>
              <w:t>Net cost to Government</w:t>
            </w:r>
            <w:r w:rsidR="002F7DD2" w:rsidRPr="002F7DD2">
              <w:rPr>
                <w:rFonts w:ascii="Arial Narrow" w:hAnsi="Arial Narrow"/>
                <w:b/>
                <w:bCs/>
                <w:sz w:val="20"/>
                <w:szCs w:val="20"/>
              </w:rPr>
              <w:t xml:space="preserve"> ($)</w:t>
            </w:r>
          </w:p>
        </w:tc>
        <w:tc>
          <w:tcPr>
            <w:tcW w:w="677" w:type="pct"/>
            <w:shd w:val="clear" w:color="auto" w:fill="auto"/>
            <w:noWrap/>
            <w:vAlign w:val="center"/>
          </w:tcPr>
          <w:p w14:paraId="3017DF23" w14:textId="22B33F75" w:rsidR="00594DA5" w:rsidRPr="004935C2" w:rsidRDefault="007A29C8" w:rsidP="00853F5B">
            <w:pPr>
              <w:jc w:val="center"/>
              <w:rPr>
                <w:rFonts w:ascii="Arial Narrow" w:hAnsi="Arial Narrow"/>
                <w:b/>
                <w:bCs/>
                <w:sz w:val="20"/>
                <w:szCs w:val="20"/>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13</w:t>
            </w:r>
          </w:p>
        </w:tc>
        <w:tc>
          <w:tcPr>
            <w:tcW w:w="678" w:type="pct"/>
            <w:shd w:val="clear" w:color="auto" w:fill="auto"/>
            <w:noWrap/>
            <w:vAlign w:val="center"/>
          </w:tcPr>
          <w:p w14:paraId="1ED80F31" w14:textId="5BFC3109" w:rsidR="00594DA5" w:rsidRPr="004935C2" w:rsidRDefault="007A29C8" w:rsidP="00853F5B">
            <w:pPr>
              <w:jc w:val="center"/>
              <w:rPr>
                <w:rFonts w:ascii="Arial Narrow" w:hAnsi="Arial Narrow"/>
                <w:b/>
                <w:bCs/>
                <w:sz w:val="20"/>
                <w:szCs w:val="20"/>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13</w:t>
            </w:r>
          </w:p>
        </w:tc>
        <w:tc>
          <w:tcPr>
            <w:tcW w:w="678" w:type="pct"/>
            <w:shd w:val="clear" w:color="auto" w:fill="auto"/>
            <w:noWrap/>
            <w:vAlign w:val="center"/>
          </w:tcPr>
          <w:p w14:paraId="61CB9D98" w14:textId="32B380D0" w:rsidR="00594DA5" w:rsidRPr="004935C2" w:rsidRDefault="007A29C8" w:rsidP="00853F5B">
            <w:pPr>
              <w:jc w:val="center"/>
              <w:rPr>
                <w:rFonts w:ascii="Arial Narrow" w:hAnsi="Arial Narrow"/>
                <w:b/>
                <w:bCs/>
                <w:sz w:val="20"/>
                <w:szCs w:val="20"/>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2F7DD2" w:rsidRPr="002F7DD2">
              <w:rPr>
                <w:rFonts w:ascii="Arial Narrow" w:hAnsi="Arial Narrow"/>
                <w:b/>
                <w:bCs/>
                <w:sz w:val="20"/>
                <w:szCs w:val="20"/>
                <w:vertAlign w:val="superscript"/>
              </w:rPr>
              <w:t>12</w:t>
            </w:r>
          </w:p>
        </w:tc>
        <w:tc>
          <w:tcPr>
            <w:tcW w:w="677" w:type="pct"/>
            <w:shd w:val="clear" w:color="auto" w:fill="auto"/>
            <w:noWrap/>
            <w:vAlign w:val="center"/>
          </w:tcPr>
          <w:p w14:paraId="5B69C568" w14:textId="7E0247DC" w:rsidR="00594DA5" w:rsidRPr="004935C2" w:rsidRDefault="007A29C8" w:rsidP="00853F5B">
            <w:pPr>
              <w:jc w:val="center"/>
              <w:rPr>
                <w:rFonts w:ascii="Arial Narrow" w:hAnsi="Arial Narrow"/>
                <w:b/>
                <w:bCs/>
                <w:sz w:val="20"/>
                <w:szCs w:val="20"/>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2F7DD2" w:rsidRPr="002F7DD2">
              <w:rPr>
                <w:rFonts w:ascii="Arial Narrow" w:hAnsi="Arial Narrow"/>
                <w:b/>
                <w:bCs/>
                <w:sz w:val="20"/>
                <w:szCs w:val="20"/>
                <w:vertAlign w:val="superscript"/>
              </w:rPr>
              <w:t>12</w:t>
            </w:r>
          </w:p>
        </w:tc>
        <w:tc>
          <w:tcPr>
            <w:tcW w:w="678" w:type="pct"/>
            <w:shd w:val="clear" w:color="auto" w:fill="auto"/>
            <w:noWrap/>
            <w:vAlign w:val="center"/>
          </w:tcPr>
          <w:p w14:paraId="03C703EC" w14:textId="093B3CB0" w:rsidR="00594DA5" w:rsidRPr="004935C2" w:rsidRDefault="007A29C8" w:rsidP="00853F5B">
            <w:pPr>
              <w:jc w:val="center"/>
              <w:rPr>
                <w:rFonts w:ascii="Arial Narrow" w:hAnsi="Arial Narrow"/>
                <w:b/>
                <w:bCs/>
                <w:sz w:val="20"/>
                <w:szCs w:val="20"/>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2F7DD2" w:rsidRPr="002F7DD2">
              <w:rPr>
                <w:rFonts w:ascii="Arial Narrow" w:hAnsi="Arial Narrow"/>
                <w:b/>
                <w:bCs/>
                <w:sz w:val="20"/>
                <w:szCs w:val="20"/>
                <w:vertAlign w:val="superscript"/>
              </w:rPr>
              <w:t>12</w:t>
            </w:r>
          </w:p>
        </w:tc>
        <w:tc>
          <w:tcPr>
            <w:tcW w:w="678" w:type="pct"/>
            <w:shd w:val="clear" w:color="auto" w:fill="auto"/>
            <w:noWrap/>
            <w:vAlign w:val="center"/>
          </w:tcPr>
          <w:p w14:paraId="04EE1FBF" w14:textId="5E490091" w:rsidR="00594DA5" w:rsidRPr="002F7DD2" w:rsidRDefault="007A29C8" w:rsidP="00853F5B">
            <w:pPr>
              <w:jc w:val="center"/>
              <w:rPr>
                <w:rFonts w:ascii="Arial Narrow" w:hAnsi="Arial Narrow"/>
                <w:b/>
                <w:bCs/>
                <w:sz w:val="20"/>
                <w:szCs w:val="20"/>
                <w:highlight w:val="darkGray"/>
              </w:rPr>
            </w:pPr>
            <w:r w:rsidRPr="007A29C8">
              <w:rPr>
                <w:rFonts w:ascii="Arial Narrow" w:hAnsi="Arial Narrow"/>
                <w:b/>
                <w:bCs/>
                <w:color w:val="000000"/>
                <w:sz w:val="20"/>
                <w:szCs w:val="20"/>
                <w:shd w:val="solid" w:color="000000" w:fill="000000"/>
                <w14:textFill>
                  <w14:solidFill>
                    <w14:srgbClr w14:val="000000">
                      <w14:alpha w14:val="100000"/>
                    </w14:srgbClr>
                  </w14:solidFill>
                </w14:textFill>
              </w:rPr>
              <w:t>|</w:t>
            </w:r>
            <w:r w:rsidR="002F7DD2" w:rsidRPr="002F7DD2">
              <w:rPr>
                <w:rFonts w:ascii="Arial Narrow" w:hAnsi="Arial Narrow"/>
                <w:b/>
                <w:bCs/>
                <w:sz w:val="20"/>
                <w:szCs w:val="20"/>
                <w:vertAlign w:val="superscript"/>
              </w:rPr>
              <w:t>12</w:t>
            </w:r>
          </w:p>
        </w:tc>
      </w:tr>
      <w:tr w:rsidR="00594DA5" w:rsidRPr="00786BC6" w14:paraId="3610CDBE" w14:textId="77777777" w:rsidTr="002F7DD2">
        <w:trPr>
          <w:trHeight w:val="155"/>
          <w:tblHeader/>
        </w:trPr>
        <w:tc>
          <w:tcPr>
            <w:tcW w:w="5000" w:type="pct"/>
            <w:gridSpan w:val="7"/>
            <w:shd w:val="clear" w:color="auto" w:fill="auto"/>
            <w:noWrap/>
          </w:tcPr>
          <w:p w14:paraId="69B73FA0" w14:textId="6726D45A" w:rsidR="00594DA5" w:rsidRPr="004935C2" w:rsidRDefault="00594DA5" w:rsidP="003B236E">
            <w:pPr>
              <w:rPr>
                <w:rFonts w:ascii="Arial Narrow" w:hAnsi="Arial Narrow"/>
                <w:b/>
                <w:bCs/>
                <w:sz w:val="20"/>
                <w:szCs w:val="20"/>
              </w:rPr>
            </w:pPr>
            <w:r w:rsidRPr="00187B32">
              <w:rPr>
                <w:rFonts w:ascii="Arial Narrow" w:hAnsi="Arial Narrow"/>
                <w:b/>
                <w:bCs/>
                <w:sz w:val="20"/>
                <w:szCs w:val="20"/>
              </w:rPr>
              <w:t>Estimated financial implications of fremanezumab</w:t>
            </w:r>
            <w:r>
              <w:rPr>
                <w:rFonts w:ascii="Arial Narrow" w:hAnsi="Arial Narrow"/>
                <w:b/>
                <w:bCs/>
                <w:sz w:val="20"/>
                <w:szCs w:val="20"/>
              </w:rPr>
              <w:t xml:space="preserve"> (if galcanezumab is not listed)</w:t>
            </w:r>
          </w:p>
        </w:tc>
      </w:tr>
      <w:tr w:rsidR="00594DA5" w:rsidRPr="00277996" w14:paraId="6E9B3FE1" w14:textId="77777777" w:rsidTr="002F7DD2">
        <w:trPr>
          <w:trHeight w:val="313"/>
          <w:tblHeader/>
        </w:trPr>
        <w:tc>
          <w:tcPr>
            <w:tcW w:w="935" w:type="pct"/>
            <w:shd w:val="clear" w:color="auto" w:fill="auto"/>
            <w:noWrap/>
            <w:vAlign w:val="center"/>
          </w:tcPr>
          <w:p w14:paraId="0D522721" w14:textId="191B6BDB" w:rsidR="00594DA5" w:rsidRPr="00277996" w:rsidRDefault="00594DA5" w:rsidP="003B236E">
            <w:pPr>
              <w:jc w:val="left"/>
              <w:rPr>
                <w:rFonts w:ascii="Arial Narrow" w:hAnsi="Arial Narrow"/>
                <w:b/>
                <w:bCs/>
                <w:iCs/>
                <w:sz w:val="20"/>
                <w:szCs w:val="20"/>
              </w:rPr>
            </w:pPr>
            <w:r w:rsidRPr="00277996">
              <w:rPr>
                <w:rFonts w:ascii="Arial Narrow" w:hAnsi="Arial Narrow"/>
                <w:b/>
                <w:bCs/>
                <w:iCs/>
                <w:sz w:val="20"/>
                <w:szCs w:val="20"/>
              </w:rPr>
              <w:t>Net cost to Government</w:t>
            </w:r>
            <w:r w:rsidR="00D917B4" w:rsidRPr="00277996">
              <w:rPr>
                <w:rFonts w:ascii="Arial Narrow" w:hAnsi="Arial Narrow"/>
                <w:b/>
                <w:bCs/>
                <w:iCs/>
                <w:sz w:val="20"/>
                <w:szCs w:val="20"/>
                <w:vertAlign w:val="superscript"/>
              </w:rPr>
              <w:t>d</w:t>
            </w:r>
            <w:r w:rsidR="002F7DD2" w:rsidRPr="002F7DD2">
              <w:rPr>
                <w:rFonts w:ascii="Arial Narrow" w:hAnsi="Arial Narrow"/>
                <w:b/>
                <w:bCs/>
                <w:sz w:val="20"/>
                <w:szCs w:val="20"/>
              </w:rPr>
              <w:t xml:space="preserve"> ($)</w:t>
            </w:r>
          </w:p>
        </w:tc>
        <w:tc>
          <w:tcPr>
            <w:tcW w:w="677" w:type="pct"/>
            <w:shd w:val="clear" w:color="auto" w:fill="auto"/>
            <w:noWrap/>
            <w:vAlign w:val="center"/>
          </w:tcPr>
          <w:p w14:paraId="23B3E5BF" w14:textId="7CFFEE1F" w:rsidR="00594DA5" w:rsidRPr="00277996" w:rsidRDefault="007A29C8" w:rsidP="00853F5B">
            <w:pPr>
              <w:jc w:val="center"/>
              <w:rPr>
                <w:rFonts w:ascii="Arial Narrow" w:hAnsi="Arial Narrow"/>
                <w:b/>
                <w:bCs/>
                <w:iCs/>
                <w:sz w:val="20"/>
                <w:szCs w:val="20"/>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9</w:t>
            </w:r>
          </w:p>
        </w:tc>
        <w:tc>
          <w:tcPr>
            <w:tcW w:w="678" w:type="pct"/>
            <w:shd w:val="clear" w:color="auto" w:fill="auto"/>
            <w:noWrap/>
            <w:vAlign w:val="center"/>
          </w:tcPr>
          <w:p w14:paraId="4781922C" w14:textId="4C9E5245" w:rsidR="00594DA5" w:rsidRPr="002F7DD2" w:rsidRDefault="007A29C8" w:rsidP="00853F5B">
            <w:pPr>
              <w:jc w:val="center"/>
              <w:rPr>
                <w:rFonts w:ascii="Arial Narrow" w:hAnsi="Arial Narrow"/>
                <w:b/>
                <w:bCs/>
                <w:iCs/>
                <w:sz w:val="20"/>
                <w:szCs w:val="20"/>
                <w:highlight w:val="darkGray"/>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2F7DD2">
              <w:rPr>
                <w:rFonts w:ascii="Arial Narrow" w:hAnsi="Arial Narrow"/>
                <w:b/>
                <w:bCs/>
                <w:sz w:val="20"/>
                <w:szCs w:val="20"/>
                <w:vertAlign w:val="superscript"/>
              </w:rPr>
              <w:t>10</w:t>
            </w:r>
          </w:p>
        </w:tc>
        <w:tc>
          <w:tcPr>
            <w:tcW w:w="678" w:type="pct"/>
            <w:shd w:val="clear" w:color="auto" w:fill="auto"/>
            <w:noWrap/>
            <w:vAlign w:val="center"/>
          </w:tcPr>
          <w:p w14:paraId="50D18E41" w14:textId="50648CB2" w:rsidR="00594DA5" w:rsidRPr="00277996" w:rsidRDefault="007A29C8" w:rsidP="00853F5B">
            <w:pPr>
              <w:jc w:val="center"/>
              <w:rPr>
                <w:rFonts w:ascii="Arial Narrow" w:hAnsi="Arial Narrow"/>
                <w:b/>
                <w:bCs/>
                <w:iCs/>
                <w:sz w:val="20"/>
                <w:szCs w:val="20"/>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10</w:t>
            </w:r>
          </w:p>
        </w:tc>
        <w:tc>
          <w:tcPr>
            <w:tcW w:w="677" w:type="pct"/>
            <w:shd w:val="clear" w:color="auto" w:fill="auto"/>
            <w:noWrap/>
            <w:vAlign w:val="center"/>
          </w:tcPr>
          <w:p w14:paraId="124B3F83" w14:textId="770D7919" w:rsidR="00594DA5" w:rsidRPr="00277996" w:rsidRDefault="007A29C8" w:rsidP="00853F5B">
            <w:pPr>
              <w:jc w:val="center"/>
              <w:rPr>
                <w:rFonts w:ascii="Arial Narrow" w:hAnsi="Arial Narrow"/>
                <w:b/>
                <w:bCs/>
                <w:iCs/>
                <w:sz w:val="20"/>
                <w:szCs w:val="20"/>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10</w:t>
            </w:r>
          </w:p>
        </w:tc>
        <w:tc>
          <w:tcPr>
            <w:tcW w:w="678" w:type="pct"/>
            <w:shd w:val="clear" w:color="auto" w:fill="auto"/>
            <w:noWrap/>
            <w:vAlign w:val="center"/>
          </w:tcPr>
          <w:p w14:paraId="6BD04DA5" w14:textId="3F66D6B4" w:rsidR="00594DA5" w:rsidRPr="00277996" w:rsidRDefault="007A29C8" w:rsidP="00853F5B">
            <w:pPr>
              <w:jc w:val="center"/>
              <w:rPr>
                <w:rFonts w:ascii="Arial Narrow" w:hAnsi="Arial Narrow"/>
                <w:b/>
                <w:bCs/>
                <w:iCs/>
                <w:sz w:val="20"/>
                <w:szCs w:val="20"/>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w:t>
            </w:r>
            <w:r w:rsidR="00853F5B">
              <w:rPr>
                <w:rFonts w:ascii="Arial Narrow" w:hAnsi="Arial Narrow"/>
                <w:b/>
                <w:bCs/>
                <w:sz w:val="20"/>
                <w:szCs w:val="20"/>
                <w:vertAlign w:val="superscript"/>
              </w:rPr>
              <w:t>1</w:t>
            </w:r>
          </w:p>
        </w:tc>
        <w:tc>
          <w:tcPr>
            <w:tcW w:w="678" w:type="pct"/>
            <w:shd w:val="clear" w:color="auto" w:fill="auto"/>
            <w:noWrap/>
            <w:vAlign w:val="center"/>
          </w:tcPr>
          <w:p w14:paraId="313F909A" w14:textId="07B448BD" w:rsidR="00594DA5" w:rsidRPr="00277996" w:rsidRDefault="007A29C8" w:rsidP="00853F5B">
            <w:pPr>
              <w:jc w:val="center"/>
              <w:rPr>
                <w:rFonts w:ascii="Arial Narrow" w:hAnsi="Arial Narrow"/>
                <w:b/>
                <w:bCs/>
                <w:iCs/>
                <w:sz w:val="20"/>
                <w:szCs w:val="20"/>
              </w:rPr>
            </w:pPr>
            <w:r w:rsidRPr="007A29C8">
              <w:rPr>
                <w:rFonts w:ascii="Arial Narrow" w:hAnsi="Arial Narrow"/>
                <w:b/>
                <w:bCs/>
                <w:iCs/>
                <w:color w:val="000000"/>
                <w:sz w:val="20"/>
                <w:szCs w:val="20"/>
                <w:shd w:val="solid" w:color="000000" w:fill="000000"/>
                <w14:textFill>
                  <w14:solidFill>
                    <w14:srgbClr w14:val="000000">
                      <w14:alpha w14:val="100000"/>
                    </w14:srgbClr>
                  </w14:solidFill>
                </w14:textFill>
              </w:rPr>
              <w:t>|</w:t>
            </w:r>
            <w:r w:rsidR="00853F5B" w:rsidRPr="00853F5B">
              <w:rPr>
                <w:rFonts w:ascii="Arial Narrow" w:hAnsi="Arial Narrow"/>
                <w:b/>
                <w:bCs/>
                <w:sz w:val="20"/>
                <w:szCs w:val="20"/>
                <w:vertAlign w:val="superscript"/>
              </w:rPr>
              <w:t>1</w:t>
            </w:r>
            <w:r w:rsidR="00853F5B">
              <w:rPr>
                <w:rFonts w:ascii="Arial Narrow" w:hAnsi="Arial Narrow"/>
                <w:b/>
                <w:bCs/>
                <w:sz w:val="20"/>
                <w:szCs w:val="20"/>
                <w:vertAlign w:val="superscript"/>
              </w:rPr>
              <w:t>1</w:t>
            </w:r>
          </w:p>
        </w:tc>
      </w:tr>
    </w:tbl>
    <w:p w14:paraId="54EE9612" w14:textId="77777777" w:rsidR="00594DA5" w:rsidRPr="00C3457F" w:rsidRDefault="00594DA5" w:rsidP="00594DA5">
      <w:pPr>
        <w:spacing w:after="120"/>
        <w:contextualSpacing/>
        <w:rPr>
          <w:rFonts w:ascii="Arial Narrow" w:hAnsi="Arial Narrow"/>
          <w:snapToGrid w:val="0"/>
          <w:sz w:val="18"/>
          <w:szCs w:val="22"/>
        </w:rPr>
      </w:pPr>
      <w:r w:rsidRPr="00C3457F">
        <w:rPr>
          <w:rFonts w:ascii="Arial Narrow" w:hAnsi="Arial Narrow"/>
          <w:snapToGrid w:val="0"/>
          <w:sz w:val="18"/>
          <w:szCs w:val="22"/>
        </w:rPr>
        <w:t xml:space="preserve">Source: </w:t>
      </w:r>
      <w:r>
        <w:rPr>
          <w:rFonts w:ascii="Arial Narrow" w:hAnsi="Arial Narrow"/>
          <w:snapToGrid w:val="0"/>
          <w:sz w:val="18"/>
          <w:szCs w:val="22"/>
        </w:rPr>
        <w:t>Compiled during evaluation</w:t>
      </w:r>
      <w:r w:rsidRPr="0038334A">
        <w:rPr>
          <w:rFonts w:ascii="Arial Narrow" w:hAnsi="Arial Narrow"/>
          <w:snapToGrid w:val="0"/>
          <w:sz w:val="18"/>
          <w:szCs w:val="22"/>
        </w:rPr>
        <w:t xml:space="preserve"> </w:t>
      </w:r>
      <w:r>
        <w:rPr>
          <w:rFonts w:ascii="Arial Narrow" w:hAnsi="Arial Narrow"/>
          <w:snapToGrid w:val="0"/>
          <w:sz w:val="18"/>
          <w:szCs w:val="22"/>
        </w:rPr>
        <w:t xml:space="preserve">based on Tables 4-4 to 4-7, pp 109-113 of the submission; Tables 4-11, 4-12, pp 115-116 of the submission and excel worksheet 2b Patient -prevalent, Frem-Financial Base case-6 July 2022. </w:t>
      </w:r>
    </w:p>
    <w:p w14:paraId="600009C7" w14:textId="08D6AAA9" w:rsidR="00594DA5" w:rsidRDefault="001C13C0" w:rsidP="00594DA5">
      <w:pPr>
        <w:spacing w:after="120"/>
        <w:contextualSpacing/>
        <w:rPr>
          <w:rFonts w:ascii="Arial Narrow" w:hAnsi="Arial Narrow"/>
          <w:snapToGrid w:val="0"/>
          <w:sz w:val="18"/>
          <w:szCs w:val="22"/>
        </w:rPr>
      </w:pPr>
      <w:r w:rsidRPr="000C4F23">
        <w:rPr>
          <w:rFonts w:ascii="Arial Narrow" w:hAnsi="Arial Narrow"/>
          <w:snapToGrid w:val="0"/>
          <w:sz w:val="18"/>
          <w:szCs w:val="22"/>
        </w:rPr>
        <w:t>HFEM</w:t>
      </w:r>
      <w:r>
        <w:rPr>
          <w:rFonts w:ascii="Arial Narrow" w:hAnsi="Arial Narrow"/>
          <w:snapToGrid w:val="0"/>
          <w:sz w:val="18"/>
          <w:szCs w:val="22"/>
        </w:rPr>
        <w:t xml:space="preserve"> </w:t>
      </w:r>
      <w:r w:rsidRPr="000C4F23">
        <w:rPr>
          <w:rFonts w:ascii="Arial Narrow" w:hAnsi="Arial Narrow"/>
          <w:snapToGrid w:val="0"/>
          <w:sz w:val="18"/>
          <w:szCs w:val="22"/>
        </w:rPr>
        <w:t xml:space="preserve">= high frequency episodic migraine; </w:t>
      </w:r>
      <w:r w:rsidRPr="001C13C0">
        <w:rPr>
          <w:rFonts w:ascii="Arial Narrow" w:hAnsi="Arial Narrow"/>
          <w:snapToGrid w:val="0"/>
          <w:sz w:val="18"/>
          <w:szCs w:val="22"/>
        </w:rPr>
        <w:t>GALC</w:t>
      </w:r>
      <w:r>
        <w:rPr>
          <w:rFonts w:ascii="Arial Narrow" w:hAnsi="Arial Narrow"/>
          <w:snapToGrid w:val="0"/>
          <w:sz w:val="18"/>
          <w:szCs w:val="22"/>
        </w:rPr>
        <w:t xml:space="preserve"> = </w:t>
      </w:r>
      <w:r w:rsidRPr="001C13C0">
        <w:rPr>
          <w:rFonts w:ascii="Arial Narrow" w:hAnsi="Arial Narrow"/>
          <w:snapToGrid w:val="0"/>
          <w:sz w:val="18"/>
          <w:szCs w:val="22"/>
        </w:rPr>
        <w:t>galcanezumab</w:t>
      </w:r>
      <w:r>
        <w:rPr>
          <w:rFonts w:ascii="Arial Narrow" w:hAnsi="Arial Narrow"/>
          <w:snapToGrid w:val="0"/>
          <w:sz w:val="18"/>
          <w:szCs w:val="22"/>
        </w:rPr>
        <w:t>;</w:t>
      </w:r>
      <w:r w:rsidRPr="001C13C0">
        <w:rPr>
          <w:rFonts w:ascii="Arial Narrow" w:hAnsi="Arial Narrow"/>
          <w:snapToGrid w:val="0"/>
          <w:sz w:val="18"/>
          <w:szCs w:val="22"/>
        </w:rPr>
        <w:t xml:space="preserve"> </w:t>
      </w:r>
      <w:r w:rsidR="00594DA5" w:rsidRPr="00C3457F">
        <w:rPr>
          <w:rFonts w:ascii="Arial Narrow" w:hAnsi="Arial Narrow"/>
          <w:snapToGrid w:val="0"/>
          <w:sz w:val="18"/>
          <w:szCs w:val="22"/>
        </w:rPr>
        <w:t>PBS = Pharmaceutical Benefits Scheme; RPBS = Repatriation Pharmaceutical Benefits Scheme</w:t>
      </w:r>
      <w:r w:rsidR="00594DA5">
        <w:rPr>
          <w:rFonts w:ascii="Arial Narrow" w:hAnsi="Arial Narrow"/>
          <w:snapToGrid w:val="0"/>
          <w:sz w:val="18"/>
          <w:szCs w:val="22"/>
        </w:rPr>
        <w:t>; MBS=</w:t>
      </w:r>
      <w:r w:rsidR="00594DA5" w:rsidRPr="00755ABE">
        <w:t xml:space="preserve"> </w:t>
      </w:r>
      <w:r w:rsidR="00594DA5" w:rsidRPr="00755ABE">
        <w:rPr>
          <w:rFonts w:ascii="Arial Narrow" w:hAnsi="Arial Narrow"/>
          <w:snapToGrid w:val="0"/>
          <w:sz w:val="18"/>
          <w:szCs w:val="22"/>
        </w:rPr>
        <w:t>Medicare benefits schedule</w:t>
      </w:r>
      <w:r w:rsidR="00594DA5">
        <w:rPr>
          <w:rFonts w:ascii="Arial Narrow" w:hAnsi="Arial Narrow"/>
          <w:snapToGrid w:val="0"/>
          <w:sz w:val="18"/>
          <w:szCs w:val="22"/>
        </w:rPr>
        <w:t>.</w:t>
      </w:r>
    </w:p>
    <w:p w14:paraId="7C83FDF1" w14:textId="77777777" w:rsidR="00594DA5" w:rsidRDefault="00594DA5" w:rsidP="00594DA5">
      <w:pPr>
        <w:rPr>
          <w:rFonts w:ascii="Arial Narrow" w:hAnsi="Arial Narrow"/>
          <w:snapToGrid w:val="0"/>
          <w:sz w:val="18"/>
          <w:szCs w:val="22"/>
        </w:rPr>
      </w:pPr>
      <w:r w:rsidRPr="001A5D0C">
        <w:rPr>
          <w:rFonts w:ascii="Arial Narrow" w:hAnsi="Arial Narrow"/>
          <w:snapToGrid w:val="0"/>
          <w:sz w:val="18"/>
          <w:szCs w:val="22"/>
          <w:vertAlign w:val="superscript"/>
        </w:rPr>
        <w:t>a</w:t>
      </w:r>
      <w:r>
        <w:rPr>
          <w:rFonts w:ascii="Arial Narrow" w:hAnsi="Arial Narrow"/>
          <w:snapToGrid w:val="0"/>
          <w:sz w:val="18"/>
          <w:szCs w:val="22"/>
        </w:rPr>
        <w:t xml:space="preserve"> Assuming 12 doses per year as estimated by the </w:t>
      </w:r>
      <w:proofErr w:type="gramStart"/>
      <w:r>
        <w:rPr>
          <w:rFonts w:ascii="Arial Narrow" w:hAnsi="Arial Narrow"/>
          <w:snapToGrid w:val="0"/>
          <w:sz w:val="18"/>
          <w:szCs w:val="22"/>
        </w:rPr>
        <w:t>submission</w:t>
      </w:r>
      <w:proofErr w:type="gramEnd"/>
    </w:p>
    <w:p w14:paraId="6EB200E8" w14:textId="72F97C8F" w:rsidR="00594DA5" w:rsidRDefault="00594DA5" w:rsidP="00594DA5">
      <w:pPr>
        <w:pStyle w:val="TableFooter"/>
        <w:rPr>
          <w:snapToGrid w:val="0"/>
          <w:szCs w:val="22"/>
        </w:rPr>
      </w:pPr>
      <w:r w:rsidRPr="00282957">
        <w:rPr>
          <w:snapToGrid w:val="0"/>
          <w:szCs w:val="22"/>
          <w:vertAlign w:val="superscript"/>
        </w:rPr>
        <w:t>b</w:t>
      </w:r>
      <w:r>
        <w:rPr>
          <w:snapToGrid w:val="0"/>
          <w:szCs w:val="22"/>
          <w:vertAlign w:val="superscript"/>
        </w:rPr>
        <w:t xml:space="preserve"> </w:t>
      </w:r>
      <w:r>
        <w:rPr>
          <w:snapToGrid w:val="0"/>
          <w:szCs w:val="22"/>
        </w:rPr>
        <w:t xml:space="preserve">Assuming no change in MBS and hospitalisation costs. This scenario assumes that galcanezumab is listed. </w:t>
      </w:r>
    </w:p>
    <w:p w14:paraId="3DD9B5F3" w14:textId="74DB655C" w:rsidR="00594DA5" w:rsidRDefault="00594DA5" w:rsidP="00594DA5">
      <w:pPr>
        <w:pStyle w:val="TableFooter"/>
        <w:rPr>
          <w:snapToGrid w:val="0"/>
          <w:szCs w:val="22"/>
        </w:rPr>
      </w:pPr>
      <w:r w:rsidRPr="003B6282">
        <w:rPr>
          <w:snapToGrid w:val="0"/>
          <w:szCs w:val="22"/>
          <w:vertAlign w:val="superscript"/>
        </w:rPr>
        <w:t>c</w:t>
      </w:r>
      <w:r>
        <w:rPr>
          <w:snapToGrid w:val="0"/>
          <w:szCs w:val="22"/>
        </w:rPr>
        <w:t xml:space="preserve"> </w:t>
      </w:r>
      <w:r w:rsidRPr="003B6282">
        <w:rPr>
          <w:snapToGrid w:val="0"/>
          <w:szCs w:val="22"/>
        </w:rPr>
        <w:t>Assuming a first visit, the next visit is after three treatment cycles (two visits in 3 months, initial), then ongoing follow-up every 6 treatment cycles (continuing). Total three neurologist visits in 12 months (initial +continuing: MBS item no. 116 and scheduled fee $81.05 per visit</w:t>
      </w:r>
      <w:r>
        <w:rPr>
          <w:snapToGrid w:val="0"/>
          <w:szCs w:val="22"/>
        </w:rPr>
        <w:t xml:space="preserve">. Total volume of visits Year 1 is </w:t>
      </w:r>
      <w:proofErr w:type="gramStart"/>
      <w:r w:rsidR="007A29C8" w:rsidRPr="00683FF6">
        <w:rPr>
          <w:snapToGrid w:val="0"/>
          <w:color w:val="000000"/>
          <w:spacing w:val="22"/>
          <w:szCs w:val="22"/>
          <w:shd w:val="solid" w:color="000000" w:fill="000000"/>
          <w:fitText w:val="227" w:id="-1303650304"/>
          <w14:textFill>
            <w14:solidFill>
              <w14:srgbClr w14:val="000000">
                <w14:alpha w14:val="100000"/>
              </w14:srgbClr>
            </w14:solidFill>
          </w14:textFill>
        </w:rPr>
        <w:t xml:space="preserve">|  </w:t>
      </w:r>
      <w:r w:rsidR="007A29C8" w:rsidRPr="00683FF6">
        <w:rPr>
          <w:snapToGrid w:val="0"/>
          <w:color w:val="000000"/>
          <w:spacing w:val="3"/>
          <w:szCs w:val="22"/>
          <w:shd w:val="solid" w:color="000000" w:fill="000000"/>
          <w:fitText w:val="227" w:id="-1303650304"/>
          <w14:textFill>
            <w14:solidFill>
              <w14:srgbClr w14:val="000000">
                <w14:alpha w14:val="100000"/>
              </w14:srgbClr>
            </w14:solidFill>
          </w14:textFill>
        </w:rPr>
        <w:t>|</w:t>
      </w:r>
      <w:proofErr w:type="gramEnd"/>
      <w:r w:rsidR="00446CED" w:rsidRPr="00446CED">
        <w:rPr>
          <w:snapToGrid w:val="0"/>
          <w:szCs w:val="22"/>
          <w:vertAlign w:val="superscript"/>
        </w:rPr>
        <w:t>5</w:t>
      </w:r>
      <w:r w:rsidRPr="00446CED">
        <w:rPr>
          <w:snapToGrid w:val="0"/>
          <w:szCs w:val="22"/>
        </w:rPr>
        <w:t xml:space="preserve">, Year 2 is </w:t>
      </w:r>
      <w:r w:rsidR="007A29C8" w:rsidRPr="00683FF6">
        <w:rPr>
          <w:snapToGrid w:val="0"/>
          <w:color w:val="000000"/>
          <w:spacing w:val="22"/>
          <w:szCs w:val="22"/>
          <w:shd w:val="solid" w:color="000000" w:fill="000000"/>
          <w:fitText w:val="226" w:id="-1303650303"/>
          <w14:textFill>
            <w14:solidFill>
              <w14:srgbClr w14:val="000000">
                <w14:alpha w14:val="100000"/>
              </w14:srgbClr>
            </w14:solidFill>
          </w14:textFill>
        </w:rPr>
        <w:t xml:space="preserve">|  </w:t>
      </w:r>
      <w:r w:rsidR="007A29C8" w:rsidRPr="00683FF6">
        <w:rPr>
          <w:snapToGrid w:val="0"/>
          <w:color w:val="000000"/>
          <w:spacing w:val="2"/>
          <w:szCs w:val="22"/>
          <w:shd w:val="solid" w:color="000000" w:fill="000000"/>
          <w:fitText w:val="226" w:id="-1303650303"/>
          <w14:textFill>
            <w14:solidFill>
              <w14:srgbClr w14:val="000000">
                <w14:alpha w14:val="100000"/>
              </w14:srgbClr>
            </w14:solidFill>
          </w14:textFill>
        </w:rPr>
        <w:t>|</w:t>
      </w:r>
      <w:r w:rsidR="00446CED" w:rsidRPr="00446CED">
        <w:rPr>
          <w:snapToGrid w:val="0"/>
          <w:szCs w:val="22"/>
          <w:vertAlign w:val="superscript"/>
        </w:rPr>
        <w:t>5</w:t>
      </w:r>
      <w:r w:rsidRPr="00446CED">
        <w:rPr>
          <w:snapToGrid w:val="0"/>
          <w:szCs w:val="22"/>
        </w:rPr>
        <w:t xml:space="preserve">, Year 3 is </w:t>
      </w:r>
      <w:r w:rsidR="007A29C8" w:rsidRPr="00683FF6">
        <w:rPr>
          <w:snapToGrid w:val="0"/>
          <w:color w:val="000000"/>
          <w:spacing w:val="22"/>
          <w:szCs w:val="22"/>
          <w:shd w:val="solid" w:color="000000" w:fill="000000"/>
          <w:fitText w:val="226" w:id="-1303650302"/>
          <w14:textFill>
            <w14:solidFill>
              <w14:srgbClr w14:val="000000">
                <w14:alpha w14:val="100000"/>
              </w14:srgbClr>
            </w14:solidFill>
          </w14:textFill>
        </w:rPr>
        <w:t xml:space="preserve">|  </w:t>
      </w:r>
      <w:r w:rsidR="007A29C8" w:rsidRPr="00683FF6">
        <w:rPr>
          <w:snapToGrid w:val="0"/>
          <w:color w:val="000000"/>
          <w:spacing w:val="2"/>
          <w:szCs w:val="22"/>
          <w:shd w:val="solid" w:color="000000" w:fill="000000"/>
          <w:fitText w:val="226" w:id="-1303650302"/>
          <w14:textFill>
            <w14:solidFill>
              <w14:srgbClr w14:val="000000">
                <w14:alpha w14:val="100000"/>
              </w14:srgbClr>
            </w14:solidFill>
          </w14:textFill>
        </w:rPr>
        <w:t>|</w:t>
      </w:r>
      <w:r w:rsidR="00446CED" w:rsidRPr="00446CED">
        <w:rPr>
          <w:snapToGrid w:val="0"/>
          <w:szCs w:val="22"/>
          <w:vertAlign w:val="superscript"/>
        </w:rPr>
        <w:t>5</w:t>
      </w:r>
      <w:r w:rsidRPr="00446CED">
        <w:rPr>
          <w:snapToGrid w:val="0"/>
          <w:szCs w:val="22"/>
        </w:rPr>
        <w:t xml:space="preserve">, Year 4 is </w:t>
      </w:r>
      <w:r w:rsidR="007A29C8" w:rsidRPr="00683FF6">
        <w:rPr>
          <w:snapToGrid w:val="0"/>
          <w:color w:val="000000"/>
          <w:spacing w:val="22"/>
          <w:szCs w:val="22"/>
          <w:shd w:val="solid" w:color="000000" w:fill="000000"/>
          <w:fitText w:val="226" w:id="-1303650301"/>
          <w14:textFill>
            <w14:solidFill>
              <w14:srgbClr w14:val="000000">
                <w14:alpha w14:val="100000"/>
              </w14:srgbClr>
            </w14:solidFill>
          </w14:textFill>
        </w:rPr>
        <w:t xml:space="preserve">|  </w:t>
      </w:r>
      <w:r w:rsidR="007A29C8" w:rsidRPr="00683FF6">
        <w:rPr>
          <w:snapToGrid w:val="0"/>
          <w:color w:val="000000"/>
          <w:spacing w:val="2"/>
          <w:szCs w:val="22"/>
          <w:shd w:val="solid" w:color="000000" w:fill="000000"/>
          <w:fitText w:val="226" w:id="-1303650301"/>
          <w14:textFill>
            <w14:solidFill>
              <w14:srgbClr w14:val="000000">
                <w14:alpha w14:val="100000"/>
              </w14:srgbClr>
            </w14:solidFill>
          </w14:textFill>
        </w:rPr>
        <w:t>|</w:t>
      </w:r>
      <w:r w:rsidR="00446CED" w:rsidRPr="00446CED">
        <w:rPr>
          <w:snapToGrid w:val="0"/>
          <w:szCs w:val="22"/>
          <w:vertAlign w:val="superscript"/>
        </w:rPr>
        <w:t>5</w:t>
      </w:r>
      <w:r w:rsidRPr="00446CED">
        <w:rPr>
          <w:snapToGrid w:val="0"/>
          <w:szCs w:val="22"/>
        </w:rPr>
        <w:t xml:space="preserve">, Year 5 is </w:t>
      </w:r>
      <w:r w:rsidR="007A29C8" w:rsidRPr="00683FF6">
        <w:rPr>
          <w:snapToGrid w:val="0"/>
          <w:color w:val="000000"/>
          <w:spacing w:val="22"/>
          <w:szCs w:val="22"/>
          <w:shd w:val="solid" w:color="000000" w:fill="000000"/>
          <w:fitText w:val="226" w:id="-1303650300"/>
          <w14:textFill>
            <w14:solidFill>
              <w14:srgbClr w14:val="000000">
                <w14:alpha w14:val="100000"/>
              </w14:srgbClr>
            </w14:solidFill>
          </w14:textFill>
        </w:rPr>
        <w:t xml:space="preserve">|  </w:t>
      </w:r>
      <w:r w:rsidR="007A29C8" w:rsidRPr="00683FF6">
        <w:rPr>
          <w:snapToGrid w:val="0"/>
          <w:color w:val="000000"/>
          <w:spacing w:val="2"/>
          <w:szCs w:val="22"/>
          <w:shd w:val="solid" w:color="000000" w:fill="000000"/>
          <w:fitText w:val="226" w:id="-1303650300"/>
          <w14:textFill>
            <w14:solidFill>
              <w14:srgbClr w14:val="000000">
                <w14:alpha w14:val="100000"/>
              </w14:srgbClr>
            </w14:solidFill>
          </w14:textFill>
        </w:rPr>
        <w:t>|</w:t>
      </w:r>
      <w:r w:rsidR="00446CED" w:rsidRPr="00446CED">
        <w:rPr>
          <w:snapToGrid w:val="0"/>
          <w:szCs w:val="22"/>
          <w:vertAlign w:val="superscript"/>
        </w:rPr>
        <w:t>5</w:t>
      </w:r>
      <w:r w:rsidRPr="00446CED">
        <w:rPr>
          <w:snapToGrid w:val="0"/>
          <w:szCs w:val="22"/>
        </w:rPr>
        <w:t xml:space="preserve"> and Year 6 is </w:t>
      </w:r>
      <w:r w:rsidR="007A29C8" w:rsidRPr="00683FF6">
        <w:rPr>
          <w:snapToGrid w:val="0"/>
          <w:color w:val="000000"/>
          <w:spacing w:val="22"/>
          <w:szCs w:val="22"/>
          <w:shd w:val="solid" w:color="000000" w:fill="000000"/>
          <w:fitText w:val="226" w:id="-1303650299"/>
          <w14:textFill>
            <w14:solidFill>
              <w14:srgbClr w14:val="000000">
                <w14:alpha w14:val="100000"/>
              </w14:srgbClr>
            </w14:solidFill>
          </w14:textFill>
        </w:rPr>
        <w:t xml:space="preserve">|  </w:t>
      </w:r>
      <w:r w:rsidR="007A29C8" w:rsidRPr="00683FF6">
        <w:rPr>
          <w:snapToGrid w:val="0"/>
          <w:color w:val="000000"/>
          <w:spacing w:val="2"/>
          <w:szCs w:val="22"/>
          <w:shd w:val="solid" w:color="000000" w:fill="000000"/>
          <w:fitText w:val="226" w:id="-1303650299"/>
          <w14:textFill>
            <w14:solidFill>
              <w14:srgbClr w14:val="000000">
                <w14:alpha w14:val="100000"/>
              </w14:srgbClr>
            </w14:solidFill>
          </w14:textFill>
        </w:rPr>
        <w:t>|</w:t>
      </w:r>
      <w:r w:rsidR="00446CED" w:rsidRPr="00446CED">
        <w:rPr>
          <w:snapToGrid w:val="0"/>
          <w:szCs w:val="22"/>
          <w:vertAlign w:val="superscript"/>
        </w:rPr>
        <w:t xml:space="preserve"> 5</w:t>
      </w:r>
      <w:r w:rsidRPr="00446CED">
        <w:rPr>
          <w:snapToGrid w:val="0"/>
          <w:szCs w:val="22"/>
        </w:rPr>
        <w:t>.</w:t>
      </w:r>
      <w:r>
        <w:rPr>
          <w:snapToGrid w:val="0"/>
          <w:szCs w:val="22"/>
        </w:rPr>
        <w:t xml:space="preserve"> </w:t>
      </w:r>
    </w:p>
    <w:p w14:paraId="7A4945CB" w14:textId="6807844A" w:rsidR="00003D4B" w:rsidRDefault="00003D4B" w:rsidP="00853F5B">
      <w:pPr>
        <w:pStyle w:val="TableFooter"/>
        <w:spacing w:after="120"/>
        <w:rPr>
          <w:snapToGrid w:val="0"/>
          <w:szCs w:val="22"/>
        </w:rPr>
      </w:pPr>
      <w:r w:rsidRPr="00D917B4">
        <w:rPr>
          <w:snapToGrid w:val="0"/>
          <w:szCs w:val="22"/>
          <w:vertAlign w:val="superscript"/>
        </w:rPr>
        <w:t>d</w:t>
      </w:r>
      <w:r>
        <w:rPr>
          <w:snapToGrid w:val="0"/>
          <w:szCs w:val="22"/>
        </w:rPr>
        <w:t xml:space="preserve"> C</w:t>
      </w:r>
      <w:r w:rsidRPr="00D917B4">
        <w:rPr>
          <w:snapToGrid w:val="0"/>
          <w:szCs w:val="22"/>
        </w:rPr>
        <w:t>ost to PBS/RPBS less copayments</w:t>
      </w:r>
      <w:r>
        <w:rPr>
          <w:snapToGrid w:val="0"/>
          <w:szCs w:val="22"/>
        </w:rPr>
        <w:t xml:space="preserve"> plus MBS cost. Moreover, there will be no savings from replacing galcanezumab scripts.</w:t>
      </w:r>
    </w:p>
    <w:p w14:paraId="065AA5D9" w14:textId="77777777" w:rsidR="00853F5B" w:rsidRPr="009A6D58" w:rsidRDefault="00853F5B" w:rsidP="00853F5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E9937EB" w14:textId="1A148971" w:rsidR="00853F5B" w:rsidRPr="009A6D58" w:rsidRDefault="00853F5B" w:rsidP="00853F5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53F5B">
        <w:rPr>
          <w:rFonts w:ascii="Arial Narrow" w:hAnsi="Arial Narrow"/>
          <w:i/>
          <w:sz w:val="18"/>
          <w:szCs w:val="18"/>
        </w:rPr>
        <w:t>200,000 to &lt; 300,000</w:t>
      </w:r>
    </w:p>
    <w:p w14:paraId="37031427" w14:textId="3865549D" w:rsidR="00853F5B" w:rsidRPr="009A6D58" w:rsidRDefault="00853F5B" w:rsidP="00853F5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53F5B">
        <w:rPr>
          <w:rFonts w:ascii="Arial Narrow" w:hAnsi="Arial Narrow"/>
          <w:i/>
          <w:sz w:val="18"/>
          <w:szCs w:val="18"/>
        </w:rPr>
        <w:t>20,000 to &lt; 30,000</w:t>
      </w:r>
    </w:p>
    <w:p w14:paraId="0C28F795" w14:textId="0A30BA24" w:rsidR="00853F5B" w:rsidRDefault="00853F5B" w:rsidP="00853F5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3</w:t>
      </w:r>
      <w:r w:rsidRPr="00853F5B">
        <w:rPr>
          <w:rFonts w:ascii="Arial Narrow" w:hAnsi="Arial Narrow"/>
          <w:i/>
          <w:sz w:val="18"/>
          <w:szCs w:val="18"/>
        </w:rPr>
        <w:t>0,000 to &lt; </w:t>
      </w:r>
      <w:r>
        <w:rPr>
          <w:rFonts w:ascii="Arial Narrow" w:hAnsi="Arial Narrow"/>
          <w:i/>
          <w:sz w:val="18"/>
          <w:szCs w:val="18"/>
        </w:rPr>
        <w:t>4</w:t>
      </w:r>
      <w:r w:rsidRPr="00853F5B">
        <w:rPr>
          <w:rFonts w:ascii="Arial Narrow" w:hAnsi="Arial Narrow"/>
          <w:i/>
          <w:sz w:val="18"/>
          <w:szCs w:val="18"/>
        </w:rPr>
        <w:t>0,000</w:t>
      </w:r>
    </w:p>
    <w:p w14:paraId="1AAED9AF" w14:textId="7A4A7777" w:rsidR="00853F5B" w:rsidRDefault="00853F5B" w:rsidP="00853F5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53F5B">
        <w:rPr>
          <w:rFonts w:ascii="Arial Narrow" w:hAnsi="Arial Narrow"/>
          <w:i/>
          <w:sz w:val="18"/>
          <w:szCs w:val="18"/>
        </w:rPr>
        <w:t>5,000 to &lt; 10,000</w:t>
      </w:r>
    </w:p>
    <w:p w14:paraId="40E1DE26" w14:textId="595E072A" w:rsidR="00853F5B" w:rsidRDefault="00853F5B" w:rsidP="00853F5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53F5B">
        <w:rPr>
          <w:rFonts w:ascii="Arial Narrow" w:hAnsi="Arial Narrow"/>
          <w:i/>
          <w:sz w:val="18"/>
          <w:szCs w:val="18"/>
        </w:rPr>
        <w:t>500 to &lt; 5,000</w:t>
      </w:r>
    </w:p>
    <w:p w14:paraId="34142DE6" w14:textId="013244CE" w:rsidR="00853F5B" w:rsidRDefault="00853F5B" w:rsidP="00853F5B">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853F5B">
        <w:rPr>
          <w:rFonts w:ascii="Arial Narrow" w:hAnsi="Arial Narrow"/>
          <w:i/>
          <w:sz w:val="18"/>
          <w:szCs w:val="18"/>
        </w:rPr>
        <w:t>10,000 to &lt; 20,000</w:t>
      </w:r>
    </w:p>
    <w:p w14:paraId="335D9A8C" w14:textId="3BDA7BA5" w:rsidR="00853F5B" w:rsidRPr="009A6D58" w:rsidRDefault="00853F5B" w:rsidP="00853F5B">
      <w:pPr>
        <w:rPr>
          <w:rFonts w:ascii="Arial Narrow" w:hAnsi="Arial Narrow"/>
          <w:i/>
          <w:sz w:val="18"/>
          <w:szCs w:val="18"/>
        </w:rPr>
      </w:pPr>
      <w:r>
        <w:rPr>
          <w:rFonts w:ascii="Arial Narrow" w:hAnsi="Arial Narrow"/>
          <w:i/>
          <w:sz w:val="18"/>
          <w:szCs w:val="18"/>
          <w:vertAlign w:val="superscript"/>
        </w:rPr>
        <w:lastRenderedPageBreak/>
        <w:t>7</w:t>
      </w:r>
      <w:r>
        <w:rPr>
          <w:rFonts w:ascii="Arial Narrow" w:hAnsi="Arial Narrow"/>
          <w:i/>
          <w:sz w:val="18"/>
          <w:szCs w:val="18"/>
        </w:rPr>
        <w:t xml:space="preserve"> 4</w:t>
      </w:r>
      <w:r w:rsidRPr="00853F5B">
        <w:rPr>
          <w:rFonts w:ascii="Arial Narrow" w:hAnsi="Arial Narrow"/>
          <w:i/>
          <w:sz w:val="18"/>
          <w:szCs w:val="18"/>
        </w:rPr>
        <w:t>0,000 to &lt; </w:t>
      </w:r>
      <w:r>
        <w:rPr>
          <w:rFonts w:ascii="Arial Narrow" w:hAnsi="Arial Narrow"/>
          <w:i/>
          <w:sz w:val="18"/>
          <w:szCs w:val="18"/>
        </w:rPr>
        <w:t>5</w:t>
      </w:r>
      <w:r w:rsidRPr="00853F5B">
        <w:rPr>
          <w:rFonts w:ascii="Arial Narrow" w:hAnsi="Arial Narrow"/>
          <w:i/>
          <w:sz w:val="18"/>
          <w:szCs w:val="18"/>
        </w:rPr>
        <w:t>0,000</w:t>
      </w:r>
    </w:p>
    <w:p w14:paraId="28FEC414" w14:textId="00DCCB61" w:rsidR="00853F5B" w:rsidRPr="009A6D58" w:rsidRDefault="00853F5B" w:rsidP="00853F5B">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5</w:t>
      </w:r>
      <w:r w:rsidRPr="00853F5B">
        <w:rPr>
          <w:rFonts w:ascii="Arial Narrow" w:hAnsi="Arial Narrow"/>
          <w:i/>
          <w:sz w:val="18"/>
          <w:szCs w:val="18"/>
        </w:rPr>
        <w:t>0,000 to &lt; </w:t>
      </w:r>
      <w:r>
        <w:rPr>
          <w:rFonts w:ascii="Arial Narrow" w:hAnsi="Arial Narrow"/>
          <w:i/>
          <w:sz w:val="18"/>
          <w:szCs w:val="18"/>
        </w:rPr>
        <w:t>6</w:t>
      </w:r>
      <w:r w:rsidRPr="00853F5B">
        <w:rPr>
          <w:rFonts w:ascii="Arial Narrow" w:hAnsi="Arial Narrow"/>
          <w:i/>
          <w:sz w:val="18"/>
          <w:szCs w:val="18"/>
        </w:rPr>
        <w:t>0,000</w:t>
      </w:r>
    </w:p>
    <w:p w14:paraId="50B4F73A" w14:textId="451937FF" w:rsidR="00853F5B" w:rsidRDefault="00853F5B" w:rsidP="00853F5B">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bookmarkStart w:id="73" w:name="_Hlk124518861"/>
      <w:r w:rsidR="002F7DD2" w:rsidRPr="002F7DD2">
        <w:rPr>
          <w:rFonts w:ascii="Arial Narrow" w:hAnsi="Arial Narrow"/>
          <w:i/>
          <w:sz w:val="18"/>
          <w:szCs w:val="18"/>
        </w:rPr>
        <w:t>$10 million to &lt; $20 million</w:t>
      </w:r>
      <w:bookmarkEnd w:id="73"/>
    </w:p>
    <w:p w14:paraId="497D3C3E" w14:textId="2AD49B82" w:rsidR="00853F5B" w:rsidRDefault="00853F5B" w:rsidP="00853F5B">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002F7DD2" w:rsidRPr="002F7DD2">
        <w:rPr>
          <w:rFonts w:ascii="Arial Narrow" w:hAnsi="Arial Narrow"/>
          <w:i/>
          <w:sz w:val="18"/>
          <w:szCs w:val="18"/>
        </w:rPr>
        <w:t>$</w:t>
      </w:r>
      <w:r w:rsidR="002F7DD2">
        <w:rPr>
          <w:rFonts w:ascii="Arial Narrow" w:hAnsi="Arial Narrow"/>
          <w:i/>
          <w:sz w:val="18"/>
          <w:szCs w:val="18"/>
        </w:rPr>
        <w:t>2</w:t>
      </w:r>
      <w:r w:rsidR="002F7DD2" w:rsidRPr="002F7DD2">
        <w:rPr>
          <w:rFonts w:ascii="Arial Narrow" w:hAnsi="Arial Narrow"/>
          <w:i/>
          <w:sz w:val="18"/>
          <w:szCs w:val="18"/>
        </w:rPr>
        <w:t>0 million to &lt; $</w:t>
      </w:r>
      <w:r w:rsidR="002F7DD2">
        <w:rPr>
          <w:rFonts w:ascii="Arial Narrow" w:hAnsi="Arial Narrow"/>
          <w:i/>
          <w:sz w:val="18"/>
          <w:szCs w:val="18"/>
        </w:rPr>
        <w:t>3</w:t>
      </w:r>
      <w:r w:rsidR="002F7DD2" w:rsidRPr="002F7DD2">
        <w:rPr>
          <w:rFonts w:ascii="Arial Narrow" w:hAnsi="Arial Narrow"/>
          <w:i/>
          <w:sz w:val="18"/>
          <w:szCs w:val="18"/>
        </w:rPr>
        <w:t>0 million</w:t>
      </w:r>
    </w:p>
    <w:p w14:paraId="647CFDFF" w14:textId="36AAD9CC" w:rsidR="00853F5B" w:rsidRDefault="00853F5B" w:rsidP="00853F5B">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2F7DD2" w:rsidRPr="002F7DD2">
        <w:rPr>
          <w:rFonts w:ascii="Arial Narrow" w:hAnsi="Arial Narrow"/>
          <w:i/>
          <w:sz w:val="18"/>
          <w:szCs w:val="18"/>
        </w:rPr>
        <w:t>$</w:t>
      </w:r>
      <w:r w:rsidR="002F7DD2">
        <w:rPr>
          <w:rFonts w:ascii="Arial Narrow" w:hAnsi="Arial Narrow"/>
          <w:i/>
          <w:sz w:val="18"/>
          <w:szCs w:val="18"/>
        </w:rPr>
        <w:t>3</w:t>
      </w:r>
      <w:r w:rsidR="002F7DD2" w:rsidRPr="002F7DD2">
        <w:rPr>
          <w:rFonts w:ascii="Arial Narrow" w:hAnsi="Arial Narrow"/>
          <w:i/>
          <w:sz w:val="18"/>
          <w:szCs w:val="18"/>
        </w:rPr>
        <w:t>0 million to &lt; $</w:t>
      </w:r>
      <w:r w:rsidR="002F7DD2">
        <w:rPr>
          <w:rFonts w:ascii="Arial Narrow" w:hAnsi="Arial Narrow"/>
          <w:i/>
          <w:sz w:val="18"/>
          <w:szCs w:val="18"/>
        </w:rPr>
        <w:t>4</w:t>
      </w:r>
      <w:r w:rsidR="002F7DD2" w:rsidRPr="002F7DD2">
        <w:rPr>
          <w:rFonts w:ascii="Arial Narrow" w:hAnsi="Arial Narrow"/>
          <w:i/>
          <w:sz w:val="18"/>
          <w:szCs w:val="18"/>
        </w:rPr>
        <w:t>0 million</w:t>
      </w:r>
    </w:p>
    <w:p w14:paraId="2A2919EC" w14:textId="6F27473F" w:rsidR="00853F5B" w:rsidRDefault="00853F5B" w:rsidP="00853F5B">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002F7DD2" w:rsidRPr="002F7DD2">
        <w:rPr>
          <w:rFonts w:ascii="Arial Narrow" w:hAnsi="Arial Narrow"/>
          <w:i/>
          <w:sz w:val="18"/>
          <w:szCs w:val="18"/>
        </w:rPr>
        <w:t>$0 to &lt; $</w:t>
      </w:r>
      <w:r w:rsidR="002F7DD2">
        <w:rPr>
          <w:rFonts w:ascii="Arial Narrow" w:hAnsi="Arial Narrow"/>
          <w:i/>
          <w:sz w:val="18"/>
          <w:szCs w:val="18"/>
        </w:rPr>
        <w:t>1</w:t>
      </w:r>
      <w:r w:rsidR="002F7DD2" w:rsidRPr="002F7DD2">
        <w:rPr>
          <w:rFonts w:ascii="Arial Narrow" w:hAnsi="Arial Narrow"/>
          <w:i/>
          <w:sz w:val="18"/>
          <w:szCs w:val="18"/>
        </w:rPr>
        <w:t>0 million</w:t>
      </w:r>
    </w:p>
    <w:p w14:paraId="06A527F0" w14:textId="07C160E9" w:rsidR="002F7DD2" w:rsidRDefault="002F7DD2" w:rsidP="002F7DD2">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Net cost </w:t>
      </w:r>
      <w:proofErr w:type="gramStart"/>
      <w:r>
        <w:rPr>
          <w:rFonts w:ascii="Arial Narrow" w:hAnsi="Arial Narrow"/>
          <w:i/>
          <w:sz w:val="18"/>
          <w:szCs w:val="18"/>
        </w:rPr>
        <w:t>save</w:t>
      </w:r>
      <w:proofErr w:type="gramEnd"/>
    </w:p>
    <w:p w14:paraId="1F09FF51" w14:textId="770E31D2" w:rsidR="00594DA5" w:rsidRPr="00277996" w:rsidRDefault="00594DA5" w:rsidP="00594DA5">
      <w:pPr>
        <w:pStyle w:val="TableFooter"/>
        <w:rPr>
          <w:iCs/>
          <w:lang w:val="en-GB"/>
        </w:rPr>
      </w:pPr>
    </w:p>
    <w:bookmarkEnd w:id="71"/>
    <w:p w14:paraId="669E153A" w14:textId="310C6901" w:rsidR="001C5FD2" w:rsidRPr="00AB42CF" w:rsidRDefault="001C5FD2" w:rsidP="00033A63">
      <w:pPr>
        <w:pStyle w:val="3-BodyText"/>
        <w:numPr>
          <w:ilvl w:val="1"/>
          <w:numId w:val="5"/>
        </w:numPr>
        <w:ind w:left="720"/>
        <w:rPr>
          <w:color w:val="000000" w:themeColor="text1"/>
        </w:rPr>
      </w:pPr>
      <w:r w:rsidRPr="00AB42CF">
        <w:rPr>
          <w:color w:val="000000" w:themeColor="text1"/>
        </w:rPr>
        <w:t xml:space="preserve">The cost of listing fremanezumab on the PBS/RPBS for </w:t>
      </w:r>
      <w:proofErr w:type="gramStart"/>
      <w:r w:rsidR="0000637B">
        <w:rPr>
          <w:color w:val="000000" w:themeColor="text1"/>
        </w:rPr>
        <w:t>treatment-resistant</w:t>
      </w:r>
      <w:proofErr w:type="gramEnd"/>
      <w:r w:rsidR="0000637B">
        <w:rPr>
          <w:color w:val="000000" w:themeColor="text1"/>
        </w:rPr>
        <w:t xml:space="preserve"> </w:t>
      </w:r>
      <w:r w:rsidRPr="00AB42CF">
        <w:rPr>
          <w:color w:val="000000" w:themeColor="text1"/>
        </w:rPr>
        <w:t>HFEM</w:t>
      </w:r>
      <w:r>
        <w:rPr>
          <w:color w:val="000000" w:themeColor="text1"/>
        </w:rPr>
        <w:t xml:space="preserve"> </w:t>
      </w:r>
      <w:r w:rsidRPr="00AB42CF">
        <w:rPr>
          <w:color w:val="000000" w:themeColor="text1"/>
        </w:rPr>
        <w:t xml:space="preserve">was estimated to be </w:t>
      </w:r>
      <w:r w:rsidR="00C3190A" w:rsidRPr="00C3190A">
        <w:rPr>
          <w:color w:val="000000" w:themeColor="text1"/>
        </w:rPr>
        <w:t>$10</w:t>
      </w:r>
      <w:r w:rsidR="00C3190A">
        <w:rPr>
          <w:color w:val="000000" w:themeColor="text1"/>
        </w:rPr>
        <w:t> </w:t>
      </w:r>
      <w:r w:rsidR="00C3190A" w:rsidRPr="00C3190A">
        <w:rPr>
          <w:color w:val="000000" w:themeColor="text1"/>
        </w:rPr>
        <w:t>million</w:t>
      </w:r>
      <w:r w:rsidR="00C3190A">
        <w:rPr>
          <w:color w:val="000000" w:themeColor="text1"/>
        </w:rPr>
        <w:t> </w:t>
      </w:r>
      <w:r w:rsidR="00C3190A" w:rsidRPr="00C3190A">
        <w:rPr>
          <w:color w:val="000000" w:themeColor="text1"/>
        </w:rPr>
        <w:t>to</w:t>
      </w:r>
      <w:r w:rsidR="00C3190A">
        <w:rPr>
          <w:color w:val="000000" w:themeColor="text1"/>
        </w:rPr>
        <w:t> </w:t>
      </w:r>
      <w:r w:rsidR="00C3190A" w:rsidRPr="00C3190A">
        <w:rPr>
          <w:color w:val="000000" w:themeColor="text1"/>
        </w:rPr>
        <w:t>&lt;</w:t>
      </w:r>
      <w:r w:rsidR="00C3190A">
        <w:rPr>
          <w:color w:val="000000" w:themeColor="text1"/>
        </w:rPr>
        <w:t> </w:t>
      </w:r>
      <w:r w:rsidR="00C3190A" w:rsidRPr="00C3190A">
        <w:rPr>
          <w:color w:val="000000" w:themeColor="text1"/>
        </w:rPr>
        <w:t>$20</w:t>
      </w:r>
      <w:r w:rsidR="00C3190A">
        <w:rPr>
          <w:color w:val="000000" w:themeColor="text1"/>
        </w:rPr>
        <w:t> </w:t>
      </w:r>
      <w:r w:rsidR="00C3190A" w:rsidRPr="00C3190A">
        <w:rPr>
          <w:color w:val="000000" w:themeColor="text1"/>
        </w:rPr>
        <w:t>million</w:t>
      </w:r>
      <w:r w:rsidR="00C3190A" w:rsidRPr="00C3190A" w:rsidDel="00C3190A">
        <w:rPr>
          <w:color w:val="000000" w:themeColor="text1"/>
        </w:rPr>
        <w:t xml:space="preserve"> </w:t>
      </w:r>
      <w:r w:rsidRPr="00AB42CF">
        <w:rPr>
          <w:color w:val="000000" w:themeColor="text1"/>
        </w:rPr>
        <w:t xml:space="preserve">in Year 1, increasing to </w:t>
      </w:r>
      <w:r w:rsidR="00C3190A" w:rsidRPr="00C3190A">
        <w:rPr>
          <w:color w:val="000000" w:themeColor="text1"/>
        </w:rPr>
        <w:t>$</w:t>
      </w:r>
      <w:r w:rsidR="00C3190A">
        <w:rPr>
          <w:color w:val="000000" w:themeColor="text1"/>
        </w:rPr>
        <w:t>3</w:t>
      </w:r>
      <w:r w:rsidR="00C3190A" w:rsidRPr="00C3190A">
        <w:rPr>
          <w:color w:val="000000" w:themeColor="text1"/>
        </w:rPr>
        <w:t>0</w:t>
      </w:r>
      <w:r w:rsidR="00C3190A">
        <w:rPr>
          <w:color w:val="000000" w:themeColor="text1"/>
        </w:rPr>
        <w:t> </w:t>
      </w:r>
      <w:r w:rsidR="00C3190A" w:rsidRPr="00C3190A">
        <w:rPr>
          <w:color w:val="000000" w:themeColor="text1"/>
        </w:rPr>
        <w:t>million</w:t>
      </w:r>
      <w:r w:rsidR="00C3190A">
        <w:rPr>
          <w:color w:val="000000" w:themeColor="text1"/>
        </w:rPr>
        <w:t> </w:t>
      </w:r>
      <w:r w:rsidR="00C3190A" w:rsidRPr="00C3190A">
        <w:rPr>
          <w:color w:val="000000" w:themeColor="text1"/>
        </w:rPr>
        <w:t>to &lt;</w:t>
      </w:r>
      <w:r w:rsidR="00C3190A">
        <w:rPr>
          <w:color w:val="000000" w:themeColor="text1"/>
        </w:rPr>
        <w:t> </w:t>
      </w:r>
      <w:r w:rsidR="00C3190A" w:rsidRPr="00C3190A">
        <w:rPr>
          <w:color w:val="000000" w:themeColor="text1"/>
        </w:rPr>
        <w:t>$</w:t>
      </w:r>
      <w:r w:rsidR="00C3190A">
        <w:rPr>
          <w:color w:val="000000" w:themeColor="text1"/>
        </w:rPr>
        <w:t>4</w:t>
      </w:r>
      <w:r w:rsidR="00C3190A" w:rsidRPr="00C3190A">
        <w:rPr>
          <w:color w:val="000000" w:themeColor="text1"/>
        </w:rPr>
        <w:t>0</w:t>
      </w:r>
      <w:r w:rsidR="00C3190A">
        <w:rPr>
          <w:color w:val="000000" w:themeColor="text1"/>
        </w:rPr>
        <w:t> </w:t>
      </w:r>
      <w:r w:rsidR="00C3190A" w:rsidRPr="00C3190A">
        <w:rPr>
          <w:color w:val="000000" w:themeColor="text1"/>
        </w:rPr>
        <w:t>million</w:t>
      </w:r>
      <w:r w:rsidR="00C3190A" w:rsidRPr="00C3190A" w:rsidDel="00C3190A">
        <w:rPr>
          <w:color w:val="000000" w:themeColor="text1"/>
        </w:rPr>
        <w:t xml:space="preserve"> </w:t>
      </w:r>
      <w:r w:rsidRPr="00AB42CF">
        <w:rPr>
          <w:color w:val="000000" w:themeColor="text1"/>
        </w:rPr>
        <w:t>in Year 6 of listing</w:t>
      </w:r>
      <w:r>
        <w:rPr>
          <w:color w:val="000000" w:themeColor="text1"/>
        </w:rPr>
        <w:t xml:space="preserve">, a total of </w:t>
      </w:r>
      <w:r w:rsidRPr="00AB42CF">
        <w:rPr>
          <w:color w:val="000000" w:themeColor="text1"/>
        </w:rPr>
        <w:t>$</w:t>
      </w:r>
      <w:r w:rsidR="00C3190A" w:rsidRPr="00C3190A">
        <w:rPr>
          <w:color w:val="000000" w:themeColor="text1"/>
        </w:rPr>
        <w:t>100 million to &lt; $200 million</w:t>
      </w:r>
      <w:r w:rsidR="00C3190A" w:rsidRPr="00C3190A" w:rsidDel="00C3190A">
        <w:rPr>
          <w:color w:val="000000" w:themeColor="text1"/>
        </w:rPr>
        <w:t xml:space="preserve"> </w:t>
      </w:r>
      <w:r w:rsidRPr="00AB42CF">
        <w:rPr>
          <w:color w:val="000000" w:themeColor="text1"/>
        </w:rPr>
        <w:t>over the first six years</w:t>
      </w:r>
      <w:r>
        <w:rPr>
          <w:color w:val="000000" w:themeColor="text1"/>
        </w:rPr>
        <w:t xml:space="preserve"> of listing</w:t>
      </w:r>
      <w:r w:rsidRPr="00AB42CF">
        <w:rPr>
          <w:color w:val="000000" w:themeColor="text1"/>
        </w:rPr>
        <w:t>.</w:t>
      </w:r>
    </w:p>
    <w:p w14:paraId="7E975410" w14:textId="788A7693" w:rsidR="00952FF3" w:rsidRPr="00277996" w:rsidRDefault="00E97EFE" w:rsidP="00033A63">
      <w:pPr>
        <w:pStyle w:val="3-BodyText"/>
        <w:numPr>
          <w:ilvl w:val="1"/>
          <w:numId w:val="5"/>
        </w:numPr>
        <w:ind w:left="720"/>
        <w:rPr>
          <w:iCs/>
        </w:rPr>
      </w:pPr>
      <w:r>
        <w:rPr>
          <w:color w:val="000000" w:themeColor="text1"/>
        </w:rPr>
        <w:t xml:space="preserve">Assuming that </w:t>
      </w:r>
      <w:r w:rsidR="003E4008">
        <w:rPr>
          <w:color w:val="000000" w:themeColor="text1"/>
        </w:rPr>
        <w:t>galcanezumab is already listed on the PBS when fremanezumab is listed, t</w:t>
      </w:r>
      <w:r w:rsidR="000B0641" w:rsidRPr="00952FF3">
        <w:rPr>
          <w:color w:val="000000" w:themeColor="text1"/>
        </w:rPr>
        <w:t xml:space="preserve">he submission estimated that the total net cost to the Government </w:t>
      </w:r>
      <w:r w:rsidR="000B0641">
        <w:rPr>
          <w:color w:val="000000" w:themeColor="text1"/>
        </w:rPr>
        <w:t>over</w:t>
      </w:r>
      <w:r w:rsidR="000B0641" w:rsidRPr="00952FF3">
        <w:rPr>
          <w:color w:val="000000" w:themeColor="text1"/>
        </w:rPr>
        <w:t xml:space="preserve"> 6 years is </w:t>
      </w:r>
      <w:r w:rsidR="00C3190A" w:rsidRPr="00C3190A">
        <w:rPr>
          <w:color w:val="000000" w:themeColor="text1"/>
        </w:rPr>
        <w:t>$0 to &lt; $10 million</w:t>
      </w:r>
      <w:r w:rsidR="003E4008">
        <w:rPr>
          <w:color w:val="000000" w:themeColor="text1"/>
        </w:rPr>
        <w:t>, which assumed no additional cost to the MBS</w:t>
      </w:r>
      <w:r w:rsidR="000B0641" w:rsidRPr="00952FF3">
        <w:rPr>
          <w:color w:val="000000" w:themeColor="text1"/>
        </w:rPr>
        <w:t xml:space="preserve">. </w:t>
      </w:r>
      <w:r w:rsidR="003E4008">
        <w:rPr>
          <w:color w:val="000000" w:themeColor="text1"/>
        </w:rPr>
        <w:t xml:space="preserve">This includes an expected </w:t>
      </w:r>
      <w:r w:rsidR="00952FF3" w:rsidRPr="001369E6">
        <w:rPr>
          <w:color w:val="000000" w:themeColor="text1"/>
        </w:rPr>
        <w:t xml:space="preserve">net saving to the </w:t>
      </w:r>
      <w:r w:rsidR="003E4008">
        <w:rPr>
          <w:color w:val="000000" w:themeColor="text1"/>
        </w:rPr>
        <w:t>PBS/RPBS</w:t>
      </w:r>
      <w:r w:rsidR="00952FF3" w:rsidRPr="001369E6">
        <w:rPr>
          <w:color w:val="000000" w:themeColor="text1"/>
        </w:rPr>
        <w:t xml:space="preserve"> in year</w:t>
      </w:r>
      <w:r w:rsidR="003E4008">
        <w:rPr>
          <w:color w:val="000000" w:themeColor="text1"/>
        </w:rPr>
        <w:t xml:space="preserve"> one</w:t>
      </w:r>
      <w:r w:rsidR="00952FF3">
        <w:rPr>
          <w:color w:val="000000" w:themeColor="text1"/>
        </w:rPr>
        <w:t xml:space="preserve"> and in year</w:t>
      </w:r>
      <w:r w:rsidR="005D2097">
        <w:rPr>
          <w:color w:val="000000" w:themeColor="text1"/>
        </w:rPr>
        <w:t xml:space="preserve"> </w:t>
      </w:r>
      <w:r w:rsidR="003E4008">
        <w:rPr>
          <w:color w:val="000000" w:themeColor="text1"/>
        </w:rPr>
        <w:t xml:space="preserve">two of </w:t>
      </w:r>
      <w:r w:rsidR="005D2097">
        <w:rPr>
          <w:color w:val="000000" w:themeColor="text1"/>
        </w:rPr>
        <w:t>listing</w:t>
      </w:r>
      <w:r w:rsidR="00952FF3" w:rsidRPr="001369E6">
        <w:rPr>
          <w:color w:val="000000" w:themeColor="text1"/>
        </w:rPr>
        <w:t xml:space="preserve">. </w:t>
      </w:r>
      <w:r w:rsidR="00952FF3">
        <w:rPr>
          <w:color w:val="000000" w:themeColor="text1"/>
        </w:rPr>
        <w:t xml:space="preserve">The </w:t>
      </w:r>
      <w:r w:rsidR="0055029F">
        <w:rPr>
          <w:color w:val="000000" w:themeColor="text1"/>
        </w:rPr>
        <w:t xml:space="preserve">saving is driven by the </w:t>
      </w:r>
      <w:r w:rsidR="003E4008">
        <w:rPr>
          <w:color w:val="000000" w:themeColor="text1"/>
        </w:rPr>
        <w:t xml:space="preserve">avoidance of the </w:t>
      </w:r>
      <w:r w:rsidR="0055029F">
        <w:rPr>
          <w:color w:val="000000" w:themeColor="text1"/>
        </w:rPr>
        <w:t xml:space="preserve">additional loading dose required for galcanezumab. </w:t>
      </w:r>
      <w:r w:rsidR="000B0641">
        <w:rPr>
          <w:color w:val="000000" w:themeColor="text1"/>
        </w:rPr>
        <w:t xml:space="preserve">In </w:t>
      </w:r>
      <w:r w:rsidR="00B251EE">
        <w:rPr>
          <w:color w:val="000000" w:themeColor="text1"/>
        </w:rPr>
        <w:t>y</w:t>
      </w:r>
      <w:r w:rsidR="000B0641" w:rsidRPr="00952FF3">
        <w:rPr>
          <w:color w:val="000000" w:themeColor="text1"/>
        </w:rPr>
        <w:t xml:space="preserve">ear </w:t>
      </w:r>
      <w:r w:rsidR="003E4008">
        <w:rPr>
          <w:color w:val="000000" w:themeColor="text1"/>
        </w:rPr>
        <w:t>three</w:t>
      </w:r>
      <w:r w:rsidR="000B0641" w:rsidRPr="00952FF3">
        <w:rPr>
          <w:color w:val="000000" w:themeColor="text1"/>
        </w:rPr>
        <w:t xml:space="preserve">, there is expected to be an additional cost </w:t>
      </w:r>
      <w:r w:rsidR="003E4008">
        <w:rPr>
          <w:color w:val="000000" w:themeColor="text1"/>
        </w:rPr>
        <w:t xml:space="preserve">of approximately </w:t>
      </w:r>
      <w:r w:rsidR="00C3190A" w:rsidRPr="00C3190A">
        <w:rPr>
          <w:color w:val="000000" w:themeColor="text1"/>
        </w:rPr>
        <w:t>$0 to &lt; $10 million</w:t>
      </w:r>
      <w:r w:rsidR="003E4008">
        <w:rPr>
          <w:color w:val="000000" w:themeColor="text1"/>
        </w:rPr>
        <w:t>, which</w:t>
      </w:r>
      <w:r w:rsidR="000B0641">
        <w:rPr>
          <w:color w:val="000000" w:themeColor="text1"/>
        </w:rPr>
        <w:t xml:space="preserve"> </w:t>
      </w:r>
      <w:r w:rsidR="000B0641" w:rsidRPr="00952FF3">
        <w:rPr>
          <w:color w:val="000000" w:themeColor="text1"/>
        </w:rPr>
        <w:t>increas</w:t>
      </w:r>
      <w:r>
        <w:rPr>
          <w:color w:val="000000" w:themeColor="text1"/>
        </w:rPr>
        <w:t xml:space="preserve">es </w:t>
      </w:r>
      <w:r w:rsidR="000B0641" w:rsidRPr="00952FF3">
        <w:rPr>
          <w:color w:val="000000" w:themeColor="text1"/>
        </w:rPr>
        <w:t xml:space="preserve">to </w:t>
      </w:r>
      <w:r w:rsidR="00C3190A" w:rsidRPr="00C3190A">
        <w:rPr>
          <w:color w:val="000000" w:themeColor="text1"/>
        </w:rPr>
        <w:t>$0 to &lt; $10 million</w:t>
      </w:r>
      <w:r w:rsidR="00C3190A" w:rsidRPr="00952FF3" w:rsidDel="00C3190A">
        <w:rPr>
          <w:color w:val="000000" w:themeColor="text1"/>
        </w:rPr>
        <w:t xml:space="preserve"> </w:t>
      </w:r>
      <w:r w:rsidR="003E4008">
        <w:rPr>
          <w:color w:val="000000" w:themeColor="text1"/>
        </w:rPr>
        <w:t>by</w:t>
      </w:r>
      <w:r w:rsidR="000B0641" w:rsidRPr="00952FF3">
        <w:rPr>
          <w:color w:val="000000" w:themeColor="text1"/>
        </w:rPr>
        <w:t xml:space="preserve"> </w:t>
      </w:r>
      <w:r w:rsidR="003E4008">
        <w:rPr>
          <w:color w:val="000000" w:themeColor="text1"/>
        </w:rPr>
        <w:t>y</w:t>
      </w:r>
      <w:r w:rsidR="000B0641" w:rsidRPr="00952FF3">
        <w:rPr>
          <w:color w:val="000000" w:themeColor="text1"/>
        </w:rPr>
        <w:t>ear</w:t>
      </w:r>
      <w:r w:rsidR="000B0641">
        <w:rPr>
          <w:color w:val="000000" w:themeColor="text1"/>
        </w:rPr>
        <w:t xml:space="preserve"> </w:t>
      </w:r>
      <w:r w:rsidR="003E4008">
        <w:rPr>
          <w:color w:val="000000" w:themeColor="text1"/>
        </w:rPr>
        <w:t>six</w:t>
      </w:r>
      <w:r w:rsidR="000B0641" w:rsidRPr="00277996">
        <w:rPr>
          <w:iCs/>
          <w:color w:val="000000" w:themeColor="text1"/>
        </w:rPr>
        <w:t xml:space="preserve">. </w:t>
      </w:r>
      <w:r w:rsidR="0055029F">
        <w:rPr>
          <w:iCs/>
          <w:color w:val="000000" w:themeColor="text1"/>
        </w:rPr>
        <w:t xml:space="preserve">The net cost from </w:t>
      </w:r>
      <w:r w:rsidR="003E4008">
        <w:rPr>
          <w:iCs/>
          <w:color w:val="000000" w:themeColor="text1"/>
        </w:rPr>
        <w:t>y</w:t>
      </w:r>
      <w:r w:rsidR="0055029F">
        <w:rPr>
          <w:iCs/>
          <w:color w:val="000000" w:themeColor="text1"/>
        </w:rPr>
        <w:t xml:space="preserve">ear </w:t>
      </w:r>
      <w:r w:rsidR="003E4008">
        <w:rPr>
          <w:iCs/>
          <w:color w:val="000000" w:themeColor="text1"/>
        </w:rPr>
        <w:t xml:space="preserve">three </w:t>
      </w:r>
      <w:r w:rsidR="0055029F">
        <w:rPr>
          <w:iCs/>
          <w:color w:val="000000" w:themeColor="text1"/>
        </w:rPr>
        <w:t xml:space="preserve">to </w:t>
      </w:r>
      <w:r w:rsidR="003E4008">
        <w:rPr>
          <w:iCs/>
          <w:color w:val="000000" w:themeColor="text1"/>
        </w:rPr>
        <w:t>y</w:t>
      </w:r>
      <w:r w:rsidR="0055029F">
        <w:rPr>
          <w:iCs/>
          <w:color w:val="000000" w:themeColor="text1"/>
        </w:rPr>
        <w:t xml:space="preserve">ear </w:t>
      </w:r>
      <w:r w:rsidR="003E4008">
        <w:rPr>
          <w:iCs/>
          <w:color w:val="000000" w:themeColor="text1"/>
        </w:rPr>
        <w:t>six</w:t>
      </w:r>
      <w:r w:rsidR="0055029F">
        <w:rPr>
          <w:iCs/>
          <w:color w:val="000000" w:themeColor="text1"/>
        </w:rPr>
        <w:t xml:space="preserve"> is driven by </w:t>
      </w:r>
      <w:r w:rsidR="00952FF3" w:rsidRPr="00277996">
        <w:rPr>
          <w:iCs/>
          <w:color w:val="000000" w:themeColor="text1"/>
        </w:rPr>
        <w:t>the</w:t>
      </w:r>
      <w:r w:rsidR="003E4008">
        <w:rPr>
          <w:iCs/>
          <w:color w:val="000000" w:themeColor="text1"/>
        </w:rPr>
        <w:t xml:space="preserve"> increased</w:t>
      </w:r>
      <w:r w:rsidR="00952FF3" w:rsidRPr="00277996">
        <w:rPr>
          <w:iCs/>
          <w:color w:val="000000" w:themeColor="text1"/>
        </w:rPr>
        <w:t xml:space="preserve"> number of scripts</w:t>
      </w:r>
      <w:r w:rsidR="0055029F">
        <w:rPr>
          <w:iCs/>
          <w:color w:val="000000" w:themeColor="text1"/>
        </w:rPr>
        <w:t xml:space="preserve"> required for galcanezumab</w:t>
      </w:r>
      <w:r w:rsidR="003E4008">
        <w:rPr>
          <w:iCs/>
          <w:color w:val="000000" w:themeColor="text1"/>
        </w:rPr>
        <w:t>.</w:t>
      </w:r>
      <w:r w:rsidR="0055029F">
        <w:rPr>
          <w:iCs/>
          <w:color w:val="000000" w:themeColor="text1"/>
        </w:rPr>
        <w:t xml:space="preserve"> </w:t>
      </w:r>
    </w:p>
    <w:p w14:paraId="6692213A" w14:textId="67B596D5" w:rsidR="00D917B4" w:rsidRPr="00277996" w:rsidRDefault="003E4008" w:rsidP="00033A63">
      <w:pPr>
        <w:pStyle w:val="3-BodyText"/>
        <w:numPr>
          <w:ilvl w:val="1"/>
          <w:numId w:val="5"/>
        </w:numPr>
        <w:ind w:left="720"/>
        <w:rPr>
          <w:iCs/>
          <w:color w:val="000000" w:themeColor="text1"/>
          <w:lang w:val="en-US"/>
        </w:rPr>
      </w:pPr>
      <w:r>
        <w:rPr>
          <w:iCs/>
        </w:rPr>
        <w:t>I</w:t>
      </w:r>
      <w:r w:rsidR="00053712">
        <w:rPr>
          <w:iCs/>
        </w:rPr>
        <w:t>f</w:t>
      </w:r>
      <w:r w:rsidR="00D917B4" w:rsidRPr="00277996">
        <w:rPr>
          <w:iCs/>
        </w:rPr>
        <w:t xml:space="preserve"> galcanezumab is not listed</w:t>
      </w:r>
      <w:r w:rsidR="007634C5">
        <w:rPr>
          <w:iCs/>
        </w:rPr>
        <w:t xml:space="preserve"> </w:t>
      </w:r>
      <w:r w:rsidR="00E97EFE">
        <w:rPr>
          <w:iCs/>
        </w:rPr>
        <w:t xml:space="preserve">prior to </w:t>
      </w:r>
      <w:r w:rsidR="007634C5">
        <w:rPr>
          <w:iCs/>
        </w:rPr>
        <w:t>fremanezumab list</w:t>
      </w:r>
      <w:r w:rsidR="00E97EFE">
        <w:rPr>
          <w:iCs/>
        </w:rPr>
        <w:t>ing</w:t>
      </w:r>
      <w:r w:rsidR="00D917B4" w:rsidRPr="00277996">
        <w:rPr>
          <w:iCs/>
        </w:rPr>
        <w:t xml:space="preserve">, the </w:t>
      </w:r>
      <w:r w:rsidR="003F7F2B" w:rsidRPr="00277996">
        <w:rPr>
          <w:iCs/>
        </w:rPr>
        <w:t xml:space="preserve">total </w:t>
      </w:r>
      <w:r w:rsidR="00D917B4" w:rsidRPr="00277996">
        <w:rPr>
          <w:iCs/>
        </w:rPr>
        <w:t xml:space="preserve">net cost </w:t>
      </w:r>
      <w:r w:rsidR="007634C5">
        <w:rPr>
          <w:iCs/>
        </w:rPr>
        <w:t xml:space="preserve">to the Government will be increased by </w:t>
      </w:r>
      <w:r w:rsidR="00C3190A" w:rsidRPr="00AB42CF">
        <w:rPr>
          <w:color w:val="000000" w:themeColor="text1"/>
        </w:rPr>
        <w:t>$</w:t>
      </w:r>
      <w:r w:rsidR="00C3190A" w:rsidRPr="00C3190A">
        <w:rPr>
          <w:color w:val="000000" w:themeColor="text1"/>
        </w:rPr>
        <w:t>100 million to &lt; $200 million</w:t>
      </w:r>
      <w:r w:rsidR="00C3190A" w:rsidRPr="00C3190A" w:rsidDel="00C3190A">
        <w:rPr>
          <w:color w:val="000000" w:themeColor="text1"/>
        </w:rPr>
        <w:t xml:space="preserve"> </w:t>
      </w:r>
      <w:r w:rsidR="00114DDF" w:rsidRPr="00277996">
        <w:rPr>
          <w:iCs/>
        </w:rPr>
        <w:t>over</w:t>
      </w:r>
      <w:r w:rsidR="003F7F2B" w:rsidRPr="00277996">
        <w:rPr>
          <w:iCs/>
        </w:rPr>
        <w:t xml:space="preserve"> six years</w:t>
      </w:r>
      <w:r w:rsidR="00114DDF" w:rsidRPr="00277996">
        <w:rPr>
          <w:iCs/>
        </w:rPr>
        <w:t xml:space="preserve"> (</w:t>
      </w:r>
      <w:r w:rsidR="00114DDF" w:rsidRPr="00277996">
        <w:rPr>
          <w:iCs/>
          <w:color w:val="000000" w:themeColor="text1"/>
        </w:rPr>
        <w:fldChar w:fldCharType="begin" w:fldLock="1"/>
      </w:r>
      <w:r w:rsidR="00114DDF" w:rsidRPr="00277996">
        <w:rPr>
          <w:iCs/>
          <w:color w:val="000000" w:themeColor="text1"/>
        </w:rPr>
        <w:instrText xml:space="preserve"> REF _Ref113908481 \h  \* MERGEFORMAT </w:instrText>
      </w:r>
      <w:r w:rsidR="00114DDF" w:rsidRPr="00277996">
        <w:rPr>
          <w:iCs/>
          <w:color w:val="000000" w:themeColor="text1"/>
        </w:rPr>
      </w:r>
      <w:r w:rsidR="00114DDF" w:rsidRPr="00277996">
        <w:rPr>
          <w:iCs/>
          <w:color w:val="000000" w:themeColor="text1"/>
        </w:rPr>
        <w:fldChar w:fldCharType="separate"/>
      </w:r>
      <w:r w:rsidR="00B97129" w:rsidRPr="00277996">
        <w:rPr>
          <w:iCs/>
        </w:rPr>
        <w:t xml:space="preserve">Table </w:t>
      </w:r>
      <w:r w:rsidR="00B97129" w:rsidRPr="00277996">
        <w:rPr>
          <w:iCs/>
          <w:noProof/>
        </w:rPr>
        <w:t>12</w:t>
      </w:r>
      <w:r w:rsidR="00114DDF" w:rsidRPr="00277996">
        <w:rPr>
          <w:iCs/>
          <w:color w:val="000000" w:themeColor="text1"/>
        </w:rPr>
        <w:fldChar w:fldCharType="end"/>
      </w:r>
      <w:r w:rsidR="00114DDF" w:rsidRPr="00277996">
        <w:rPr>
          <w:iCs/>
          <w:color w:val="000000" w:themeColor="text1"/>
        </w:rPr>
        <w:t>)</w:t>
      </w:r>
      <w:r w:rsidR="00D917B4" w:rsidRPr="00277996">
        <w:rPr>
          <w:iCs/>
        </w:rPr>
        <w:t>.</w:t>
      </w:r>
      <w:r w:rsidR="007634C5">
        <w:rPr>
          <w:iCs/>
        </w:rPr>
        <w:t xml:space="preserve"> The additional cost is a result of additional MBS services required for patient management and no offset from the displacing medicine.</w:t>
      </w:r>
    </w:p>
    <w:p w14:paraId="0F0A5A0F" w14:textId="0D18EE63" w:rsidR="00CF6997" w:rsidRDefault="00AA4BD8" w:rsidP="00033A63">
      <w:pPr>
        <w:pStyle w:val="3-BodyText"/>
        <w:numPr>
          <w:ilvl w:val="1"/>
          <w:numId w:val="5"/>
        </w:numPr>
        <w:ind w:left="720"/>
        <w:rPr>
          <w:iCs/>
          <w:color w:val="000000" w:themeColor="text1"/>
          <w:lang w:val="en-US"/>
        </w:rPr>
      </w:pPr>
      <w:bookmarkStart w:id="74" w:name="_Ref118874680"/>
      <w:r>
        <w:rPr>
          <w:iCs/>
          <w:color w:val="000000" w:themeColor="text1"/>
          <w:lang w:val="en-US"/>
        </w:rPr>
        <w:t xml:space="preserve">A comparison of the key inputs for the financial estimates for fremanezumab and galcanezumab </w:t>
      </w:r>
      <w:proofErr w:type="gramStart"/>
      <w:r>
        <w:rPr>
          <w:iCs/>
          <w:color w:val="000000" w:themeColor="text1"/>
          <w:lang w:val="en-US"/>
        </w:rPr>
        <w:t>is presented</w:t>
      </w:r>
      <w:proofErr w:type="gramEnd"/>
      <w:r>
        <w:rPr>
          <w:iCs/>
          <w:color w:val="000000" w:themeColor="text1"/>
          <w:lang w:val="en-US"/>
        </w:rPr>
        <w:t xml:space="preserve"> in </w:t>
      </w:r>
      <w:r>
        <w:rPr>
          <w:iCs/>
          <w:color w:val="000000" w:themeColor="text1"/>
          <w:lang w:val="en-US"/>
        </w:rPr>
        <w:fldChar w:fldCharType="begin" w:fldLock="1"/>
      </w:r>
      <w:r>
        <w:rPr>
          <w:iCs/>
          <w:color w:val="000000" w:themeColor="text1"/>
          <w:lang w:val="en-US"/>
        </w:rPr>
        <w:instrText xml:space="preserve"> REF _Ref116046068 \h </w:instrText>
      </w:r>
      <w:r>
        <w:rPr>
          <w:iCs/>
          <w:color w:val="000000" w:themeColor="text1"/>
          <w:lang w:val="en-US"/>
        </w:rPr>
      </w:r>
      <w:r>
        <w:rPr>
          <w:iCs/>
          <w:color w:val="000000" w:themeColor="text1"/>
          <w:lang w:val="en-US"/>
        </w:rPr>
        <w:fldChar w:fldCharType="separate"/>
      </w:r>
      <w:r>
        <w:t xml:space="preserve">Table </w:t>
      </w:r>
      <w:r>
        <w:rPr>
          <w:noProof/>
        </w:rPr>
        <w:t>13</w:t>
      </w:r>
      <w:r>
        <w:rPr>
          <w:iCs/>
          <w:color w:val="000000" w:themeColor="text1"/>
          <w:lang w:val="en-US"/>
        </w:rPr>
        <w:fldChar w:fldCharType="end"/>
      </w:r>
      <w:r>
        <w:rPr>
          <w:iCs/>
          <w:color w:val="000000" w:themeColor="text1"/>
          <w:lang w:val="en-US"/>
        </w:rPr>
        <w:t xml:space="preserve">. </w:t>
      </w:r>
      <w:r w:rsidR="00CF6997" w:rsidRPr="00277996">
        <w:rPr>
          <w:iCs/>
          <w:color w:val="000000" w:themeColor="text1"/>
          <w:lang w:val="en-US"/>
        </w:rPr>
        <w:t>The submission assumed 1.</w:t>
      </w:r>
      <w:r w:rsidR="003F5054" w:rsidRPr="00277996">
        <w:rPr>
          <w:iCs/>
          <w:color w:val="000000" w:themeColor="text1"/>
          <w:lang w:val="en-US"/>
        </w:rPr>
        <w:t>07</w:t>
      </w:r>
      <w:r w:rsidR="00CF6997" w:rsidRPr="00277996">
        <w:rPr>
          <w:iCs/>
          <w:color w:val="000000" w:themeColor="text1"/>
          <w:lang w:val="en-US"/>
        </w:rPr>
        <w:t xml:space="preserve">% of patients with HFEM would be eligible for treatment, compared to the galcanezumab submission </w:t>
      </w:r>
      <w:r w:rsidR="00F64447">
        <w:rPr>
          <w:iCs/>
          <w:color w:val="000000" w:themeColor="text1"/>
          <w:lang w:val="en-US"/>
        </w:rPr>
        <w:t>that</w:t>
      </w:r>
      <w:r w:rsidR="00F64447" w:rsidRPr="00277996">
        <w:rPr>
          <w:iCs/>
          <w:color w:val="000000" w:themeColor="text1"/>
          <w:lang w:val="en-US"/>
        </w:rPr>
        <w:t xml:space="preserve"> </w:t>
      </w:r>
      <w:r w:rsidR="00CF6997" w:rsidRPr="00277996">
        <w:rPr>
          <w:iCs/>
          <w:color w:val="000000" w:themeColor="text1"/>
          <w:lang w:val="en-US"/>
        </w:rPr>
        <w:t>assumed 0.7%</w:t>
      </w:r>
      <w:r w:rsidR="00C12243">
        <w:rPr>
          <w:iCs/>
          <w:color w:val="000000" w:themeColor="text1"/>
          <w:lang w:val="en-US"/>
        </w:rPr>
        <w:t>.</w:t>
      </w:r>
      <w:r w:rsidR="00CF6997" w:rsidRPr="00277996">
        <w:rPr>
          <w:iCs/>
          <w:color w:val="000000" w:themeColor="text1"/>
          <w:lang w:val="en-US"/>
        </w:rPr>
        <w:t xml:space="preserve"> Th</w:t>
      </w:r>
      <w:r w:rsidR="00A114C9">
        <w:rPr>
          <w:iCs/>
          <w:color w:val="000000" w:themeColor="text1"/>
          <w:lang w:val="en-US"/>
        </w:rPr>
        <w:t xml:space="preserve">e </w:t>
      </w:r>
      <w:r w:rsidR="00C4005E">
        <w:rPr>
          <w:iCs/>
          <w:color w:val="000000" w:themeColor="text1"/>
          <w:lang w:val="en-US"/>
        </w:rPr>
        <w:t xml:space="preserve">PBAC agreed with the </w:t>
      </w:r>
      <w:r w:rsidR="00A114C9">
        <w:rPr>
          <w:iCs/>
          <w:color w:val="000000" w:themeColor="text1"/>
          <w:lang w:val="en-US"/>
        </w:rPr>
        <w:t>evaluation that th</w:t>
      </w:r>
      <w:r w:rsidR="00CF6997" w:rsidRPr="00277996">
        <w:rPr>
          <w:iCs/>
          <w:color w:val="000000" w:themeColor="text1"/>
          <w:lang w:val="en-US"/>
        </w:rPr>
        <w:t>is difference may not be reasonable.</w:t>
      </w:r>
      <w:bookmarkEnd w:id="74"/>
      <w:r w:rsidR="00CF6997" w:rsidRPr="00277996">
        <w:rPr>
          <w:iCs/>
          <w:color w:val="000000" w:themeColor="text1"/>
          <w:lang w:val="en-US"/>
        </w:rPr>
        <w:t xml:space="preserve"> </w:t>
      </w:r>
    </w:p>
    <w:p w14:paraId="688F9003" w14:textId="6C9A9D16" w:rsidR="00AA4BD8" w:rsidRDefault="00AA4BD8" w:rsidP="00AA4BD8">
      <w:pPr>
        <w:pStyle w:val="3-BodyText"/>
        <w:numPr>
          <w:ilvl w:val="0"/>
          <w:numId w:val="0"/>
        </w:numPr>
        <w:rPr>
          <w:iCs/>
          <w:color w:val="000000" w:themeColor="text1"/>
          <w:lang w:val="en-US"/>
        </w:rPr>
      </w:pPr>
    </w:p>
    <w:p w14:paraId="03866B46" w14:textId="0F30DC02" w:rsidR="00AA4BD8" w:rsidRPr="006114F9" w:rsidRDefault="00AA4BD8" w:rsidP="00AA4BD8">
      <w:pPr>
        <w:pStyle w:val="TableHeading0"/>
        <w:rPr>
          <w:szCs w:val="24"/>
        </w:rPr>
      </w:pPr>
      <w:bookmarkStart w:id="75" w:name="_Ref116046068"/>
      <w:r>
        <w:lastRenderedPageBreak/>
        <w:t xml:space="preserve">Table </w:t>
      </w:r>
      <w:fldSimple w:instr=" SEQ Table \* ARABIC " w:fldLock="1">
        <w:r w:rsidR="00E814DE">
          <w:rPr>
            <w:noProof/>
          </w:rPr>
          <w:t>13</w:t>
        </w:r>
      </w:fldSimple>
      <w:bookmarkEnd w:id="75"/>
      <w:r w:rsidRPr="00537078">
        <w:rPr>
          <w:snapToGrid w:val="0"/>
        </w:rPr>
        <w:t xml:space="preserve">: </w:t>
      </w:r>
      <w:r>
        <w:rPr>
          <w:rStyle w:val="CommentReference"/>
          <w:b/>
          <w:szCs w:val="24"/>
        </w:rPr>
        <w:t>K</w:t>
      </w:r>
      <w:r w:rsidRPr="007925DF">
        <w:rPr>
          <w:rStyle w:val="CommentReference"/>
          <w:b/>
          <w:szCs w:val="24"/>
        </w:rPr>
        <w:t>ey inputs for financial estimates</w:t>
      </w:r>
      <w:r>
        <w:rPr>
          <w:rStyle w:val="CommentReference"/>
          <w:b/>
          <w:szCs w:val="24"/>
        </w:rPr>
        <w:t xml:space="preserve"> (current fremanezumab submission vs galcanezumab HFEM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72"/>
        <w:gridCol w:w="2554"/>
        <w:gridCol w:w="1791"/>
      </w:tblGrid>
      <w:tr w:rsidR="00AA4BD8" w:rsidRPr="0052746E" w14:paraId="240B0636" w14:textId="77777777" w:rsidTr="00F65695">
        <w:trPr>
          <w:trHeight w:val="446"/>
          <w:tblHeader/>
        </w:trPr>
        <w:tc>
          <w:tcPr>
            <w:tcW w:w="2591" w:type="pct"/>
            <w:shd w:val="clear" w:color="auto" w:fill="auto"/>
            <w:vAlign w:val="center"/>
          </w:tcPr>
          <w:p w14:paraId="56CDFC59" w14:textId="77777777" w:rsidR="00AA4BD8" w:rsidRPr="0052746E" w:rsidRDefault="00AA4BD8" w:rsidP="00822A57">
            <w:pPr>
              <w:pStyle w:val="In-tableHeading"/>
              <w:jc w:val="center"/>
            </w:pPr>
            <w:r w:rsidRPr="0052746E">
              <w:t>Parameter</w:t>
            </w:r>
          </w:p>
        </w:tc>
        <w:tc>
          <w:tcPr>
            <w:tcW w:w="1416" w:type="pct"/>
            <w:shd w:val="clear" w:color="auto" w:fill="auto"/>
            <w:vAlign w:val="center"/>
          </w:tcPr>
          <w:p w14:paraId="3756CAB5" w14:textId="77777777" w:rsidR="00AA4BD8" w:rsidRPr="0052746E" w:rsidRDefault="00AA4BD8" w:rsidP="00822A57">
            <w:pPr>
              <w:pStyle w:val="In-tableHeading"/>
              <w:jc w:val="center"/>
            </w:pPr>
            <w:r w:rsidRPr="0052746E">
              <w:t xml:space="preserve"> </w:t>
            </w:r>
            <w:r>
              <w:t>Current fremanezumab submission</w:t>
            </w:r>
          </w:p>
        </w:tc>
        <w:tc>
          <w:tcPr>
            <w:tcW w:w="994" w:type="pct"/>
          </w:tcPr>
          <w:p w14:paraId="17AB5C92" w14:textId="77777777" w:rsidR="00AA4BD8" w:rsidRPr="0052746E" w:rsidRDefault="00AA4BD8" w:rsidP="00822A57">
            <w:pPr>
              <w:pStyle w:val="In-tableHeading"/>
              <w:jc w:val="center"/>
            </w:pPr>
            <w:r w:rsidRPr="0052746E">
              <w:t xml:space="preserve"> </w:t>
            </w:r>
            <w:r>
              <w:t>Galcanezumab for HFEM submission</w:t>
            </w:r>
          </w:p>
        </w:tc>
      </w:tr>
      <w:tr w:rsidR="00AA4BD8" w:rsidRPr="0052746E" w14:paraId="24C4C682" w14:textId="77777777" w:rsidTr="00F65695">
        <w:trPr>
          <w:trHeight w:val="235"/>
          <w:tblHeader/>
        </w:trPr>
        <w:tc>
          <w:tcPr>
            <w:tcW w:w="2591" w:type="pct"/>
            <w:shd w:val="clear" w:color="auto" w:fill="auto"/>
            <w:vAlign w:val="center"/>
          </w:tcPr>
          <w:p w14:paraId="55FA0FCC" w14:textId="6FA0FFC8" w:rsidR="00AA4BD8" w:rsidRPr="00CC287C" w:rsidRDefault="00AA4BD8" w:rsidP="00822A57">
            <w:pPr>
              <w:pStyle w:val="In-tableHeading"/>
              <w:rPr>
                <w:b w:val="0"/>
                <w:bCs/>
              </w:rPr>
            </w:pPr>
            <w:r w:rsidRPr="00CC287C">
              <w:rPr>
                <w:b w:val="0"/>
                <w:bCs/>
              </w:rPr>
              <w:t>Migraine prevalence (Australian population age</w:t>
            </w:r>
            <w:r w:rsidR="00BF6EF1">
              <w:rPr>
                <w:b w:val="0"/>
                <w:bCs/>
              </w:rPr>
              <w:t>d</w:t>
            </w:r>
            <w:r w:rsidRPr="00CC287C">
              <w:rPr>
                <w:b w:val="0"/>
                <w:bCs/>
              </w:rPr>
              <w:t xml:space="preserve"> 18-90</w:t>
            </w:r>
            <w:r w:rsidR="00BF6EF1">
              <w:rPr>
                <w:b w:val="0"/>
                <w:bCs/>
              </w:rPr>
              <w:t xml:space="preserve"> years</w:t>
            </w:r>
            <w:r w:rsidRPr="00CC287C">
              <w:rPr>
                <w:b w:val="0"/>
                <w:bCs/>
              </w:rPr>
              <w:t>)</w:t>
            </w:r>
          </w:p>
        </w:tc>
        <w:tc>
          <w:tcPr>
            <w:tcW w:w="1416" w:type="pct"/>
            <w:shd w:val="clear" w:color="auto" w:fill="auto"/>
            <w:vAlign w:val="center"/>
          </w:tcPr>
          <w:p w14:paraId="753CD834" w14:textId="77777777" w:rsidR="00AA4BD8" w:rsidRPr="00CC287C" w:rsidRDefault="00AA4BD8" w:rsidP="00822A57">
            <w:pPr>
              <w:pStyle w:val="In-tableHeading"/>
              <w:jc w:val="center"/>
              <w:rPr>
                <w:b w:val="0"/>
                <w:bCs/>
              </w:rPr>
            </w:pPr>
            <w:r w:rsidRPr="00CC287C">
              <w:rPr>
                <w:b w:val="0"/>
                <w:bCs/>
              </w:rPr>
              <w:t>14.5%</w:t>
            </w:r>
          </w:p>
        </w:tc>
        <w:tc>
          <w:tcPr>
            <w:tcW w:w="994" w:type="pct"/>
          </w:tcPr>
          <w:p w14:paraId="3A3F2D97" w14:textId="77777777" w:rsidR="00AA4BD8" w:rsidRPr="00AA4BD8" w:rsidRDefault="00AA4BD8" w:rsidP="00822A57">
            <w:pPr>
              <w:pStyle w:val="In-tableHeading"/>
              <w:jc w:val="center"/>
              <w:rPr>
                <w:b w:val="0"/>
                <w:bCs/>
              </w:rPr>
            </w:pPr>
            <w:r w:rsidRPr="00AA4BD8">
              <w:rPr>
                <w:b w:val="0"/>
                <w:bCs/>
              </w:rPr>
              <w:t>22.80%</w:t>
            </w:r>
          </w:p>
        </w:tc>
      </w:tr>
      <w:tr w:rsidR="00AA4BD8" w:rsidRPr="0052746E" w14:paraId="46DDB013" w14:textId="77777777" w:rsidTr="00F65695">
        <w:trPr>
          <w:trHeight w:val="222"/>
        </w:trPr>
        <w:tc>
          <w:tcPr>
            <w:tcW w:w="2591" w:type="pct"/>
            <w:shd w:val="clear" w:color="auto" w:fill="auto"/>
          </w:tcPr>
          <w:p w14:paraId="2C003C19" w14:textId="77777777" w:rsidR="00AA4BD8" w:rsidRDefault="00AA4BD8" w:rsidP="00822A57">
            <w:pPr>
              <w:pStyle w:val="TableText0"/>
              <w:rPr>
                <w:color w:val="000000" w:themeColor="text1"/>
              </w:rPr>
            </w:pPr>
            <w:r w:rsidRPr="00790CA4">
              <w:rPr>
                <w:color w:val="000000" w:themeColor="text1"/>
              </w:rPr>
              <w:t>Proportion of migraine that is episodic</w:t>
            </w:r>
          </w:p>
        </w:tc>
        <w:tc>
          <w:tcPr>
            <w:tcW w:w="1416" w:type="pct"/>
            <w:shd w:val="clear" w:color="auto" w:fill="auto"/>
          </w:tcPr>
          <w:p w14:paraId="200E60E1" w14:textId="77777777" w:rsidR="00AA4BD8" w:rsidRDefault="00AA4BD8" w:rsidP="00822A57">
            <w:pPr>
              <w:pStyle w:val="TableText0"/>
              <w:jc w:val="center"/>
              <w:rPr>
                <w:lang w:val="en-US"/>
              </w:rPr>
            </w:pPr>
            <w:r>
              <w:t>90%</w:t>
            </w:r>
          </w:p>
        </w:tc>
        <w:tc>
          <w:tcPr>
            <w:tcW w:w="994" w:type="pct"/>
          </w:tcPr>
          <w:p w14:paraId="62A74A63" w14:textId="77777777" w:rsidR="00AA4BD8" w:rsidRPr="00AA4BD8" w:rsidRDefault="00AA4BD8" w:rsidP="00822A57">
            <w:pPr>
              <w:pStyle w:val="TableText0"/>
              <w:jc w:val="center"/>
              <w:rPr>
                <w:lang w:val="en-US"/>
              </w:rPr>
            </w:pPr>
            <w:r w:rsidRPr="00AA4BD8">
              <w:t>92.39%</w:t>
            </w:r>
          </w:p>
        </w:tc>
      </w:tr>
      <w:tr w:rsidR="00AA4BD8" w:rsidRPr="0052746E" w14:paraId="07761AF5" w14:textId="77777777" w:rsidTr="00F65695">
        <w:trPr>
          <w:trHeight w:val="222"/>
        </w:trPr>
        <w:tc>
          <w:tcPr>
            <w:tcW w:w="2591" w:type="pct"/>
            <w:shd w:val="clear" w:color="auto" w:fill="auto"/>
          </w:tcPr>
          <w:p w14:paraId="41B8A943" w14:textId="77777777" w:rsidR="00AA4BD8" w:rsidRPr="001A1F49" w:rsidRDefault="00AA4BD8" w:rsidP="00822A57">
            <w:pPr>
              <w:pStyle w:val="TableText0"/>
              <w:rPr>
                <w:b/>
                <w:bCs w:val="0"/>
                <w:color w:val="000000" w:themeColor="text1"/>
              </w:rPr>
            </w:pPr>
            <w:r w:rsidRPr="001A1F49">
              <w:rPr>
                <w:b/>
                <w:bCs w:val="0"/>
                <w:color w:val="000000" w:themeColor="text1"/>
              </w:rPr>
              <w:t>Overall % of patients with EM</w:t>
            </w:r>
          </w:p>
        </w:tc>
        <w:tc>
          <w:tcPr>
            <w:tcW w:w="1416" w:type="pct"/>
            <w:shd w:val="clear" w:color="auto" w:fill="auto"/>
          </w:tcPr>
          <w:p w14:paraId="64423971" w14:textId="77777777" w:rsidR="00AA4BD8" w:rsidRPr="001A1F49" w:rsidRDefault="00AA4BD8" w:rsidP="00822A57">
            <w:pPr>
              <w:pStyle w:val="TableText0"/>
              <w:jc w:val="center"/>
              <w:rPr>
                <w:b/>
                <w:bCs w:val="0"/>
                <w:lang w:val="en-US"/>
              </w:rPr>
            </w:pPr>
            <w:r w:rsidRPr="001A1F49">
              <w:rPr>
                <w:b/>
                <w:bCs w:val="0"/>
              </w:rPr>
              <w:t>13.05%</w:t>
            </w:r>
          </w:p>
        </w:tc>
        <w:tc>
          <w:tcPr>
            <w:tcW w:w="994" w:type="pct"/>
          </w:tcPr>
          <w:p w14:paraId="5BA2968A" w14:textId="77777777" w:rsidR="00AA4BD8" w:rsidRPr="001A1F49" w:rsidRDefault="00AA4BD8" w:rsidP="00822A57">
            <w:pPr>
              <w:pStyle w:val="TableText0"/>
              <w:jc w:val="center"/>
              <w:rPr>
                <w:b/>
                <w:bCs w:val="0"/>
                <w:lang w:val="en-US"/>
              </w:rPr>
            </w:pPr>
            <w:r w:rsidRPr="001A1F49">
              <w:rPr>
                <w:b/>
                <w:bCs w:val="0"/>
              </w:rPr>
              <w:t>21.7%</w:t>
            </w:r>
            <w:r w:rsidRPr="00CF6997">
              <w:rPr>
                <w:b/>
                <w:bCs w:val="0"/>
                <w:vertAlign w:val="superscript"/>
              </w:rPr>
              <w:t>1</w:t>
            </w:r>
          </w:p>
        </w:tc>
      </w:tr>
      <w:tr w:rsidR="00AA4BD8" w:rsidRPr="0052746E" w14:paraId="07A1ED4E" w14:textId="77777777" w:rsidTr="00F65695">
        <w:trPr>
          <w:trHeight w:val="222"/>
        </w:trPr>
        <w:tc>
          <w:tcPr>
            <w:tcW w:w="2591" w:type="pct"/>
            <w:shd w:val="clear" w:color="auto" w:fill="auto"/>
            <w:vAlign w:val="center"/>
          </w:tcPr>
          <w:p w14:paraId="58F4CEEB" w14:textId="77777777" w:rsidR="00AA4BD8" w:rsidRPr="0052746E" w:rsidRDefault="00AA4BD8" w:rsidP="00822A57">
            <w:pPr>
              <w:pStyle w:val="TableText0"/>
              <w:rPr>
                <w:lang w:val="en-US"/>
              </w:rPr>
            </w:pPr>
            <w:r>
              <w:rPr>
                <w:color w:val="000000" w:themeColor="text1"/>
              </w:rPr>
              <w:t>Patient diagnosed</w:t>
            </w:r>
          </w:p>
        </w:tc>
        <w:tc>
          <w:tcPr>
            <w:tcW w:w="1416" w:type="pct"/>
            <w:shd w:val="clear" w:color="auto" w:fill="auto"/>
            <w:vAlign w:val="center"/>
          </w:tcPr>
          <w:p w14:paraId="42B2E3C3" w14:textId="77777777" w:rsidR="00AA4BD8" w:rsidRPr="0052746E" w:rsidRDefault="00AA4BD8" w:rsidP="00822A57">
            <w:pPr>
              <w:pStyle w:val="TableText0"/>
              <w:jc w:val="center"/>
              <w:rPr>
                <w:lang w:val="en-US"/>
              </w:rPr>
            </w:pPr>
            <w:r>
              <w:rPr>
                <w:lang w:val="en-US"/>
              </w:rPr>
              <w:t>45.9%</w:t>
            </w:r>
          </w:p>
        </w:tc>
        <w:tc>
          <w:tcPr>
            <w:tcW w:w="994" w:type="pct"/>
          </w:tcPr>
          <w:p w14:paraId="63D89A3C" w14:textId="77777777" w:rsidR="00AA4BD8" w:rsidRPr="001A1F49" w:rsidRDefault="00AA4BD8" w:rsidP="00822A57">
            <w:pPr>
              <w:pStyle w:val="TableText0"/>
              <w:jc w:val="center"/>
              <w:rPr>
                <w:lang w:val="en-US"/>
              </w:rPr>
            </w:pPr>
            <w:r>
              <w:rPr>
                <w:lang w:val="en-US"/>
              </w:rPr>
              <w:t>-</w:t>
            </w:r>
          </w:p>
        </w:tc>
      </w:tr>
      <w:tr w:rsidR="00AA4BD8" w:rsidRPr="0052746E" w14:paraId="147AF56B" w14:textId="77777777" w:rsidTr="00F65695">
        <w:trPr>
          <w:trHeight w:val="222"/>
        </w:trPr>
        <w:tc>
          <w:tcPr>
            <w:tcW w:w="2591" w:type="pct"/>
            <w:shd w:val="clear" w:color="auto" w:fill="auto"/>
          </w:tcPr>
          <w:p w14:paraId="6A198653" w14:textId="77777777" w:rsidR="00AA4BD8" w:rsidRDefault="00AA4BD8" w:rsidP="00822A57">
            <w:pPr>
              <w:pStyle w:val="TableText0"/>
              <w:rPr>
                <w:color w:val="000000" w:themeColor="text1"/>
              </w:rPr>
            </w:pPr>
            <w:r w:rsidRPr="00393847">
              <w:rPr>
                <w:color w:val="000000" w:themeColor="text1"/>
              </w:rPr>
              <w:t>Proportion of episodic migraine that is high frequency</w:t>
            </w:r>
          </w:p>
        </w:tc>
        <w:tc>
          <w:tcPr>
            <w:tcW w:w="1416" w:type="pct"/>
            <w:shd w:val="clear" w:color="auto" w:fill="auto"/>
          </w:tcPr>
          <w:p w14:paraId="704318CF" w14:textId="77777777" w:rsidR="00AA4BD8" w:rsidRDefault="00AA4BD8" w:rsidP="00822A57">
            <w:pPr>
              <w:pStyle w:val="TableText0"/>
              <w:jc w:val="center"/>
            </w:pPr>
            <w:r>
              <w:t>19.5%</w:t>
            </w:r>
          </w:p>
        </w:tc>
        <w:tc>
          <w:tcPr>
            <w:tcW w:w="994" w:type="pct"/>
          </w:tcPr>
          <w:p w14:paraId="591BA44D" w14:textId="77777777" w:rsidR="00AA4BD8" w:rsidRPr="001A1F49" w:rsidRDefault="00AA4BD8" w:rsidP="00822A57">
            <w:pPr>
              <w:pStyle w:val="TableText0"/>
              <w:jc w:val="center"/>
            </w:pPr>
            <w:r w:rsidRPr="001A1F49">
              <w:t>19.5%</w:t>
            </w:r>
          </w:p>
        </w:tc>
      </w:tr>
      <w:tr w:rsidR="00AA4BD8" w:rsidRPr="00702004" w14:paraId="605263B3" w14:textId="77777777" w:rsidTr="00F65695">
        <w:trPr>
          <w:trHeight w:val="446"/>
        </w:trPr>
        <w:tc>
          <w:tcPr>
            <w:tcW w:w="2591" w:type="pct"/>
            <w:shd w:val="clear" w:color="auto" w:fill="auto"/>
          </w:tcPr>
          <w:p w14:paraId="4C25BC5F" w14:textId="77777777" w:rsidR="00AA4BD8" w:rsidRDefault="00AA4BD8" w:rsidP="00822A57">
            <w:pPr>
              <w:pStyle w:val="TableText0"/>
            </w:pPr>
            <w:r w:rsidRPr="00393847">
              <w:t>On ≥3 preventatives and intolerant, contraindicated, or have failed, ≥3 prior preventative treatments</w:t>
            </w:r>
          </w:p>
        </w:tc>
        <w:tc>
          <w:tcPr>
            <w:tcW w:w="1416" w:type="pct"/>
            <w:shd w:val="clear" w:color="auto" w:fill="auto"/>
          </w:tcPr>
          <w:p w14:paraId="5EB872AF" w14:textId="77777777" w:rsidR="00AA4BD8" w:rsidRPr="00702004" w:rsidRDefault="00AA4BD8" w:rsidP="00822A57">
            <w:pPr>
              <w:pStyle w:val="TableText0"/>
              <w:jc w:val="center"/>
              <w:rPr>
                <w:lang w:val="nb-NO"/>
              </w:rPr>
            </w:pPr>
            <w:r>
              <w:rPr>
                <w:lang w:val="nb-NO"/>
              </w:rPr>
              <w:t>12%</w:t>
            </w:r>
          </w:p>
        </w:tc>
        <w:tc>
          <w:tcPr>
            <w:tcW w:w="994" w:type="pct"/>
          </w:tcPr>
          <w:p w14:paraId="65148C2C" w14:textId="77777777" w:rsidR="00AA4BD8" w:rsidRPr="001A1F49" w:rsidRDefault="00AA4BD8" w:rsidP="00822A57">
            <w:pPr>
              <w:pStyle w:val="TableText0"/>
              <w:jc w:val="center"/>
              <w:rPr>
                <w:lang w:val="nb-NO"/>
              </w:rPr>
            </w:pPr>
            <w:r w:rsidRPr="001A1F49">
              <w:rPr>
                <w:lang w:val="nb-NO"/>
              </w:rPr>
              <w:t>NA</w:t>
            </w:r>
          </w:p>
        </w:tc>
      </w:tr>
      <w:tr w:rsidR="00AA4BD8" w:rsidRPr="00702004" w14:paraId="5C2B64B4" w14:textId="77777777" w:rsidTr="00F65695">
        <w:trPr>
          <w:trHeight w:val="235"/>
        </w:trPr>
        <w:tc>
          <w:tcPr>
            <w:tcW w:w="2591" w:type="pct"/>
            <w:shd w:val="clear" w:color="auto" w:fill="auto"/>
          </w:tcPr>
          <w:p w14:paraId="53C7C38F" w14:textId="77777777" w:rsidR="00AA4BD8" w:rsidRPr="00393847" w:rsidRDefault="00AA4BD8" w:rsidP="00822A57">
            <w:pPr>
              <w:pStyle w:val="TableText0"/>
            </w:pPr>
            <w:r w:rsidRPr="00366EBC">
              <w:t>Proportion currently taking an oral preventative</w:t>
            </w:r>
          </w:p>
        </w:tc>
        <w:tc>
          <w:tcPr>
            <w:tcW w:w="1416" w:type="pct"/>
            <w:shd w:val="clear" w:color="auto" w:fill="auto"/>
          </w:tcPr>
          <w:p w14:paraId="31A6369E" w14:textId="77777777" w:rsidR="00AA4BD8" w:rsidRDefault="00AA4BD8" w:rsidP="00822A57">
            <w:pPr>
              <w:pStyle w:val="TableText0"/>
              <w:jc w:val="center"/>
              <w:rPr>
                <w:lang w:val="nb-NO"/>
              </w:rPr>
            </w:pPr>
            <w:r>
              <w:rPr>
                <w:lang w:val="nb-NO"/>
              </w:rPr>
              <w:t>NA</w:t>
            </w:r>
          </w:p>
        </w:tc>
        <w:tc>
          <w:tcPr>
            <w:tcW w:w="994" w:type="pct"/>
          </w:tcPr>
          <w:p w14:paraId="508A13EE" w14:textId="77777777" w:rsidR="00AA4BD8" w:rsidRPr="001A1F49" w:rsidRDefault="00AA4BD8" w:rsidP="00822A57">
            <w:pPr>
              <w:pStyle w:val="TableText0"/>
              <w:jc w:val="center"/>
              <w:rPr>
                <w:lang w:val="nb-NO"/>
              </w:rPr>
            </w:pPr>
            <w:r w:rsidRPr="001A1F49">
              <w:rPr>
                <w:lang w:val="nb-NO"/>
              </w:rPr>
              <w:t>74.5%</w:t>
            </w:r>
          </w:p>
        </w:tc>
      </w:tr>
      <w:tr w:rsidR="00AA4BD8" w:rsidRPr="00702004" w14:paraId="58C8DB17" w14:textId="77777777" w:rsidTr="00F65695">
        <w:trPr>
          <w:trHeight w:val="222"/>
        </w:trPr>
        <w:tc>
          <w:tcPr>
            <w:tcW w:w="2591" w:type="pct"/>
            <w:shd w:val="clear" w:color="auto" w:fill="auto"/>
          </w:tcPr>
          <w:p w14:paraId="07C34607" w14:textId="77777777" w:rsidR="00AA4BD8" w:rsidRPr="00393847" w:rsidRDefault="00AA4BD8" w:rsidP="00822A57">
            <w:pPr>
              <w:pStyle w:val="TableText0"/>
            </w:pPr>
            <w:r w:rsidRPr="007B6175">
              <w:t>Proportion currently taking ≥3 oral preventatives</w:t>
            </w:r>
          </w:p>
        </w:tc>
        <w:tc>
          <w:tcPr>
            <w:tcW w:w="1416" w:type="pct"/>
            <w:shd w:val="clear" w:color="auto" w:fill="auto"/>
          </w:tcPr>
          <w:p w14:paraId="69623EF3" w14:textId="77777777" w:rsidR="00AA4BD8" w:rsidRDefault="00AA4BD8" w:rsidP="00822A57">
            <w:pPr>
              <w:pStyle w:val="TableText0"/>
              <w:jc w:val="center"/>
              <w:rPr>
                <w:lang w:val="nb-NO"/>
              </w:rPr>
            </w:pPr>
            <w:r>
              <w:rPr>
                <w:lang w:val="nb-NO"/>
              </w:rPr>
              <w:t>NA</w:t>
            </w:r>
          </w:p>
        </w:tc>
        <w:tc>
          <w:tcPr>
            <w:tcW w:w="994" w:type="pct"/>
          </w:tcPr>
          <w:p w14:paraId="7915EA42" w14:textId="77777777" w:rsidR="00AA4BD8" w:rsidRPr="001A1F49" w:rsidRDefault="00AA4BD8" w:rsidP="00822A57">
            <w:pPr>
              <w:pStyle w:val="TableText0"/>
              <w:jc w:val="center"/>
              <w:rPr>
                <w:lang w:val="nb-NO"/>
              </w:rPr>
            </w:pPr>
            <w:r w:rsidRPr="001A1F49">
              <w:rPr>
                <w:lang w:val="nb-NO"/>
              </w:rPr>
              <w:t>10%</w:t>
            </w:r>
          </w:p>
        </w:tc>
      </w:tr>
      <w:tr w:rsidR="00AA4BD8" w:rsidRPr="00702004" w14:paraId="4C0489D8" w14:textId="77777777" w:rsidTr="00F65695">
        <w:trPr>
          <w:trHeight w:val="446"/>
        </w:trPr>
        <w:tc>
          <w:tcPr>
            <w:tcW w:w="2591" w:type="pct"/>
            <w:shd w:val="clear" w:color="auto" w:fill="auto"/>
          </w:tcPr>
          <w:p w14:paraId="2C89D799" w14:textId="77777777" w:rsidR="00AA4BD8" w:rsidRPr="007B6175" w:rsidRDefault="00AA4BD8" w:rsidP="00822A57">
            <w:pPr>
              <w:pStyle w:val="TableText0"/>
            </w:pPr>
            <w:r w:rsidRPr="007B6175">
              <w:t>Proportion currently taking ≥3 oral preventatives and are intolerant, contraindicated, or have failed ≥3 preventative treatments</w:t>
            </w:r>
          </w:p>
        </w:tc>
        <w:tc>
          <w:tcPr>
            <w:tcW w:w="1416" w:type="pct"/>
            <w:shd w:val="clear" w:color="auto" w:fill="auto"/>
          </w:tcPr>
          <w:p w14:paraId="3F20E50B" w14:textId="77777777" w:rsidR="00AA4BD8" w:rsidRDefault="00AA4BD8" w:rsidP="00822A57">
            <w:pPr>
              <w:pStyle w:val="TableText0"/>
              <w:jc w:val="center"/>
              <w:rPr>
                <w:lang w:val="nb-NO"/>
              </w:rPr>
            </w:pPr>
            <w:r>
              <w:rPr>
                <w:lang w:val="nb-NO"/>
              </w:rPr>
              <w:t>NA</w:t>
            </w:r>
          </w:p>
        </w:tc>
        <w:tc>
          <w:tcPr>
            <w:tcW w:w="994" w:type="pct"/>
          </w:tcPr>
          <w:p w14:paraId="6BFFB661" w14:textId="77777777" w:rsidR="00AA4BD8" w:rsidRPr="001A1F49" w:rsidRDefault="00AA4BD8" w:rsidP="00822A57">
            <w:pPr>
              <w:pStyle w:val="TableText0"/>
              <w:jc w:val="center"/>
              <w:rPr>
                <w:lang w:val="nb-NO"/>
              </w:rPr>
            </w:pPr>
            <w:r w:rsidRPr="001A1F49">
              <w:rPr>
                <w:lang w:val="nb-NO"/>
              </w:rPr>
              <w:t>48%</w:t>
            </w:r>
          </w:p>
        </w:tc>
      </w:tr>
      <w:tr w:rsidR="00AA4BD8" w:rsidRPr="001A1F49" w14:paraId="13F32A47" w14:textId="77777777" w:rsidTr="00F65695">
        <w:trPr>
          <w:trHeight w:val="202"/>
        </w:trPr>
        <w:tc>
          <w:tcPr>
            <w:tcW w:w="2591" w:type="pct"/>
            <w:shd w:val="clear" w:color="auto" w:fill="auto"/>
          </w:tcPr>
          <w:p w14:paraId="6528FECE" w14:textId="1D997BE3" w:rsidR="00AA4BD8" w:rsidRPr="00AA4BD8" w:rsidRDefault="00AA4BD8" w:rsidP="00822A57">
            <w:pPr>
              <w:pStyle w:val="TableText0"/>
              <w:rPr>
                <w:b/>
                <w:bCs w:val="0"/>
              </w:rPr>
            </w:pPr>
            <w:r w:rsidRPr="00AA4BD8">
              <w:rPr>
                <w:b/>
                <w:bCs w:val="0"/>
              </w:rPr>
              <w:t xml:space="preserve">Overall % of patients with HFEM that would be eligible </w:t>
            </w:r>
          </w:p>
        </w:tc>
        <w:tc>
          <w:tcPr>
            <w:tcW w:w="1416" w:type="pct"/>
            <w:shd w:val="clear" w:color="auto" w:fill="auto"/>
          </w:tcPr>
          <w:p w14:paraId="70C40EC8" w14:textId="77777777" w:rsidR="00AA4BD8" w:rsidRPr="00AA4BD8" w:rsidRDefault="00AA4BD8" w:rsidP="00822A57">
            <w:pPr>
              <w:pStyle w:val="TableText0"/>
              <w:jc w:val="center"/>
              <w:rPr>
                <w:b/>
                <w:bCs w:val="0"/>
                <w:lang w:val="nb-NO"/>
              </w:rPr>
            </w:pPr>
            <w:r w:rsidRPr="00AA4BD8">
              <w:rPr>
                <w:b/>
                <w:bCs w:val="0"/>
                <w:lang w:val="nb-NO"/>
              </w:rPr>
              <w:t>1.07%</w:t>
            </w:r>
            <w:r w:rsidRPr="00AA4BD8">
              <w:rPr>
                <w:b/>
                <w:bCs w:val="0"/>
                <w:vertAlign w:val="superscript"/>
                <w:lang w:val="nb-NO"/>
              </w:rPr>
              <w:t>2</w:t>
            </w:r>
          </w:p>
        </w:tc>
        <w:tc>
          <w:tcPr>
            <w:tcW w:w="994" w:type="pct"/>
          </w:tcPr>
          <w:p w14:paraId="2C7808B7" w14:textId="77777777" w:rsidR="00AA4BD8" w:rsidRPr="00AA4BD8" w:rsidRDefault="00AA4BD8" w:rsidP="00822A57">
            <w:pPr>
              <w:pStyle w:val="TableText0"/>
              <w:jc w:val="center"/>
              <w:rPr>
                <w:b/>
                <w:bCs w:val="0"/>
                <w:lang w:val="nb-NO"/>
              </w:rPr>
            </w:pPr>
            <w:r w:rsidRPr="00AA4BD8">
              <w:rPr>
                <w:b/>
                <w:bCs w:val="0"/>
                <w:lang w:val="nb-NO"/>
              </w:rPr>
              <w:t>0.70%</w:t>
            </w:r>
            <w:r w:rsidRPr="00AA4BD8">
              <w:rPr>
                <w:b/>
                <w:bCs w:val="0"/>
                <w:vertAlign w:val="superscript"/>
                <w:lang w:val="nb-NO"/>
              </w:rPr>
              <w:t>3</w:t>
            </w:r>
          </w:p>
        </w:tc>
      </w:tr>
      <w:tr w:rsidR="00AA4BD8" w:rsidRPr="00702004" w14:paraId="7ED58FA9" w14:textId="77777777" w:rsidTr="00F65695">
        <w:trPr>
          <w:trHeight w:val="458"/>
        </w:trPr>
        <w:tc>
          <w:tcPr>
            <w:tcW w:w="2591" w:type="pct"/>
            <w:shd w:val="clear" w:color="auto" w:fill="auto"/>
          </w:tcPr>
          <w:p w14:paraId="72A99871" w14:textId="77777777" w:rsidR="00AA4BD8" w:rsidRPr="00D27897" w:rsidRDefault="00AA4BD8" w:rsidP="00822A57">
            <w:pPr>
              <w:pStyle w:val="TableText0"/>
            </w:pPr>
            <w:r>
              <w:t xml:space="preserve">Proportion of patients </w:t>
            </w:r>
            <w:r w:rsidRPr="00D27897">
              <w:t xml:space="preserve">continuing treatment (i.e., </w:t>
            </w:r>
            <w:r>
              <w:t>p</w:t>
            </w:r>
            <w:r>
              <w:rPr>
                <w:lang w:eastAsia="en-GB"/>
              </w:rPr>
              <w:t>roportion achieve a 50% reduction in migraine days</w:t>
            </w:r>
            <w:r w:rsidRPr="00D27897">
              <w:t>)</w:t>
            </w:r>
          </w:p>
        </w:tc>
        <w:tc>
          <w:tcPr>
            <w:tcW w:w="1416" w:type="pct"/>
            <w:shd w:val="clear" w:color="auto" w:fill="auto"/>
          </w:tcPr>
          <w:p w14:paraId="6F4A1F29" w14:textId="77777777" w:rsidR="00AA4BD8" w:rsidRDefault="00AA4BD8" w:rsidP="00822A57">
            <w:pPr>
              <w:pStyle w:val="TableText0"/>
              <w:jc w:val="center"/>
              <w:rPr>
                <w:lang w:val="nb-NO"/>
              </w:rPr>
            </w:pPr>
            <w:r>
              <w:rPr>
                <w:lang w:val="nb-NO"/>
              </w:rPr>
              <w:t>47%</w:t>
            </w:r>
          </w:p>
        </w:tc>
        <w:tc>
          <w:tcPr>
            <w:tcW w:w="994" w:type="pct"/>
          </w:tcPr>
          <w:p w14:paraId="099A4855" w14:textId="77777777" w:rsidR="00AA4BD8" w:rsidRPr="001A1F49" w:rsidRDefault="00AA4BD8" w:rsidP="00822A57">
            <w:pPr>
              <w:pStyle w:val="TableText0"/>
              <w:jc w:val="center"/>
              <w:rPr>
                <w:lang w:val="nb-NO"/>
              </w:rPr>
            </w:pPr>
            <w:r w:rsidRPr="001A1F49">
              <w:rPr>
                <w:lang w:val="nb-NO"/>
              </w:rPr>
              <w:t>40%</w:t>
            </w:r>
          </w:p>
        </w:tc>
      </w:tr>
      <w:tr w:rsidR="00AA4BD8" w:rsidRPr="00702004" w14:paraId="398D8AF8" w14:textId="77777777" w:rsidTr="00F65695">
        <w:trPr>
          <w:trHeight w:val="222"/>
        </w:trPr>
        <w:tc>
          <w:tcPr>
            <w:tcW w:w="2591" w:type="pct"/>
            <w:shd w:val="clear" w:color="auto" w:fill="auto"/>
          </w:tcPr>
          <w:p w14:paraId="61F53BBB" w14:textId="77777777" w:rsidR="00AA4BD8" w:rsidRDefault="00AA4BD8" w:rsidP="00822A57">
            <w:pPr>
              <w:pStyle w:val="TableText0"/>
            </w:pPr>
            <w:r w:rsidRPr="007B6175">
              <w:t>Continuation rate in subsequent years</w:t>
            </w:r>
          </w:p>
        </w:tc>
        <w:tc>
          <w:tcPr>
            <w:tcW w:w="1416" w:type="pct"/>
            <w:shd w:val="clear" w:color="auto" w:fill="auto"/>
          </w:tcPr>
          <w:p w14:paraId="18016029" w14:textId="6FC4FFAF" w:rsidR="00AA4BD8" w:rsidRDefault="00AA4BD8" w:rsidP="00822A57">
            <w:pPr>
              <w:pStyle w:val="TableText0"/>
              <w:jc w:val="center"/>
              <w:rPr>
                <w:lang w:val="nb-NO"/>
              </w:rPr>
            </w:pPr>
            <w:r>
              <w:rPr>
                <w:lang w:val="nb-NO"/>
              </w:rPr>
              <w:t>100%</w:t>
            </w:r>
          </w:p>
        </w:tc>
        <w:tc>
          <w:tcPr>
            <w:tcW w:w="994" w:type="pct"/>
          </w:tcPr>
          <w:p w14:paraId="07D2B59A" w14:textId="77777777" w:rsidR="00AA4BD8" w:rsidRPr="001A1F49" w:rsidRDefault="00AA4BD8" w:rsidP="00822A57">
            <w:pPr>
              <w:pStyle w:val="TableText0"/>
              <w:jc w:val="center"/>
              <w:rPr>
                <w:lang w:val="nb-NO"/>
              </w:rPr>
            </w:pPr>
            <w:r w:rsidRPr="001A1F49">
              <w:rPr>
                <w:lang w:val="nb-NO"/>
              </w:rPr>
              <w:t>95%</w:t>
            </w:r>
          </w:p>
        </w:tc>
      </w:tr>
      <w:tr w:rsidR="00AA4BD8" w14:paraId="588F73E2" w14:textId="77777777" w:rsidTr="006A6B30">
        <w:trPr>
          <w:trHeight w:val="481"/>
        </w:trPr>
        <w:tc>
          <w:tcPr>
            <w:tcW w:w="2591" w:type="pct"/>
            <w:shd w:val="clear" w:color="auto" w:fill="auto"/>
          </w:tcPr>
          <w:p w14:paraId="06192483" w14:textId="77777777" w:rsidR="00AA4BD8" w:rsidRDefault="00AA4BD8" w:rsidP="00822A57">
            <w:pPr>
              <w:pStyle w:val="TableText0"/>
            </w:pPr>
            <w:r>
              <w:t>Uptake rates</w:t>
            </w:r>
          </w:p>
        </w:tc>
        <w:tc>
          <w:tcPr>
            <w:tcW w:w="1416" w:type="pct"/>
            <w:shd w:val="clear" w:color="auto" w:fill="auto"/>
          </w:tcPr>
          <w:p w14:paraId="79ABEC9A" w14:textId="112ABE3A" w:rsidR="00AA4BD8" w:rsidRPr="006A6B30" w:rsidRDefault="00AA4BD8" w:rsidP="006A6B30">
            <w:pPr>
              <w:pStyle w:val="TableText0"/>
              <w:rPr>
                <w:b/>
                <w:bCs w:val="0"/>
              </w:rPr>
            </w:pPr>
            <w:r w:rsidRPr="00F56164">
              <w:t xml:space="preserve">Yr 1: </w:t>
            </w:r>
            <w:r w:rsidR="007A29C8" w:rsidRPr="007A29C8">
              <w:rPr>
                <w:color w:val="000000"/>
                <w:spacing w:val="184"/>
                <w:shd w:val="solid" w:color="000000" w:fill="000000"/>
                <w:fitText w:val="270" w:id="-1303650298"/>
                <w14:textFill>
                  <w14:solidFill>
                    <w14:srgbClr w14:val="000000">
                      <w14:alpha w14:val="100000"/>
                    </w14:srgbClr>
                  </w14:solidFill>
                </w14:textFill>
              </w:rPr>
              <w:t>|</w:t>
            </w:r>
            <w:r w:rsidR="007A29C8" w:rsidRPr="007A29C8">
              <w:rPr>
                <w:color w:val="000000"/>
                <w:spacing w:val="1"/>
                <w:shd w:val="solid" w:color="000000" w:fill="000000"/>
                <w:fitText w:val="270" w:id="-1303650298"/>
                <w14:textFill>
                  <w14:solidFill>
                    <w14:srgbClr w14:val="000000">
                      <w14:alpha w14:val="100000"/>
                    </w14:srgbClr>
                  </w14:solidFill>
                </w14:textFill>
              </w:rPr>
              <w:t>|</w:t>
            </w:r>
            <w:r w:rsidRPr="00446CED">
              <w:t>%;</w:t>
            </w:r>
            <w:r w:rsidRPr="00F56164">
              <w:t xml:space="preserve"> Yr 2: </w:t>
            </w:r>
            <w:r w:rsidR="007A29C8" w:rsidRPr="007A29C8">
              <w:rPr>
                <w:color w:val="000000"/>
                <w:spacing w:val="184"/>
                <w:shd w:val="solid" w:color="000000" w:fill="000000"/>
                <w:fitText w:val="270" w:id="-1303650297"/>
                <w14:textFill>
                  <w14:solidFill>
                    <w14:srgbClr w14:val="000000">
                      <w14:alpha w14:val="100000"/>
                    </w14:srgbClr>
                  </w14:solidFill>
                </w14:textFill>
              </w:rPr>
              <w:t>|</w:t>
            </w:r>
            <w:r w:rsidR="007A29C8" w:rsidRPr="007A29C8">
              <w:rPr>
                <w:color w:val="000000"/>
                <w:spacing w:val="1"/>
                <w:shd w:val="solid" w:color="000000" w:fill="000000"/>
                <w:fitText w:val="270" w:id="-1303650297"/>
                <w14:textFill>
                  <w14:solidFill>
                    <w14:srgbClr w14:val="000000">
                      <w14:alpha w14:val="100000"/>
                    </w14:srgbClr>
                  </w14:solidFill>
                </w14:textFill>
              </w:rPr>
              <w:t>|</w:t>
            </w:r>
            <w:r w:rsidRPr="00446CED">
              <w:t>%</w:t>
            </w:r>
            <w:r w:rsidRPr="00F56164">
              <w:t xml:space="preserve">; Yr 3: </w:t>
            </w:r>
            <w:r w:rsidR="007A29C8" w:rsidRPr="007A29C8">
              <w:rPr>
                <w:color w:val="000000"/>
                <w:spacing w:val="184"/>
                <w:shd w:val="solid" w:color="000000" w:fill="000000"/>
                <w:fitText w:val="270" w:id="-1303650296"/>
                <w14:textFill>
                  <w14:solidFill>
                    <w14:srgbClr w14:val="000000">
                      <w14:alpha w14:val="100000"/>
                    </w14:srgbClr>
                  </w14:solidFill>
                </w14:textFill>
              </w:rPr>
              <w:t>|</w:t>
            </w:r>
            <w:r w:rsidR="007A29C8" w:rsidRPr="007A29C8">
              <w:rPr>
                <w:color w:val="000000"/>
                <w:spacing w:val="1"/>
                <w:shd w:val="solid" w:color="000000" w:fill="000000"/>
                <w:fitText w:val="270" w:id="-1303650296"/>
                <w14:textFill>
                  <w14:solidFill>
                    <w14:srgbClr w14:val="000000">
                      <w14:alpha w14:val="100000"/>
                    </w14:srgbClr>
                  </w14:solidFill>
                </w14:textFill>
              </w:rPr>
              <w:t>|</w:t>
            </w:r>
            <w:r w:rsidRPr="00446CED">
              <w:t>%;</w:t>
            </w:r>
            <w:r w:rsidRPr="00F56164">
              <w:t xml:space="preserve"> Yr 4: </w:t>
            </w:r>
            <w:r w:rsidR="007A29C8" w:rsidRPr="007A29C8">
              <w:rPr>
                <w:color w:val="000000"/>
                <w:spacing w:val="184"/>
                <w:shd w:val="solid" w:color="000000" w:fill="000000"/>
                <w:fitText w:val="270" w:id="-1303650295"/>
                <w14:textFill>
                  <w14:solidFill>
                    <w14:srgbClr w14:val="000000">
                      <w14:alpha w14:val="100000"/>
                    </w14:srgbClr>
                  </w14:solidFill>
                </w14:textFill>
              </w:rPr>
              <w:t>|</w:t>
            </w:r>
            <w:r w:rsidR="007A29C8" w:rsidRPr="007A29C8">
              <w:rPr>
                <w:color w:val="000000"/>
                <w:spacing w:val="1"/>
                <w:shd w:val="solid" w:color="000000" w:fill="000000"/>
                <w:fitText w:val="270" w:id="-1303650295"/>
                <w14:textFill>
                  <w14:solidFill>
                    <w14:srgbClr w14:val="000000">
                      <w14:alpha w14:val="100000"/>
                    </w14:srgbClr>
                  </w14:solidFill>
                </w14:textFill>
              </w:rPr>
              <w:t>|</w:t>
            </w:r>
            <w:r w:rsidRPr="00446CED">
              <w:t>%</w:t>
            </w:r>
            <w:r w:rsidRPr="00F56164">
              <w:t xml:space="preserve"> Yr 5: </w:t>
            </w:r>
            <w:r w:rsidR="007A29C8" w:rsidRPr="007A29C8">
              <w:rPr>
                <w:color w:val="000000"/>
                <w:spacing w:val="192"/>
                <w:shd w:val="solid" w:color="000000" w:fill="000000"/>
                <w:fitText w:val="278" w:id="-1303650294"/>
                <w14:textFill>
                  <w14:solidFill>
                    <w14:srgbClr w14:val="000000">
                      <w14:alpha w14:val="100000"/>
                    </w14:srgbClr>
                  </w14:solidFill>
                </w14:textFill>
              </w:rPr>
              <w:t>|</w:t>
            </w:r>
            <w:r w:rsidR="007A29C8" w:rsidRPr="007A29C8">
              <w:rPr>
                <w:color w:val="000000"/>
                <w:spacing w:val="1"/>
                <w:shd w:val="solid" w:color="000000" w:fill="000000"/>
                <w:fitText w:val="278" w:id="-1303650294"/>
                <w14:textFill>
                  <w14:solidFill>
                    <w14:srgbClr w14:val="000000">
                      <w14:alpha w14:val="100000"/>
                    </w14:srgbClr>
                  </w14:solidFill>
                </w14:textFill>
              </w:rPr>
              <w:t>|</w:t>
            </w:r>
            <w:r w:rsidRPr="00446CED">
              <w:t>%;</w:t>
            </w:r>
            <w:r w:rsidRPr="00F56164">
              <w:t xml:space="preserve"> Yr 6: </w:t>
            </w:r>
            <w:r w:rsidR="007A29C8" w:rsidRPr="007A29C8">
              <w:rPr>
                <w:color w:val="000000"/>
                <w:spacing w:val="184"/>
                <w:shd w:val="solid" w:color="000000" w:fill="000000"/>
                <w:fitText w:val="270" w:id="-1303650293"/>
                <w14:textFill>
                  <w14:solidFill>
                    <w14:srgbClr w14:val="000000">
                      <w14:alpha w14:val="100000"/>
                    </w14:srgbClr>
                  </w14:solidFill>
                </w14:textFill>
              </w:rPr>
              <w:t>|</w:t>
            </w:r>
            <w:r w:rsidR="007A29C8" w:rsidRPr="007A29C8">
              <w:rPr>
                <w:color w:val="000000"/>
                <w:spacing w:val="1"/>
                <w:shd w:val="solid" w:color="000000" w:fill="000000"/>
                <w:fitText w:val="270" w:id="-1303650293"/>
                <w14:textFill>
                  <w14:solidFill>
                    <w14:srgbClr w14:val="000000">
                      <w14:alpha w14:val="100000"/>
                    </w14:srgbClr>
                  </w14:solidFill>
                </w14:textFill>
              </w:rPr>
              <w:t>|</w:t>
            </w:r>
            <w:r w:rsidRPr="00446CED">
              <w:t>%.</w:t>
            </w:r>
          </w:p>
        </w:tc>
        <w:tc>
          <w:tcPr>
            <w:tcW w:w="994" w:type="pct"/>
          </w:tcPr>
          <w:p w14:paraId="53A0BD6A" w14:textId="078A4A83" w:rsidR="00AA4BD8" w:rsidRPr="001A1F49" w:rsidRDefault="008552DF" w:rsidP="00822A57">
            <w:pPr>
              <w:pStyle w:val="TableText0"/>
              <w:jc w:val="center"/>
              <w:rPr>
                <w:lang w:val="nb-NO"/>
              </w:rPr>
            </w:pPr>
            <w:r>
              <w:rPr>
                <w:lang w:val="nb-NO"/>
              </w:rPr>
              <w:t>Not reported in PSD</w:t>
            </w:r>
          </w:p>
        </w:tc>
      </w:tr>
    </w:tbl>
    <w:p w14:paraId="125D7FEB" w14:textId="3C6859FF" w:rsidR="00AA4BD8" w:rsidRDefault="00AA4BD8" w:rsidP="00AA4BD8">
      <w:pPr>
        <w:pStyle w:val="3-BodyText"/>
        <w:keepNext/>
        <w:numPr>
          <w:ilvl w:val="0"/>
          <w:numId w:val="0"/>
        </w:numPr>
        <w:spacing w:after="0"/>
        <w:rPr>
          <w:rFonts w:ascii="Arial Narrow" w:hAnsi="Arial Narrow"/>
          <w:sz w:val="18"/>
          <w:szCs w:val="22"/>
        </w:rPr>
      </w:pPr>
      <w:r w:rsidRPr="000C4F23">
        <w:rPr>
          <w:rFonts w:ascii="Arial Narrow" w:hAnsi="Arial Narrow"/>
          <w:sz w:val="18"/>
          <w:szCs w:val="22"/>
        </w:rPr>
        <w:t>Source: Compiled during evaluation from information provided in the submission. Also based on Table 1-3 (p4 of the submission), Table 1-4 (p5 of the submission), Table 3-1 (p102 of the submission).</w:t>
      </w:r>
      <w:r>
        <w:rPr>
          <w:rFonts w:ascii="Arial Narrow" w:hAnsi="Arial Narrow"/>
          <w:sz w:val="18"/>
          <w:szCs w:val="22"/>
        </w:rPr>
        <w:t xml:space="preserve"> Table 16, galcanezumab </w:t>
      </w:r>
      <w:r w:rsidR="00DC20EF">
        <w:rPr>
          <w:rFonts w:ascii="Arial Narrow" w:hAnsi="Arial Narrow"/>
          <w:sz w:val="18"/>
          <w:szCs w:val="22"/>
        </w:rPr>
        <w:t>PSD</w:t>
      </w:r>
      <w:r>
        <w:rPr>
          <w:rFonts w:ascii="Arial Narrow" w:hAnsi="Arial Narrow"/>
          <w:sz w:val="18"/>
          <w:szCs w:val="22"/>
        </w:rPr>
        <w:t xml:space="preserve">, March 2022, PBAC meeting. </w:t>
      </w:r>
    </w:p>
    <w:p w14:paraId="2801138B" w14:textId="10292BE9" w:rsidR="00AA4BD8" w:rsidRDefault="00AA4BD8" w:rsidP="00AA4BD8">
      <w:pPr>
        <w:pStyle w:val="3-BodyText"/>
        <w:keepNext/>
        <w:numPr>
          <w:ilvl w:val="0"/>
          <w:numId w:val="0"/>
        </w:numPr>
        <w:spacing w:after="0"/>
        <w:rPr>
          <w:rFonts w:ascii="Arial Narrow" w:hAnsi="Arial Narrow"/>
          <w:sz w:val="18"/>
          <w:szCs w:val="22"/>
        </w:rPr>
      </w:pPr>
      <w:r>
        <w:rPr>
          <w:rFonts w:ascii="Arial Narrow" w:hAnsi="Arial Narrow"/>
          <w:sz w:val="18"/>
          <w:szCs w:val="22"/>
        </w:rPr>
        <w:t>NA</w:t>
      </w:r>
      <w:r w:rsidR="006A6B30">
        <w:rPr>
          <w:rFonts w:ascii="Arial Narrow" w:hAnsi="Arial Narrow"/>
          <w:sz w:val="18"/>
          <w:szCs w:val="22"/>
        </w:rPr>
        <w:t xml:space="preserve"> </w:t>
      </w:r>
      <w:r>
        <w:rPr>
          <w:rFonts w:ascii="Arial Narrow" w:hAnsi="Arial Narrow"/>
          <w:sz w:val="18"/>
          <w:szCs w:val="22"/>
        </w:rPr>
        <w:t>= not a</w:t>
      </w:r>
      <w:r w:rsidR="006A6B30">
        <w:rPr>
          <w:rFonts w:ascii="Arial Narrow" w:hAnsi="Arial Narrow"/>
          <w:sz w:val="18"/>
          <w:szCs w:val="22"/>
        </w:rPr>
        <w:t>pplicable</w:t>
      </w:r>
      <w:r w:rsidR="0030149F">
        <w:rPr>
          <w:rFonts w:ascii="Arial Narrow" w:hAnsi="Arial Narrow"/>
          <w:sz w:val="18"/>
          <w:szCs w:val="22"/>
        </w:rPr>
        <w:t>; EM</w:t>
      </w:r>
      <w:r w:rsidR="006A6B30">
        <w:rPr>
          <w:rFonts w:ascii="Arial Narrow" w:hAnsi="Arial Narrow"/>
          <w:sz w:val="18"/>
          <w:szCs w:val="22"/>
        </w:rPr>
        <w:t xml:space="preserve"> </w:t>
      </w:r>
      <w:r w:rsidR="0030149F">
        <w:rPr>
          <w:rFonts w:ascii="Arial Narrow" w:hAnsi="Arial Narrow"/>
          <w:sz w:val="18"/>
          <w:szCs w:val="22"/>
        </w:rPr>
        <w:t>= episodic migraine; HFEM</w:t>
      </w:r>
      <w:r w:rsidR="006A6B30">
        <w:rPr>
          <w:rFonts w:ascii="Arial Narrow" w:hAnsi="Arial Narrow"/>
          <w:sz w:val="18"/>
          <w:szCs w:val="22"/>
        </w:rPr>
        <w:t xml:space="preserve"> </w:t>
      </w:r>
      <w:r w:rsidR="0030149F">
        <w:rPr>
          <w:rFonts w:ascii="Arial Narrow" w:hAnsi="Arial Narrow"/>
          <w:sz w:val="18"/>
          <w:szCs w:val="22"/>
        </w:rPr>
        <w:t>= high frequency episodic migraine</w:t>
      </w:r>
      <w:r w:rsidR="006A6B30">
        <w:rPr>
          <w:rFonts w:ascii="Arial Narrow" w:hAnsi="Arial Narrow"/>
          <w:sz w:val="18"/>
          <w:szCs w:val="22"/>
        </w:rPr>
        <w:t>; PSD = public summary document</w:t>
      </w:r>
    </w:p>
    <w:p w14:paraId="4C5785AD" w14:textId="77777777" w:rsidR="00AA4BD8" w:rsidRDefault="00AA4BD8" w:rsidP="00AA4BD8">
      <w:pPr>
        <w:pStyle w:val="3-BodyText"/>
        <w:numPr>
          <w:ilvl w:val="0"/>
          <w:numId w:val="0"/>
        </w:numPr>
        <w:spacing w:after="0"/>
        <w:ind w:left="720" w:hanging="720"/>
        <w:jc w:val="left"/>
        <w:rPr>
          <w:rFonts w:ascii="Arial Narrow" w:hAnsi="Arial Narrow"/>
          <w:sz w:val="18"/>
          <w:szCs w:val="22"/>
        </w:rPr>
      </w:pPr>
      <w:r>
        <w:rPr>
          <w:rFonts w:ascii="Arial Narrow" w:hAnsi="Arial Narrow"/>
          <w:sz w:val="18"/>
          <w:szCs w:val="22"/>
        </w:rPr>
        <w:t xml:space="preserve">1. </w:t>
      </w:r>
      <w:r w:rsidRPr="00CF6997">
        <w:rPr>
          <w:rFonts w:ascii="Arial Narrow" w:hAnsi="Arial Narrow"/>
          <w:sz w:val="18"/>
          <w:szCs w:val="22"/>
        </w:rPr>
        <w:t>PBAC considered it would be appropriate to assume migraine prevalence of 14.5% and 90% have EM</w:t>
      </w:r>
    </w:p>
    <w:p w14:paraId="54B010F1" w14:textId="77777777" w:rsidR="00AA4BD8" w:rsidRDefault="00AA4BD8" w:rsidP="00AA4BD8">
      <w:pPr>
        <w:pStyle w:val="3-BodyText"/>
        <w:numPr>
          <w:ilvl w:val="0"/>
          <w:numId w:val="0"/>
        </w:numPr>
        <w:spacing w:after="0"/>
        <w:ind w:left="720" w:hanging="720"/>
        <w:jc w:val="left"/>
        <w:rPr>
          <w:rFonts w:ascii="Arial Narrow" w:hAnsi="Arial Narrow"/>
          <w:sz w:val="18"/>
          <w:szCs w:val="22"/>
        </w:rPr>
      </w:pPr>
      <w:r>
        <w:rPr>
          <w:rFonts w:ascii="Arial Narrow" w:hAnsi="Arial Narrow"/>
          <w:sz w:val="18"/>
          <w:szCs w:val="22"/>
        </w:rPr>
        <w:t>2. 45.9% x 19.5% x 12% = 1.07%</w:t>
      </w:r>
    </w:p>
    <w:p w14:paraId="0186D841" w14:textId="77777777" w:rsidR="00AA4BD8" w:rsidRDefault="00AA4BD8" w:rsidP="00C3190A">
      <w:pPr>
        <w:pStyle w:val="3-BodyText"/>
        <w:numPr>
          <w:ilvl w:val="0"/>
          <w:numId w:val="0"/>
        </w:numPr>
        <w:ind w:left="720" w:hanging="720"/>
        <w:jc w:val="left"/>
        <w:rPr>
          <w:rFonts w:ascii="Arial Narrow" w:hAnsi="Arial Narrow"/>
          <w:sz w:val="18"/>
          <w:szCs w:val="22"/>
        </w:rPr>
      </w:pPr>
      <w:r>
        <w:rPr>
          <w:rFonts w:ascii="Arial Narrow" w:hAnsi="Arial Narrow"/>
          <w:sz w:val="18"/>
          <w:szCs w:val="22"/>
        </w:rPr>
        <w:t>3. 48% x 19.5% x 74.5% x 10% = 0.70%</w:t>
      </w:r>
    </w:p>
    <w:p w14:paraId="2123EF3E" w14:textId="4CCBC313" w:rsidR="002F4A2F" w:rsidRPr="008D4F72" w:rsidRDefault="002F4A2F" w:rsidP="00033A63">
      <w:pPr>
        <w:pStyle w:val="3-BodyText"/>
        <w:numPr>
          <w:ilvl w:val="1"/>
          <w:numId w:val="5"/>
        </w:numPr>
        <w:ind w:left="720"/>
        <w:rPr>
          <w:color w:val="000000" w:themeColor="text1"/>
        </w:rPr>
      </w:pPr>
      <w:r w:rsidRPr="00E20431">
        <w:rPr>
          <w:color w:val="000000" w:themeColor="text1"/>
        </w:rPr>
        <w:t>The</w:t>
      </w:r>
      <w:r>
        <w:rPr>
          <w:color w:val="000000" w:themeColor="text1"/>
        </w:rPr>
        <w:t xml:space="preserve"> submission claimed that the</w:t>
      </w:r>
      <w:r w:rsidRPr="00E20431">
        <w:rPr>
          <w:color w:val="000000" w:themeColor="text1"/>
        </w:rPr>
        <w:t xml:space="preserve"> main source</w:t>
      </w:r>
      <w:r>
        <w:rPr>
          <w:color w:val="000000" w:themeColor="text1"/>
        </w:rPr>
        <w:t>s</w:t>
      </w:r>
      <w:r w:rsidRPr="00E20431">
        <w:rPr>
          <w:color w:val="000000" w:themeColor="text1"/>
        </w:rPr>
        <w:t xml:space="preserve"> of uncertaint</w:t>
      </w:r>
      <w:r>
        <w:rPr>
          <w:color w:val="000000" w:themeColor="text1"/>
        </w:rPr>
        <w:t>y</w:t>
      </w:r>
      <w:r w:rsidRPr="00E20431">
        <w:rPr>
          <w:color w:val="000000" w:themeColor="text1"/>
        </w:rPr>
        <w:t xml:space="preserve"> for the financial estimates w</w:t>
      </w:r>
      <w:r>
        <w:rPr>
          <w:color w:val="000000" w:themeColor="text1"/>
        </w:rPr>
        <w:t>ere</w:t>
      </w:r>
      <w:r w:rsidRPr="00E20431">
        <w:rPr>
          <w:color w:val="000000" w:themeColor="text1"/>
        </w:rPr>
        <w:t xml:space="preserve"> </w:t>
      </w:r>
      <w:r>
        <w:rPr>
          <w:color w:val="000000" w:themeColor="text1"/>
        </w:rPr>
        <w:t>the</w:t>
      </w:r>
      <w:r w:rsidR="008552DF">
        <w:rPr>
          <w:color w:val="000000" w:themeColor="text1"/>
        </w:rPr>
        <w:t xml:space="preserve"> </w:t>
      </w:r>
      <w:r>
        <w:t xml:space="preserve">percentage of HFEM patients who will be initiated </w:t>
      </w:r>
      <w:r w:rsidR="00F9671F">
        <w:t>o</w:t>
      </w:r>
      <w:r>
        <w:t>nto treatment within 6 years</w:t>
      </w:r>
      <w:r>
        <w:rPr>
          <w:bCs/>
        </w:rPr>
        <w:t xml:space="preserve"> </w:t>
      </w:r>
      <w:r w:rsidRPr="00E20431">
        <w:rPr>
          <w:bCs/>
        </w:rPr>
        <w:t xml:space="preserve">and </w:t>
      </w:r>
      <w:r>
        <w:t>p</w:t>
      </w:r>
      <w:r w:rsidRPr="00EF27CB">
        <w:t xml:space="preserve">ercentage of </w:t>
      </w:r>
      <w:r>
        <w:t>p</w:t>
      </w:r>
      <w:r w:rsidRPr="002975B1">
        <w:t xml:space="preserve">atients </w:t>
      </w:r>
      <w:r>
        <w:t xml:space="preserve">who </w:t>
      </w:r>
      <w:r w:rsidRPr="002975B1">
        <w:t>are expected to achieve a 50% reduction in migraine frequency and continue treatment</w:t>
      </w:r>
      <w:r w:rsidRPr="00A14126">
        <w:rPr>
          <w:bCs/>
          <w:color w:val="000000" w:themeColor="text1"/>
        </w:rPr>
        <w:t>.</w:t>
      </w:r>
      <w:r w:rsidRPr="00A14126">
        <w:rPr>
          <w:b/>
          <w:color w:val="000000" w:themeColor="text1"/>
        </w:rPr>
        <w:t xml:space="preserve"> </w:t>
      </w:r>
    </w:p>
    <w:p w14:paraId="1910196C" w14:textId="791D2D2E" w:rsidR="00692829" w:rsidRPr="00C3190A" w:rsidRDefault="005645F4" w:rsidP="00C3190A">
      <w:pPr>
        <w:pStyle w:val="3-BodyText"/>
        <w:numPr>
          <w:ilvl w:val="1"/>
          <w:numId w:val="5"/>
        </w:numPr>
        <w:ind w:left="720"/>
        <w:rPr>
          <w:iCs/>
          <w:color w:val="000000" w:themeColor="text1"/>
        </w:rPr>
      </w:pPr>
      <w:r w:rsidRPr="00277996">
        <w:rPr>
          <w:iCs/>
          <w:color w:val="000000" w:themeColor="text1"/>
        </w:rPr>
        <w:t xml:space="preserve">The </w:t>
      </w:r>
      <w:r w:rsidR="00F65695">
        <w:rPr>
          <w:iCs/>
          <w:color w:val="000000" w:themeColor="text1"/>
        </w:rPr>
        <w:t>evaluation considered the submission’s estimate that 47% of patients will continue treatment after the initial dose to be uncertain, stating that some p</w:t>
      </w:r>
      <w:r w:rsidRPr="00277996">
        <w:rPr>
          <w:iCs/>
          <w:color w:val="000000" w:themeColor="text1"/>
        </w:rPr>
        <w:t xml:space="preserve">atients </w:t>
      </w:r>
      <w:r w:rsidR="00F65695">
        <w:rPr>
          <w:iCs/>
          <w:color w:val="000000" w:themeColor="text1"/>
        </w:rPr>
        <w:t xml:space="preserve">who have less than a </w:t>
      </w:r>
      <w:r w:rsidRPr="00277996">
        <w:rPr>
          <w:iCs/>
          <w:color w:val="000000" w:themeColor="text1"/>
        </w:rPr>
        <w:t xml:space="preserve">50% reduction in </w:t>
      </w:r>
      <w:r w:rsidR="00F65695">
        <w:rPr>
          <w:iCs/>
          <w:color w:val="000000" w:themeColor="text1"/>
        </w:rPr>
        <w:t>MMDs</w:t>
      </w:r>
      <w:r w:rsidRPr="00277996">
        <w:rPr>
          <w:iCs/>
          <w:color w:val="000000" w:themeColor="text1"/>
        </w:rPr>
        <w:t xml:space="preserve"> may remain on treatment. </w:t>
      </w:r>
      <w:r w:rsidR="00F65695">
        <w:rPr>
          <w:iCs/>
          <w:color w:val="000000" w:themeColor="text1"/>
        </w:rPr>
        <w:t>R</w:t>
      </w:r>
      <w:r w:rsidRPr="00277996">
        <w:rPr>
          <w:iCs/>
          <w:color w:val="000000" w:themeColor="text1"/>
        </w:rPr>
        <w:t xml:space="preserve">easons </w:t>
      </w:r>
      <w:r w:rsidR="00F65695">
        <w:rPr>
          <w:iCs/>
          <w:color w:val="000000" w:themeColor="text1"/>
        </w:rPr>
        <w:t>for this include</w:t>
      </w:r>
      <w:r w:rsidRPr="00277996">
        <w:rPr>
          <w:iCs/>
          <w:color w:val="000000" w:themeColor="text1"/>
        </w:rPr>
        <w:t xml:space="preserve"> the lack of available treatments for patients with HFEM who have an inadequate response, intolerance, or contraindication to ≥3 prior treatments, and difficulty in assessing response in clinical practice. </w:t>
      </w:r>
      <w:r w:rsidR="00F65695">
        <w:rPr>
          <w:iCs/>
          <w:color w:val="000000" w:themeColor="text1"/>
        </w:rPr>
        <w:t>The evaluation also questioned whet</w:t>
      </w:r>
      <w:r w:rsidRPr="00277996">
        <w:rPr>
          <w:iCs/>
          <w:color w:val="000000" w:themeColor="text1"/>
        </w:rPr>
        <w:t>her the treatment effect in responders w</w:t>
      </w:r>
      <w:r w:rsidR="00F65695">
        <w:rPr>
          <w:iCs/>
          <w:color w:val="000000" w:themeColor="text1"/>
        </w:rPr>
        <w:t>ould</w:t>
      </w:r>
      <w:r w:rsidRPr="00277996">
        <w:rPr>
          <w:iCs/>
          <w:color w:val="000000" w:themeColor="text1"/>
        </w:rPr>
        <w:t xml:space="preserve"> be maintained indefinitely.</w:t>
      </w:r>
    </w:p>
    <w:p w14:paraId="77EA8F06" w14:textId="77777777" w:rsidR="007800A6" w:rsidRPr="00C9624D" w:rsidRDefault="007800A6" w:rsidP="007800A6">
      <w:pPr>
        <w:pStyle w:val="4-SubsectionHeading"/>
      </w:pPr>
      <w:bookmarkStart w:id="76" w:name="_Toc22897648"/>
      <w:bookmarkStart w:id="77" w:name="_Toc107927634"/>
      <w:bookmarkStart w:id="78" w:name="_Toc112357923"/>
      <w:bookmarkStart w:id="79" w:name="_Toc114059214"/>
      <w:r w:rsidRPr="00C9624D">
        <w:t>Quality Use of Medicines</w:t>
      </w:r>
      <w:bookmarkEnd w:id="76"/>
      <w:bookmarkEnd w:id="77"/>
      <w:bookmarkEnd w:id="78"/>
      <w:bookmarkEnd w:id="79"/>
    </w:p>
    <w:p w14:paraId="7C7DD063" w14:textId="77777777" w:rsidR="007800A6" w:rsidRDefault="007800A6" w:rsidP="00033A63">
      <w:pPr>
        <w:pStyle w:val="3-BodyText"/>
        <w:numPr>
          <w:ilvl w:val="1"/>
          <w:numId w:val="5"/>
        </w:numPr>
        <w:ind w:left="720"/>
        <w:rPr>
          <w:color w:val="0066FF"/>
        </w:rPr>
      </w:pPr>
      <w:r w:rsidRPr="0055191B">
        <w:rPr>
          <w:color w:val="000000" w:themeColor="text1"/>
        </w:rPr>
        <w:t xml:space="preserve">The submission indicated that the launch of fremanezumab has been underpinned by comprehensive training of </w:t>
      </w:r>
      <w:r>
        <w:rPr>
          <w:color w:val="000000" w:themeColor="text1"/>
        </w:rPr>
        <w:t>healthcare practitioners</w:t>
      </w:r>
      <w:r w:rsidRPr="0055191B">
        <w:rPr>
          <w:color w:val="000000" w:themeColor="text1"/>
        </w:rPr>
        <w:t xml:space="preserve"> and patients</w:t>
      </w:r>
      <w:r>
        <w:rPr>
          <w:color w:val="000000" w:themeColor="text1"/>
        </w:rPr>
        <w:t xml:space="preserve">. </w:t>
      </w:r>
    </w:p>
    <w:p w14:paraId="01B065DF" w14:textId="4DC6D7E0" w:rsidR="007800A6" w:rsidRPr="0055191B" w:rsidRDefault="007800A6" w:rsidP="00033A63">
      <w:pPr>
        <w:pStyle w:val="3-BodyText"/>
        <w:numPr>
          <w:ilvl w:val="1"/>
          <w:numId w:val="5"/>
        </w:numPr>
        <w:ind w:left="720"/>
        <w:rPr>
          <w:color w:val="000000" w:themeColor="text1"/>
        </w:rPr>
      </w:pPr>
      <w:r w:rsidRPr="0055191B">
        <w:rPr>
          <w:color w:val="000000" w:themeColor="text1"/>
        </w:rPr>
        <w:t>The submission offered two ‘</w:t>
      </w:r>
      <w:r>
        <w:rPr>
          <w:color w:val="000000" w:themeColor="text1"/>
        </w:rPr>
        <w:t>P</w:t>
      </w:r>
      <w:r w:rsidRPr="0055191B">
        <w:rPr>
          <w:color w:val="000000" w:themeColor="text1"/>
        </w:rPr>
        <w:t xml:space="preserve">atient </w:t>
      </w:r>
      <w:r>
        <w:rPr>
          <w:color w:val="000000" w:themeColor="text1"/>
        </w:rPr>
        <w:t>S</w:t>
      </w:r>
      <w:r w:rsidRPr="0055191B">
        <w:rPr>
          <w:color w:val="000000" w:themeColor="text1"/>
        </w:rPr>
        <w:t xml:space="preserve">upport </w:t>
      </w:r>
      <w:r>
        <w:rPr>
          <w:color w:val="000000" w:themeColor="text1"/>
        </w:rPr>
        <w:t>P</w:t>
      </w:r>
      <w:r w:rsidRPr="0055191B">
        <w:rPr>
          <w:color w:val="000000" w:themeColor="text1"/>
        </w:rPr>
        <w:t>rogram</w:t>
      </w:r>
      <w:r>
        <w:rPr>
          <w:color w:val="000000" w:themeColor="text1"/>
        </w:rPr>
        <w:t xml:space="preserve">s’ through </w:t>
      </w:r>
      <w:r w:rsidRPr="002C0281">
        <w:rPr>
          <w:color w:val="000000" w:themeColor="text1"/>
        </w:rPr>
        <w:t>the company Medical Info Hotline</w:t>
      </w:r>
      <w:r>
        <w:rPr>
          <w:color w:val="000000" w:themeColor="text1"/>
        </w:rPr>
        <w:t xml:space="preserve"> and the </w:t>
      </w:r>
      <w:r w:rsidRPr="0055191B">
        <w:rPr>
          <w:color w:val="000000" w:themeColor="text1"/>
        </w:rPr>
        <w:t xml:space="preserve">services of a </w:t>
      </w:r>
      <w:r>
        <w:rPr>
          <w:color w:val="000000" w:themeColor="text1"/>
        </w:rPr>
        <w:t>third-</w:t>
      </w:r>
      <w:r w:rsidRPr="0055191B">
        <w:rPr>
          <w:color w:val="000000" w:themeColor="text1"/>
        </w:rPr>
        <w:t>party patient support app provider (MedAdvisor)</w:t>
      </w:r>
      <w:r>
        <w:rPr>
          <w:color w:val="000000" w:themeColor="text1"/>
        </w:rPr>
        <w:t xml:space="preserve">. </w:t>
      </w:r>
    </w:p>
    <w:p w14:paraId="6740D1E2" w14:textId="77777777" w:rsidR="007800A6" w:rsidRPr="00C9624D" w:rsidRDefault="007800A6" w:rsidP="007800A6">
      <w:pPr>
        <w:pStyle w:val="4-SubsectionHeading"/>
      </w:pPr>
      <w:bookmarkStart w:id="80" w:name="_Toc22897649"/>
      <w:bookmarkStart w:id="81" w:name="_Toc107927635"/>
      <w:bookmarkStart w:id="82" w:name="_Toc112357924"/>
      <w:bookmarkStart w:id="83" w:name="_Toc114059215"/>
      <w:r w:rsidRPr="00C9624D">
        <w:lastRenderedPageBreak/>
        <w:t>Financial Management – Risk Sharing Arrangements</w:t>
      </w:r>
      <w:bookmarkEnd w:id="80"/>
      <w:bookmarkEnd w:id="81"/>
      <w:bookmarkEnd w:id="82"/>
      <w:bookmarkEnd w:id="83"/>
    </w:p>
    <w:p w14:paraId="35FB0A9A" w14:textId="6F5B378B" w:rsidR="00072703" w:rsidRPr="00D50EEB" w:rsidRDefault="007800A6" w:rsidP="00072703">
      <w:pPr>
        <w:pStyle w:val="3-BodyText"/>
      </w:pPr>
      <w:r w:rsidRPr="005654D0">
        <w:rPr>
          <w:color w:val="000000" w:themeColor="text1"/>
        </w:rPr>
        <w:t xml:space="preserve">The submission proposed that fremanezumab for HFEM </w:t>
      </w:r>
      <w:r>
        <w:rPr>
          <w:color w:val="000000" w:themeColor="text1"/>
        </w:rPr>
        <w:t>should</w:t>
      </w:r>
      <w:r w:rsidRPr="005654D0">
        <w:rPr>
          <w:color w:val="000000" w:themeColor="text1"/>
        </w:rPr>
        <w:t xml:space="preserve"> be added to </w:t>
      </w:r>
      <w:r>
        <w:rPr>
          <w:color w:val="000000" w:themeColor="text1"/>
        </w:rPr>
        <w:t xml:space="preserve">the </w:t>
      </w:r>
      <w:r w:rsidRPr="005654D0">
        <w:rPr>
          <w:color w:val="000000" w:themeColor="text1"/>
        </w:rPr>
        <w:t>current risk sharing arrangement</w:t>
      </w:r>
      <w:r w:rsidR="005876AA">
        <w:rPr>
          <w:color w:val="000000" w:themeColor="text1"/>
        </w:rPr>
        <w:t xml:space="preserve"> (RSA)</w:t>
      </w:r>
      <w:r w:rsidRPr="005654D0">
        <w:rPr>
          <w:color w:val="000000" w:themeColor="text1"/>
        </w:rPr>
        <w:t xml:space="preserve"> for the HFEM indication. However, if the risk share caps have not been adjusted for the HFEM indication, the </w:t>
      </w:r>
      <w:r w:rsidR="008737D7">
        <w:rPr>
          <w:color w:val="000000" w:themeColor="text1"/>
        </w:rPr>
        <w:t xml:space="preserve">submission proposed that the </w:t>
      </w:r>
      <w:r w:rsidRPr="005654D0">
        <w:rPr>
          <w:color w:val="000000" w:themeColor="text1"/>
        </w:rPr>
        <w:t xml:space="preserve">projected fremanezumab script volume be added to </w:t>
      </w:r>
      <w:r w:rsidR="00DB5CF6">
        <w:rPr>
          <w:color w:val="000000" w:themeColor="text1"/>
        </w:rPr>
        <w:t xml:space="preserve">the </w:t>
      </w:r>
      <w:r w:rsidRPr="005654D0">
        <w:rPr>
          <w:color w:val="000000" w:themeColor="text1"/>
        </w:rPr>
        <w:t xml:space="preserve">Tier 1 cap and (by inference) to the Tier 2 cap. </w:t>
      </w:r>
    </w:p>
    <w:p w14:paraId="3CC0BBF2" w14:textId="388EEF1E" w:rsidR="007800A6" w:rsidRDefault="00E60ED7" w:rsidP="00033A63">
      <w:pPr>
        <w:pStyle w:val="3-BodyText"/>
        <w:numPr>
          <w:ilvl w:val="1"/>
          <w:numId w:val="5"/>
        </w:numPr>
        <w:ind w:left="720"/>
        <w:rPr>
          <w:iCs/>
          <w:color w:val="000000" w:themeColor="text1"/>
        </w:rPr>
      </w:pPr>
      <w:bookmarkStart w:id="84" w:name="_Ref118874138"/>
      <w:r w:rsidRPr="00277996">
        <w:rPr>
          <w:iCs/>
          <w:color w:val="000000" w:themeColor="text1"/>
        </w:rPr>
        <w:t xml:space="preserve">The PBAC previously considered </w:t>
      </w:r>
      <w:r w:rsidR="00D8379D">
        <w:rPr>
          <w:iCs/>
          <w:color w:val="000000" w:themeColor="text1"/>
        </w:rPr>
        <w:t>that</w:t>
      </w:r>
      <w:r w:rsidR="007248A4">
        <w:rPr>
          <w:iCs/>
          <w:color w:val="000000" w:themeColor="text1"/>
        </w:rPr>
        <w:t xml:space="preserve"> </w:t>
      </w:r>
      <w:r w:rsidRPr="00277996">
        <w:rPr>
          <w:iCs/>
          <w:color w:val="000000" w:themeColor="text1"/>
        </w:rPr>
        <w:t>the HFEM population should be included in the RSA in place for chronic migraine to manage the risk of use being substantially higher than expected</w:t>
      </w:r>
      <w:r w:rsidR="00D8379D">
        <w:rPr>
          <w:iCs/>
          <w:color w:val="000000" w:themeColor="text1"/>
        </w:rPr>
        <w:t xml:space="preserve">, and that </w:t>
      </w:r>
      <w:r w:rsidRPr="00277996">
        <w:rPr>
          <w:iCs/>
          <w:color w:val="000000" w:themeColor="text1"/>
        </w:rPr>
        <w:t xml:space="preserve">the financial estimates for this population should be added to the Tier 1 chronic migraine expenditure caps. The PBAC </w:t>
      </w:r>
      <w:r w:rsidR="002E456F">
        <w:rPr>
          <w:iCs/>
          <w:color w:val="000000" w:themeColor="text1"/>
        </w:rPr>
        <w:t>previously</w:t>
      </w:r>
      <w:r w:rsidR="00DB5CF6">
        <w:rPr>
          <w:iCs/>
          <w:color w:val="000000" w:themeColor="text1"/>
        </w:rPr>
        <w:t xml:space="preserve"> </w:t>
      </w:r>
      <w:r w:rsidRPr="00277996">
        <w:rPr>
          <w:iCs/>
          <w:color w:val="000000" w:themeColor="text1"/>
        </w:rPr>
        <w:t xml:space="preserve">considered that it would be appropriate for the Tier 2 expenditure caps to </w:t>
      </w:r>
      <w:proofErr w:type="gramStart"/>
      <w:r w:rsidRPr="00277996">
        <w:rPr>
          <w:iCs/>
          <w:color w:val="000000" w:themeColor="text1"/>
        </w:rPr>
        <w:t>be based on the assumption</w:t>
      </w:r>
      <w:proofErr w:type="gramEnd"/>
      <w:r w:rsidRPr="00277996">
        <w:rPr>
          <w:iCs/>
          <w:color w:val="000000" w:themeColor="text1"/>
        </w:rPr>
        <w:t xml:space="preserve"> that a proportion of patients achieve a 30% reduction in migraine headache days at the response assessment time point (paragraph 7.7, Galcanezumab, PSD, March 2022 PBAC Meeting).</w:t>
      </w:r>
      <w:bookmarkEnd w:id="84"/>
    </w:p>
    <w:p w14:paraId="184AEDB8" w14:textId="4962D1A5" w:rsidR="005876AA" w:rsidRDefault="009D7BE5" w:rsidP="005876AA">
      <w:pPr>
        <w:pStyle w:val="3-BodyText"/>
        <w:numPr>
          <w:ilvl w:val="0"/>
          <w:numId w:val="0"/>
        </w:numPr>
        <w:ind w:left="720"/>
      </w:pPr>
      <w:r w:rsidRPr="00C33D30">
        <w:rPr>
          <w:i/>
        </w:rPr>
        <w:t>For more detail on PBAC’s view, see section 7 PBAC outcome.</w:t>
      </w:r>
      <w:bookmarkStart w:id="85" w:name="_Hlk76381249"/>
      <w:bookmarkStart w:id="86" w:name="_Hlk76377955"/>
    </w:p>
    <w:p w14:paraId="56CFD6F2" w14:textId="7747CB30" w:rsidR="002C4249" w:rsidRPr="005876AA" w:rsidRDefault="002C4249" w:rsidP="005876AA">
      <w:pPr>
        <w:pStyle w:val="2-SectionHeading"/>
        <w:rPr>
          <w:bCs/>
          <w:lang w:val="en-GB"/>
        </w:rPr>
      </w:pPr>
      <w:r w:rsidRPr="005876AA">
        <w:rPr>
          <w:bCs/>
          <w:lang w:val="en-GB"/>
        </w:rPr>
        <w:t>PBAC Outcome</w:t>
      </w:r>
    </w:p>
    <w:p w14:paraId="286DD228" w14:textId="75C1177D" w:rsidR="002C4249" w:rsidRPr="002C4249" w:rsidRDefault="002C4249" w:rsidP="00033A63">
      <w:pPr>
        <w:pStyle w:val="3-BodyText"/>
        <w:rPr>
          <w:lang w:val="en-GB" w:eastAsia="en-US"/>
        </w:rPr>
      </w:pPr>
      <w:r w:rsidRPr="002C4249">
        <w:rPr>
          <w:lang w:val="en-GB" w:eastAsia="en-US"/>
        </w:rPr>
        <w:t xml:space="preserve">The PBAC recommended </w:t>
      </w:r>
      <w:r w:rsidR="0022370C">
        <w:rPr>
          <w:lang w:val="en-GB" w:eastAsia="en-US"/>
        </w:rPr>
        <w:t>amending the current</w:t>
      </w:r>
      <w:r w:rsidRPr="002C4249">
        <w:rPr>
          <w:lang w:val="en-GB" w:eastAsia="en-US"/>
        </w:rPr>
        <w:t xml:space="preserve"> listing of </w:t>
      </w:r>
      <w:r w:rsidR="0022370C">
        <w:rPr>
          <w:lang w:val="en-GB" w:eastAsia="en-US"/>
        </w:rPr>
        <w:t>fremanezumab for chronic migraine to include</w:t>
      </w:r>
      <w:r w:rsidR="0022370C" w:rsidRPr="0022370C">
        <w:t xml:space="preserve"> </w:t>
      </w:r>
      <w:r w:rsidR="0022370C" w:rsidRPr="00D91056">
        <w:rPr>
          <w:rFonts w:ascii="Calibri" w:hAnsi="Calibri"/>
          <w:snapToGrid/>
        </w:rPr>
        <w:t xml:space="preserve">the treatment of patients with </w:t>
      </w:r>
      <w:r w:rsidR="009F579E">
        <w:rPr>
          <w:rFonts w:ascii="Calibri" w:hAnsi="Calibri"/>
          <w:snapToGrid/>
        </w:rPr>
        <w:t>treatment</w:t>
      </w:r>
      <w:r w:rsidR="00EB6A6D">
        <w:rPr>
          <w:rFonts w:ascii="Calibri" w:hAnsi="Calibri"/>
          <w:snapToGrid/>
        </w:rPr>
        <w:t>-resistant</w:t>
      </w:r>
      <w:r w:rsidR="009F579E">
        <w:rPr>
          <w:rFonts w:ascii="Calibri" w:hAnsi="Calibri"/>
          <w:snapToGrid/>
        </w:rPr>
        <w:t xml:space="preserve"> </w:t>
      </w:r>
      <w:r w:rsidR="0022370C" w:rsidRPr="00D91056">
        <w:rPr>
          <w:rFonts w:ascii="Calibri" w:hAnsi="Calibri"/>
          <w:snapToGrid/>
        </w:rPr>
        <w:t>high frequency episodic migraine</w:t>
      </w:r>
      <w:r w:rsidR="005656E5">
        <w:rPr>
          <w:rFonts w:ascii="Calibri" w:hAnsi="Calibri"/>
          <w:snapToGrid/>
        </w:rPr>
        <w:t xml:space="preserve"> (HFEM)</w:t>
      </w:r>
      <w:r w:rsidR="006264BC">
        <w:rPr>
          <w:rFonts w:ascii="Calibri" w:hAnsi="Calibri"/>
          <w:snapToGrid/>
        </w:rPr>
        <w:t>.</w:t>
      </w:r>
      <w:r w:rsidR="0022370C" w:rsidRPr="00D91056">
        <w:rPr>
          <w:rFonts w:ascii="Calibri" w:hAnsi="Calibri"/>
          <w:snapToGrid/>
        </w:rPr>
        <w:t xml:space="preserve"> </w:t>
      </w:r>
      <w:r w:rsidR="006264BC">
        <w:rPr>
          <w:lang w:val="en-GB" w:eastAsia="en-US"/>
        </w:rPr>
        <w:t>Consistent with its March 2022 recommendation for galcanezumab in this population, t</w:t>
      </w:r>
      <w:r w:rsidR="00574EEB" w:rsidRPr="00574EEB">
        <w:rPr>
          <w:lang w:val="en-GB" w:eastAsia="en-US"/>
        </w:rPr>
        <w:t>he PBAC considered</w:t>
      </w:r>
      <w:r w:rsidR="00574EEB">
        <w:rPr>
          <w:lang w:val="en-GB" w:eastAsia="en-US"/>
        </w:rPr>
        <w:t xml:space="preserve"> fremanezumab</w:t>
      </w:r>
      <w:r w:rsidR="00574EEB" w:rsidRPr="00574EEB">
        <w:rPr>
          <w:lang w:val="en-GB" w:eastAsia="en-US"/>
        </w:rPr>
        <w:t xml:space="preserve"> would be cost</w:t>
      </w:r>
      <w:r w:rsidR="001A7B99">
        <w:rPr>
          <w:lang w:val="en-GB" w:eastAsia="en-US"/>
        </w:rPr>
        <w:t>-</w:t>
      </w:r>
      <w:r w:rsidR="00574EEB" w:rsidRPr="00574EEB">
        <w:rPr>
          <w:lang w:val="en-GB" w:eastAsia="en-US"/>
        </w:rPr>
        <w:t xml:space="preserve">effective for the </w:t>
      </w:r>
      <w:r w:rsidR="005656E5">
        <w:rPr>
          <w:lang w:val="en-GB" w:eastAsia="en-US"/>
        </w:rPr>
        <w:t>HFEM</w:t>
      </w:r>
      <w:r w:rsidR="00574EEB" w:rsidRPr="00574EEB">
        <w:rPr>
          <w:lang w:val="en-GB" w:eastAsia="en-US"/>
        </w:rPr>
        <w:t xml:space="preserve"> population at a price no higher than the</w:t>
      </w:r>
      <w:r w:rsidR="00EB6A6D">
        <w:rPr>
          <w:lang w:val="en-GB" w:eastAsia="en-US"/>
        </w:rPr>
        <w:t xml:space="preserve"> effective price </w:t>
      </w:r>
      <w:r w:rsidR="00574EEB" w:rsidRPr="00574EEB">
        <w:rPr>
          <w:lang w:val="en-GB" w:eastAsia="en-US"/>
        </w:rPr>
        <w:t>for</w:t>
      </w:r>
      <w:r w:rsidR="003F0957">
        <w:rPr>
          <w:lang w:val="en-GB" w:eastAsia="en-US"/>
        </w:rPr>
        <w:t xml:space="preserve"> fremanezumab for</w:t>
      </w:r>
      <w:r w:rsidR="00574EEB" w:rsidRPr="00574EEB">
        <w:rPr>
          <w:lang w:val="en-GB" w:eastAsia="en-US"/>
        </w:rPr>
        <w:t xml:space="preserve"> patients with chronic migraine.</w:t>
      </w:r>
      <w:r w:rsidR="003F0957">
        <w:rPr>
          <w:lang w:val="en-GB" w:eastAsia="en-US"/>
        </w:rPr>
        <w:t xml:space="preserve"> </w:t>
      </w:r>
      <w:r w:rsidR="003C27E8" w:rsidRPr="003C27E8">
        <w:rPr>
          <w:lang w:val="en-GB" w:eastAsia="en-US"/>
        </w:rPr>
        <w:t xml:space="preserve">The PBAC considered </w:t>
      </w:r>
      <w:r w:rsidR="006A51B8">
        <w:rPr>
          <w:lang w:val="en-GB" w:eastAsia="en-US"/>
        </w:rPr>
        <w:t xml:space="preserve">that </w:t>
      </w:r>
      <w:r w:rsidR="003C27E8" w:rsidRPr="003C27E8">
        <w:rPr>
          <w:lang w:val="en-GB" w:eastAsia="en-US"/>
        </w:rPr>
        <w:t xml:space="preserve">the </w:t>
      </w:r>
      <w:proofErr w:type="gramStart"/>
      <w:r w:rsidR="00A83A84">
        <w:rPr>
          <w:lang w:val="en-GB" w:eastAsia="en-US"/>
        </w:rPr>
        <w:t>treatment-resistant</w:t>
      </w:r>
      <w:proofErr w:type="gramEnd"/>
      <w:r w:rsidR="00A83A84">
        <w:rPr>
          <w:lang w:val="en-GB" w:eastAsia="en-US"/>
        </w:rPr>
        <w:t xml:space="preserve"> </w:t>
      </w:r>
      <w:r w:rsidR="003C27E8" w:rsidRPr="003C27E8">
        <w:rPr>
          <w:lang w:val="en-GB" w:eastAsia="en-US"/>
        </w:rPr>
        <w:t>HFEM population should be included in the current RSA in place for chronic migraine</w:t>
      </w:r>
      <w:r w:rsidR="00877BB9">
        <w:rPr>
          <w:lang w:val="en-GB" w:eastAsia="en-US"/>
        </w:rPr>
        <w:t>. The PBAC noted that patients may move between these categories and considered that including the HFEM population in the RSA would help</w:t>
      </w:r>
      <w:r w:rsidR="003C27E8" w:rsidRPr="003C27E8">
        <w:rPr>
          <w:lang w:val="en-GB" w:eastAsia="en-US"/>
        </w:rPr>
        <w:t xml:space="preserve"> to manage the risk of use </w:t>
      </w:r>
      <w:bookmarkStart w:id="87" w:name="_Hlk119057010"/>
      <w:r w:rsidR="006D6487">
        <w:rPr>
          <w:lang w:val="en-GB" w:eastAsia="en-US"/>
        </w:rPr>
        <w:t>in a broader population where treatment may be less cost-effective</w:t>
      </w:r>
      <w:bookmarkEnd w:id="87"/>
      <w:r w:rsidR="003C27E8">
        <w:rPr>
          <w:lang w:val="en-GB" w:eastAsia="en-US"/>
        </w:rPr>
        <w:t>.</w:t>
      </w:r>
    </w:p>
    <w:p w14:paraId="51184EF4" w14:textId="77777777" w:rsidR="008975FB" w:rsidRDefault="0006001B" w:rsidP="00540A12">
      <w:pPr>
        <w:pStyle w:val="3-BodyText"/>
        <w:rPr>
          <w:lang w:val="en-GB" w:eastAsia="en-US"/>
        </w:rPr>
      </w:pPr>
      <w:r>
        <w:rPr>
          <w:lang w:val="en-GB" w:eastAsia="en-US"/>
        </w:rPr>
        <w:t>The PBAC</w:t>
      </w:r>
      <w:r w:rsidR="00406FAB">
        <w:rPr>
          <w:lang w:val="en-GB" w:eastAsia="en-US"/>
        </w:rPr>
        <w:t xml:space="preserve"> considered that galcanezumab </w:t>
      </w:r>
      <w:r w:rsidR="00B777C7">
        <w:rPr>
          <w:lang w:val="en-GB" w:eastAsia="en-US"/>
        </w:rPr>
        <w:t xml:space="preserve">was the </w:t>
      </w:r>
      <w:r w:rsidR="006264BC">
        <w:rPr>
          <w:lang w:val="en-GB" w:eastAsia="en-US"/>
        </w:rPr>
        <w:t xml:space="preserve">appropriate </w:t>
      </w:r>
      <w:r w:rsidR="00B777C7">
        <w:rPr>
          <w:lang w:val="en-GB" w:eastAsia="en-US"/>
        </w:rPr>
        <w:t>comparator</w:t>
      </w:r>
      <w:r w:rsidR="005656E5">
        <w:rPr>
          <w:lang w:val="en-GB" w:eastAsia="en-US"/>
        </w:rPr>
        <w:t xml:space="preserve"> for </w:t>
      </w:r>
      <w:proofErr w:type="gramStart"/>
      <w:r w:rsidR="005656E5">
        <w:rPr>
          <w:lang w:val="en-GB" w:eastAsia="en-US"/>
        </w:rPr>
        <w:t>treatment-resistant</w:t>
      </w:r>
      <w:proofErr w:type="gramEnd"/>
      <w:r w:rsidR="005656E5">
        <w:rPr>
          <w:lang w:val="en-GB" w:eastAsia="en-US"/>
        </w:rPr>
        <w:t xml:space="preserve"> HFEM</w:t>
      </w:r>
      <w:r w:rsidR="006264BC">
        <w:rPr>
          <w:lang w:val="en-GB" w:eastAsia="en-US"/>
        </w:rPr>
        <w:t xml:space="preserve">, although </w:t>
      </w:r>
      <w:r w:rsidR="005656E5">
        <w:rPr>
          <w:lang w:val="en-GB" w:eastAsia="en-US"/>
        </w:rPr>
        <w:t xml:space="preserve">noted </w:t>
      </w:r>
      <w:r w:rsidR="006264BC">
        <w:rPr>
          <w:lang w:val="en-GB" w:eastAsia="en-US"/>
        </w:rPr>
        <w:t xml:space="preserve">it </w:t>
      </w:r>
      <w:r w:rsidR="005461B5">
        <w:rPr>
          <w:lang w:val="en-GB" w:eastAsia="en-US"/>
        </w:rPr>
        <w:t>was</w:t>
      </w:r>
      <w:r w:rsidR="006264BC">
        <w:rPr>
          <w:lang w:val="en-GB" w:eastAsia="en-US"/>
        </w:rPr>
        <w:t xml:space="preserve"> not currently PBS listed for this population</w:t>
      </w:r>
      <w:r w:rsidR="00B777C7">
        <w:rPr>
          <w:lang w:val="en-GB" w:eastAsia="en-US"/>
        </w:rPr>
        <w:t>.</w:t>
      </w:r>
    </w:p>
    <w:p w14:paraId="3CC04E43" w14:textId="383C906A" w:rsidR="002C4249" w:rsidRDefault="008975FB" w:rsidP="00540A12">
      <w:pPr>
        <w:pStyle w:val="3-BodyText"/>
        <w:rPr>
          <w:lang w:val="en-GB" w:eastAsia="en-US"/>
        </w:rPr>
      </w:pPr>
      <w:r>
        <w:rPr>
          <w:lang w:val="en-GB"/>
        </w:rPr>
        <w:t xml:space="preserve">The PBAC noted that the submission presented a cost minimisation approach between fremanezumab and galcanezumab. </w:t>
      </w:r>
      <w:r>
        <w:rPr>
          <w:lang w:val="en-GB" w:eastAsia="en-US"/>
        </w:rPr>
        <w:t>The PBAC considered the equi-effective doses proposed in the submission were reasonable:</w:t>
      </w:r>
    </w:p>
    <w:p w14:paraId="0DE89B87" w14:textId="3A9990F9" w:rsidR="008975FB" w:rsidRPr="00540A12" w:rsidRDefault="000E67D8" w:rsidP="008975FB">
      <w:pPr>
        <w:pStyle w:val="3-BodyText"/>
        <w:numPr>
          <w:ilvl w:val="0"/>
          <w:numId w:val="0"/>
        </w:numPr>
        <w:ind w:left="720"/>
        <w:rPr>
          <w:lang w:val="en-GB" w:eastAsia="en-US"/>
        </w:rPr>
      </w:pPr>
      <w:r>
        <w:rPr>
          <w:color w:val="000000" w:themeColor="text1"/>
          <w:lang w:val="en-GB"/>
        </w:rPr>
        <w:t>f</w:t>
      </w:r>
      <w:r w:rsidR="008975FB">
        <w:rPr>
          <w:color w:val="000000" w:themeColor="text1"/>
          <w:lang w:val="en-GB"/>
        </w:rPr>
        <w:t xml:space="preserve">remanezumab </w:t>
      </w:r>
      <w:r w:rsidR="008975FB" w:rsidRPr="001160A1">
        <w:rPr>
          <w:color w:val="000000" w:themeColor="text1"/>
          <w:lang w:val="en-GB"/>
        </w:rPr>
        <w:t>225</w:t>
      </w:r>
      <w:r w:rsidR="005876AA">
        <w:rPr>
          <w:color w:val="000000" w:themeColor="text1"/>
          <w:lang w:val="en-GB"/>
        </w:rPr>
        <w:t> </w:t>
      </w:r>
      <w:r w:rsidR="008975FB" w:rsidRPr="001160A1">
        <w:rPr>
          <w:color w:val="000000" w:themeColor="text1"/>
          <w:lang w:val="en-GB"/>
        </w:rPr>
        <w:t>mg every month (or 675</w:t>
      </w:r>
      <w:r w:rsidR="005876AA">
        <w:rPr>
          <w:color w:val="000000" w:themeColor="text1"/>
          <w:lang w:val="en-GB"/>
        </w:rPr>
        <w:t> </w:t>
      </w:r>
      <w:r w:rsidR="008975FB" w:rsidRPr="001160A1">
        <w:rPr>
          <w:color w:val="000000" w:themeColor="text1"/>
          <w:lang w:val="en-GB"/>
        </w:rPr>
        <w:t xml:space="preserve">mg quarterly) is equi-effective </w:t>
      </w:r>
      <w:r w:rsidR="008975FB">
        <w:rPr>
          <w:color w:val="000000" w:themeColor="text1"/>
          <w:lang w:val="en-GB"/>
        </w:rPr>
        <w:t>to</w:t>
      </w:r>
      <w:r w:rsidR="008975FB" w:rsidRPr="001160A1">
        <w:rPr>
          <w:color w:val="000000" w:themeColor="text1"/>
          <w:lang w:val="en-GB"/>
        </w:rPr>
        <w:t xml:space="preserve"> galcanezumab 240</w:t>
      </w:r>
      <w:r w:rsidR="005876AA">
        <w:rPr>
          <w:color w:val="000000" w:themeColor="text1"/>
          <w:lang w:val="en-GB"/>
        </w:rPr>
        <w:t> </w:t>
      </w:r>
      <w:r w:rsidR="008975FB" w:rsidRPr="001160A1">
        <w:rPr>
          <w:color w:val="000000" w:themeColor="text1"/>
          <w:lang w:val="en-GB"/>
        </w:rPr>
        <w:t>mg initially</w:t>
      </w:r>
      <w:r w:rsidR="008975FB">
        <w:rPr>
          <w:color w:val="000000" w:themeColor="text1"/>
          <w:lang w:val="en-GB"/>
        </w:rPr>
        <w:t>,</w:t>
      </w:r>
      <w:r w:rsidR="008975FB" w:rsidRPr="001160A1">
        <w:rPr>
          <w:color w:val="000000" w:themeColor="text1"/>
          <w:lang w:val="en-GB"/>
        </w:rPr>
        <w:t xml:space="preserve"> followed by 120</w:t>
      </w:r>
      <w:r w:rsidR="005876AA">
        <w:rPr>
          <w:color w:val="000000" w:themeColor="text1"/>
          <w:lang w:val="en-GB"/>
        </w:rPr>
        <w:t> </w:t>
      </w:r>
      <w:r w:rsidR="008975FB" w:rsidRPr="001160A1">
        <w:rPr>
          <w:color w:val="000000" w:themeColor="text1"/>
          <w:lang w:val="en-GB"/>
        </w:rPr>
        <w:t>mg every month</w:t>
      </w:r>
      <w:r w:rsidR="008975FB">
        <w:rPr>
          <w:color w:val="000000" w:themeColor="text1"/>
          <w:lang w:val="en-GB"/>
        </w:rPr>
        <w:t>.</w:t>
      </w:r>
    </w:p>
    <w:p w14:paraId="70D94259" w14:textId="74AF90AE" w:rsidR="002C4249" w:rsidRPr="002C4249" w:rsidRDefault="00FF34B9" w:rsidP="00033A63">
      <w:pPr>
        <w:pStyle w:val="3-BodyText"/>
        <w:rPr>
          <w:lang w:val="en-GB" w:eastAsia="en-US"/>
        </w:rPr>
      </w:pPr>
      <w:r>
        <w:rPr>
          <w:lang w:val="en-GB" w:eastAsia="en-US"/>
        </w:rPr>
        <w:t xml:space="preserve">The PBAC considered that it would be appropriate for the requested restriction to use the phrase ‘migraine headache days’ </w:t>
      </w:r>
      <w:r w:rsidR="00574EEB">
        <w:rPr>
          <w:lang w:val="en-GB" w:eastAsia="en-US"/>
        </w:rPr>
        <w:t xml:space="preserve">(as proposed in the submission) </w:t>
      </w:r>
      <w:r>
        <w:rPr>
          <w:lang w:val="en-GB" w:eastAsia="en-US"/>
        </w:rPr>
        <w:t>rather than ‘migraine days’</w:t>
      </w:r>
      <w:r w:rsidR="003B1229">
        <w:rPr>
          <w:lang w:val="en-GB" w:eastAsia="en-US"/>
        </w:rPr>
        <w:t xml:space="preserve"> (as proposed by the evaluation)</w:t>
      </w:r>
      <w:r>
        <w:rPr>
          <w:lang w:val="en-GB" w:eastAsia="en-US"/>
        </w:rPr>
        <w:t xml:space="preserve"> in order to align the terminology with </w:t>
      </w:r>
      <w:r>
        <w:rPr>
          <w:lang w:val="en-GB" w:eastAsia="en-US"/>
        </w:rPr>
        <w:lastRenderedPageBreak/>
        <w:t xml:space="preserve">the restriction recommended for galcanezumab for patients with HFEM at the March 2022 PBAC meeting. </w:t>
      </w:r>
      <w:r w:rsidR="00433446">
        <w:rPr>
          <w:lang w:val="en-GB" w:eastAsia="en-US"/>
        </w:rPr>
        <w:t>The PBAC noted some minor editorial changes to the restriction criteria that should be flowed on to galcanezumab should it be PBS listed for this population.</w:t>
      </w:r>
    </w:p>
    <w:p w14:paraId="3D32FDEC" w14:textId="54719217" w:rsidR="003758BE" w:rsidRDefault="0006001B" w:rsidP="0076319F">
      <w:pPr>
        <w:pStyle w:val="3-BodyText"/>
        <w:rPr>
          <w:lang w:val="en-GB" w:eastAsia="en-US"/>
        </w:rPr>
      </w:pPr>
      <w:r>
        <w:rPr>
          <w:lang w:val="en-GB"/>
        </w:rPr>
        <w:t xml:space="preserve">The PBAC noted the submission provided clinical evidence for fremanezumab versus placebo from one randomised controlled trial (FOCUS) in patients with chronic and episodic migraine who </w:t>
      </w:r>
      <w:r w:rsidR="004101C5">
        <w:rPr>
          <w:lang w:val="en-GB"/>
        </w:rPr>
        <w:t>did not respond to</w:t>
      </w:r>
      <w:r>
        <w:rPr>
          <w:lang w:val="en-GB"/>
        </w:rPr>
        <w:t xml:space="preserve"> 2 </w:t>
      </w:r>
      <w:r w:rsidR="00406FAB">
        <w:rPr>
          <w:lang w:val="en-GB"/>
        </w:rPr>
        <w:t xml:space="preserve">to </w:t>
      </w:r>
      <w:r>
        <w:rPr>
          <w:lang w:val="en-GB"/>
        </w:rPr>
        <w:t>4 prior prophylactic treatments</w:t>
      </w:r>
      <w:r w:rsidR="00406FAB">
        <w:rPr>
          <w:lang w:val="en-GB"/>
        </w:rPr>
        <w:t xml:space="preserve"> (n=838)</w:t>
      </w:r>
      <w:r>
        <w:rPr>
          <w:lang w:val="en-GB"/>
        </w:rPr>
        <w:t>. The PBAC considered the subgroup</w:t>
      </w:r>
      <w:r w:rsidR="00406FAB">
        <w:rPr>
          <w:lang w:val="en-GB"/>
        </w:rPr>
        <w:t xml:space="preserve"> </w:t>
      </w:r>
      <w:r>
        <w:rPr>
          <w:lang w:val="en-GB"/>
        </w:rPr>
        <w:t xml:space="preserve">of patients in the </w:t>
      </w:r>
      <w:r w:rsidR="00406FAB">
        <w:rPr>
          <w:lang w:val="en-GB"/>
        </w:rPr>
        <w:t xml:space="preserve">FOCUS </w:t>
      </w:r>
      <w:r>
        <w:rPr>
          <w:lang w:val="en-GB"/>
        </w:rPr>
        <w:t>study with</w:t>
      </w:r>
      <w:r w:rsidR="005461B5">
        <w:rPr>
          <w:lang w:val="en-GB"/>
        </w:rPr>
        <w:t xml:space="preserve"> HFEM </w:t>
      </w:r>
      <w:r w:rsidR="00406FAB">
        <w:rPr>
          <w:lang w:val="en-GB"/>
        </w:rPr>
        <w:t xml:space="preserve">with </w:t>
      </w:r>
      <w:r w:rsidR="00406FAB">
        <w:rPr>
          <w:rFonts w:cstheme="minorHAnsi"/>
          <w:lang w:val="en-GB"/>
        </w:rPr>
        <w:t>≥</w:t>
      </w:r>
      <w:r w:rsidR="00406FAB">
        <w:rPr>
          <w:lang w:val="en-GB"/>
        </w:rPr>
        <w:t xml:space="preserve"> 3 prior treatment failures </w:t>
      </w:r>
      <w:r>
        <w:rPr>
          <w:lang w:val="en-GB"/>
        </w:rPr>
        <w:t>(n=</w:t>
      </w:r>
      <w:r w:rsidR="00406FAB">
        <w:rPr>
          <w:lang w:val="en-GB"/>
        </w:rPr>
        <w:t>91</w:t>
      </w:r>
      <w:r>
        <w:rPr>
          <w:lang w:val="en-GB"/>
        </w:rPr>
        <w:t xml:space="preserve">) </w:t>
      </w:r>
      <w:proofErr w:type="gramStart"/>
      <w:r>
        <w:rPr>
          <w:lang w:val="en-GB"/>
        </w:rPr>
        <w:t>w</w:t>
      </w:r>
      <w:r w:rsidR="00406FAB">
        <w:rPr>
          <w:lang w:val="en-GB"/>
        </w:rPr>
        <w:t>as</w:t>
      </w:r>
      <w:proofErr w:type="gramEnd"/>
      <w:r>
        <w:rPr>
          <w:lang w:val="en-GB"/>
        </w:rPr>
        <w:t xml:space="preserve"> the most applicable for the requested PBS listing</w:t>
      </w:r>
      <w:r w:rsidR="004F24F9">
        <w:rPr>
          <w:lang w:val="en-GB" w:eastAsia="en-US"/>
        </w:rPr>
        <w:t>. The PBAC considered that</w:t>
      </w:r>
      <w:r>
        <w:rPr>
          <w:lang w:val="en-GB" w:eastAsia="en-US"/>
        </w:rPr>
        <w:t xml:space="preserve">, in the </w:t>
      </w:r>
      <w:proofErr w:type="gramStart"/>
      <w:r>
        <w:rPr>
          <w:lang w:val="en-GB" w:eastAsia="en-US"/>
        </w:rPr>
        <w:t>treatment-resistant</w:t>
      </w:r>
      <w:proofErr w:type="gramEnd"/>
      <w:r>
        <w:rPr>
          <w:lang w:val="en-GB" w:eastAsia="en-US"/>
        </w:rPr>
        <w:t xml:space="preserve"> HFEM population,</w:t>
      </w:r>
      <w:r w:rsidR="004F24F9">
        <w:rPr>
          <w:lang w:val="en-GB" w:eastAsia="en-US"/>
        </w:rPr>
        <w:t xml:space="preserve"> fremanezumab resulted in a clinically significant reduction in the number of </w:t>
      </w:r>
      <w:r w:rsidR="000A5D1B">
        <w:rPr>
          <w:lang w:val="en-GB" w:eastAsia="en-US"/>
        </w:rPr>
        <w:t>monthly migraine days (</w:t>
      </w:r>
      <w:r w:rsidR="00ED4210">
        <w:rPr>
          <w:lang w:val="en-GB" w:eastAsia="en-US"/>
        </w:rPr>
        <w:t>MMDs</w:t>
      </w:r>
      <w:r w:rsidR="000A5D1B">
        <w:rPr>
          <w:lang w:val="en-GB" w:eastAsia="en-US"/>
        </w:rPr>
        <w:t>)</w:t>
      </w:r>
      <w:r w:rsidR="004F24F9">
        <w:rPr>
          <w:lang w:val="en-GB" w:eastAsia="en-US"/>
        </w:rPr>
        <w:t xml:space="preserve"> compared to placebo, with a reduction of 3.9 (95% CI: </w:t>
      </w:r>
      <w:r w:rsidR="00ED4210">
        <w:rPr>
          <w:lang w:val="en-GB" w:eastAsia="en-US"/>
        </w:rPr>
        <w:t>-</w:t>
      </w:r>
      <w:r w:rsidR="004F24F9">
        <w:rPr>
          <w:lang w:val="en-GB" w:eastAsia="en-US"/>
        </w:rPr>
        <w:t>6.10,</w:t>
      </w:r>
      <w:r w:rsidR="005E36A3">
        <w:rPr>
          <w:lang w:val="en-GB" w:eastAsia="en-US"/>
        </w:rPr>
        <w:t xml:space="preserve"> </w:t>
      </w:r>
      <w:r w:rsidR="00ED4210">
        <w:rPr>
          <w:lang w:val="en-GB" w:eastAsia="en-US"/>
        </w:rPr>
        <w:t>-</w:t>
      </w:r>
      <w:r w:rsidR="004F24F9">
        <w:rPr>
          <w:lang w:val="en-GB" w:eastAsia="en-US"/>
        </w:rPr>
        <w:t>1.68) and 4.7 (</w:t>
      </w:r>
      <w:r w:rsidR="00ED4210">
        <w:rPr>
          <w:lang w:val="en-GB" w:eastAsia="en-US"/>
        </w:rPr>
        <w:t>95% CI</w:t>
      </w:r>
      <w:r w:rsidR="0076319F">
        <w:rPr>
          <w:lang w:val="en-GB" w:eastAsia="en-US"/>
        </w:rPr>
        <w:t>: -6.76, -2.70) MMDs at 12 weeks for quarterly and monthly dosing, respectively.</w:t>
      </w:r>
    </w:p>
    <w:p w14:paraId="2380B6F7" w14:textId="2969E112" w:rsidR="00FF34B9" w:rsidRDefault="003758BE" w:rsidP="00033A63">
      <w:pPr>
        <w:pStyle w:val="3-BodyText"/>
        <w:rPr>
          <w:lang w:val="en-GB" w:eastAsia="en-US"/>
        </w:rPr>
      </w:pPr>
      <w:r>
        <w:rPr>
          <w:lang w:val="en-GB" w:eastAsia="en-US"/>
        </w:rPr>
        <w:t xml:space="preserve">The PBAC noted the submission provided an indirect </w:t>
      </w:r>
      <w:r w:rsidR="0021549F">
        <w:rPr>
          <w:lang w:val="en-GB" w:eastAsia="en-US"/>
        </w:rPr>
        <w:t xml:space="preserve">treatment </w:t>
      </w:r>
      <w:r>
        <w:rPr>
          <w:lang w:val="en-GB" w:eastAsia="en-US"/>
        </w:rPr>
        <w:t xml:space="preserve">comparison </w:t>
      </w:r>
      <w:r w:rsidR="0021549F">
        <w:rPr>
          <w:lang w:val="en-GB" w:eastAsia="en-US"/>
        </w:rPr>
        <w:t xml:space="preserve">(using placebo as the common comparator) to support the clinical claim that fremanezumab was non-inferior to galcanezumab in terms of effectiveness and safety. The PBAC noted there was no statistically significant difference in the reduction of MMDs from baseline between fremanezumab and galcanezumab for patients with HFEM who had </w:t>
      </w:r>
      <w:r w:rsidR="00782858">
        <w:rPr>
          <w:lang w:val="en-GB" w:eastAsia="en-US"/>
        </w:rPr>
        <w:t>≥</w:t>
      </w:r>
      <w:r w:rsidR="0021549F">
        <w:rPr>
          <w:lang w:val="en-GB" w:eastAsia="en-US"/>
        </w:rPr>
        <w:t xml:space="preserve">3 </w:t>
      </w:r>
      <w:r w:rsidR="00782858">
        <w:rPr>
          <w:lang w:val="en-GB" w:eastAsia="en-US"/>
        </w:rPr>
        <w:t>p</w:t>
      </w:r>
      <w:r w:rsidR="0021549F">
        <w:rPr>
          <w:lang w:val="en-GB" w:eastAsia="en-US"/>
        </w:rPr>
        <w:t>rior treatment failures</w:t>
      </w:r>
      <w:r w:rsidR="000A5D1B">
        <w:rPr>
          <w:lang w:val="en-GB" w:eastAsia="en-US"/>
        </w:rPr>
        <w:t>, and that the upper limit of the 95% CI was less than the non-inferiority margin of 2 days per month</w:t>
      </w:r>
      <w:r w:rsidR="008D0DEB">
        <w:rPr>
          <w:lang w:val="en-GB" w:eastAsia="en-US"/>
        </w:rPr>
        <w:t xml:space="preserve">. </w:t>
      </w:r>
      <w:r w:rsidR="00FF34B9" w:rsidRPr="00271364">
        <w:rPr>
          <w:lang w:val="en-GB" w:eastAsia="en-US"/>
        </w:rPr>
        <w:t xml:space="preserve">The PBAC considered the claim of non-inferior effectiveness of fremanezumab to galcanezumab was reasonable. </w:t>
      </w:r>
    </w:p>
    <w:p w14:paraId="227FE7AD" w14:textId="079D76EF" w:rsidR="007E32A5" w:rsidRPr="00271364" w:rsidRDefault="007E32A5" w:rsidP="00033A63">
      <w:pPr>
        <w:pStyle w:val="3-BodyText"/>
        <w:rPr>
          <w:lang w:val="en-GB" w:eastAsia="en-US"/>
        </w:rPr>
      </w:pPr>
      <w:r>
        <w:rPr>
          <w:lang w:val="en-GB" w:eastAsia="en-US"/>
        </w:rPr>
        <w:t>The PBAC considered the claim that fremanezumab is non-inferior to galcanezumab in terms of safety was reasonably supported by the data presented.</w:t>
      </w:r>
    </w:p>
    <w:p w14:paraId="074E49B9" w14:textId="3B470A4B" w:rsidR="008975FB" w:rsidRPr="008975FB" w:rsidRDefault="00317F8C" w:rsidP="00033A63">
      <w:pPr>
        <w:pStyle w:val="3-BodyText"/>
        <w:rPr>
          <w:lang w:val="en-GB" w:eastAsia="en-US"/>
        </w:rPr>
      </w:pPr>
      <w:r w:rsidRPr="034BE327">
        <w:rPr>
          <w:lang w:val="en-GB" w:eastAsia="en-US"/>
        </w:rPr>
        <w:t xml:space="preserve">The PBAC noted the proposed price for fremanezumab in the </w:t>
      </w:r>
      <w:proofErr w:type="gramStart"/>
      <w:r w:rsidRPr="034BE327">
        <w:rPr>
          <w:lang w:val="en-GB" w:eastAsia="en-US"/>
        </w:rPr>
        <w:t>treatment-resistant</w:t>
      </w:r>
      <w:proofErr w:type="gramEnd"/>
      <w:r w:rsidRPr="034BE327">
        <w:rPr>
          <w:lang w:val="en-GB" w:eastAsia="en-US"/>
        </w:rPr>
        <w:t xml:space="preserve"> HFEM population was the same as the price in the chronic migraine population. </w:t>
      </w:r>
      <w:r w:rsidR="004F475D" w:rsidRPr="034BE327">
        <w:rPr>
          <w:lang w:val="en-GB" w:eastAsia="en-US"/>
        </w:rPr>
        <w:t>Consistent with its recommendation for galcanezumab (March 2022), the PBAC advised that fremanezumab would be cost</w:t>
      </w:r>
      <w:r w:rsidR="00D17AC2" w:rsidRPr="034BE327">
        <w:rPr>
          <w:lang w:val="en-GB" w:eastAsia="en-US"/>
        </w:rPr>
        <w:t>-</w:t>
      </w:r>
      <w:r w:rsidR="004F475D" w:rsidRPr="034BE327">
        <w:rPr>
          <w:lang w:val="en-GB" w:eastAsia="en-US"/>
        </w:rPr>
        <w:t xml:space="preserve">effective for the </w:t>
      </w:r>
      <w:proofErr w:type="gramStart"/>
      <w:r w:rsidR="006511B5" w:rsidRPr="034BE327">
        <w:rPr>
          <w:lang w:val="en-GB" w:eastAsia="en-US"/>
        </w:rPr>
        <w:t>treatment-resistant</w:t>
      </w:r>
      <w:proofErr w:type="gramEnd"/>
      <w:r w:rsidR="006511B5" w:rsidRPr="034BE327">
        <w:rPr>
          <w:lang w:val="en-GB" w:eastAsia="en-US"/>
        </w:rPr>
        <w:t xml:space="preserve"> HFEM</w:t>
      </w:r>
      <w:r w:rsidR="004F475D" w:rsidRPr="034BE327">
        <w:rPr>
          <w:lang w:val="en-GB" w:eastAsia="en-US"/>
        </w:rPr>
        <w:t xml:space="preserve"> population at a price no higher than the current effective price of fremanezumab for the chronic migraine population. The PBAC considered for the purpose of Section 101(3B) of the </w:t>
      </w:r>
      <w:r w:rsidR="004F475D" w:rsidRPr="005876AA">
        <w:rPr>
          <w:i/>
          <w:iCs/>
          <w:lang w:val="en-GB" w:eastAsia="en-US"/>
        </w:rPr>
        <w:t>National Health Act 1953</w:t>
      </w:r>
      <w:r w:rsidR="004F475D" w:rsidRPr="034BE327">
        <w:rPr>
          <w:lang w:val="en-GB" w:eastAsia="en-US"/>
        </w:rPr>
        <w:t>, that galcanezumab was an alternative therapy to fremanezumab, and that fremanezumab does not provide a significant improvement in efficacy and/or reduction of toxicity over galcanezumab. The PBAC advised the price of fremanezumab should therefore be no higher than the price of galcanezumab</w:t>
      </w:r>
      <w:r w:rsidR="00FF3054" w:rsidRPr="034BE327">
        <w:rPr>
          <w:lang w:val="en-GB" w:eastAsia="en-US"/>
        </w:rPr>
        <w:t xml:space="preserve"> should</w:t>
      </w:r>
      <w:r w:rsidR="00433446" w:rsidRPr="034BE327">
        <w:rPr>
          <w:lang w:val="en-GB" w:eastAsia="en-US"/>
        </w:rPr>
        <w:t xml:space="preserve"> it be</w:t>
      </w:r>
      <w:r w:rsidR="00FF3054" w:rsidRPr="034BE327">
        <w:rPr>
          <w:lang w:val="en-GB" w:eastAsia="en-US"/>
        </w:rPr>
        <w:t xml:space="preserve"> PBS list</w:t>
      </w:r>
      <w:r w:rsidR="00433446" w:rsidRPr="034BE327">
        <w:rPr>
          <w:lang w:val="en-GB" w:eastAsia="en-US"/>
        </w:rPr>
        <w:t>ed for this population</w:t>
      </w:r>
      <w:r w:rsidR="004F475D" w:rsidRPr="034BE327">
        <w:rPr>
          <w:lang w:val="en-GB" w:eastAsia="en-US"/>
        </w:rPr>
        <w:t>.</w:t>
      </w:r>
    </w:p>
    <w:p w14:paraId="510117BC" w14:textId="086D15A4" w:rsidR="003C27E8" w:rsidRDefault="00B67639" w:rsidP="003C27E8">
      <w:pPr>
        <w:pStyle w:val="3-BodyText"/>
      </w:pPr>
      <w:bookmarkStart w:id="88" w:name="_Ref119484013"/>
      <w:r>
        <w:t xml:space="preserve">The PBAC considered that as the proposed population is not well defined, there is a risk of fremanezumab use outside the proposed restriction. </w:t>
      </w:r>
      <w:r>
        <w:rPr>
          <w:lang w:val="en-GB"/>
        </w:rPr>
        <w:t xml:space="preserve">The PBAC considered the </w:t>
      </w:r>
      <w:proofErr w:type="gramStart"/>
      <w:r w:rsidR="006511B5">
        <w:rPr>
          <w:lang w:val="en-GB"/>
        </w:rPr>
        <w:t>treatment-resistant</w:t>
      </w:r>
      <w:proofErr w:type="gramEnd"/>
      <w:r w:rsidR="006511B5">
        <w:rPr>
          <w:lang w:val="en-GB"/>
        </w:rPr>
        <w:t xml:space="preserve"> </w:t>
      </w:r>
      <w:r>
        <w:rPr>
          <w:lang w:val="en-GB"/>
        </w:rPr>
        <w:t xml:space="preserve">HFEM population should be included in the current RSA in place for chronic migraine to manage the risk of use </w:t>
      </w:r>
      <w:r>
        <w:rPr>
          <w:lang w:val="en-GB" w:eastAsia="en-US"/>
        </w:rPr>
        <w:t>in a broader population where treatment may be less cost-effective</w:t>
      </w:r>
      <w:r>
        <w:rPr>
          <w:lang w:val="en-GB"/>
        </w:rPr>
        <w:t xml:space="preserve">. </w:t>
      </w:r>
      <w:r w:rsidR="003C27E8" w:rsidRPr="003C27E8">
        <w:t>The</w:t>
      </w:r>
      <w:r w:rsidR="003C27E8">
        <w:t xml:space="preserve"> PBAC considered the financial estimates </w:t>
      </w:r>
      <w:r w:rsidR="003C27E8">
        <w:lastRenderedPageBreak/>
        <w:t xml:space="preserve">were overestimated and advised some amendments would be appropriate (as outlined in Table 11 and paragraph </w:t>
      </w:r>
      <w:r w:rsidR="003C27E8">
        <w:fldChar w:fldCharType="begin" w:fldLock="1"/>
      </w:r>
      <w:r w:rsidR="003C27E8">
        <w:instrText xml:space="preserve"> REF _Ref118874680 \r \h </w:instrText>
      </w:r>
      <w:r w:rsidR="003C27E8">
        <w:fldChar w:fldCharType="separate"/>
      </w:r>
      <w:r w:rsidR="003C27E8">
        <w:t>6.50</w:t>
      </w:r>
      <w:r w:rsidR="003C27E8">
        <w:fldChar w:fldCharType="end"/>
      </w:r>
      <w:r w:rsidR="003C27E8">
        <w:t xml:space="preserve">) for consistency with the </w:t>
      </w:r>
      <w:r w:rsidR="006A6B30">
        <w:t xml:space="preserve">financial </w:t>
      </w:r>
      <w:r w:rsidR="00325A9C">
        <w:t xml:space="preserve">estimates considered appropriate in recommending </w:t>
      </w:r>
      <w:r w:rsidR="003C27E8">
        <w:t xml:space="preserve">galcanezumab </w:t>
      </w:r>
      <w:r w:rsidR="00325A9C">
        <w:t xml:space="preserve">for this </w:t>
      </w:r>
      <w:r w:rsidR="006511B5">
        <w:t>population</w:t>
      </w:r>
      <w:r w:rsidR="003C27E8">
        <w:t xml:space="preserve">. </w:t>
      </w:r>
      <w:bookmarkEnd w:id="88"/>
    </w:p>
    <w:p w14:paraId="4EB87C93" w14:textId="42D671EA" w:rsidR="0023313E" w:rsidRDefault="00012FBD" w:rsidP="00D50EEB">
      <w:pPr>
        <w:pStyle w:val="3-BodyText"/>
      </w:pPr>
      <w:r>
        <w:rPr>
          <w:lang w:val="en-GB"/>
        </w:rPr>
        <w:t xml:space="preserve">The PBAC advised that if galcanezumab </w:t>
      </w:r>
      <w:r w:rsidR="003C27E8">
        <w:rPr>
          <w:lang w:val="en-GB"/>
        </w:rPr>
        <w:t xml:space="preserve">is not </w:t>
      </w:r>
      <w:r>
        <w:rPr>
          <w:lang w:val="en-GB"/>
        </w:rPr>
        <w:t>PBS list</w:t>
      </w:r>
      <w:r w:rsidR="003C27E8">
        <w:rPr>
          <w:lang w:val="en-GB"/>
        </w:rPr>
        <w:t xml:space="preserve">ed </w:t>
      </w:r>
      <w:r>
        <w:rPr>
          <w:lang w:val="en-GB"/>
        </w:rPr>
        <w:t xml:space="preserve">for </w:t>
      </w:r>
      <w:r w:rsidR="003C27E8">
        <w:rPr>
          <w:lang w:val="en-GB"/>
        </w:rPr>
        <w:t xml:space="preserve">the </w:t>
      </w:r>
      <w:r>
        <w:rPr>
          <w:lang w:val="en-GB"/>
        </w:rPr>
        <w:t>treatment-resistant HFEM population, the expenditure caps</w:t>
      </w:r>
      <w:r w:rsidR="003C27E8">
        <w:rPr>
          <w:lang w:val="en-GB"/>
        </w:rPr>
        <w:t xml:space="preserve"> could be increased </w:t>
      </w:r>
      <w:r>
        <w:rPr>
          <w:lang w:val="en-GB"/>
        </w:rPr>
        <w:t xml:space="preserve">as outlined in paragraph </w:t>
      </w:r>
      <w:r>
        <w:rPr>
          <w:lang w:val="en-GB"/>
        </w:rPr>
        <w:fldChar w:fldCharType="begin" w:fldLock="1"/>
      </w:r>
      <w:r>
        <w:rPr>
          <w:lang w:val="en-GB"/>
        </w:rPr>
        <w:instrText xml:space="preserve"> REF _Ref118874138 \r \h </w:instrText>
      </w:r>
      <w:r>
        <w:rPr>
          <w:lang w:val="en-GB"/>
        </w:rPr>
      </w:r>
      <w:r>
        <w:rPr>
          <w:lang w:val="en-GB"/>
        </w:rPr>
        <w:fldChar w:fldCharType="separate"/>
      </w:r>
      <w:r w:rsidR="00252D1B">
        <w:rPr>
          <w:lang w:val="en-GB"/>
        </w:rPr>
        <w:t>6.56</w:t>
      </w:r>
      <w:r>
        <w:rPr>
          <w:lang w:val="en-GB"/>
        </w:rPr>
        <w:fldChar w:fldCharType="end"/>
      </w:r>
      <w:r>
        <w:rPr>
          <w:lang w:val="en-GB"/>
        </w:rPr>
        <w:t xml:space="preserve"> using the revised financial estimates outlined in paragraph </w:t>
      </w:r>
      <w:r w:rsidR="00E97EFE">
        <w:rPr>
          <w:lang w:val="en-GB"/>
        </w:rPr>
        <w:fldChar w:fldCharType="begin" w:fldLock="1"/>
      </w:r>
      <w:r w:rsidR="00E97EFE">
        <w:rPr>
          <w:lang w:val="en-GB"/>
        </w:rPr>
        <w:instrText xml:space="preserve"> REF _Ref119484013 \r \h </w:instrText>
      </w:r>
      <w:r w:rsidR="00E97EFE">
        <w:rPr>
          <w:lang w:val="en-GB"/>
        </w:rPr>
      </w:r>
      <w:r w:rsidR="00E97EFE">
        <w:rPr>
          <w:lang w:val="en-GB"/>
        </w:rPr>
        <w:fldChar w:fldCharType="separate"/>
      </w:r>
      <w:r w:rsidR="00252D1B">
        <w:rPr>
          <w:lang w:val="en-GB"/>
        </w:rPr>
        <w:t>7.9</w:t>
      </w:r>
      <w:r w:rsidR="00E97EFE">
        <w:rPr>
          <w:lang w:val="en-GB"/>
        </w:rPr>
        <w:fldChar w:fldCharType="end"/>
      </w:r>
      <w:r>
        <w:rPr>
          <w:lang w:val="en-GB"/>
        </w:rPr>
        <w:fldChar w:fldCharType="begin" w:fldLock="1"/>
      </w:r>
      <w:r>
        <w:rPr>
          <w:lang w:val="en-GB"/>
        </w:rPr>
        <w:instrText xml:space="preserve"> REF _Ref118874168 \r \h </w:instrText>
      </w:r>
      <w:r>
        <w:rPr>
          <w:lang w:val="en-GB"/>
        </w:rPr>
      </w:r>
      <w:r w:rsidR="00D90B4C">
        <w:rPr>
          <w:lang w:val="en-GB"/>
        </w:rPr>
        <w:fldChar w:fldCharType="separate"/>
      </w:r>
      <w:r>
        <w:rPr>
          <w:lang w:val="en-GB"/>
        </w:rPr>
        <w:fldChar w:fldCharType="end"/>
      </w:r>
      <w:r>
        <w:rPr>
          <w:lang w:val="en-GB"/>
        </w:rPr>
        <w:t>.</w:t>
      </w:r>
      <w:r w:rsidR="006A6B30" w:rsidRPr="006A6B30">
        <w:t xml:space="preserve"> </w:t>
      </w:r>
      <w:r w:rsidR="006A6B30">
        <w:t>The PBAC considered that if galcanezumab were to progress to PBS-listing, fremanezumab should be included within the same agreed expenditure caps.</w:t>
      </w:r>
    </w:p>
    <w:p w14:paraId="71BFEA06" w14:textId="729642DD" w:rsidR="002C4249" w:rsidRPr="00866EDC" w:rsidRDefault="002C4249" w:rsidP="00033A63">
      <w:pPr>
        <w:pStyle w:val="3-BodyText"/>
        <w:rPr>
          <w:rFonts w:cs="Times New Roman"/>
          <w:b/>
          <w:bCs/>
          <w:lang w:val="en-GB" w:eastAsia="en-US"/>
        </w:rPr>
      </w:pPr>
      <w:r w:rsidRPr="00866EDC">
        <w:rPr>
          <w:rFonts w:cstheme="minorHAnsi"/>
          <w:lang w:val="en-GB" w:eastAsia="en-US"/>
        </w:rPr>
        <w:t xml:space="preserve">The PBAC noted that its recommendation was on a cost-minimisation basis and advised that, because </w:t>
      </w:r>
      <w:r w:rsidR="00866EDC" w:rsidRPr="00866EDC">
        <w:rPr>
          <w:rFonts w:cstheme="minorHAnsi"/>
          <w:lang w:val="en-GB" w:eastAsia="en-US"/>
        </w:rPr>
        <w:t>fremanezumab</w:t>
      </w:r>
      <w:r w:rsidRPr="00866EDC">
        <w:rPr>
          <w:rFonts w:cstheme="minorHAnsi"/>
          <w:lang w:val="en-GB" w:eastAsia="en-US"/>
        </w:rPr>
        <w:t xml:space="preserve"> is not expected to provide a substantial</w:t>
      </w:r>
      <w:r w:rsidRPr="00866EDC">
        <w:rPr>
          <w:rFonts w:cs="Times New Roman"/>
          <w:bCs/>
          <w:lang w:val="en-GB" w:eastAsia="en-US"/>
        </w:rPr>
        <w:t xml:space="preserve"> and clinically relevant improvement in efficacy, or reduction of toxicity, over </w:t>
      </w:r>
      <w:r w:rsidR="00866EDC" w:rsidRPr="00866EDC">
        <w:rPr>
          <w:rFonts w:cs="Times New Roman"/>
          <w:bCs/>
          <w:lang w:val="en-GB" w:eastAsia="en-US"/>
        </w:rPr>
        <w:t>galcanezumab</w:t>
      </w:r>
      <w:r w:rsidRPr="00866EDC">
        <w:rPr>
          <w:rFonts w:cs="Times New Roman"/>
          <w:bCs/>
          <w:lang w:val="en-GB" w:eastAsia="en-US"/>
        </w:rPr>
        <w:t xml:space="preserve">, or not expected to address a high and urgent unmet clinical need given the presence of an alternative therapy, the criteria prescribed by the </w:t>
      </w:r>
      <w:r w:rsidRPr="00866EDC">
        <w:rPr>
          <w:rFonts w:cs="Times New Roman"/>
          <w:bCs/>
          <w:i/>
          <w:lang w:val="en-GB" w:eastAsia="en-US"/>
        </w:rPr>
        <w:t>National Health (Pharmaceuticals and Vaccines – Cost Recovery) Regulations 2022</w:t>
      </w:r>
      <w:r w:rsidRPr="00866EDC">
        <w:rPr>
          <w:rFonts w:cs="Times New Roman"/>
          <w:bCs/>
          <w:lang w:val="en-GB" w:eastAsia="en-US"/>
        </w:rPr>
        <w:t xml:space="preserve"> for Pricing Pathway A were not met.</w:t>
      </w:r>
    </w:p>
    <w:p w14:paraId="361D065A" w14:textId="5A3E376B" w:rsidR="002C4249" w:rsidRPr="002C4249" w:rsidRDefault="002C4249" w:rsidP="00033A63">
      <w:pPr>
        <w:pStyle w:val="3-BodyText"/>
        <w:rPr>
          <w:bCs/>
          <w:i/>
          <w:lang w:val="en-GB" w:eastAsia="en-US"/>
        </w:rPr>
      </w:pPr>
      <w:r w:rsidRPr="002C4249">
        <w:rPr>
          <w:bCs/>
          <w:lang w:val="en-GB" w:eastAsia="en-US"/>
        </w:rPr>
        <w:t>The PBAC noted that this submission is not eligible for an Independent Review</w:t>
      </w:r>
      <w:r w:rsidR="00A544AC">
        <w:rPr>
          <w:bCs/>
          <w:lang w:val="en-GB" w:eastAsia="en-US"/>
        </w:rPr>
        <w:t xml:space="preserve"> as it received a positive recommendation</w:t>
      </w:r>
      <w:r w:rsidRPr="002C4249">
        <w:rPr>
          <w:bCs/>
          <w:lang w:val="en-GB" w:eastAsia="en-US"/>
        </w:rPr>
        <w:t xml:space="preserve">. </w:t>
      </w:r>
    </w:p>
    <w:p w14:paraId="3F247F29" w14:textId="77777777" w:rsidR="002C4249" w:rsidRPr="002C4249" w:rsidRDefault="002C4249" w:rsidP="0022370C">
      <w:pPr>
        <w:spacing w:before="240"/>
        <w:rPr>
          <w:rFonts w:asciiTheme="minorHAnsi" w:hAnsiTheme="minorHAnsi"/>
          <w:b/>
          <w:bCs/>
          <w:snapToGrid w:val="0"/>
          <w:lang w:val="en-GB" w:eastAsia="en-US"/>
        </w:rPr>
      </w:pPr>
      <w:r w:rsidRPr="002C4249">
        <w:rPr>
          <w:rFonts w:asciiTheme="minorHAnsi" w:hAnsiTheme="minorHAnsi"/>
          <w:b/>
          <w:bCs/>
          <w:snapToGrid w:val="0"/>
          <w:lang w:val="en-GB" w:eastAsia="en-US"/>
        </w:rPr>
        <w:t>Outcome:</w:t>
      </w:r>
    </w:p>
    <w:p w14:paraId="4C2B2DD9" w14:textId="3DF6D482" w:rsidR="003A30A1" w:rsidRDefault="002C4249" w:rsidP="005876AA">
      <w:pPr>
        <w:spacing w:after="120"/>
        <w:rPr>
          <w:rFonts w:asciiTheme="minorHAnsi" w:hAnsiTheme="minorHAnsi"/>
          <w:bCs/>
          <w:snapToGrid w:val="0"/>
          <w:lang w:val="en-GB" w:eastAsia="en-US"/>
        </w:rPr>
      </w:pPr>
      <w:r w:rsidRPr="002C4249">
        <w:rPr>
          <w:rFonts w:asciiTheme="minorHAnsi" w:hAnsiTheme="minorHAnsi"/>
          <w:bCs/>
          <w:snapToGrid w:val="0"/>
          <w:lang w:val="en-GB" w:eastAsia="en-US"/>
        </w:rPr>
        <w:t>Recommended</w:t>
      </w:r>
    </w:p>
    <w:p w14:paraId="41435060" w14:textId="77777777" w:rsidR="00C81FB5" w:rsidRDefault="00C81FB5" w:rsidP="005876AA">
      <w:pPr>
        <w:spacing w:after="120"/>
        <w:rPr>
          <w:rFonts w:asciiTheme="minorHAnsi" w:hAnsiTheme="minorHAnsi"/>
          <w:snapToGrid w:val="0"/>
          <w:lang w:val="en-GB" w:eastAsia="en-US"/>
        </w:rPr>
      </w:pPr>
    </w:p>
    <w:bookmarkEnd w:id="85"/>
    <w:p w14:paraId="74E31063" w14:textId="5B0C417A" w:rsidR="002C4249" w:rsidRPr="002C4249" w:rsidRDefault="002C4249" w:rsidP="00033A63">
      <w:pPr>
        <w:pStyle w:val="2-SectionHeading"/>
        <w:rPr>
          <w:bCs/>
          <w:iCs/>
          <w:lang w:val="en-GB"/>
        </w:rPr>
      </w:pPr>
      <w:r w:rsidRPr="002C4249">
        <w:rPr>
          <w:bCs/>
          <w:lang w:val="en-GB"/>
        </w:rPr>
        <w:t xml:space="preserve">Recommended </w:t>
      </w:r>
      <w:proofErr w:type="gramStart"/>
      <w:r w:rsidRPr="002C4249">
        <w:rPr>
          <w:bCs/>
          <w:lang w:val="en-GB"/>
        </w:rPr>
        <w:t>listi</w:t>
      </w:r>
      <w:r w:rsidR="00EE3F3B">
        <w:rPr>
          <w:bCs/>
          <w:lang w:val="en-GB"/>
        </w:rPr>
        <w:t>ng</w:t>
      </w:r>
      <w:proofErr w:type="gramEnd"/>
    </w:p>
    <w:p w14:paraId="2FECB545" w14:textId="70FC070B" w:rsidR="0062285B" w:rsidRPr="00962E43" w:rsidRDefault="0062285B" w:rsidP="00033A63">
      <w:pPr>
        <w:pStyle w:val="3-BodyText"/>
        <w:rPr>
          <w:b/>
          <w:bCs/>
        </w:rPr>
      </w:pPr>
      <w:r w:rsidRPr="00962E43">
        <w:rPr>
          <w:bCs/>
        </w:rPr>
        <w:t xml:space="preserve">Amend </w:t>
      </w:r>
      <w:r w:rsidR="00577DA0">
        <w:rPr>
          <w:bCs/>
        </w:rPr>
        <w:t>existing</w:t>
      </w:r>
      <w:r w:rsidRPr="00962E43">
        <w:rPr>
          <w:bCs/>
        </w:rPr>
        <w:t xml:space="preserve"> listing as follows: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709"/>
        <w:gridCol w:w="709"/>
        <w:gridCol w:w="1841"/>
      </w:tblGrid>
      <w:tr w:rsidR="000212CD" w14:paraId="55ACBA74" w14:textId="77777777" w:rsidTr="00656916">
        <w:trPr>
          <w:cantSplit/>
          <w:trHeight w:val="471"/>
        </w:trPr>
        <w:tc>
          <w:tcPr>
            <w:tcW w:w="3960" w:type="dxa"/>
            <w:gridSpan w:val="2"/>
            <w:tcBorders>
              <w:top w:val="single" w:sz="4" w:space="0" w:color="auto"/>
              <w:left w:val="single" w:sz="4" w:space="0" w:color="auto"/>
              <w:bottom w:val="single" w:sz="4" w:space="0" w:color="auto"/>
              <w:right w:val="single" w:sz="4" w:space="0" w:color="auto"/>
            </w:tcBorders>
            <w:hideMark/>
          </w:tcPr>
          <w:p w14:paraId="5590365D" w14:textId="77777777" w:rsidR="000212CD" w:rsidRDefault="000212CD" w:rsidP="00BE12C1">
            <w:pPr>
              <w:keepNext/>
              <w:ind w:left="-57"/>
              <w:rPr>
                <w:rFonts w:ascii="Arial Narrow" w:hAnsi="Arial Narrow"/>
                <w:b/>
                <w:bCs/>
                <w:sz w:val="20"/>
                <w:szCs w:val="20"/>
              </w:rPr>
            </w:pPr>
            <w:r>
              <w:rPr>
                <w:rFonts w:ascii="Arial Narrow" w:hAnsi="Arial Narrow"/>
                <w:b/>
                <w:bCs/>
                <w:sz w:val="20"/>
                <w:szCs w:val="20"/>
              </w:rPr>
              <w:t>MEDICINAL PRODUCT</w:t>
            </w:r>
          </w:p>
          <w:p w14:paraId="188267B4" w14:textId="77777777" w:rsidR="000212CD" w:rsidRDefault="000212CD" w:rsidP="00BE12C1">
            <w:pPr>
              <w:keepNext/>
              <w:ind w:left="-57"/>
              <w:rPr>
                <w:rFonts w:ascii="Arial Narrow" w:hAnsi="Arial Narrow"/>
                <w:b/>
                <w:sz w:val="20"/>
                <w:szCs w:val="20"/>
              </w:rPr>
            </w:pPr>
            <w:r>
              <w:rPr>
                <w:rFonts w:ascii="Arial Narrow" w:hAnsi="Arial Narrow"/>
                <w:b/>
                <w:bCs/>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5DD116AB"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395F7364"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hideMark/>
          </w:tcPr>
          <w:p w14:paraId="1DDA91EE"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651D1FB1" w14:textId="77777777" w:rsidR="000212CD" w:rsidRDefault="000212CD" w:rsidP="00BE12C1">
            <w:pPr>
              <w:keepNext/>
              <w:ind w:left="-108"/>
              <w:jc w:val="center"/>
              <w:rPr>
                <w:rFonts w:ascii="Arial Narrow" w:hAnsi="Arial Narrow"/>
                <w:b/>
                <w:sz w:val="20"/>
                <w:szCs w:val="20"/>
              </w:rPr>
            </w:pPr>
            <w:proofErr w:type="gramStart"/>
            <w:r>
              <w:rPr>
                <w:rFonts w:ascii="Arial Narrow" w:hAnsi="Arial Narrow"/>
                <w:b/>
                <w:sz w:val="20"/>
                <w:szCs w:val="20"/>
              </w:rPr>
              <w:t>№.of</w:t>
            </w:r>
            <w:proofErr w:type="gramEnd"/>
          </w:p>
          <w:p w14:paraId="2955A70A"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Rpts</w:t>
            </w:r>
          </w:p>
        </w:tc>
        <w:tc>
          <w:tcPr>
            <w:tcW w:w="1841" w:type="dxa"/>
            <w:tcBorders>
              <w:top w:val="single" w:sz="4" w:space="0" w:color="auto"/>
              <w:left w:val="single" w:sz="4" w:space="0" w:color="auto"/>
              <w:bottom w:val="single" w:sz="4" w:space="0" w:color="auto"/>
              <w:right w:val="single" w:sz="4" w:space="0" w:color="auto"/>
            </w:tcBorders>
            <w:hideMark/>
          </w:tcPr>
          <w:p w14:paraId="55F5E706" w14:textId="77777777" w:rsidR="000212CD" w:rsidRDefault="000212CD" w:rsidP="00BE12C1">
            <w:pPr>
              <w:keepNext/>
              <w:rPr>
                <w:rFonts w:ascii="Arial Narrow" w:hAnsi="Arial Narrow"/>
                <w:b/>
                <w:sz w:val="20"/>
                <w:szCs w:val="20"/>
                <w:lang w:val="fr-FR"/>
              </w:rPr>
            </w:pPr>
            <w:r>
              <w:rPr>
                <w:rFonts w:ascii="Arial Narrow" w:hAnsi="Arial Narrow"/>
                <w:b/>
                <w:sz w:val="20"/>
                <w:szCs w:val="20"/>
              </w:rPr>
              <w:t>Available brands</w:t>
            </w:r>
          </w:p>
        </w:tc>
      </w:tr>
      <w:tr w:rsidR="000212CD" w14:paraId="030DBA48" w14:textId="77777777" w:rsidTr="00656916">
        <w:trPr>
          <w:cantSplit/>
          <w:trHeight w:val="224"/>
        </w:trPr>
        <w:tc>
          <w:tcPr>
            <w:tcW w:w="9060" w:type="dxa"/>
            <w:gridSpan w:val="7"/>
            <w:tcBorders>
              <w:top w:val="single" w:sz="4" w:space="0" w:color="auto"/>
              <w:left w:val="single" w:sz="4" w:space="0" w:color="auto"/>
              <w:bottom w:val="single" w:sz="4" w:space="0" w:color="auto"/>
              <w:right w:val="single" w:sz="4" w:space="0" w:color="auto"/>
            </w:tcBorders>
            <w:hideMark/>
          </w:tcPr>
          <w:p w14:paraId="5E79D5D8" w14:textId="77777777" w:rsidR="000212CD" w:rsidRDefault="000212CD" w:rsidP="00BE12C1">
            <w:pPr>
              <w:keepNext/>
              <w:ind w:left="-57"/>
              <w:rPr>
                <w:rFonts w:ascii="Arial Narrow" w:hAnsi="Arial Narrow"/>
                <w:sz w:val="20"/>
                <w:szCs w:val="20"/>
              </w:rPr>
            </w:pPr>
            <w:r>
              <w:rPr>
                <w:rFonts w:ascii="Arial Narrow" w:hAnsi="Arial Narrow"/>
                <w:sz w:val="20"/>
                <w:szCs w:val="20"/>
              </w:rPr>
              <w:t>FREMANEZUMAB</w:t>
            </w:r>
          </w:p>
        </w:tc>
      </w:tr>
      <w:tr w:rsidR="000212CD" w14:paraId="10B09E56" w14:textId="77777777" w:rsidTr="005876AA">
        <w:trPr>
          <w:cantSplit/>
          <w:trHeight w:val="553"/>
        </w:trPr>
        <w:tc>
          <w:tcPr>
            <w:tcW w:w="3960" w:type="dxa"/>
            <w:gridSpan w:val="2"/>
            <w:tcBorders>
              <w:top w:val="single" w:sz="4" w:space="0" w:color="auto"/>
              <w:left w:val="single" w:sz="4" w:space="0" w:color="auto"/>
              <w:bottom w:val="single" w:sz="4" w:space="0" w:color="auto"/>
              <w:right w:val="single" w:sz="4" w:space="0" w:color="auto"/>
            </w:tcBorders>
            <w:hideMark/>
          </w:tcPr>
          <w:p w14:paraId="40B00478" w14:textId="395D2F97" w:rsidR="000212CD" w:rsidRDefault="000212CD" w:rsidP="00BE12C1">
            <w:pPr>
              <w:keepNext/>
              <w:ind w:left="-57"/>
              <w:rPr>
                <w:rFonts w:ascii="Arial Narrow" w:hAnsi="Arial Narrow"/>
                <w:sz w:val="20"/>
                <w:szCs w:val="20"/>
              </w:rPr>
            </w:pPr>
            <w:r>
              <w:rPr>
                <w:rFonts w:ascii="Arial Narrow" w:hAnsi="Arial Narrow"/>
                <w:sz w:val="20"/>
                <w:szCs w:val="20"/>
              </w:rPr>
              <w:t>fremanezumab 225 mg/1.5 mL injection, 1.5 mL pen device</w:t>
            </w:r>
          </w:p>
        </w:tc>
        <w:tc>
          <w:tcPr>
            <w:tcW w:w="992" w:type="dxa"/>
            <w:tcBorders>
              <w:top w:val="single" w:sz="4" w:space="0" w:color="auto"/>
              <w:left w:val="single" w:sz="4" w:space="0" w:color="auto"/>
              <w:bottom w:val="single" w:sz="4" w:space="0" w:color="auto"/>
              <w:right w:val="single" w:sz="4" w:space="0" w:color="auto"/>
            </w:tcBorders>
            <w:hideMark/>
          </w:tcPr>
          <w:p w14:paraId="3BA83ECC" w14:textId="33D8BCFF" w:rsidR="00F26FC4" w:rsidRDefault="00F26FC4" w:rsidP="005876AA">
            <w:pPr>
              <w:keepNext/>
              <w:jc w:val="center"/>
              <w:rPr>
                <w:rFonts w:ascii="Arial Narrow" w:hAnsi="Arial Narrow"/>
                <w:sz w:val="20"/>
                <w:szCs w:val="20"/>
              </w:rPr>
            </w:pPr>
            <w:r>
              <w:rPr>
                <w:rFonts w:ascii="Arial Narrow" w:hAnsi="Arial Narrow"/>
                <w:sz w:val="20"/>
                <w:szCs w:val="20"/>
              </w:rPr>
              <w:t>13115G</w:t>
            </w:r>
          </w:p>
        </w:tc>
        <w:tc>
          <w:tcPr>
            <w:tcW w:w="849" w:type="dxa"/>
            <w:tcBorders>
              <w:top w:val="single" w:sz="4" w:space="0" w:color="auto"/>
              <w:left w:val="single" w:sz="4" w:space="0" w:color="auto"/>
              <w:bottom w:val="single" w:sz="4" w:space="0" w:color="auto"/>
              <w:right w:val="single" w:sz="4" w:space="0" w:color="auto"/>
            </w:tcBorders>
            <w:hideMark/>
          </w:tcPr>
          <w:p w14:paraId="407DE25D"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3861E3DA"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1E6EE269" w14:textId="77777777" w:rsidR="000212CD" w:rsidRDefault="000212CD" w:rsidP="00BE12C1">
            <w:pPr>
              <w:keepNext/>
              <w:jc w:val="center"/>
              <w:rPr>
                <w:rFonts w:ascii="Arial Narrow" w:hAnsi="Arial Narrow"/>
                <w:sz w:val="20"/>
                <w:szCs w:val="20"/>
              </w:rPr>
            </w:pPr>
            <w:r>
              <w:rPr>
                <w:rFonts w:ascii="Arial Narrow" w:hAnsi="Arial Narrow"/>
                <w:sz w:val="20"/>
                <w:szCs w:val="20"/>
              </w:rPr>
              <w:t>2</w:t>
            </w:r>
          </w:p>
        </w:tc>
        <w:tc>
          <w:tcPr>
            <w:tcW w:w="1841" w:type="dxa"/>
            <w:tcBorders>
              <w:top w:val="single" w:sz="4" w:space="0" w:color="auto"/>
              <w:left w:val="single" w:sz="4" w:space="0" w:color="auto"/>
              <w:bottom w:val="single" w:sz="4" w:space="0" w:color="auto"/>
              <w:right w:val="single" w:sz="4" w:space="0" w:color="auto"/>
            </w:tcBorders>
            <w:hideMark/>
          </w:tcPr>
          <w:p w14:paraId="1EF0A32C" w14:textId="0E1C1626" w:rsidR="000212CD" w:rsidRDefault="00F26FC4" w:rsidP="00BE12C1">
            <w:pPr>
              <w:pStyle w:val="TableText0"/>
              <w:keepLines/>
              <w:spacing w:line="256" w:lineRule="auto"/>
              <w:rPr>
                <w:szCs w:val="20"/>
                <w:lang w:eastAsia="en-US"/>
              </w:rPr>
            </w:pPr>
            <w:r w:rsidRPr="00CB1E63">
              <w:rPr>
                <w:szCs w:val="20"/>
              </w:rPr>
              <w:t>‘a’</w:t>
            </w:r>
            <w:r>
              <w:rPr>
                <w:szCs w:val="20"/>
              </w:rPr>
              <w:t xml:space="preserve"> </w:t>
            </w:r>
            <w:r w:rsidR="000212CD">
              <w:rPr>
                <w:rFonts w:cs="Arial"/>
                <w:szCs w:val="20"/>
                <w:lang w:eastAsia="en-US"/>
              </w:rPr>
              <w:t>Ajovy</w:t>
            </w:r>
          </w:p>
        </w:tc>
      </w:tr>
      <w:tr w:rsidR="000212CD" w14:paraId="6474A0DD" w14:textId="77777777" w:rsidTr="005876AA">
        <w:trPr>
          <w:cantSplit/>
          <w:trHeight w:val="553"/>
        </w:trPr>
        <w:tc>
          <w:tcPr>
            <w:tcW w:w="3960" w:type="dxa"/>
            <w:gridSpan w:val="2"/>
            <w:tcBorders>
              <w:top w:val="single" w:sz="4" w:space="0" w:color="auto"/>
              <w:left w:val="single" w:sz="4" w:space="0" w:color="auto"/>
              <w:bottom w:val="single" w:sz="4" w:space="0" w:color="auto"/>
              <w:right w:val="single" w:sz="4" w:space="0" w:color="auto"/>
            </w:tcBorders>
            <w:hideMark/>
          </w:tcPr>
          <w:p w14:paraId="62B70A6E" w14:textId="357B3F15" w:rsidR="000212CD" w:rsidRDefault="000212CD" w:rsidP="00BE12C1">
            <w:pPr>
              <w:keepNext/>
              <w:ind w:left="-57"/>
              <w:rPr>
                <w:rFonts w:ascii="Arial Narrow" w:hAnsi="Arial Narrow"/>
                <w:sz w:val="20"/>
                <w:szCs w:val="20"/>
                <w:lang w:eastAsia="en-US"/>
              </w:rPr>
            </w:pPr>
            <w:r>
              <w:rPr>
                <w:rFonts w:ascii="Arial Narrow" w:hAnsi="Arial Narrow"/>
                <w:sz w:val="20"/>
                <w:szCs w:val="20"/>
              </w:rPr>
              <w:t>fremanezumab 225 mg/1.5 mL injection, 1.5 mL syringe</w:t>
            </w:r>
          </w:p>
        </w:tc>
        <w:tc>
          <w:tcPr>
            <w:tcW w:w="992" w:type="dxa"/>
            <w:tcBorders>
              <w:top w:val="single" w:sz="4" w:space="0" w:color="auto"/>
              <w:left w:val="single" w:sz="4" w:space="0" w:color="auto"/>
              <w:bottom w:val="single" w:sz="4" w:space="0" w:color="auto"/>
              <w:right w:val="single" w:sz="4" w:space="0" w:color="auto"/>
            </w:tcBorders>
            <w:hideMark/>
          </w:tcPr>
          <w:p w14:paraId="2317F8DA" w14:textId="77777777" w:rsidR="000212CD" w:rsidRDefault="000212CD" w:rsidP="005876AA">
            <w:pPr>
              <w:keepNext/>
              <w:jc w:val="center"/>
              <w:rPr>
                <w:rFonts w:ascii="Arial Narrow" w:hAnsi="Arial Narrow"/>
                <w:sz w:val="20"/>
                <w:szCs w:val="20"/>
              </w:rPr>
            </w:pPr>
            <w:r>
              <w:rPr>
                <w:rFonts w:ascii="Arial Narrow" w:hAnsi="Arial Narrow"/>
                <w:sz w:val="20"/>
                <w:szCs w:val="20"/>
              </w:rPr>
              <w:t>12611R</w:t>
            </w:r>
          </w:p>
        </w:tc>
        <w:tc>
          <w:tcPr>
            <w:tcW w:w="849" w:type="dxa"/>
            <w:tcBorders>
              <w:top w:val="single" w:sz="4" w:space="0" w:color="auto"/>
              <w:left w:val="single" w:sz="4" w:space="0" w:color="auto"/>
              <w:bottom w:val="single" w:sz="4" w:space="0" w:color="auto"/>
              <w:right w:val="single" w:sz="4" w:space="0" w:color="auto"/>
            </w:tcBorders>
            <w:hideMark/>
          </w:tcPr>
          <w:p w14:paraId="69B28355"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0065404E"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hideMark/>
          </w:tcPr>
          <w:p w14:paraId="47609D71" w14:textId="77777777" w:rsidR="000212CD" w:rsidRDefault="000212CD" w:rsidP="00BE12C1">
            <w:pPr>
              <w:keepNext/>
              <w:jc w:val="center"/>
              <w:rPr>
                <w:rFonts w:ascii="Arial Narrow" w:hAnsi="Arial Narrow"/>
                <w:sz w:val="20"/>
                <w:szCs w:val="20"/>
              </w:rPr>
            </w:pPr>
            <w:r>
              <w:rPr>
                <w:rFonts w:ascii="Arial Narrow" w:hAnsi="Arial Narrow"/>
                <w:sz w:val="20"/>
                <w:szCs w:val="20"/>
              </w:rPr>
              <w:t>2</w:t>
            </w:r>
          </w:p>
        </w:tc>
        <w:tc>
          <w:tcPr>
            <w:tcW w:w="1841" w:type="dxa"/>
            <w:tcBorders>
              <w:top w:val="single" w:sz="4" w:space="0" w:color="auto"/>
              <w:left w:val="single" w:sz="4" w:space="0" w:color="auto"/>
              <w:bottom w:val="single" w:sz="4" w:space="0" w:color="auto"/>
              <w:right w:val="single" w:sz="4" w:space="0" w:color="auto"/>
            </w:tcBorders>
            <w:hideMark/>
          </w:tcPr>
          <w:p w14:paraId="6084DF3A" w14:textId="668A5D36" w:rsidR="000212CD" w:rsidRDefault="00F26FC4" w:rsidP="00BE12C1">
            <w:pPr>
              <w:pStyle w:val="TableText0"/>
              <w:keepLines/>
              <w:spacing w:line="256" w:lineRule="auto"/>
              <w:rPr>
                <w:rFonts w:eastAsiaTheme="minorHAnsi" w:cstheme="minorBidi"/>
                <w:bCs w:val="0"/>
                <w:szCs w:val="20"/>
                <w:lang w:eastAsia="en-US"/>
              </w:rPr>
            </w:pPr>
            <w:r w:rsidRPr="00CB1E63">
              <w:rPr>
                <w:szCs w:val="20"/>
              </w:rPr>
              <w:t>‘a’</w:t>
            </w:r>
            <w:r>
              <w:rPr>
                <w:szCs w:val="20"/>
              </w:rPr>
              <w:t xml:space="preserve"> </w:t>
            </w:r>
            <w:r w:rsidR="000212CD">
              <w:rPr>
                <w:rFonts w:cs="Arial"/>
                <w:szCs w:val="20"/>
                <w:lang w:eastAsia="en-US"/>
              </w:rPr>
              <w:t>Ajovy</w:t>
            </w:r>
          </w:p>
        </w:tc>
      </w:tr>
      <w:tr w:rsidR="000212CD" w14:paraId="2B8AA428" w14:textId="77777777" w:rsidTr="00656916">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94C3498" w14:textId="77777777" w:rsidR="000212CD" w:rsidRDefault="000212CD" w:rsidP="00BE12C1">
            <w:pPr>
              <w:rPr>
                <w:rFonts w:ascii="Arial Narrow" w:eastAsiaTheme="minorHAnsi" w:hAnsi="Arial Narrow"/>
                <w:sz w:val="20"/>
                <w:szCs w:val="20"/>
                <w:lang w:eastAsia="en-US"/>
              </w:rPr>
            </w:pPr>
          </w:p>
        </w:tc>
      </w:tr>
      <w:tr w:rsidR="000212CD" w14:paraId="1F29C147" w14:textId="77777777" w:rsidTr="005876AA">
        <w:tc>
          <w:tcPr>
            <w:tcW w:w="906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0C84C74" w14:textId="77777777" w:rsidR="000212CD" w:rsidRDefault="000212CD" w:rsidP="00BE12C1">
            <w:pPr>
              <w:shd w:val="clear" w:color="auto" w:fill="DDDDDD"/>
              <w:spacing w:before="168" w:after="72"/>
              <w:rPr>
                <w:rFonts w:ascii="Arial Narrow" w:hAnsi="Arial Narrow"/>
                <w:b/>
                <w:sz w:val="20"/>
                <w:szCs w:val="20"/>
              </w:rPr>
            </w:pPr>
            <w:r>
              <w:rPr>
                <w:rFonts w:ascii="Arial Narrow" w:hAnsi="Arial Narrow"/>
                <w:b/>
                <w:sz w:val="20"/>
                <w:szCs w:val="20"/>
              </w:rPr>
              <w:t xml:space="preserve">Restriction Summary 12028 / ToC: New: Authority Required: Streamlined </w:t>
            </w:r>
          </w:p>
        </w:tc>
      </w:tr>
      <w:tr w:rsidR="000212CD" w14:paraId="55EEF489" w14:textId="77777777" w:rsidTr="00656916">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FE8910B" w14:textId="77777777" w:rsidR="000212CD" w:rsidRDefault="000212CD" w:rsidP="00BE12C1">
            <w:pPr>
              <w:jc w:val="center"/>
              <w:rPr>
                <w:rFonts w:ascii="Arial Narrow" w:hAnsi="Arial Narrow"/>
                <w:b/>
                <w:sz w:val="20"/>
                <w:szCs w:val="20"/>
              </w:rPr>
            </w:pPr>
            <w:r>
              <w:rPr>
                <w:rFonts w:ascii="Arial Narrow" w:hAnsi="Arial Narrow"/>
                <w:b/>
                <w:sz w:val="20"/>
                <w:szCs w:val="20"/>
              </w:rPr>
              <w:t>Concept ID</w:t>
            </w:r>
          </w:p>
          <w:p w14:paraId="38112694" w14:textId="77777777" w:rsidR="000212CD" w:rsidRDefault="000212CD" w:rsidP="00BE12C1">
            <w:pPr>
              <w:rPr>
                <w:rFonts w:ascii="Arial Narrow" w:hAnsi="Arial Narrow"/>
                <w:i/>
                <w:sz w:val="20"/>
                <w:szCs w:val="20"/>
              </w:rPr>
            </w:pPr>
          </w:p>
          <w:p w14:paraId="0501DA37" w14:textId="77777777" w:rsidR="000212CD" w:rsidRDefault="000212CD" w:rsidP="00BE12C1">
            <w:pPr>
              <w:jc w:val="center"/>
              <w:rPr>
                <w:rFonts w:ascii="Arial Narrow" w:hAnsi="Arial Narrow"/>
                <w:sz w:val="20"/>
                <w:szCs w:val="20"/>
              </w:rPr>
            </w:pPr>
            <w:r>
              <w:rPr>
                <w:rFonts w:ascii="Arial Narrow" w:hAnsi="Arial Narrow"/>
                <w:sz w:val="20"/>
                <w:szCs w:val="20"/>
              </w:rPr>
              <w:t>(</w:t>
            </w:r>
            <w:proofErr w:type="gramStart"/>
            <w:r>
              <w:rPr>
                <w:rFonts w:ascii="Arial Narrow" w:hAnsi="Arial Narrow"/>
                <w:sz w:val="20"/>
                <w:szCs w:val="20"/>
              </w:rPr>
              <w:t>for</w:t>
            </w:r>
            <w:proofErr w:type="gramEnd"/>
            <w:r>
              <w:rPr>
                <w:rFonts w:ascii="Arial Narrow" w:hAnsi="Arial Narrow"/>
                <w:sz w:val="20"/>
                <w:szCs w:val="20"/>
              </w:rPr>
              <w:t xml:space="preserve"> internal Dept. use)</w:t>
            </w:r>
          </w:p>
          <w:p w14:paraId="331D3511" w14:textId="77777777" w:rsidR="000212CD" w:rsidRDefault="000212CD" w:rsidP="00BE12C1">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28992CA" w14:textId="77777777" w:rsidR="000212CD" w:rsidRDefault="000212CD" w:rsidP="00BE12C1">
            <w:pPr>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GENERAL – General Schedule (Code GE)</w:t>
            </w:r>
            <w:r>
              <w:rPr>
                <w:rFonts w:ascii="Arial Narrow" w:hAnsi="Arial Narrow"/>
                <w:color w:val="FF0000"/>
                <w:sz w:val="20"/>
                <w:szCs w:val="20"/>
              </w:rPr>
              <w:t xml:space="preserve"> </w:t>
            </w:r>
          </w:p>
          <w:p w14:paraId="72D0F90A" w14:textId="77777777" w:rsidR="000212CD" w:rsidRDefault="000212CD" w:rsidP="00BE12C1">
            <w:pPr>
              <w:rPr>
                <w:rFonts w:ascii="Arial Narrow" w:hAnsi="Arial Narrow"/>
                <w:sz w:val="20"/>
                <w:szCs w:val="20"/>
              </w:rPr>
            </w:pPr>
          </w:p>
        </w:tc>
      </w:tr>
      <w:tr w:rsidR="000212CD" w14:paraId="38C0EF67" w14:textId="77777777" w:rsidTr="00656916">
        <w:trPr>
          <w:trHeight w:val="2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4B281EEF" w14:textId="77777777" w:rsidR="000212CD" w:rsidRDefault="000212CD" w:rsidP="00BE12C1">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D3797A1" w14:textId="77777777" w:rsidR="000212CD" w:rsidRDefault="000212CD" w:rsidP="00BE12C1">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0212CD" w14:paraId="58940CCD" w14:textId="77777777" w:rsidTr="00656916">
        <w:tc>
          <w:tcPr>
            <w:tcW w:w="980" w:type="dxa"/>
            <w:vMerge/>
            <w:tcBorders>
              <w:top w:val="single" w:sz="4" w:space="0" w:color="auto"/>
              <w:left w:val="single" w:sz="4" w:space="0" w:color="auto"/>
              <w:bottom w:val="single" w:sz="4" w:space="0" w:color="auto"/>
              <w:right w:val="single" w:sz="4" w:space="0" w:color="auto"/>
            </w:tcBorders>
            <w:vAlign w:val="center"/>
            <w:hideMark/>
          </w:tcPr>
          <w:p w14:paraId="5CAD1C2E" w14:textId="77777777" w:rsidR="000212CD" w:rsidRDefault="000212CD" w:rsidP="00BE12C1">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81F01C6" w14:textId="77777777" w:rsidR="000212CD" w:rsidRDefault="000212CD" w:rsidP="00BE12C1">
            <w:pPr>
              <w:rPr>
                <w:rFonts w:ascii="Arial Narrow" w:hAnsi="Arial Narrow"/>
                <w:b/>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Authority Required (Streamlined)</w:t>
            </w:r>
            <w:r>
              <w:rPr>
                <w:rFonts w:ascii="Arial Narrow" w:eastAsia="Calibri" w:hAnsi="Arial Narrow"/>
                <w:i/>
                <w:sz w:val="20"/>
                <w:szCs w:val="20"/>
              </w:rPr>
              <w:t xml:space="preserve"> [amendment to existing code]</w:t>
            </w:r>
          </w:p>
        </w:tc>
      </w:tr>
      <w:tr w:rsidR="000212CD" w14:paraId="2AE5AA8A"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2BC08B0" w14:textId="609B0E7E" w:rsidR="000212CD" w:rsidRDefault="000212CD" w:rsidP="00BE12C1">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A61736" w14:textId="77777777" w:rsidR="000212CD" w:rsidRDefault="000212CD" w:rsidP="00BE12C1">
            <w:pPr>
              <w:rPr>
                <w:rFonts w:ascii="Arial Narrow" w:hAnsi="Arial Narrow"/>
                <w:color w:val="333333"/>
                <w:sz w:val="20"/>
                <w:szCs w:val="20"/>
              </w:rPr>
            </w:pPr>
            <w:r>
              <w:rPr>
                <w:rFonts w:ascii="Arial Narrow" w:hAnsi="Arial Narrow"/>
                <w:b/>
                <w:bCs/>
                <w:color w:val="333333"/>
                <w:sz w:val="20"/>
                <w:szCs w:val="20"/>
              </w:rPr>
              <w:t>Administrative Advice:</w:t>
            </w:r>
          </w:p>
          <w:p w14:paraId="78D55332" w14:textId="77777777" w:rsidR="000212CD" w:rsidRDefault="000212CD" w:rsidP="00BE12C1">
            <w:pPr>
              <w:rPr>
                <w:rFonts w:ascii="Arial Narrow" w:hAnsi="Arial Narrow"/>
                <w:color w:val="333333"/>
                <w:sz w:val="20"/>
                <w:szCs w:val="20"/>
              </w:rPr>
            </w:pPr>
            <w:r>
              <w:rPr>
                <w:rFonts w:ascii="Arial Narrow" w:eastAsia="Calibri" w:hAnsi="Arial Narrow"/>
                <w:sz w:val="20"/>
                <w:szCs w:val="20"/>
              </w:rPr>
              <w:t>No increase in the maximum quantity or number of units may be authorised.</w:t>
            </w:r>
          </w:p>
        </w:tc>
      </w:tr>
      <w:tr w:rsidR="000212CD" w14:paraId="7F732EF9"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7CC2FE6" w14:textId="3787CFD1"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565421" w14:textId="77777777" w:rsidR="000212CD" w:rsidRDefault="000212CD" w:rsidP="00BE12C1">
            <w:pPr>
              <w:rPr>
                <w:rFonts w:ascii="Open Sans" w:eastAsiaTheme="minorHAnsi" w:hAnsi="Open Sans"/>
                <w:color w:val="333333"/>
                <w:sz w:val="20"/>
                <w:szCs w:val="20"/>
                <w:lang w:eastAsia="en-US"/>
              </w:rPr>
            </w:pPr>
            <w:r>
              <w:rPr>
                <w:rFonts w:ascii="Arial Narrow" w:hAnsi="Arial Narrow"/>
                <w:b/>
                <w:bCs/>
                <w:color w:val="333333"/>
                <w:sz w:val="20"/>
                <w:szCs w:val="20"/>
              </w:rPr>
              <w:t>Administrative Advice</w:t>
            </w:r>
          </w:p>
          <w:p w14:paraId="2DE6846E" w14:textId="77777777" w:rsidR="000212CD" w:rsidRDefault="000212CD" w:rsidP="00BE12C1">
            <w:pPr>
              <w:rPr>
                <w:rFonts w:ascii="Arial Narrow" w:eastAsia="Calibri" w:hAnsi="Arial Narrow"/>
                <w:sz w:val="20"/>
                <w:szCs w:val="20"/>
              </w:rPr>
            </w:pPr>
            <w:r>
              <w:rPr>
                <w:rFonts w:ascii="Arial Narrow" w:eastAsia="Calibri" w:hAnsi="Arial Narrow"/>
                <w:sz w:val="20"/>
                <w:szCs w:val="20"/>
              </w:rPr>
              <w:t>No increase in the maximum number of repeats may be authorised.</w:t>
            </w:r>
          </w:p>
        </w:tc>
      </w:tr>
      <w:tr w:rsidR="000212CD" w14:paraId="2357E76D"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0DDFD73" w14:textId="703C48CF" w:rsidR="000212CD" w:rsidRDefault="000212CD" w:rsidP="00BE12C1">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50C2F9"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Administrative Advice:</w:t>
            </w:r>
          </w:p>
          <w:p w14:paraId="3854AC04" w14:textId="77777777" w:rsidR="000212CD" w:rsidRDefault="000212CD" w:rsidP="00BE12C1">
            <w:pPr>
              <w:rPr>
                <w:rFonts w:ascii="Arial Narrow" w:hAnsi="Arial Narrow"/>
                <w:bCs/>
                <w:color w:val="333333"/>
                <w:sz w:val="20"/>
                <w:szCs w:val="20"/>
              </w:rPr>
            </w:pPr>
            <w:r>
              <w:rPr>
                <w:rFonts w:ascii="Arial Narrow" w:eastAsia="Calibri" w:hAnsi="Arial Narrow"/>
                <w:sz w:val="20"/>
                <w:szCs w:val="20"/>
              </w:rPr>
              <w:t>Special Pricing Arrangements apply.</w:t>
            </w:r>
          </w:p>
        </w:tc>
      </w:tr>
      <w:tr w:rsidR="00CB1E63" w14:paraId="763B3356"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DC8D2FD" w14:textId="53C21CC4" w:rsidR="00CB1E63" w:rsidRDefault="00CB1E63"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1CA505" w14:textId="77777777" w:rsidR="00CB1E63" w:rsidRDefault="00CB1E63" w:rsidP="00CB1E63">
            <w:pPr>
              <w:rPr>
                <w:rFonts w:ascii="Arial Narrow" w:hAnsi="Arial Narrow"/>
                <w:b/>
                <w:bCs/>
                <w:color w:val="333333"/>
                <w:sz w:val="20"/>
                <w:szCs w:val="20"/>
              </w:rPr>
            </w:pPr>
            <w:r>
              <w:rPr>
                <w:rFonts w:ascii="Arial Narrow" w:hAnsi="Arial Narrow"/>
                <w:b/>
                <w:bCs/>
                <w:color w:val="333333"/>
                <w:sz w:val="20"/>
                <w:szCs w:val="20"/>
              </w:rPr>
              <w:t>Administrative Advice:</w:t>
            </w:r>
          </w:p>
          <w:p w14:paraId="5C52F984" w14:textId="31991FDF" w:rsidR="00CB1E63" w:rsidRPr="00CB1E63" w:rsidRDefault="00CB1E63" w:rsidP="00BE12C1">
            <w:pPr>
              <w:rPr>
                <w:rFonts w:ascii="Arial Narrow" w:hAnsi="Arial Narrow"/>
                <w:color w:val="333333"/>
                <w:sz w:val="20"/>
                <w:szCs w:val="20"/>
              </w:rPr>
            </w:pPr>
            <w:r w:rsidRPr="00CB1E63">
              <w:rPr>
                <w:rFonts w:ascii="Arial Narrow" w:hAnsi="Arial Narrow"/>
                <w:color w:val="333333"/>
                <w:sz w:val="20"/>
                <w:szCs w:val="20"/>
              </w:rPr>
              <w:t>Pharmaceutical benefits that have the form fremanezumab 225 mg/1.5 mL syringes and pharmaceutical benefits that have the form fremanezumab 225 mg/1.5 mL pen devices are equivalent for the purposes of substitution.</w:t>
            </w:r>
          </w:p>
        </w:tc>
      </w:tr>
      <w:tr w:rsidR="000212CD" w14:paraId="2EA8A934"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A0ADD1" w14:textId="58D676E0"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F392761" w14:textId="42E1D553" w:rsidR="000212CD" w:rsidRDefault="000212CD" w:rsidP="00BE12C1">
            <w:pPr>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w:t>
            </w:r>
            <w:r w:rsidRPr="00626FA1">
              <w:rPr>
                <w:rFonts w:ascii="Arial Narrow" w:hAnsi="Arial Narrow"/>
                <w:i/>
                <w:iCs/>
                <w:color w:val="333333"/>
                <w:sz w:val="20"/>
                <w:szCs w:val="20"/>
              </w:rPr>
              <w:t>Treatment-resistant</w:t>
            </w:r>
            <w:r w:rsidR="00C607D5">
              <w:rPr>
                <w:rFonts w:ascii="Arial Narrow" w:hAnsi="Arial Narrow"/>
                <w:color w:val="333333"/>
                <w:sz w:val="20"/>
                <w:szCs w:val="20"/>
              </w:rPr>
              <w:t xml:space="preserve"> </w:t>
            </w:r>
            <w:r w:rsidR="00C607D5" w:rsidRPr="00C607D5">
              <w:rPr>
                <w:rFonts w:ascii="Arial Narrow" w:hAnsi="Arial Narrow"/>
                <w:strike/>
                <w:color w:val="333333"/>
                <w:sz w:val="20"/>
                <w:szCs w:val="20"/>
              </w:rPr>
              <w:t>chronic</w:t>
            </w:r>
            <w:r w:rsidR="00C607D5">
              <w:rPr>
                <w:rFonts w:ascii="Arial Narrow" w:hAnsi="Arial Narrow"/>
                <w:color w:val="333333"/>
                <w:sz w:val="20"/>
                <w:szCs w:val="20"/>
              </w:rPr>
              <w:t xml:space="preserve"> </w:t>
            </w:r>
            <w:r>
              <w:rPr>
                <w:rFonts w:ascii="Arial Narrow" w:hAnsi="Arial Narrow"/>
                <w:color w:val="333333"/>
                <w:sz w:val="20"/>
                <w:szCs w:val="20"/>
              </w:rPr>
              <w:t>migraine</w:t>
            </w:r>
          </w:p>
        </w:tc>
      </w:tr>
      <w:tr w:rsidR="000212CD" w14:paraId="150AE49B"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FF820" w14:textId="77777777" w:rsidR="000212CD" w:rsidRDefault="000212CD" w:rsidP="00BE12C1">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8E9AFF" w14:textId="77777777" w:rsidR="000212CD" w:rsidRDefault="000212CD" w:rsidP="00BE12C1">
            <w:pPr>
              <w:rPr>
                <w:rFonts w:ascii="Arial Narrow" w:hAnsi="Arial Narrow"/>
                <w:color w:val="FF0000"/>
                <w:sz w:val="20"/>
                <w:szCs w:val="20"/>
              </w:rPr>
            </w:pPr>
            <w:r>
              <w:rPr>
                <w:rFonts w:ascii="Arial Narrow" w:hAnsi="Arial Narrow"/>
                <w:b/>
                <w:bCs/>
                <w:color w:val="333333"/>
                <w:sz w:val="20"/>
                <w:szCs w:val="20"/>
              </w:rPr>
              <w:t>Treatment Phase:</w:t>
            </w:r>
            <w:r>
              <w:rPr>
                <w:rFonts w:ascii="Arial Narrow" w:hAnsi="Arial Narrow"/>
                <w:color w:val="FF0000"/>
                <w:sz w:val="20"/>
                <w:szCs w:val="20"/>
              </w:rPr>
              <w:t xml:space="preserve"> </w:t>
            </w:r>
          </w:p>
          <w:p w14:paraId="22DD0B65" w14:textId="77777777" w:rsidR="000212CD" w:rsidRDefault="000212CD" w:rsidP="00BE12C1">
            <w:pPr>
              <w:rPr>
                <w:rFonts w:ascii="Arial Narrow" w:hAnsi="Arial Narrow"/>
                <w:color w:val="FF00FF"/>
                <w:sz w:val="20"/>
                <w:szCs w:val="20"/>
              </w:rPr>
            </w:pPr>
            <w:r>
              <w:rPr>
                <w:rFonts w:ascii="Arial Narrow" w:hAnsi="Arial Narrow"/>
                <w:bCs/>
                <w:color w:val="333333"/>
                <w:sz w:val="20"/>
                <w:szCs w:val="20"/>
              </w:rPr>
              <w:t>Initial treatment</w:t>
            </w:r>
            <w:r>
              <w:rPr>
                <w:rFonts w:ascii="Arial Narrow" w:hAnsi="Arial Narrow"/>
                <w:color w:val="FF0000"/>
                <w:sz w:val="20"/>
                <w:szCs w:val="20"/>
              </w:rPr>
              <w:t xml:space="preserve">     </w:t>
            </w:r>
          </w:p>
        </w:tc>
      </w:tr>
      <w:tr w:rsidR="000212CD" w14:paraId="71AB3D0B"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3DF1F7"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787848" w14:textId="77777777" w:rsidR="000212CD" w:rsidRDefault="000212CD" w:rsidP="00BE12C1">
            <w:pPr>
              <w:rPr>
                <w:rFonts w:ascii="Arial Narrow" w:hAnsi="Arial Narrow"/>
                <w:b/>
                <w:bCs/>
                <w:color w:val="333333"/>
                <w:sz w:val="20"/>
                <w:szCs w:val="20"/>
              </w:rPr>
            </w:pPr>
            <w:r>
              <w:rPr>
                <w:rFonts w:ascii="Arial Narrow" w:hAnsi="Arial Narrow"/>
                <w:b/>
                <w:sz w:val="20"/>
                <w:szCs w:val="20"/>
              </w:rPr>
              <w:t>Treatment criteria:</w:t>
            </w:r>
          </w:p>
        </w:tc>
      </w:tr>
      <w:tr w:rsidR="000212CD" w14:paraId="6ABE026B"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51B57F" w14:textId="369B49E4"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ACB58F" w14:textId="77777777" w:rsidR="000212CD" w:rsidRDefault="000212CD" w:rsidP="00BE12C1">
            <w:pPr>
              <w:rPr>
                <w:rFonts w:ascii="Arial Narrow" w:hAnsi="Arial Narrow"/>
                <w:b/>
                <w:bCs/>
                <w:color w:val="333333"/>
                <w:sz w:val="20"/>
                <w:szCs w:val="20"/>
              </w:rPr>
            </w:pPr>
            <w:r>
              <w:rPr>
                <w:rFonts w:ascii="Arial Narrow" w:hAnsi="Arial Narrow"/>
                <w:bCs/>
                <w:color w:val="333333"/>
                <w:sz w:val="20"/>
                <w:szCs w:val="20"/>
              </w:rPr>
              <w:t xml:space="preserve">Must be </w:t>
            </w:r>
            <w:bookmarkStart w:id="89" w:name="_Hlk112675780"/>
            <w:r>
              <w:rPr>
                <w:rFonts w:ascii="Arial Narrow" w:hAnsi="Arial Narrow"/>
                <w:bCs/>
                <w:color w:val="333333"/>
                <w:sz w:val="20"/>
                <w:szCs w:val="20"/>
              </w:rPr>
              <w:t>treated by a neurologist</w:t>
            </w:r>
            <w:bookmarkEnd w:id="89"/>
          </w:p>
        </w:tc>
      </w:tr>
      <w:tr w:rsidR="000212CD" w14:paraId="00E89651"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6FAA0D"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DB6CC5"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2A944275"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5DB3F3F"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1638F7" w14:textId="77777777" w:rsidR="000212CD" w:rsidRDefault="000212CD" w:rsidP="00BE12C1">
            <w:pPr>
              <w:rPr>
                <w:rFonts w:ascii="Arial Narrow" w:hAnsi="Arial Narrow"/>
                <w:b/>
                <w:bCs/>
                <w:color w:val="333333"/>
                <w:sz w:val="20"/>
                <w:szCs w:val="20"/>
              </w:rPr>
            </w:pPr>
            <w:r>
              <w:rPr>
                <w:rFonts w:ascii="Arial Narrow" w:hAnsi="Arial Narrow"/>
                <w:b/>
                <w:sz w:val="20"/>
                <w:szCs w:val="20"/>
              </w:rPr>
              <w:t>Treatment criteria:</w:t>
            </w:r>
          </w:p>
        </w:tc>
      </w:tr>
      <w:tr w:rsidR="000212CD" w14:paraId="19CEA439"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C65D8B" w14:textId="7E6E737C"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F6B93" w14:textId="77777777" w:rsidR="000212CD" w:rsidRDefault="000212CD" w:rsidP="00BE12C1">
            <w:pPr>
              <w:rPr>
                <w:rFonts w:ascii="Arial Narrow" w:hAnsi="Arial Narrow"/>
                <w:color w:val="333333"/>
                <w:sz w:val="20"/>
                <w:szCs w:val="20"/>
              </w:rPr>
            </w:pPr>
            <w:r>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0212CD" w14:paraId="251B7489"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3D8F50"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9AFB765"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66444925"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9527341"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1C4307" w14:textId="77777777" w:rsidR="000212CD" w:rsidRDefault="000212CD" w:rsidP="00BE12C1">
            <w:pPr>
              <w:rPr>
                <w:rFonts w:ascii="Arial Narrow" w:hAnsi="Arial Narrow"/>
                <w:b/>
                <w:sz w:val="20"/>
                <w:szCs w:val="20"/>
              </w:rPr>
            </w:pPr>
            <w:r>
              <w:rPr>
                <w:rFonts w:ascii="Arial Narrow" w:hAnsi="Arial Narrow"/>
                <w:b/>
                <w:sz w:val="20"/>
                <w:szCs w:val="20"/>
              </w:rPr>
              <w:t>Clinical criteria:</w:t>
            </w:r>
          </w:p>
        </w:tc>
      </w:tr>
      <w:tr w:rsidR="000212CD" w14:paraId="30A0EEA4"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709A7" w14:textId="559D87BD" w:rsidR="000212CD" w:rsidRDefault="000212CD" w:rsidP="0065691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0A2E59" w14:textId="133F4333" w:rsidR="000212CD" w:rsidRDefault="000212CD" w:rsidP="00BE12C1">
            <w:pPr>
              <w:rPr>
                <w:rFonts w:ascii="Arial Narrow" w:hAnsi="Arial Narrow"/>
                <w:b/>
                <w:bCs/>
                <w:color w:val="333333"/>
                <w:sz w:val="20"/>
                <w:szCs w:val="20"/>
              </w:rPr>
            </w:pPr>
            <w:r>
              <w:rPr>
                <w:rFonts w:ascii="Arial Narrow" w:hAnsi="Arial Narrow"/>
                <w:color w:val="333333"/>
                <w:sz w:val="20"/>
                <w:szCs w:val="20"/>
              </w:rPr>
              <w:t xml:space="preserve">Patient must have experienced </w:t>
            </w:r>
            <w:r w:rsidR="00C607D5" w:rsidRPr="00C607D5">
              <w:rPr>
                <w:rFonts w:ascii="Arial Narrow" w:hAnsi="Arial Narrow"/>
                <w:strike/>
                <w:color w:val="333333"/>
                <w:sz w:val="20"/>
                <w:szCs w:val="20"/>
              </w:rPr>
              <w:t>an average of 15 or more headache days per month, with</w:t>
            </w:r>
            <w:r w:rsidR="00C607D5">
              <w:rPr>
                <w:rFonts w:ascii="Arial Narrow" w:hAnsi="Arial Narrow"/>
                <w:color w:val="333333"/>
                <w:sz w:val="20"/>
                <w:szCs w:val="20"/>
              </w:rPr>
              <w:t xml:space="preserve"> </w:t>
            </w:r>
            <w:r>
              <w:rPr>
                <w:rFonts w:ascii="Arial Narrow" w:hAnsi="Arial Narrow"/>
                <w:color w:val="333333"/>
                <w:sz w:val="20"/>
                <w:szCs w:val="20"/>
              </w:rPr>
              <w:t xml:space="preserve">at least </w:t>
            </w:r>
            <w:r w:rsidR="00577DA0">
              <w:rPr>
                <w:rFonts w:ascii="Arial Narrow" w:hAnsi="Arial Narrow"/>
                <w:color w:val="333333"/>
                <w:sz w:val="20"/>
                <w:szCs w:val="20"/>
              </w:rPr>
              <w:t xml:space="preserve">8 </w:t>
            </w:r>
            <w:r w:rsidR="00C607D5" w:rsidRPr="00C607D5">
              <w:rPr>
                <w:rFonts w:ascii="Arial Narrow" w:hAnsi="Arial Narrow"/>
                <w:strike/>
                <w:color w:val="333333"/>
                <w:sz w:val="20"/>
                <w:szCs w:val="20"/>
              </w:rPr>
              <w:t>days o</w:t>
            </w:r>
            <w:r w:rsidR="00C607D5">
              <w:rPr>
                <w:rFonts w:ascii="Arial Narrow" w:hAnsi="Arial Narrow"/>
                <w:color w:val="333333"/>
                <w:sz w:val="20"/>
                <w:szCs w:val="20"/>
              </w:rPr>
              <w:t xml:space="preserve">f </w:t>
            </w:r>
            <w:r w:rsidRPr="00626FA1">
              <w:rPr>
                <w:rFonts w:ascii="Arial Narrow" w:hAnsi="Arial Narrow"/>
                <w:i/>
                <w:iCs/>
                <w:color w:val="333333"/>
                <w:sz w:val="20"/>
                <w:szCs w:val="20"/>
              </w:rPr>
              <w:t xml:space="preserve">migraine </w:t>
            </w:r>
            <w:r w:rsidR="00656916" w:rsidRPr="00626FA1">
              <w:rPr>
                <w:rFonts w:ascii="Arial Narrow" w:hAnsi="Arial Narrow"/>
                <w:i/>
                <w:iCs/>
                <w:color w:val="333333"/>
                <w:sz w:val="20"/>
                <w:szCs w:val="20"/>
              </w:rPr>
              <w:t>headache</w:t>
            </w:r>
            <w:r w:rsidR="00656916" w:rsidRPr="00C607D5">
              <w:rPr>
                <w:rFonts w:ascii="Arial Narrow" w:hAnsi="Arial Narrow"/>
                <w:i/>
                <w:iCs/>
                <w:color w:val="333333"/>
                <w:sz w:val="20"/>
                <w:szCs w:val="20"/>
              </w:rPr>
              <w:t xml:space="preserve"> </w:t>
            </w:r>
            <w:r w:rsidRPr="00C607D5">
              <w:rPr>
                <w:rFonts w:ascii="Arial Narrow" w:hAnsi="Arial Narrow"/>
                <w:color w:val="333333"/>
                <w:sz w:val="20"/>
                <w:szCs w:val="20"/>
              </w:rPr>
              <w:t>days per month</w:t>
            </w:r>
            <w:r>
              <w:rPr>
                <w:rFonts w:ascii="Arial Narrow" w:hAnsi="Arial Narrow"/>
                <w:color w:val="333333"/>
                <w:sz w:val="20"/>
                <w:szCs w:val="20"/>
              </w:rPr>
              <w:t>, over a period of at least 6 months, prior to commencement of treatment with this medicine for this condition</w:t>
            </w:r>
          </w:p>
        </w:tc>
      </w:tr>
      <w:tr w:rsidR="000212CD" w14:paraId="3817815F"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EFC90B"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07F12"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1F921413"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AFD50"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64E42B" w14:textId="77777777" w:rsidR="000212CD" w:rsidRDefault="000212CD" w:rsidP="00BE12C1">
            <w:pPr>
              <w:rPr>
                <w:rFonts w:ascii="Arial Narrow" w:hAnsi="Arial Narrow"/>
                <w:b/>
                <w:bCs/>
                <w:color w:val="333333"/>
                <w:sz w:val="20"/>
                <w:szCs w:val="20"/>
              </w:rPr>
            </w:pPr>
            <w:r>
              <w:rPr>
                <w:rFonts w:ascii="Arial Narrow" w:hAnsi="Arial Narrow"/>
                <w:b/>
                <w:sz w:val="20"/>
                <w:szCs w:val="20"/>
              </w:rPr>
              <w:t>Clinical criteria:</w:t>
            </w:r>
          </w:p>
        </w:tc>
      </w:tr>
      <w:tr w:rsidR="000212CD" w14:paraId="1D8E6A16"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18D732" w14:textId="176D2EBC"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047F24" w14:textId="77777777" w:rsidR="000212CD" w:rsidRDefault="000212CD" w:rsidP="00BE12C1">
            <w:pPr>
              <w:rPr>
                <w:rFonts w:ascii="Arial Narrow" w:hAnsi="Arial Narrow"/>
                <w:color w:val="333333"/>
                <w:sz w:val="20"/>
                <w:szCs w:val="20"/>
              </w:rPr>
            </w:pPr>
            <w:r>
              <w:rPr>
                <w:rFonts w:ascii="Arial Narrow" w:hAnsi="Arial Narrow"/>
                <w:color w:val="333333"/>
                <w:sz w:val="20"/>
                <w:szCs w:val="20"/>
              </w:rPr>
              <w:t>Patient must have experienced an inadequate response, intolerance or a contraindication to at least three prophylactic migraine medications prior to commencement of treatment with this drug for this condition</w:t>
            </w:r>
          </w:p>
        </w:tc>
      </w:tr>
      <w:tr w:rsidR="000212CD" w14:paraId="46A3E371"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8897F1"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3A0378"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4FCEF96F"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593F85"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E68026" w14:textId="77777777" w:rsidR="000212CD" w:rsidRDefault="000212CD" w:rsidP="00BE12C1">
            <w:pPr>
              <w:rPr>
                <w:rFonts w:ascii="Arial Narrow" w:hAnsi="Arial Narrow"/>
                <w:b/>
                <w:bCs/>
                <w:color w:val="333333"/>
                <w:sz w:val="20"/>
                <w:szCs w:val="20"/>
              </w:rPr>
            </w:pPr>
            <w:r>
              <w:rPr>
                <w:rFonts w:ascii="Arial Narrow" w:hAnsi="Arial Narrow"/>
                <w:b/>
                <w:sz w:val="20"/>
                <w:szCs w:val="20"/>
              </w:rPr>
              <w:t>Clinical criteria:</w:t>
            </w:r>
          </w:p>
        </w:tc>
      </w:tr>
      <w:tr w:rsidR="000212CD" w14:paraId="59E03C8D" w14:textId="77777777" w:rsidTr="00DC6E2E">
        <w:trPr>
          <w:trHeight w:val="373"/>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440A0A" w14:textId="5B4AA960"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41FEFF" w14:textId="1D6C27F3" w:rsidR="000212CD" w:rsidRPr="00D14679" w:rsidRDefault="000212CD" w:rsidP="00BE12C1">
            <w:pPr>
              <w:rPr>
                <w:rFonts w:ascii="Open Sans" w:eastAsiaTheme="minorHAnsi" w:hAnsi="Open Sans"/>
                <w:color w:val="333333"/>
                <w:sz w:val="20"/>
                <w:szCs w:val="20"/>
                <w:lang w:eastAsia="en-US"/>
              </w:rPr>
            </w:pPr>
            <w:r w:rsidRPr="00D14679">
              <w:rPr>
                <w:rFonts w:ascii="Arial Narrow" w:hAnsi="Arial Narrow"/>
                <w:color w:val="333333"/>
                <w:sz w:val="20"/>
                <w:szCs w:val="20"/>
              </w:rPr>
              <w:t xml:space="preserve">Patient must be appropriately managed by </w:t>
            </w:r>
            <w:r w:rsidR="00252D1B" w:rsidRPr="00D14679">
              <w:rPr>
                <w:rFonts w:ascii="Arial Narrow" w:hAnsi="Arial Narrow"/>
                <w:strike/>
                <w:color w:val="333333"/>
                <w:sz w:val="20"/>
                <w:szCs w:val="20"/>
              </w:rPr>
              <w:t>his or her</w:t>
            </w:r>
            <w:r w:rsidR="00252D1B" w:rsidRPr="00D14679">
              <w:rPr>
                <w:rFonts w:ascii="Arial Narrow" w:hAnsi="Arial Narrow"/>
                <w:color w:val="333333"/>
                <w:sz w:val="20"/>
                <w:szCs w:val="20"/>
              </w:rPr>
              <w:t xml:space="preserve"> </w:t>
            </w:r>
            <w:r w:rsidR="00581BBC" w:rsidRPr="00D14679">
              <w:rPr>
                <w:rFonts w:ascii="Arial Narrow" w:hAnsi="Arial Narrow"/>
                <w:i/>
                <w:iCs/>
                <w:color w:val="333333"/>
                <w:sz w:val="20"/>
                <w:szCs w:val="20"/>
              </w:rPr>
              <w:t xml:space="preserve">their </w:t>
            </w:r>
            <w:r w:rsidRPr="00D14679">
              <w:rPr>
                <w:rFonts w:ascii="Arial Narrow" w:hAnsi="Arial Narrow"/>
                <w:color w:val="333333"/>
                <w:sz w:val="20"/>
                <w:szCs w:val="20"/>
              </w:rPr>
              <w:t>practitioner for medication overuse headache, prior to initiation of treatment with this drug</w:t>
            </w:r>
          </w:p>
        </w:tc>
      </w:tr>
      <w:tr w:rsidR="000212CD" w14:paraId="6487D5D3"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7FC4BE"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AB667E" w14:textId="77777777" w:rsidR="000212CD" w:rsidRPr="00D14679" w:rsidRDefault="000212CD" w:rsidP="00BE12C1">
            <w:pPr>
              <w:rPr>
                <w:rFonts w:ascii="Arial Narrow" w:hAnsi="Arial Narrow"/>
                <w:b/>
                <w:bCs/>
                <w:color w:val="333333"/>
                <w:sz w:val="20"/>
                <w:szCs w:val="20"/>
              </w:rPr>
            </w:pPr>
            <w:r w:rsidRPr="00D14679">
              <w:rPr>
                <w:rFonts w:ascii="Arial Narrow" w:hAnsi="Arial Narrow"/>
                <w:b/>
                <w:bCs/>
                <w:color w:val="333333"/>
                <w:sz w:val="20"/>
                <w:szCs w:val="20"/>
              </w:rPr>
              <w:t>AND</w:t>
            </w:r>
          </w:p>
        </w:tc>
      </w:tr>
      <w:tr w:rsidR="000212CD" w14:paraId="09ACA1C2"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D73405"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F3811B" w14:textId="77777777" w:rsidR="000212CD" w:rsidRPr="00D14679" w:rsidRDefault="000212CD" w:rsidP="00BE12C1">
            <w:pPr>
              <w:rPr>
                <w:rFonts w:ascii="Arial Narrow" w:hAnsi="Arial Narrow"/>
                <w:b/>
                <w:bCs/>
                <w:color w:val="333333"/>
                <w:sz w:val="20"/>
                <w:szCs w:val="20"/>
              </w:rPr>
            </w:pPr>
            <w:r w:rsidRPr="00D14679">
              <w:rPr>
                <w:rFonts w:ascii="Arial Narrow" w:hAnsi="Arial Narrow"/>
                <w:b/>
                <w:bCs/>
                <w:color w:val="333333"/>
                <w:sz w:val="20"/>
                <w:szCs w:val="20"/>
              </w:rPr>
              <w:t>Population criteria:</w:t>
            </w:r>
          </w:p>
        </w:tc>
      </w:tr>
      <w:tr w:rsidR="000212CD" w14:paraId="0D932FD5"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C644C0" w14:textId="5A50B006" w:rsidR="00581BBC" w:rsidRDefault="00581BBC"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485935" w14:textId="64258C54" w:rsidR="00581BBC" w:rsidRPr="00D14679" w:rsidRDefault="00581BBC" w:rsidP="00BE12C1">
            <w:pPr>
              <w:rPr>
                <w:rFonts w:ascii="Arial Narrow" w:hAnsi="Arial Narrow"/>
                <w:b/>
                <w:bCs/>
                <w:strike/>
                <w:color w:val="333333"/>
                <w:sz w:val="20"/>
                <w:szCs w:val="20"/>
              </w:rPr>
            </w:pPr>
            <w:r w:rsidRPr="00D14679">
              <w:rPr>
                <w:rFonts w:ascii="Arial Narrow" w:hAnsi="Arial Narrow"/>
                <w:color w:val="333333"/>
                <w:sz w:val="20"/>
                <w:szCs w:val="20"/>
              </w:rPr>
              <w:t xml:space="preserve">Patient must be </w:t>
            </w:r>
            <w:r w:rsidR="00252D1B" w:rsidRPr="00D14679">
              <w:rPr>
                <w:rFonts w:ascii="Arial Narrow" w:hAnsi="Arial Narrow"/>
                <w:strike/>
                <w:color w:val="333333"/>
                <w:sz w:val="20"/>
                <w:szCs w:val="20"/>
              </w:rPr>
              <w:t xml:space="preserve">aged 18 years or older </w:t>
            </w:r>
            <w:r w:rsidRPr="00D14679">
              <w:rPr>
                <w:rFonts w:ascii="Arial Narrow" w:hAnsi="Arial Narrow"/>
                <w:i/>
                <w:iCs/>
                <w:color w:val="333333"/>
                <w:sz w:val="20"/>
                <w:szCs w:val="20"/>
              </w:rPr>
              <w:t>at least 18 years of age</w:t>
            </w:r>
            <w:r w:rsidRPr="00D14679">
              <w:rPr>
                <w:rFonts w:ascii="Arial Narrow" w:hAnsi="Arial Narrow"/>
                <w:color w:val="333333"/>
                <w:sz w:val="20"/>
                <w:szCs w:val="20"/>
              </w:rPr>
              <w:t>.</w:t>
            </w:r>
          </w:p>
        </w:tc>
      </w:tr>
      <w:tr w:rsidR="000212CD" w14:paraId="538166A6"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29EAF3B"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554C1"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7025820B"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DB1A1"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7463CD"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0212CD" w14:paraId="0737E65E"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FAC047" w14:textId="647DC273"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AF4D5E" w14:textId="77777777" w:rsidR="000212CD" w:rsidRDefault="000212CD" w:rsidP="00BE12C1">
            <w:pPr>
              <w:rPr>
                <w:rFonts w:ascii="Arial Narrow" w:hAnsi="Arial Narrow"/>
                <w:b/>
                <w:bCs/>
                <w:color w:val="333333"/>
                <w:sz w:val="20"/>
                <w:szCs w:val="20"/>
              </w:rPr>
            </w:pPr>
            <w:r>
              <w:rPr>
                <w:rFonts w:ascii="Arial Narrow" w:hAnsi="Arial Narrow"/>
                <w:color w:val="333333"/>
                <w:sz w:val="20"/>
                <w:szCs w:val="20"/>
              </w:rPr>
              <w:t>Prophylactic migraine medications are propranolol, amitriptyline, pizotifen, candesartan, verapamil, nortriptyline, sodium valproate or topiramate.</w:t>
            </w:r>
          </w:p>
        </w:tc>
      </w:tr>
      <w:tr w:rsidR="000212CD" w14:paraId="19627973"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8D681D"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DFCA58"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0F777D71" w14:textId="77777777" w:rsidTr="00656916">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1D9DE68"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362D5F"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0212CD" w14:paraId="5DB99E8D"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14090D" w14:textId="7999A593"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AC2FFB" w14:textId="77012883" w:rsidR="000212CD" w:rsidRDefault="000212CD" w:rsidP="00BE12C1">
            <w:pPr>
              <w:rPr>
                <w:rFonts w:ascii="Arial Narrow" w:hAnsi="Arial Narrow"/>
                <w:b/>
                <w:bCs/>
                <w:color w:val="333333"/>
                <w:sz w:val="20"/>
                <w:szCs w:val="20"/>
              </w:rPr>
            </w:pPr>
            <w:r>
              <w:rPr>
                <w:rFonts w:ascii="Arial Narrow" w:hAnsi="Arial Narrow"/>
                <w:color w:val="333333"/>
                <w:sz w:val="20"/>
                <w:szCs w:val="20"/>
              </w:rPr>
              <w:t xml:space="preserve">Patient must have the number of migraine </w:t>
            </w:r>
            <w:r w:rsidR="000448D4" w:rsidRPr="00626FA1">
              <w:rPr>
                <w:rFonts w:ascii="Arial Narrow" w:hAnsi="Arial Narrow"/>
                <w:i/>
                <w:iCs/>
                <w:color w:val="333333"/>
                <w:sz w:val="20"/>
                <w:szCs w:val="20"/>
              </w:rPr>
              <w:t>headache</w:t>
            </w:r>
            <w:r w:rsidR="000448D4">
              <w:rPr>
                <w:rFonts w:ascii="Arial Narrow" w:hAnsi="Arial Narrow"/>
                <w:i/>
                <w:iCs/>
                <w:color w:val="333333"/>
                <w:sz w:val="20"/>
                <w:szCs w:val="20"/>
              </w:rPr>
              <w:t xml:space="preserve"> </w:t>
            </w:r>
            <w:r>
              <w:rPr>
                <w:rFonts w:ascii="Arial Narrow" w:hAnsi="Arial Narrow"/>
                <w:color w:val="333333"/>
                <w:sz w:val="20"/>
                <w:szCs w:val="20"/>
              </w:rPr>
              <w:t>days per month documented in their medical records.</w:t>
            </w:r>
          </w:p>
        </w:tc>
      </w:tr>
    </w:tbl>
    <w:p w14:paraId="6A2DD3D6" w14:textId="56954B1F" w:rsidR="00D50EEB" w:rsidRDefault="00D50EEB" w:rsidP="002C4249">
      <w:pPr>
        <w:widowControl w:val="0"/>
        <w:spacing w:after="120"/>
        <w:rPr>
          <w:rFonts w:asciiTheme="minorHAnsi" w:hAnsiTheme="minorHAnsi"/>
          <w:bCs/>
          <w:snapToGrid w:val="0"/>
          <w:lang w:eastAsia="en-US"/>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709"/>
        <w:gridCol w:w="709"/>
        <w:gridCol w:w="1841"/>
      </w:tblGrid>
      <w:tr w:rsidR="000212CD" w14:paraId="7B5EE158" w14:textId="77777777" w:rsidTr="034BE327">
        <w:trPr>
          <w:cantSplit/>
          <w:trHeight w:val="471"/>
        </w:trPr>
        <w:tc>
          <w:tcPr>
            <w:tcW w:w="3960" w:type="dxa"/>
            <w:gridSpan w:val="2"/>
            <w:tcBorders>
              <w:top w:val="single" w:sz="4" w:space="0" w:color="auto"/>
              <w:left w:val="single" w:sz="4" w:space="0" w:color="auto"/>
              <w:bottom w:val="single" w:sz="4" w:space="0" w:color="auto"/>
              <w:right w:val="single" w:sz="4" w:space="0" w:color="auto"/>
            </w:tcBorders>
            <w:hideMark/>
          </w:tcPr>
          <w:p w14:paraId="3480EEC2" w14:textId="7CFD4601" w:rsidR="000212CD" w:rsidRDefault="00D50EEB" w:rsidP="00BE12C1">
            <w:pPr>
              <w:keepNext/>
              <w:ind w:left="-57"/>
              <w:rPr>
                <w:rFonts w:ascii="Arial Narrow" w:hAnsi="Arial Narrow"/>
                <w:b/>
                <w:bCs/>
                <w:sz w:val="20"/>
                <w:szCs w:val="20"/>
              </w:rPr>
            </w:pPr>
            <w:r>
              <w:rPr>
                <w:rFonts w:asciiTheme="minorHAnsi" w:hAnsiTheme="minorHAnsi"/>
                <w:bCs/>
                <w:snapToGrid w:val="0"/>
                <w:lang w:eastAsia="en-US"/>
              </w:rPr>
              <w:lastRenderedPageBreak/>
              <w:br w:type="page"/>
            </w:r>
            <w:r w:rsidR="000212CD">
              <w:rPr>
                <w:rFonts w:ascii="Arial Narrow" w:hAnsi="Arial Narrow"/>
                <w:b/>
                <w:bCs/>
                <w:sz w:val="20"/>
                <w:szCs w:val="20"/>
              </w:rPr>
              <w:t>MEDICINAL PRODUCT</w:t>
            </w:r>
          </w:p>
          <w:p w14:paraId="515445C4" w14:textId="77777777" w:rsidR="000212CD" w:rsidRDefault="000212CD" w:rsidP="00BE12C1">
            <w:pPr>
              <w:keepNext/>
              <w:ind w:left="-57"/>
              <w:rPr>
                <w:rFonts w:ascii="Arial Narrow" w:hAnsi="Arial Narrow"/>
                <w:b/>
                <w:sz w:val="20"/>
                <w:szCs w:val="20"/>
              </w:rPr>
            </w:pPr>
            <w:r>
              <w:rPr>
                <w:rFonts w:ascii="Arial Narrow" w:hAnsi="Arial Narrow"/>
                <w:b/>
                <w:bCs/>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2905605F"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4E4EF321"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hideMark/>
          </w:tcPr>
          <w:p w14:paraId="45D211EE"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Max. qty units</w:t>
            </w:r>
          </w:p>
        </w:tc>
        <w:tc>
          <w:tcPr>
            <w:tcW w:w="709" w:type="dxa"/>
            <w:tcBorders>
              <w:top w:val="single" w:sz="4" w:space="0" w:color="auto"/>
              <w:left w:val="single" w:sz="4" w:space="0" w:color="auto"/>
              <w:bottom w:val="single" w:sz="4" w:space="0" w:color="auto"/>
              <w:right w:val="single" w:sz="4" w:space="0" w:color="auto"/>
            </w:tcBorders>
            <w:hideMark/>
          </w:tcPr>
          <w:p w14:paraId="2706A23E" w14:textId="77777777" w:rsidR="000212CD" w:rsidRDefault="000212CD" w:rsidP="00BE12C1">
            <w:pPr>
              <w:keepNext/>
              <w:ind w:left="-108"/>
              <w:jc w:val="center"/>
              <w:rPr>
                <w:rFonts w:ascii="Arial Narrow" w:hAnsi="Arial Narrow"/>
                <w:b/>
                <w:sz w:val="20"/>
                <w:szCs w:val="20"/>
              </w:rPr>
            </w:pPr>
            <w:proofErr w:type="gramStart"/>
            <w:r>
              <w:rPr>
                <w:rFonts w:ascii="Arial Narrow" w:hAnsi="Arial Narrow"/>
                <w:b/>
                <w:sz w:val="20"/>
                <w:szCs w:val="20"/>
              </w:rPr>
              <w:t>№.of</w:t>
            </w:r>
            <w:proofErr w:type="gramEnd"/>
          </w:p>
          <w:p w14:paraId="448AE2A4" w14:textId="77777777" w:rsidR="000212CD" w:rsidRDefault="000212CD" w:rsidP="00BE12C1">
            <w:pPr>
              <w:keepNext/>
              <w:ind w:left="-108"/>
              <w:jc w:val="center"/>
              <w:rPr>
                <w:rFonts w:ascii="Arial Narrow" w:hAnsi="Arial Narrow"/>
                <w:b/>
                <w:sz w:val="20"/>
                <w:szCs w:val="20"/>
              </w:rPr>
            </w:pPr>
            <w:r>
              <w:rPr>
                <w:rFonts w:ascii="Arial Narrow" w:hAnsi="Arial Narrow"/>
                <w:b/>
                <w:sz w:val="20"/>
                <w:szCs w:val="20"/>
              </w:rPr>
              <w:t>Rpts</w:t>
            </w:r>
          </w:p>
        </w:tc>
        <w:tc>
          <w:tcPr>
            <w:tcW w:w="1841" w:type="dxa"/>
            <w:tcBorders>
              <w:top w:val="single" w:sz="4" w:space="0" w:color="auto"/>
              <w:left w:val="single" w:sz="4" w:space="0" w:color="auto"/>
              <w:bottom w:val="single" w:sz="4" w:space="0" w:color="auto"/>
              <w:right w:val="single" w:sz="4" w:space="0" w:color="auto"/>
            </w:tcBorders>
            <w:hideMark/>
          </w:tcPr>
          <w:p w14:paraId="1F25774F" w14:textId="77777777" w:rsidR="000212CD" w:rsidRDefault="000212CD" w:rsidP="00BE12C1">
            <w:pPr>
              <w:keepNext/>
              <w:rPr>
                <w:rFonts w:ascii="Arial Narrow" w:hAnsi="Arial Narrow"/>
                <w:b/>
                <w:sz w:val="20"/>
                <w:szCs w:val="20"/>
                <w:lang w:val="fr-FR"/>
              </w:rPr>
            </w:pPr>
            <w:r>
              <w:rPr>
                <w:rFonts w:ascii="Arial Narrow" w:hAnsi="Arial Narrow"/>
                <w:b/>
                <w:sz w:val="20"/>
                <w:szCs w:val="20"/>
              </w:rPr>
              <w:t>Available brands</w:t>
            </w:r>
          </w:p>
        </w:tc>
      </w:tr>
      <w:tr w:rsidR="000212CD" w14:paraId="1FCE1D3F" w14:textId="77777777" w:rsidTr="034BE327">
        <w:trPr>
          <w:cantSplit/>
          <w:trHeight w:val="224"/>
        </w:trPr>
        <w:tc>
          <w:tcPr>
            <w:tcW w:w="9060" w:type="dxa"/>
            <w:gridSpan w:val="7"/>
            <w:tcBorders>
              <w:top w:val="single" w:sz="4" w:space="0" w:color="auto"/>
              <w:left w:val="single" w:sz="4" w:space="0" w:color="auto"/>
              <w:bottom w:val="single" w:sz="4" w:space="0" w:color="auto"/>
              <w:right w:val="single" w:sz="4" w:space="0" w:color="auto"/>
            </w:tcBorders>
            <w:hideMark/>
          </w:tcPr>
          <w:p w14:paraId="01F7F066" w14:textId="77777777" w:rsidR="000212CD" w:rsidRDefault="000212CD" w:rsidP="00BE12C1">
            <w:pPr>
              <w:keepNext/>
              <w:ind w:left="-57"/>
              <w:rPr>
                <w:rFonts w:ascii="Arial Narrow" w:hAnsi="Arial Narrow"/>
                <w:sz w:val="20"/>
                <w:szCs w:val="20"/>
              </w:rPr>
            </w:pPr>
            <w:r>
              <w:rPr>
                <w:rFonts w:ascii="Arial Narrow" w:hAnsi="Arial Narrow"/>
                <w:sz w:val="20"/>
                <w:szCs w:val="20"/>
              </w:rPr>
              <w:t>FREMANEZUMAB</w:t>
            </w:r>
          </w:p>
        </w:tc>
      </w:tr>
      <w:tr w:rsidR="000212CD" w14:paraId="00491050" w14:textId="77777777" w:rsidTr="00370D40">
        <w:trPr>
          <w:cantSplit/>
          <w:trHeight w:val="347"/>
        </w:trPr>
        <w:tc>
          <w:tcPr>
            <w:tcW w:w="3960" w:type="dxa"/>
            <w:gridSpan w:val="2"/>
            <w:tcBorders>
              <w:top w:val="single" w:sz="4" w:space="0" w:color="auto"/>
              <w:left w:val="single" w:sz="4" w:space="0" w:color="auto"/>
              <w:bottom w:val="single" w:sz="4" w:space="0" w:color="auto"/>
              <w:right w:val="single" w:sz="4" w:space="0" w:color="auto"/>
            </w:tcBorders>
            <w:hideMark/>
          </w:tcPr>
          <w:p w14:paraId="4144C977" w14:textId="2D2461CB" w:rsidR="000212CD" w:rsidRDefault="000212CD" w:rsidP="00BE12C1">
            <w:pPr>
              <w:keepNext/>
              <w:ind w:left="-57"/>
              <w:rPr>
                <w:rFonts w:ascii="Arial Narrow" w:hAnsi="Arial Narrow"/>
                <w:sz w:val="20"/>
                <w:szCs w:val="20"/>
              </w:rPr>
            </w:pPr>
            <w:r>
              <w:rPr>
                <w:rFonts w:ascii="Arial Narrow" w:hAnsi="Arial Narrow"/>
                <w:sz w:val="20"/>
                <w:szCs w:val="20"/>
              </w:rPr>
              <w:t>fremanezumab 225 mg/1.5 mL injection, 1.5 mL pen device</w:t>
            </w:r>
          </w:p>
        </w:tc>
        <w:tc>
          <w:tcPr>
            <w:tcW w:w="992" w:type="dxa"/>
            <w:tcBorders>
              <w:top w:val="single" w:sz="4" w:space="0" w:color="auto"/>
              <w:left w:val="single" w:sz="4" w:space="0" w:color="auto"/>
              <w:bottom w:val="single" w:sz="4" w:space="0" w:color="auto"/>
              <w:right w:val="single" w:sz="4" w:space="0" w:color="auto"/>
            </w:tcBorders>
            <w:hideMark/>
          </w:tcPr>
          <w:p w14:paraId="06F1A0F7" w14:textId="09A93147" w:rsidR="00F26FC4" w:rsidRDefault="00F26FC4" w:rsidP="00370D40">
            <w:pPr>
              <w:keepNext/>
              <w:jc w:val="center"/>
              <w:rPr>
                <w:rFonts w:ascii="Arial Narrow" w:hAnsi="Arial Narrow"/>
                <w:sz w:val="20"/>
                <w:szCs w:val="20"/>
              </w:rPr>
            </w:pPr>
            <w:r>
              <w:rPr>
                <w:rFonts w:ascii="Arial Narrow" w:hAnsi="Arial Narrow"/>
                <w:sz w:val="20"/>
                <w:szCs w:val="20"/>
              </w:rPr>
              <w:t>13129B</w:t>
            </w:r>
          </w:p>
        </w:tc>
        <w:tc>
          <w:tcPr>
            <w:tcW w:w="849" w:type="dxa"/>
            <w:tcBorders>
              <w:top w:val="single" w:sz="4" w:space="0" w:color="auto"/>
              <w:left w:val="single" w:sz="4" w:space="0" w:color="auto"/>
              <w:bottom w:val="single" w:sz="4" w:space="0" w:color="auto"/>
              <w:right w:val="single" w:sz="4" w:space="0" w:color="auto"/>
            </w:tcBorders>
            <w:hideMark/>
          </w:tcPr>
          <w:p w14:paraId="7EB8E92F" w14:textId="77777777" w:rsidR="000212CD" w:rsidRDefault="000212CD" w:rsidP="00BE12C1">
            <w:pPr>
              <w:keepNext/>
              <w:jc w:val="center"/>
              <w:rPr>
                <w:rFonts w:ascii="Arial Narrow" w:hAnsi="Arial Narrow"/>
                <w:sz w:val="20"/>
                <w:szCs w:val="20"/>
              </w:rPr>
            </w:pPr>
            <w:r>
              <w:rPr>
                <w:rFonts w:ascii="Arial Narrow" w:hAnsi="Arial Narrow"/>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16D6BEE4" w14:textId="77777777" w:rsidR="000212CD" w:rsidRDefault="000212CD" w:rsidP="00BE12C1">
            <w:pPr>
              <w:keepNext/>
              <w:jc w:val="center"/>
              <w:rPr>
                <w:rFonts w:ascii="Arial Narrow" w:hAnsi="Arial Narrow"/>
                <w:sz w:val="20"/>
                <w:szCs w:val="20"/>
              </w:rPr>
            </w:pPr>
            <w:r>
              <w:rPr>
                <w:rFonts w:ascii="Arial Narrow" w:hAnsi="Arial Narrow"/>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4765EC65"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1841" w:type="dxa"/>
            <w:tcBorders>
              <w:top w:val="single" w:sz="4" w:space="0" w:color="auto"/>
              <w:left w:val="single" w:sz="4" w:space="0" w:color="auto"/>
              <w:bottom w:val="single" w:sz="4" w:space="0" w:color="auto"/>
              <w:right w:val="single" w:sz="4" w:space="0" w:color="auto"/>
            </w:tcBorders>
            <w:hideMark/>
          </w:tcPr>
          <w:p w14:paraId="2C2AC80B" w14:textId="58615BDD" w:rsidR="000212CD" w:rsidRDefault="00F26FC4" w:rsidP="00BE12C1">
            <w:pPr>
              <w:pStyle w:val="TableText0"/>
              <w:keepLines/>
              <w:spacing w:line="256" w:lineRule="auto"/>
              <w:rPr>
                <w:rFonts w:eastAsiaTheme="minorHAnsi" w:cstheme="minorBidi"/>
                <w:bCs w:val="0"/>
                <w:szCs w:val="20"/>
                <w:lang w:eastAsia="en-US"/>
              </w:rPr>
            </w:pPr>
            <w:r w:rsidRPr="00CB1E63">
              <w:rPr>
                <w:szCs w:val="20"/>
              </w:rPr>
              <w:t>‘a’</w:t>
            </w:r>
            <w:r>
              <w:rPr>
                <w:szCs w:val="20"/>
              </w:rPr>
              <w:t xml:space="preserve"> </w:t>
            </w:r>
            <w:r w:rsidR="000212CD">
              <w:rPr>
                <w:rFonts w:cs="Arial"/>
                <w:szCs w:val="20"/>
                <w:lang w:eastAsia="en-US"/>
              </w:rPr>
              <w:t>Ajovy</w:t>
            </w:r>
          </w:p>
        </w:tc>
      </w:tr>
      <w:tr w:rsidR="000212CD" w14:paraId="6ACDC729" w14:textId="77777777" w:rsidTr="034BE327">
        <w:trPr>
          <w:cantSplit/>
          <w:trHeight w:val="347"/>
        </w:trPr>
        <w:tc>
          <w:tcPr>
            <w:tcW w:w="3960" w:type="dxa"/>
            <w:gridSpan w:val="2"/>
            <w:tcBorders>
              <w:top w:val="single" w:sz="4" w:space="0" w:color="auto"/>
              <w:left w:val="single" w:sz="4" w:space="0" w:color="auto"/>
              <w:bottom w:val="single" w:sz="4" w:space="0" w:color="auto"/>
              <w:right w:val="single" w:sz="4" w:space="0" w:color="auto"/>
            </w:tcBorders>
            <w:hideMark/>
          </w:tcPr>
          <w:p w14:paraId="0E037707" w14:textId="67C866C9" w:rsidR="000212CD" w:rsidRDefault="000212CD" w:rsidP="00BE12C1">
            <w:pPr>
              <w:keepNext/>
              <w:ind w:left="-57"/>
              <w:rPr>
                <w:rFonts w:ascii="Arial Narrow" w:eastAsiaTheme="minorHAnsi" w:hAnsi="Arial Narrow" w:cstheme="minorBidi"/>
                <w:sz w:val="20"/>
                <w:szCs w:val="20"/>
                <w:lang w:eastAsia="en-US"/>
              </w:rPr>
            </w:pPr>
            <w:r>
              <w:rPr>
                <w:rFonts w:ascii="Arial Narrow" w:hAnsi="Arial Narrow"/>
                <w:sz w:val="20"/>
                <w:szCs w:val="20"/>
              </w:rPr>
              <w:t>fremanezumab 225 mg/1.5 mL injection, 1.5 mL syringe</w:t>
            </w:r>
          </w:p>
        </w:tc>
        <w:tc>
          <w:tcPr>
            <w:tcW w:w="992" w:type="dxa"/>
            <w:tcBorders>
              <w:top w:val="single" w:sz="4" w:space="0" w:color="auto"/>
              <w:left w:val="single" w:sz="4" w:space="0" w:color="auto"/>
              <w:bottom w:val="single" w:sz="4" w:space="0" w:color="auto"/>
              <w:right w:val="single" w:sz="4" w:space="0" w:color="auto"/>
            </w:tcBorders>
            <w:hideMark/>
          </w:tcPr>
          <w:p w14:paraId="35F9F03B" w14:textId="77777777" w:rsidR="000212CD" w:rsidRDefault="000212CD" w:rsidP="00BE12C1">
            <w:pPr>
              <w:keepNext/>
              <w:jc w:val="center"/>
              <w:rPr>
                <w:rFonts w:ascii="Arial Narrow" w:hAnsi="Arial Narrow"/>
                <w:sz w:val="20"/>
                <w:szCs w:val="20"/>
              </w:rPr>
            </w:pPr>
            <w:r>
              <w:rPr>
                <w:rFonts w:ascii="Arial Narrow" w:hAnsi="Arial Narrow"/>
                <w:sz w:val="20"/>
                <w:szCs w:val="20"/>
              </w:rPr>
              <w:t>12603H</w:t>
            </w:r>
          </w:p>
        </w:tc>
        <w:tc>
          <w:tcPr>
            <w:tcW w:w="849" w:type="dxa"/>
            <w:tcBorders>
              <w:top w:val="single" w:sz="4" w:space="0" w:color="auto"/>
              <w:left w:val="single" w:sz="4" w:space="0" w:color="auto"/>
              <w:bottom w:val="single" w:sz="4" w:space="0" w:color="auto"/>
              <w:right w:val="single" w:sz="4" w:space="0" w:color="auto"/>
            </w:tcBorders>
            <w:hideMark/>
          </w:tcPr>
          <w:p w14:paraId="5081E17A" w14:textId="77777777" w:rsidR="000212CD" w:rsidRDefault="000212CD" w:rsidP="00BE12C1">
            <w:pPr>
              <w:keepNext/>
              <w:jc w:val="center"/>
              <w:rPr>
                <w:rFonts w:ascii="Arial Narrow" w:hAnsi="Arial Narrow"/>
                <w:sz w:val="20"/>
                <w:szCs w:val="20"/>
              </w:rPr>
            </w:pPr>
            <w:r>
              <w:rPr>
                <w:rFonts w:ascii="Arial Narrow" w:hAnsi="Arial Narrow"/>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21B3F3C4" w14:textId="77777777" w:rsidR="000212CD" w:rsidRDefault="000212CD" w:rsidP="00BE12C1">
            <w:pPr>
              <w:keepNext/>
              <w:jc w:val="center"/>
              <w:rPr>
                <w:rFonts w:ascii="Arial Narrow" w:hAnsi="Arial Narrow"/>
                <w:sz w:val="20"/>
                <w:szCs w:val="20"/>
              </w:rPr>
            </w:pPr>
            <w:r>
              <w:rPr>
                <w:rFonts w:ascii="Arial Narrow" w:hAnsi="Arial Narrow"/>
                <w:sz w:val="20"/>
                <w:szCs w:val="20"/>
              </w:rPr>
              <w:t>3</w:t>
            </w:r>
          </w:p>
        </w:tc>
        <w:tc>
          <w:tcPr>
            <w:tcW w:w="709" w:type="dxa"/>
            <w:tcBorders>
              <w:top w:val="single" w:sz="4" w:space="0" w:color="auto"/>
              <w:left w:val="single" w:sz="4" w:space="0" w:color="auto"/>
              <w:bottom w:val="single" w:sz="4" w:space="0" w:color="auto"/>
              <w:right w:val="single" w:sz="4" w:space="0" w:color="auto"/>
            </w:tcBorders>
            <w:hideMark/>
          </w:tcPr>
          <w:p w14:paraId="0F9B7601" w14:textId="77777777" w:rsidR="000212CD" w:rsidRDefault="000212CD" w:rsidP="00BE12C1">
            <w:pPr>
              <w:keepNext/>
              <w:jc w:val="center"/>
              <w:rPr>
                <w:rFonts w:ascii="Arial Narrow" w:hAnsi="Arial Narrow"/>
                <w:sz w:val="20"/>
                <w:szCs w:val="20"/>
              </w:rPr>
            </w:pPr>
            <w:r>
              <w:rPr>
                <w:rFonts w:ascii="Arial Narrow" w:hAnsi="Arial Narrow"/>
                <w:sz w:val="20"/>
                <w:szCs w:val="20"/>
              </w:rPr>
              <w:t>1</w:t>
            </w:r>
          </w:p>
        </w:tc>
        <w:tc>
          <w:tcPr>
            <w:tcW w:w="1841" w:type="dxa"/>
            <w:tcBorders>
              <w:top w:val="single" w:sz="4" w:space="0" w:color="auto"/>
              <w:left w:val="single" w:sz="4" w:space="0" w:color="auto"/>
              <w:bottom w:val="single" w:sz="4" w:space="0" w:color="auto"/>
              <w:right w:val="single" w:sz="4" w:space="0" w:color="auto"/>
            </w:tcBorders>
            <w:hideMark/>
          </w:tcPr>
          <w:p w14:paraId="5A0AC8FF" w14:textId="2A0E174F" w:rsidR="000212CD" w:rsidRDefault="00F26FC4" w:rsidP="00BE12C1">
            <w:pPr>
              <w:pStyle w:val="TableText0"/>
              <w:keepLines/>
              <w:spacing w:line="256" w:lineRule="auto"/>
              <w:rPr>
                <w:rFonts w:eastAsiaTheme="minorHAnsi" w:cstheme="minorBidi"/>
                <w:bCs w:val="0"/>
                <w:szCs w:val="20"/>
                <w:lang w:eastAsia="en-US"/>
              </w:rPr>
            </w:pPr>
            <w:r w:rsidRPr="00CB1E63">
              <w:rPr>
                <w:szCs w:val="20"/>
              </w:rPr>
              <w:t>‘a’</w:t>
            </w:r>
            <w:r>
              <w:rPr>
                <w:szCs w:val="20"/>
              </w:rPr>
              <w:t xml:space="preserve"> </w:t>
            </w:r>
            <w:r w:rsidR="000212CD">
              <w:rPr>
                <w:rFonts w:cs="Arial"/>
                <w:szCs w:val="20"/>
                <w:lang w:eastAsia="en-US"/>
              </w:rPr>
              <w:t>Ajovy</w:t>
            </w:r>
          </w:p>
        </w:tc>
      </w:tr>
      <w:tr w:rsidR="000212CD" w14:paraId="057B8963" w14:textId="77777777" w:rsidTr="034BE327">
        <w:trPr>
          <w:trHeight w:val="1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35E58A4" w14:textId="77777777" w:rsidR="000212CD" w:rsidRDefault="000212CD" w:rsidP="00BE12C1">
            <w:pPr>
              <w:jc w:val="center"/>
              <w:rPr>
                <w:rFonts w:ascii="Arial Narrow" w:hAnsi="Arial Narrow" w:cstheme="minorBidi"/>
                <w:color w:val="333333"/>
                <w:sz w:val="20"/>
                <w:szCs w:val="20"/>
              </w:rPr>
            </w:pPr>
          </w:p>
        </w:tc>
      </w:tr>
      <w:tr w:rsidR="000212CD" w14:paraId="43759846" w14:textId="77777777" w:rsidTr="00370D40">
        <w:trPr>
          <w:trHeight w:val="227"/>
        </w:trPr>
        <w:tc>
          <w:tcPr>
            <w:tcW w:w="906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524D8A" w14:textId="77777777" w:rsidR="000212CD" w:rsidRPr="00DC6E2E" w:rsidRDefault="000212CD" w:rsidP="00BE12C1">
            <w:pPr>
              <w:shd w:val="clear" w:color="auto" w:fill="DDDDDD"/>
              <w:spacing w:before="168" w:after="72"/>
              <w:rPr>
                <w:rFonts w:ascii="Arial Narrow" w:eastAsiaTheme="minorHAnsi" w:hAnsi="Arial Narrow"/>
                <w:b/>
                <w:sz w:val="20"/>
                <w:szCs w:val="20"/>
                <w:lang w:eastAsia="en-US"/>
              </w:rPr>
            </w:pPr>
            <w:r w:rsidRPr="00DC6E2E">
              <w:rPr>
                <w:rFonts w:ascii="Arial Narrow" w:hAnsi="Arial Narrow"/>
                <w:b/>
                <w:sz w:val="20"/>
                <w:szCs w:val="20"/>
              </w:rPr>
              <w:t>Restriction Summary 12029 / ToC: New: Authority Required: Streamlined</w:t>
            </w:r>
            <w:r>
              <w:rPr>
                <w:rFonts w:ascii="Arial Narrow" w:hAnsi="Arial Narrow"/>
                <w:b/>
                <w:sz w:val="20"/>
                <w:szCs w:val="20"/>
              </w:rPr>
              <w:t xml:space="preserve"> </w:t>
            </w:r>
          </w:p>
        </w:tc>
      </w:tr>
      <w:tr w:rsidR="000212CD" w14:paraId="2915434E" w14:textId="77777777" w:rsidTr="034BE327">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5F9A10" w14:textId="77777777" w:rsidR="000212CD" w:rsidRDefault="000212CD" w:rsidP="00BE12C1">
            <w:pPr>
              <w:jc w:val="center"/>
              <w:rPr>
                <w:rFonts w:ascii="Arial Narrow" w:hAnsi="Arial Narrow"/>
                <w:b/>
                <w:sz w:val="20"/>
                <w:szCs w:val="20"/>
              </w:rPr>
            </w:pPr>
            <w:r>
              <w:rPr>
                <w:rFonts w:ascii="Arial Narrow" w:hAnsi="Arial Narrow"/>
                <w:b/>
                <w:sz w:val="20"/>
                <w:szCs w:val="20"/>
              </w:rPr>
              <w:t>Concept ID</w:t>
            </w:r>
          </w:p>
          <w:p w14:paraId="1BA6091E" w14:textId="77777777" w:rsidR="000212CD" w:rsidRDefault="000212CD" w:rsidP="00BE12C1">
            <w:pPr>
              <w:rPr>
                <w:rFonts w:ascii="Arial Narrow" w:hAnsi="Arial Narrow"/>
                <w:i/>
                <w:sz w:val="20"/>
                <w:szCs w:val="20"/>
              </w:rPr>
            </w:pPr>
          </w:p>
          <w:p w14:paraId="4BB88B4E" w14:textId="77777777" w:rsidR="000212CD" w:rsidRDefault="000212CD" w:rsidP="00BE12C1">
            <w:pPr>
              <w:jc w:val="center"/>
              <w:rPr>
                <w:rFonts w:ascii="Arial Narrow" w:hAnsi="Arial Narrow"/>
                <w:sz w:val="20"/>
                <w:szCs w:val="20"/>
              </w:rPr>
            </w:pPr>
            <w:r>
              <w:rPr>
                <w:rFonts w:ascii="Arial Narrow" w:hAnsi="Arial Narrow"/>
                <w:sz w:val="20"/>
                <w:szCs w:val="20"/>
              </w:rPr>
              <w:t>(</w:t>
            </w:r>
            <w:proofErr w:type="gramStart"/>
            <w:r>
              <w:rPr>
                <w:rFonts w:ascii="Arial Narrow" w:hAnsi="Arial Narrow"/>
                <w:sz w:val="20"/>
                <w:szCs w:val="20"/>
              </w:rPr>
              <w:t>for</w:t>
            </w:r>
            <w:proofErr w:type="gramEnd"/>
            <w:r>
              <w:rPr>
                <w:rFonts w:ascii="Arial Narrow" w:hAnsi="Arial Narrow"/>
                <w:sz w:val="20"/>
                <w:szCs w:val="20"/>
              </w:rPr>
              <w:t xml:space="preserve"> internal Dept. use)</w:t>
            </w:r>
          </w:p>
          <w:p w14:paraId="01C50D26" w14:textId="77777777" w:rsidR="000212CD" w:rsidRDefault="000212CD" w:rsidP="00BE12C1">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F962E29" w14:textId="77777777" w:rsidR="000212CD" w:rsidRDefault="000212CD" w:rsidP="00BE12C1">
            <w:pPr>
              <w:rPr>
                <w:rFonts w:ascii="Arial Narrow" w:hAnsi="Arial Narrow"/>
                <w:sz w:val="20"/>
                <w:szCs w:val="20"/>
              </w:rPr>
            </w:pPr>
            <w:r>
              <w:rPr>
                <w:rFonts w:ascii="Arial Narrow" w:hAnsi="Arial Narrow"/>
                <w:b/>
                <w:sz w:val="20"/>
                <w:szCs w:val="20"/>
              </w:rPr>
              <w:t xml:space="preserve">Category / Program:   </w:t>
            </w:r>
            <w:r>
              <w:rPr>
                <w:rFonts w:ascii="Arial Narrow" w:hAnsi="Arial Narrow"/>
                <w:sz w:val="20"/>
                <w:szCs w:val="20"/>
              </w:rPr>
              <w:t>GENERAL – General Schedule (Code GE)</w:t>
            </w:r>
            <w:r>
              <w:rPr>
                <w:rFonts w:ascii="Arial Narrow" w:hAnsi="Arial Narrow"/>
                <w:color w:val="FF0000"/>
                <w:sz w:val="20"/>
                <w:szCs w:val="20"/>
              </w:rPr>
              <w:t xml:space="preserve"> </w:t>
            </w:r>
          </w:p>
          <w:p w14:paraId="3F75E66A" w14:textId="77777777" w:rsidR="000212CD" w:rsidRDefault="000212CD" w:rsidP="00BE12C1">
            <w:pPr>
              <w:rPr>
                <w:rFonts w:ascii="Arial Narrow" w:hAnsi="Arial Narrow"/>
                <w:sz w:val="20"/>
                <w:szCs w:val="20"/>
              </w:rPr>
            </w:pPr>
          </w:p>
        </w:tc>
      </w:tr>
      <w:tr w:rsidR="000212CD" w14:paraId="0302C448" w14:textId="77777777" w:rsidTr="034BE327">
        <w:trPr>
          <w:trHeight w:val="240"/>
        </w:trPr>
        <w:tc>
          <w:tcPr>
            <w:tcW w:w="980" w:type="dxa"/>
            <w:vMerge/>
            <w:vAlign w:val="center"/>
            <w:hideMark/>
          </w:tcPr>
          <w:p w14:paraId="2FC3D629" w14:textId="77777777" w:rsidR="000212CD" w:rsidRDefault="000212CD" w:rsidP="00BE12C1">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6FBC009" w14:textId="77777777" w:rsidR="000212CD" w:rsidRDefault="000212CD" w:rsidP="00BE12C1">
            <w:pPr>
              <w:rPr>
                <w:rFonts w:ascii="Arial Narrow" w:hAnsi="Arial Narrow"/>
                <w:b/>
                <w:sz w:val="20"/>
                <w:szCs w:val="20"/>
              </w:rPr>
            </w:pPr>
            <w:r>
              <w:rPr>
                <w:rFonts w:ascii="Arial Narrow" w:hAnsi="Arial Narrow"/>
                <w:b/>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p>
        </w:tc>
      </w:tr>
      <w:tr w:rsidR="000212CD" w14:paraId="55EE236C" w14:textId="77777777" w:rsidTr="034BE327">
        <w:tc>
          <w:tcPr>
            <w:tcW w:w="980" w:type="dxa"/>
            <w:vMerge/>
            <w:vAlign w:val="center"/>
            <w:hideMark/>
          </w:tcPr>
          <w:p w14:paraId="1C30BBAD" w14:textId="77777777" w:rsidR="000212CD" w:rsidRDefault="000212CD" w:rsidP="00BE12C1">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9C9433" w14:textId="77777777" w:rsidR="000212CD" w:rsidRDefault="000212CD" w:rsidP="00BE12C1">
            <w:pPr>
              <w:rPr>
                <w:rFonts w:ascii="Arial Narrow" w:hAnsi="Arial Narrow"/>
                <w:b/>
                <w:sz w:val="20"/>
                <w:szCs w:val="20"/>
              </w:rPr>
            </w:pPr>
            <w:r>
              <w:rPr>
                <w:rFonts w:ascii="Arial Narrow" w:hAnsi="Arial Narrow"/>
                <w:b/>
                <w:sz w:val="20"/>
                <w:szCs w:val="20"/>
              </w:rPr>
              <w:t xml:space="preserve">Restriction type: </w:t>
            </w:r>
            <w:r>
              <w:rPr>
                <w:rFonts w:ascii="Arial Narrow" w:eastAsia="Calibri" w:hAnsi="Arial Narrow"/>
                <w:sz w:val="20"/>
                <w:szCs w:val="20"/>
              </w:rPr>
              <w:fldChar w:fldCharType="begin" w:fldLock="1">
                <w:ffData>
                  <w:name w:val=""/>
                  <w:enabled/>
                  <w:calcOnExit w:val="0"/>
                  <w:checkBox>
                    <w:sizeAuto/>
                    <w:default w:val="1"/>
                  </w:checkBox>
                </w:ffData>
              </w:fldChar>
            </w:r>
            <w:r>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Pr>
                <w:rFonts w:ascii="Arial Narrow" w:eastAsia="Calibri" w:hAnsi="Arial Narrow"/>
                <w:sz w:val="20"/>
                <w:szCs w:val="20"/>
              </w:rPr>
              <w:fldChar w:fldCharType="end"/>
            </w:r>
            <w:r>
              <w:rPr>
                <w:rFonts w:ascii="Arial Narrow" w:eastAsia="Calibri" w:hAnsi="Arial Narrow"/>
                <w:sz w:val="20"/>
                <w:szCs w:val="20"/>
              </w:rPr>
              <w:t xml:space="preserve">Authority Required (Streamlined) </w:t>
            </w:r>
            <w:r>
              <w:rPr>
                <w:rFonts w:ascii="Arial Narrow" w:eastAsia="Calibri" w:hAnsi="Arial Narrow"/>
                <w:i/>
                <w:iCs/>
                <w:sz w:val="20"/>
                <w:szCs w:val="20"/>
              </w:rPr>
              <w:t>[</w:t>
            </w:r>
            <w:r>
              <w:rPr>
                <w:rFonts w:ascii="Arial Narrow" w:eastAsia="Calibri" w:hAnsi="Arial Narrow"/>
                <w:i/>
                <w:sz w:val="20"/>
                <w:szCs w:val="20"/>
              </w:rPr>
              <w:t>amendment to existing code]</w:t>
            </w:r>
          </w:p>
        </w:tc>
      </w:tr>
      <w:tr w:rsidR="000212CD" w14:paraId="3DD0DC0C"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BD1B73C" w14:textId="1671FAB5" w:rsidR="000212CD" w:rsidRDefault="000212CD" w:rsidP="00BE12C1">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6F39D6" w14:textId="77777777" w:rsidR="000212CD" w:rsidRDefault="000212CD" w:rsidP="00BE12C1">
            <w:pPr>
              <w:rPr>
                <w:rFonts w:ascii="Arial Narrow" w:hAnsi="Arial Narrow"/>
                <w:color w:val="333333"/>
                <w:sz w:val="20"/>
                <w:szCs w:val="20"/>
              </w:rPr>
            </w:pPr>
            <w:r>
              <w:rPr>
                <w:rFonts w:ascii="Arial Narrow" w:hAnsi="Arial Narrow"/>
                <w:b/>
                <w:bCs/>
                <w:color w:val="333333"/>
                <w:sz w:val="20"/>
                <w:szCs w:val="20"/>
              </w:rPr>
              <w:t>Administrative Advice:</w:t>
            </w:r>
          </w:p>
          <w:p w14:paraId="710A93B1" w14:textId="77777777" w:rsidR="000212CD" w:rsidRDefault="000212CD" w:rsidP="00BE12C1">
            <w:pPr>
              <w:rPr>
                <w:rFonts w:ascii="Arial Narrow" w:hAnsi="Arial Narrow"/>
                <w:color w:val="333333"/>
                <w:sz w:val="20"/>
                <w:szCs w:val="20"/>
              </w:rPr>
            </w:pPr>
            <w:r>
              <w:rPr>
                <w:rFonts w:ascii="Arial Narrow" w:eastAsia="Calibri" w:hAnsi="Arial Narrow"/>
                <w:sz w:val="20"/>
                <w:szCs w:val="20"/>
              </w:rPr>
              <w:t>No increase in the maximum quantity or number of units may be authorised.</w:t>
            </w:r>
          </w:p>
        </w:tc>
      </w:tr>
      <w:tr w:rsidR="000212CD" w14:paraId="2E49B785"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0967DD2" w14:textId="2DABA070"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65A35F" w14:textId="77777777" w:rsidR="000212CD" w:rsidRDefault="000212CD" w:rsidP="00BE12C1">
            <w:pPr>
              <w:rPr>
                <w:rFonts w:ascii="Open Sans" w:eastAsiaTheme="minorHAnsi" w:hAnsi="Open Sans"/>
                <w:color w:val="333333"/>
                <w:sz w:val="20"/>
                <w:szCs w:val="20"/>
                <w:lang w:eastAsia="en-US"/>
              </w:rPr>
            </w:pPr>
            <w:r>
              <w:rPr>
                <w:rFonts w:ascii="Arial Narrow" w:hAnsi="Arial Narrow"/>
                <w:b/>
                <w:bCs/>
                <w:color w:val="333333"/>
                <w:sz w:val="20"/>
                <w:szCs w:val="20"/>
              </w:rPr>
              <w:t>Administrative Advice</w:t>
            </w:r>
          </w:p>
          <w:p w14:paraId="6E397BA7" w14:textId="77777777" w:rsidR="000212CD" w:rsidRDefault="000212CD" w:rsidP="00BE12C1">
            <w:pPr>
              <w:rPr>
                <w:rFonts w:ascii="Arial Narrow" w:eastAsia="Calibri" w:hAnsi="Arial Narrow"/>
                <w:sz w:val="20"/>
                <w:szCs w:val="20"/>
              </w:rPr>
            </w:pPr>
            <w:r>
              <w:rPr>
                <w:rFonts w:ascii="Arial Narrow" w:eastAsia="Calibri" w:hAnsi="Arial Narrow"/>
                <w:sz w:val="20"/>
                <w:szCs w:val="20"/>
              </w:rPr>
              <w:t>No increase in the maximum number of repeats may be authorised.</w:t>
            </w:r>
          </w:p>
        </w:tc>
      </w:tr>
      <w:tr w:rsidR="000212CD" w14:paraId="3B2D5514"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D123AE9" w14:textId="2C36A262" w:rsidR="000212CD" w:rsidRDefault="000212CD" w:rsidP="00BE12C1">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6AF56E"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Administrative Advice:</w:t>
            </w:r>
          </w:p>
          <w:p w14:paraId="65564F4E" w14:textId="77777777" w:rsidR="000212CD" w:rsidRDefault="000212CD" w:rsidP="00BE12C1">
            <w:pPr>
              <w:rPr>
                <w:rFonts w:ascii="Arial Narrow" w:hAnsi="Arial Narrow"/>
                <w:bCs/>
                <w:color w:val="333333"/>
                <w:sz w:val="20"/>
                <w:szCs w:val="20"/>
              </w:rPr>
            </w:pPr>
            <w:r>
              <w:rPr>
                <w:rFonts w:ascii="Arial Narrow" w:eastAsia="Calibri" w:hAnsi="Arial Narrow"/>
                <w:sz w:val="20"/>
                <w:szCs w:val="20"/>
              </w:rPr>
              <w:t>Special Pricing Arrangements apply.</w:t>
            </w:r>
          </w:p>
        </w:tc>
      </w:tr>
      <w:tr w:rsidR="00F26FC4" w14:paraId="746B82E0"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76AE19" w14:textId="47005E32" w:rsidR="00F26FC4" w:rsidRDefault="00F26FC4"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6D401E" w14:textId="77777777" w:rsidR="00F26FC4" w:rsidRDefault="00F26FC4" w:rsidP="00F26FC4">
            <w:pPr>
              <w:rPr>
                <w:rFonts w:ascii="Arial Narrow" w:hAnsi="Arial Narrow"/>
                <w:b/>
                <w:bCs/>
                <w:color w:val="333333"/>
                <w:sz w:val="20"/>
                <w:szCs w:val="20"/>
              </w:rPr>
            </w:pPr>
            <w:r>
              <w:rPr>
                <w:rFonts w:ascii="Arial Narrow" w:hAnsi="Arial Narrow"/>
                <w:b/>
                <w:bCs/>
                <w:color w:val="333333"/>
                <w:sz w:val="20"/>
                <w:szCs w:val="20"/>
              </w:rPr>
              <w:t>Administrative Advice:</w:t>
            </w:r>
          </w:p>
          <w:p w14:paraId="4501E2ED" w14:textId="19ED9C18" w:rsidR="00F26FC4" w:rsidRPr="00F26FC4" w:rsidRDefault="00F26FC4" w:rsidP="00BE12C1">
            <w:pPr>
              <w:rPr>
                <w:rFonts w:ascii="Arial Narrow" w:hAnsi="Arial Narrow"/>
                <w:color w:val="333333"/>
                <w:sz w:val="20"/>
                <w:szCs w:val="20"/>
              </w:rPr>
            </w:pPr>
            <w:r w:rsidRPr="00F26FC4">
              <w:rPr>
                <w:rFonts w:ascii="Arial Narrow" w:hAnsi="Arial Narrow"/>
                <w:color w:val="333333"/>
                <w:sz w:val="20"/>
                <w:szCs w:val="20"/>
              </w:rPr>
              <w:t>Pharmaceutical benefits that have the form fremanezumab 225 mg/1.5 mL syringes and pharmaceutical benefits that have the form fremanezumab 225 mg/1.5 mL pen devices are equivalent for the purposes of substitution.</w:t>
            </w:r>
          </w:p>
        </w:tc>
      </w:tr>
      <w:tr w:rsidR="000212CD" w14:paraId="66402FB6"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78E211C" w14:textId="742A80C6"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991826" w14:textId="77777777" w:rsidR="000212CD" w:rsidRDefault="000212CD" w:rsidP="00BE12C1">
            <w:pPr>
              <w:rPr>
                <w:rFonts w:ascii="Arial Narrow" w:hAnsi="Arial Narrow"/>
                <w:color w:val="333333"/>
                <w:sz w:val="20"/>
                <w:szCs w:val="20"/>
              </w:rPr>
            </w:pPr>
            <w:r>
              <w:rPr>
                <w:rFonts w:ascii="Arial Narrow" w:hAnsi="Arial Narrow"/>
                <w:b/>
                <w:bCs/>
                <w:color w:val="333333"/>
                <w:sz w:val="20"/>
                <w:szCs w:val="20"/>
              </w:rPr>
              <w:t>Indication:</w:t>
            </w:r>
            <w:r>
              <w:rPr>
                <w:rFonts w:ascii="Arial Narrow" w:hAnsi="Arial Narrow"/>
                <w:color w:val="333333"/>
                <w:sz w:val="20"/>
                <w:szCs w:val="20"/>
              </w:rPr>
              <w:t xml:space="preserve"> </w:t>
            </w:r>
            <w:r w:rsidRPr="00577DA0">
              <w:rPr>
                <w:rFonts w:ascii="Arial Narrow" w:hAnsi="Arial Narrow"/>
                <w:color w:val="333333"/>
                <w:sz w:val="20"/>
                <w:szCs w:val="20"/>
              </w:rPr>
              <w:t>Treatment-resistant</w:t>
            </w:r>
            <w:r>
              <w:rPr>
                <w:rFonts w:ascii="Arial Narrow" w:hAnsi="Arial Narrow"/>
                <w:color w:val="333333"/>
                <w:sz w:val="20"/>
                <w:szCs w:val="20"/>
              </w:rPr>
              <w:t xml:space="preserve"> migraine</w:t>
            </w:r>
          </w:p>
        </w:tc>
      </w:tr>
      <w:tr w:rsidR="000212CD" w14:paraId="52032340"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734504" w14:textId="77777777" w:rsidR="000212CD" w:rsidRDefault="000212CD" w:rsidP="00BE12C1">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2B7382" w14:textId="77777777" w:rsidR="000212CD" w:rsidRDefault="000212CD" w:rsidP="00BE12C1">
            <w:pPr>
              <w:rPr>
                <w:rFonts w:ascii="Arial Narrow" w:hAnsi="Arial Narrow"/>
                <w:color w:val="FF0000"/>
                <w:sz w:val="20"/>
                <w:szCs w:val="20"/>
              </w:rPr>
            </w:pPr>
            <w:r>
              <w:rPr>
                <w:rFonts w:ascii="Arial Narrow" w:hAnsi="Arial Narrow"/>
                <w:b/>
                <w:bCs/>
                <w:color w:val="333333"/>
                <w:sz w:val="20"/>
                <w:szCs w:val="20"/>
              </w:rPr>
              <w:t>Treatment Phase:</w:t>
            </w:r>
            <w:r>
              <w:rPr>
                <w:rFonts w:ascii="Arial Narrow" w:hAnsi="Arial Narrow"/>
                <w:color w:val="FF0000"/>
                <w:sz w:val="20"/>
                <w:szCs w:val="20"/>
              </w:rPr>
              <w:t xml:space="preserve"> </w:t>
            </w:r>
          </w:p>
          <w:p w14:paraId="19FB1FE4" w14:textId="77777777" w:rsidR="000212CD" w:rsidRDefault="000212CD" w:rsidP="00BE12C1">
            <w:pPr>
              <w:rPr>
                <w:rFonts w:ascii="Arial Narrow" w:hAnsi="Arial Narrow"/>
                <w:color w:val="FF00FF"/>
                <w:sz w:val="20"/>
                <w:szCs w:val="20"/>
              </w:rPr>
            </w:pPr>
            <w:r>
              <w:rPr>
                <w:rFonts w:ascii="Arial Narrow" w:hAnsi="Arial Narrow"/>
                <w:bCs/>
                <w:color w:val="333333"/>
                <w:sz w:val="20"/>
                <w:szCs w:val="20"/>
              </w:rPr>
              <w:t>Continuing treatment</w:t>
            </w:r>
            <w:r>
              <w:rPr>
                <w:rFonts w:ascii="Arial Narrow" w:hAnsi="Arial Narrow"/>
                <w:color w:val="FF0000"/>
                <w:sz w:val="20"/>
                <w:szCs w:val="20"/>
              </w:rPr>
              <w:t xml:space="preserve">     </w:t>
            </w:r>
          </w:p>
        </w:tc>
      </w:tr>
      <w:tr w:rsidR="000212CD" w14:paraId="2ED22CE1"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5EC0F9"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1DDDC8" w14:textId="77777777" w:rsidR="000212CD" w:rsidRPr="00D14679" w:rsidRDefault="000212CD" w:rsidP="00BE12C1">
            <w:pPr>
              <w:rPr>
                <w:rFonts w:ascii="Arial Narrow" w:hAnsi="Arial Narrow"/>
                <w:b/>
                <w:bCs/>
                <w:color w:val="333333"/>
                <w:sz w:val="20"/>
                <w:szCs w:val="20"/>
              </w:rPr>
            </w:pPr>
            <w:r w:rsidRPr="00D14679">
              <w:rPr>
                <w:rFonts w:ascii="Arial Narrow" w:hAnsi="Arial Narrow"/>
                <w:b/>
                <w:sz w:val="20"/>
                <w:szCs w:val="20"/>
              </w:rPr>
              <w:t>Treatment criteria:</w:t>
            </w:r>
          </w:p>
        </w:tc>
      </w:tr>
      <w:tr w:rsidR="00581BBC" w14:paraId="0098AC20" w14:textId="77777777" w:rsidTr="00DC6E2E">
        <w:tc>
          <w:tcPr>
            <w:tcW w:w="980"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50108ACE" w14:textId="1D9B1941" w:rsidR="00581BBC" w:rsidRDefault="00581BBC"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A9DD39" w14:textId="11E8372A" w:rsidR="00581BBC" w:rsidRPr="00D14679" w:rsidRDefault="00581BBC" w:rsidP="00BE12C1">
            <w:pPr>
              <w:rPr>
                <w:rFonts w:ascii="Arial Narrow" w:hAnsi="Arial Narrow"/>
                <w:b/>
                <w:bCs/>
                <w:i/>
                <w:iCs/>
                <w:color w:val="333333"/>
                <w:sz w:val="20"/>
                <w:szCs w:val="20"/>
              </w:rPr>
            </w:pPr>
            <w:bookmarkStart w:id="90" w:name="_Hlk112676322"/>
            <w:r w:rsidRPr="00D14679">
              <w:rPr>
                <w:rFonts w:ascii="Arial Narrow" w:hAnsi="Arial Narrow"/>
                <w:i/>
                <w:iCs/>
                <w:color w:val="333333"/>
                <w:sz w:val="20"/>
                <w:szCs w:val="20"/>
              </w:rPr>
              <w:t xml:space="preserve">Must be treated by a neurologist </w:t>
            </w:r>
            <w:r w:rsidRPr="00D14679">
              <w:rPr>
                <w:rFonts w:ascii="Arial Narrow" w:hAnsi="Arial Narrow"/>
                <w:b/>
                <w:bCs/>
                <w:i/>
                <w:iCs/>
                <w:color w:val="333333"/>
                <w:sz w:val="20"/>
                <w:szCs w:val="20"/>
              </w:rPr>
              <w:t>OR</w:t>
            </w:r>
            <w:r w:rsidRPr="00D14679">
              <w:rPr>
                <w:rFonts w:ascii="Arial Narrow" w:hAnsi="Arial Narrow"/>
                <w:i/>
                <w:iCs/>
                <w:color w:val="333333"/>
                <w:sz w:val="20"/>
                <w:szCs w:val="20"/>
              </w:rPr>
              <w:t xml:space="preserve"> </w:t>
            </w:r>
            <w:bookmarkEnd w:id="90"/>
          </w:p>
        </w:tc>
      </w:tr>
      <w:tr w:rsidR="00581BBC" w14:paraId="76F20331" w14:textId="77777777" w:rsidTr="034BE327">
        <w:tc>
          <w:tcPr>
            <w:tcW w:w="980" w:type="dxa"/>
            <w:vMerge/>
            <w:tcMar>
              <w:top w:w="15" w:type="dxa"/>
              <w:left w:w="15" w:type="dxa"/>
              <w:bottom w:w="15" w:type="dxa"/>
              <w:right w:w="15" w:type="dxa"/>
            </w:tcMar>
            <w:vAlign w:val="center"/>
          </w:tcPr>
          <w:p w14:paraId="7C1D5304" w14:textId="77777777" w:rsidR="00581BBC" w:rsidRDefault="00581BBC"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06AB9B" w14:textId="472832D8" w:rsidR="00581BBC" w:rsidRPr="00D14679" w:rsidRDefault="4F77A97B" w:rsidP="034BE327">
            <w:pPr>
              <w:rPr>
                <w:rFonts w:ascii="Arial Narrow" w:hAnsi="Arial Narrow"/>
                <w:i/>
                <w:iCs/>
                <w:color w:val="333333"/>
                <w:sz w:val="20"/>
                <w:szCs w:val="20"/>
              </w:rPr>
            </w:pPr>
            <w:r w:rsidRPr="00D14679">
              <w:rPr>
                <w:rFonts w:ascii="Arial Narrow" w:hAnsi="Arial Narrow" w:cstheme="minorBidi"/>
                <w:i/>
                <w:iCs/>
                <w:color w:val="333333"/>
                <w:sz w:val="20"/>
                <w:szCs w:val="20"/>
              </w:rPr>
              <w:t>Must be treated by a general practitioner in consultation with a neurologist</w:t>
            </w:r>
          </w:p>
        </w:tc>
      </w:tr>
      <w:tr w:rsidR="000212CD" w14:paraId="7C781704"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1007FC"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0F4FE1"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5ADD76F3"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6180212"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142BB5" w14:textId="77777777" w:rsidR="000212CD" w:rsidRDefault="000212CD" w:rsidP="00BE12C1">
            <w:pPr>
              <w:rPr>
                <w:rFonts w:ascii="Arial Narrow" w:hAnsi="Arial Narrow"/>
                <w:b/>
                <w:bCs/>
                <w:color w:val="333333"/>
                <w:sz w:val="20"/>
                <w:szCs w:val="20"/>
              </w:rPr>
            </w:pPr>
            <w:r>
              <w:rPr>
                <w:rFonts w:ascii="Arial Narrow" w:hAnsi="Arial Narrow"/>
                <w:b/>
                <w:sz w:val="20"/>
                <w:szCs w:val="20"/>
              </w:rPr>
              <w:t>Treatment criteria:</w:t>
            </w:r>
          </w:p>
        </w:tc>
      </w:tr>
      <w:tr w:rsidR="000212CD" w14:paraId="5B99C3E6"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292AF5" w14:textId="622486B0"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1F250" w14:textId="77777777" w:rsidR="000212CD" w:rsidRDefault="000212CD" w:rsidP="00BE12C1">
            <w:pPr>
              <w:rPr>
                <w:rFonts w:ascii="Arial Narrow" w:hAnsi="Arial Narrow"/>
                <w:color w:val="333333"/>
                <w:sz w:val="20"/>
                <w:szCs w:val="20"/>
              </w:rPr>
            </w:pPr>
            <w:r>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0212CD" w14:paraId="11D394FC"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6F9630D"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59A31F"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333FA090"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074E47"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52E59E" w14:textId="77777777" w:rsidR="000212CD" w:rsidRDefault="000212CD" w:rsidP="00BE12C1">
            <w:pPr>
              <w:rPr>
                <w:rFonts w:ascii="Arial Narrow" w:hAnsi="Arial Narrow"/>
                <w:b/>
                <w:sz w:val="20"/>
                <w:szCs w:val="20"/>
              </w:rPr>
            </w:pPr>
            <w:r>
              <w:rPr>
                <w:rFonts w:ascii="Arial Narrow" w:hAnsi="Arial Narrow"/>
                <w:b/>
                <w:sz w:val="20"/>
                <w:szCs w:val="20"/>
              </w:rPr>
              <w:t>Clinical criteria:</w:t>
            </w:r>
          </w:p>
        </w:tc>
      </w:tr>
      <w:tr w:rsidR="000212CD" w14:paraId="426F7CB8"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FF76B3" w14:textId="2E4FF0FE" w:rsidR="000212CD" w:rsidRDefault="000212CD" w:rsidP="00BE12C1">
            <w:pPr>
              <w:jc w:val="center"/>
              <w:rPr>
                <w:rFonts w:ascii="Arial Narrow" w:hAnsi="Arial Narrow"/>
                <w:color w:val="333333"/>
                <w:sz w:val="20"/>
                <w:szCs w:val="20"/>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798852" w14:textId="77777777" w:rsidR="000212CD" w:rsidRDefault="000212CD" w:rsidP="00BE12C1">
            <w:pPr>
              <w:rPr>
                <w:rFonts w:ascii="Arial Narrow" w:hAnsi="Arial Narrow"/>
                <w:b/>
                <w:bCs/>
                <w:color w:val="333333"/>
                <w:sz w:val="20"/>
                <w:szCs w:val="20"/>
                <w:highlight w:val="yellow"/>
              </w:rPr>
            </w:pPr>
            <w:r>
              <w:rPr>
                <w:rFonts w:ascii="Arial Narrow" w:hAnsi="Arial Narrow"/>
                <w:color w:val="333333"/>
                <w:sz w:val="20"/>
                <w:szCs w:val="20"/>
              </w:rPr>
              <w:t>Patient must have previously received PBS-subsidised treatment with this drug for this condition</w:t>
            </w:r>
          </w:p>
        </w:tc>
      </w:tr>
      <w:tr w:rsidR="000212CD" w14:paraId="58D16565"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106AE5"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E1BB0A"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61F4861F"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BA9C8"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1D528B" w14:textId="77777777" w:rsidR="000212CD" w:rsidRDefault="000212CD" w:rsidP="00BE12C1">
            <w:pPr>
              <w:rPr>
                <w:rFonts w:ascii="Arial Narrow" w:hAnsi="Arial Narrow"/>
                <w:b/>
                <w:bCs/>
                <w:color w:val="333333"/>
                <w:sz w:val="20"/>
                <w:szCs w:val="20"/>
              </w:rPr>
            </w:pPr>
            <w:r>
              <w:rPr>
                <w:rFonts w:ascii="Arial Narrow" w:hAnsi="Arial Narrow"/>
                <w:b/>
                <w:sz w:val="20"/>
                <w:szCs w:val="20"/>
              </w:rPr>
              <w:t>Clinical criteria:</w:t>
            </w:r>
          </w:p>
        </w:tc>
      </w:tr>
      <w:tr w:rsidR="000212CD" w14:paraId="53B26AAA"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CCA351D" w14:textId="1D7FC36E"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64A247" w14:textId="0C75EA0B" w:rsidR="000212CD" w:rsidRDefault="000212CD" w:rsidP="00BE12C1">
            <w:pPr>
              <w:rPr>
                <w:rFonts w:ascii="Arial Narrow" w:hAnsi="Arial Narrow"/>
                <w:color w:val="333333"/>
                <w:sz w:val="20"/>
                <w:szCs w:val="20"/>
              </w:rPr>
            </w:pPr>
            <w:r>
              <w:rPr>
                <w:rFonts w:ascii="Arial Narrow" w:hAnsi="Arial Narrow"/>
                <w:color w:val="333333"/>
                <w:sz w:val="20"/>
                <w:szCs w:val="20"/>
              </w:rPr>
              <w:t xml:space="preserve">Patient must have achieved and </w:t>
            </w:r>
            <w:r w:rsidRPr="00D14679">
              <w:rPr>
                <w:rFonts w:ascii="Arial Narrow" w:hAnsi="Arial Narrow"/>
                <w:color w:val="333333"/>
                <w:sz w:val="20"/>
                <w:szCs w:val="20"/>
              </w:rPr>
              <w:t>maintained a</w:t>
            </w:r>
            <w:r w:rsidR="00581BBC" w:rsidRPr="00D14679">
              <w:rPr>
                <w:rFonts w:ascii="Arial Narrow" w:hAnsi="Arial Narrow"/>
                <w:color w:val="333333"/>
                <w:sz w:val="20"/>
                <w:szCs w:val="20"/>
              </w:rPr>
              <w:t xml:space="preserve">t </w:t>
            </w:r>
            <w:r w:rsidR="00581BBC" w:rsidRPr="00D14679">
              <w:rPr>
                <w:rFonts w:ascii="Arial Narrow" w:hAnsi="Arial Narrow"/>
                <w:i/>
                <w:iCs/>
                <w:color w:val="333333"/>
                <w:sz w:val="20"/>
                <w:szCs w:val="20"/>
              </w:rPr>
              <w:t>least 50%</w:t>
            </w:r>
            <w:r w:rsidRPr="00D14679">
              <w:rPr>
                <w:rFonts w:ascii="Arial Narrow" w:hAnsi="Arial Narrow"/>
                <w:color w:val="333333"/>
                <w:sz w:val="20"/>
                <w:szCs w:val="20"/>
              </w:rPr>
              <w:t xml:space="preserve"> </w:t>
            </w:r>
            <w:r w:rsidRPr="00D14679">
              <w:rPr>
                <w:rFonts w:ascii="Arial Narrow" w:hAnsi="Arial Narrow"/>
                <w:strike/>
                <w:color w:val="333333"/>
                <w:sz w:val="20"/>
                <w:szCs w:val="20"/>
              </w:rPr>
              <w:t>50% or greater</w:t>
            </w:r>
            <w:r w:rsidRPr="00D14679">
              <w:rPr>
                <w:rFonts w:ascii="Arial Narrow" w:hAnsi="Arial Narrow"/>
                <w:color w:val="333333"/>
                <w:sz w:val="20"/>
                <w:szCs w:val="20"/>
              </w:rPr>
              <w:t xml:space="preserve"> reduction from baseline in the number of migraine </w:t>
            </w:r>
            <w:r w:rsidR="00626DAB" w:rsidRPr="00D14679">
              <w:rPr>
                <w:rFonts w:ascii="Arial Narrow" w:hAnsi="Arial Narrow"/>
                <w:color w:val="333333"/>
                <w:sz w:val="20"/>
                <w:szCs w:val="20"/>
              </w:rPr>
              <w:t xml:space="preserve">headache </w:t>
            </w:r>
            <w:r w:rsidRPr="00D14679">
              <w:rPr>
                <w:rFonts w:ascii="Arial Narrow" w:hAnsi="Arial Narrow"/>
                <w:color w:val="333333"/>
                <w:sz w:val="20"/>
                <w:szCs w:val="20"/>
              </w:rPr>
              <w:t>days per month</w:t>
            </w:r>
          </w:p>
        </w:tc>
      </w:tr>
      <w:tr w:rsidR="000212CD" w14:paraId="53A37F28"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B2D2BF"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4BE52B"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45982134"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25207E2"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054796" w14:textId="77777777" w:rsidR="000212CD" w:rsidRDefault="000212CD" w:rsidP="00BE12C1">
            <w:pPr>
              <w:rPr>
                <w:rFonts w:ascii="Arial Narrow" w:hAnsi="Arial Narrow"/>
                <w:b/>
                <w:bCs/>
                <w:color w:val="333333"/>
                <w:sz w:val="20"/>
                <w:szCs w:val="20"/>
              </w:rPr>
            </w:pPr>
            <w:r>
              <w:rPr>
                <w:rFonts w:ascii="Arial Narrow" w:hAnsi="Arial Narrow"/>
                <w:b/>
                <w:sz w:val="20"/>
                <w:szCs w:val="20"/>
              </w:rPr>
              <w:t>Clinical criteria:</w:t>
            </w:r>
          </w:p>
        </w:tc>
      </w:tr>
      <w:tr w:rsidR="000212CD" w14:paraId="2C23157B" w14:textId="77777777" w:rsidTr="00DC6E2E">
        <w:trPr>
          <w:trHeight w:val="373"/>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3EAE51" w14:textId="497913A0"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B23EE2" w14:textId="77777777" w:rsidR="000212CD" w:rsidRDefault="000212CD" w:rsidP="00BE12C1">
            <w:pPr>
              <w:rPr>
                <w:rFonts w:ascii="Arial Narrow" w:hAnsi="Arial Narrow"/>
                <w:color w:val="333333"/>
                <w:sz w:val="20"/>
                <w:szCs w:val="20"/>
              </w:rPr>
            </w:pPr>
            <w:r>
              <w:rPr>
                <w:rFonts w:ascii="Arial Narrow" w:hAnsi="Arial Narrow"/>
                <w:color w:val="333333"/>
                <w:sz w:val="20"/>
                <w:szCs w:val="20"/>
              </w:rPr>
              <w:t>Patient must continue to be appropriately managed for medication overuse headache</w:t>
            </w:r>
          </w:p>
        </w:tc>
      </w:tr>
      <w:tr w:rsidR="000212CD" w14:paraId="38079160"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F8C32"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9227A4"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AND</w:t>
            </w:r>
          </w:p>
        </w:tc>
      </w:tr>
      <w:tr w:rsidR="000212CD" w14:paraId="4B925AA1" w14:textId="77777777" w:rsidTr="034BE327">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60DEB4" w14:textId="77777777"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4C562A" w14:textId="77777777" w:rsidR="000212CD" w:rsidRDefault="000212CD" w:rsidP="00BE12C1">
            <w:pPr>
              <w:rPr>
                <w:rFonts w:ascii="Arial Narrow" w:hAnsi="Arial Narrow"/>
                <w:b/>
                <w:bCs/>
                <w:color w:val="333333"/>
                <w:sz w:val="20"/>
                <w:szCs w:val="20"/>
              </w:rPr>
            </w:pPr>
            <w:r>
              <w:rPr>
                <w:rFonts w:ascii="Arial Narrow" w:hAnsi="Arial Narrow"/>
                <w:b/>
                <w:bCs/>
                <w:color w:val="333333"/>
                <w:sz w:val="20"/>
                <w:szCs w:val="20"/>
              </w:rPr>
              <w:t>Prescribing instructions:</w:t>
            </w:r>
          </w:p>
        </w:tc>
      </w:tr>
      <w:tr w:rsidR="000212CD" w14:paraId="12604C2E" w14:textId="77777777" w:rsidTr="00DC6E2E">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ABB65E" w14:textId="2558FF7A" w:rsidR="000212CD" w:rsidRDefault="000212CD" w:rsidP="00BE12C1">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8012DB" w14:textId="11A07409" w:rsidR="000212CD" w:rsidRDefault="000212CD" w:rsidP="00BE12C1">
            <w:pPr>
              <w:rPr>
                <w:rFonts w:ascii="Arial Narrow" w:hAnsi="Arial Narrow"/>
                <w:b/>
                <w:bCs/>
                <w:color w:val="333333"/>
                <w:sz w:val="20"/>
                <w:szCs w:val="20"/>
              </w:rPr>
            </w:pPr>
            <w:r>
              <w:rPr>
                <w:rFonts w:ascii="Arial Narrow" w:hAnsi="Arial Narrow"/>
                <w:color w:val="333333"/>
                <w:sz w:val="20"/>
                <w:szCs w:val="20"/>
              </w:rPr>
              <w:t xml:space="preserve">Patient must have the number of migraine </w:t>
            </w:r>
            <w:r w:rsidR="00C6393F" w:rsidRPr="00C607D5">
              <w:rPr>
                <w:rFonts w:ascii="Arial Narrow" w:hAnsi="Arial Narrow"/>
                <w:i/>
                <w:iCs/>
                <w:color w:val="333333"/>
                <w:sz w:val="20"/>
                <w:szCs w:val="20"/>
              </w:rPr>
              <w:t>headache</w:t>
            </w:r>
            <w:r w:rsidR="00C6393F" w:rsidRPr="00577DA0">
              <w:rPr>
                <w:rFonts w:ascii="Arial Narrow" w:hAnsi="Arial Narrow"/>
                <w:color w:val="333333"/>
                <w:sz w:val="20"/>
                <w:szCs w:val="20"/>
              </w:rPr>
              <w:t xml:space="preserve"> </w:t>
            </w:r>
            <w:r>
              <w:rPr>
                <w:rFonts w:ascii="Arial Narrow" w:hAnsi="Arial Narrow"/>
                <w:color w:val="333333"/>
                <w:sz w:val="20"/>
                <w:szCs w:val="20"/>
              </w:rPr>
              <w:t>days per month documented in their medical records.</w:t>
            </w:r>
          </w:p>
        </w:tc>
      </w:tr>
    </w:tbl>
    <w:bookmarkEnd w:id="86"/>
    <w:p w14:paraId="59AF3667" w14:textId="77777777" w:rsidR="00D14679" w:rsidRDefault="00D14679" w:rsidP="00370D40">
      <w:pPr>
        <w:pStyle w:val="3Bodytext"/>
        <w:spacing w:before="240"/>
        <w:ind w:left="0" w:firstLine="0"/>
        <w:rPr>
          <w:snapToGrid w:val="0"/>
        </w:rPr>
      </w:pPr>
      <w:r>
        <w:rPr>
          <w:rFonts w:cs="Arial"/>
          <w:b/>
          <w:i/>
        </w:rPr>
        <w:t>This restriction may be subject to further review. Should there be any changes made to the restriction the Sponsor will be informed.</w:t>
      </w:r>
    </w:p>
    <w:p w14:paraId="69FD5171" w14:textId="403F131F" w:rsidR="00DC6E2E" w:rsidRDefault="00DC6E2E" w:rsidP="00DC6E2E">
      <w:pPr>
        <w:pStyle w:val="2-SectionHeading"/>
        <w:rPr>
          <w:bCs/>
          <w:lang w:val="en-GB"/>
        </w:rPr>
      </w:pPr>
      <w:r w:rsidRPr="00DC6E2E">
        <w:rPr>
          <w:bCs/>
          <w:lang w:val="en-GB"/>
        </w:rPr>
        <w:t>Context for Decision</w:t>
      </w:r>
    </w:p>
    <w:p w14:paraId="362A45DA" w14:textId="77777777" w:rsidR="00DC6E2E" w:rsidRPr="007129F2" w:rsidRDefault="00DC6E2E" w:rsidP="00DC6E2E">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EC681F5" w14:textId="3F5F25EF" w:rsidR="00DC6E2E" w:rsidRPr="00DC6E2E" w:rsidRDefault="00DC6E2E" w:rsidP="00DC6E2E">
      <w:pPr>
        <w:pStyle w:val="2-SectionHeading"/>
        <w:rPr>
          <w:bCs/>
          <w:lang w:val="en-GB"/>
        </w:rPr>
      </w:pPr>
      <w:r w:rsidRPr="00DC6E2E">
        <w:rPr>
          <w:bCs/>
          <w:lang w:val="en-GB"/>
        </w:rPr>
        <w:t>Sponsor’s Comment</w:t>
      </w:r>
    </w:p>
    <w:p w14:paraId="3885243E" w14:textId="77777777" w:rsidR="00DC6E2E" w:rsidRPr="001179AC" w:rsidRDefault="00DC6E2E" w:rsidP="00DC6E2E">
      <w:pPr>
        <w:spacing w:after="120"/>
        <w:ind w:left="426" w:firstLine="294"/>
        <w:rPr>
          <w:rFonts w:asciiTheme="minorHAnsi" w:hAnsiTheme="minorHAnsi"/>
          <w:bCs/>
        </w:rPr>
      </w:pPr>
      <w:r w:rsidRPr="00C07617">
        <w:rPr>
          <w:rFonts w:asciiTheme="minorHAnsi" w:hAnsiTheme="minorHAnsi"/>
          <w:bCs/>
        </w:rPr>
        <w:t>The sponsor had no comment.</w:t>
      </w:r>
    </w:p>
    <w:p w14:paraId="18EA3AA6" w14:textId="15063E10" w:rsidR="00683FF6" w:rsidRDefault="00683FF6">
      <w:pPr>
        <w:jc w:val="left"/>
        <w:rPr>
          <w:rFonts w:asciiTheme="minorHAnsi" w:hAnsiTheme="minorHAnsi"/>
          <w:snapToGrid w:val="0"/>
        </w:rPr>
      </w:pPr>
      <w:r>
        <w:rPr>
          <w:rFonts w:asciiTheme="minorHAnsi" w:hAnsiTheme="minorHAnsi"/>
          <w:snapToGrid w:val="0"/>
        </w:rPr>
        <w:br w:type="page"/>
      </w:r>
    </w:p>
    <w:p w14:paraId="16F54790" w14:textId="77030DE0" w:rsidR="00683FF6" w:rsidRDefault="00683FF6" w:rsidP="00683FF6">
      <w:pPr>
        <w:pStyle w:val="1MainTitle"/>
        <w:ind w:left="0" w:firstLine="0"/>
        <w:jc w:val="left"/>
        <w:rPr>
          <w:rFonts w:eastAsia="Calibri"/>
          <w:color w:val="FF0000"/>
          <w:sz w:val="28"/>
          <w:szCs w:val="28"/>
        </w:rPr>
      </w:pPr>
      <w:r w:rsidRPr="00FB5EAE">
        <w:rPr>
          <w:rFonts w:eastAsia="Calibri"/>
          <w:color w:val="FF0000"/>
          <w:sz w:val="28"/>
          <w:szCs w:val="28"/>
        </w:rPr>
        <w:lastRenderedPageBreak/>
        <w:t xml:space="preserve">Addendum to the November 2022 PBAC </w:t>
      </w:r>
      <w:r>
        <w:rPr>
          <w:rFonts w:eastAsia="Calibri"/>
          <w:color w:val="FF0000"/>
          <w:sz w:val="28"/>
          <w:szCs w:val="28"/>
        </w:rPr>
        <w:t>Public Summary Document</w:t>
      </w:r>
      <w:r w:rsidRPr="00FB5EAE">
        <w:rPr>
          <w:rFonts w:eastAsia="Calibri"/>
          <w:color w:val="FF0000"/>
          <w:sz w:val="28"/>
          <w:szCs w:val="28"/>
        </w:rPr>
        <w:t>:</w:t>
      </w:r>
    </w:p>
    <w:p w14:paraId="086B9216" w14:textId="77777777" w:rsidR="00683FF6" w:rsidRPr="00FB5EAE" w:rsidRDefault="00683FF6" w:rsidP="00683FF6">
      <w:pPr>
        <w:pStyle w:val="2-SectionHeading"/>
        <w:numPr>
          <w:ilvl w:val="0"/>
          <w:numId w:val="1"/>
        </w:numPr>
      </w:pPr>
      <w:r w:rsidRPr="00FB5EAE">
        <w:t>Background</w:t>
      </w:r>
    </w:p>
    <w:p w14:paraId="21D00593" w14:textId="77777777" w:rsidR="00683FF6" w:rsidRPr="00FB5EAE" w:rsidRDefault="00683FF6" w:rsidP="00683FF6">
      <w:pPr>
        <w:pStyle w:val="3-BodyText"/>
      </w:pPr>
      <w:r w:rsidRPr="00FB5EAE">
        <w:rPr>
          <w:lang w:eastAsia="en-US"/>
        </w:rPr>
        <w:t>At its November 2022 meeting, the PBAC recommended amending the current listing of fremanezumab for chronic migraine to include</w:t>
      </w:r>
      <w:r w:rsidRPr="00FB5EAE">
        <w:t xml:space="preserve"> </w:t>
      </w:r>
      <w:r w:rsidRPr="00FB5EAE">
        <w:rPr>
          <w:rFonts w:ascii="Calibri" w:hAnsi="Calibri"/>
          <w:snapToGrid/>
        </w:rPr>
        <w:t>the treatment of patients with treatment-resistant high frequency episodic migraine (HFEM).</w:t>
      </w:r>
    </w:p>
    <w:p w14:paraId="447298FE" w14:textId="77777777" w:rsidR="00683FF6" w:rsidRPr="00FB5EAE" w:rsidRDefault="00683FF6" w:rsidP="00683FF6">
      <w:pPr>
        <w:pStyle w:val="3-BodyText"/>
      </w:pPr>
      <w:r w:rsidRPr="00FB5EAE">
        <w:t xml:space="preserve">The PBAC recommended a listing with a maximum quantity of one 225 mg pre-filled syringe (or autoinjector pen) with two repeats under the initial treatment restriction, providing up to 3 months of treatment for the monthly dosing regimen. For the continuing treatment restriction, the PBAC recommended a maximum quantity of three 225 mg pre-filled syringes (or autoinjector pens) with one repeat, as requested in the submission, providing up to 6 months of treatment for the quarterly dosing regimen. The initial criteria were consistent with the current fremanezumab listing for chronic migraine, and the continuing criteria were consistent with a recommendation made by the PBAC in March 2022 for fremanezumab for quarterly dosing. </w:t>
      </w:r>
    </w:p>
    <w:p w14:paraId="7B6411C6" w14:textId="77777777" w:rsidR="00683FF6" w:rsidRPr="00FB5EAE" w:rsidRDefault="00683FF6" w:rsidP="00683FF6">
      <w:pPr>
        <w:pStyle w:val="3-BodyText"/>
      </w:pPr>
      <w:proofErr w:type="gramStart"/>
      <w:r w:rsidRPr="00FB5EAE">
        <w:t>Subsequent to</w:t>
      </w:r>
      <w:proofErr w:type="gramEnd"/>
      <w:r w:rsidRPr="00FB5EAE">
        <w:t xml:space="preserve"> the November 2022 meeting, the sponsor indicated that at this stage, they will not be progressing with the March 2022 quarterly dosing recommendation but </w:t>
      </w:r>
      <w:r>
        <w:t xml:space="preserve">wish </w:t>
      </w:r>
      <w:r w:rsidRPr="00FB5EAE">
        <w:t xml:space="preserve">to progress a listing for treatment-resistant migraine with the monthly dosing regimen for initial and continuing treatment. </w:t>
      </w:r>
    </w:p>
    <w:p w14:paraId="490AE066" w14:textId="77777777" w:rsidR="00683FF6" w:rsidRPr="00FB5EAE" w:rsidRDefault="00683FF6" w:rsidP="00683FF6">
      <w:pPr>
        <w:pStyle w:val="3-BodyText"/>
        <w:rPr>
          <w:snapToGrid/>
        </w:rPr>
      </w:pPr>
      <w:r>
        <w:rPr>
          <w:snapToGrid/>
        </w:rPr>
        <w:t xml:space="preserve">The PBAC previously considered fremanezumab would </w:t>
      </w:r>
      <w:r w:rsidRPr="00E05F75">
        <w:rPr>
          <w:snapToGrid/>
        </w:rPr>
        <w:t xml:space="preserve">be cost-effective for the HFEM population at a price no higher than the effective price for fremanezumab for patients with chronic migraine. </w:t>
      </w:r>
      <w:r w:rsidRPr="00FB5EAE">
        <w:rPr>
          <w:snapToGrid/>
        </w:rPr>
        <w:t>The listing of a monthly dosing regimen under the continuing treatment criteria will have no impact on the e</w:t>
      </w:r>
      <w:r>
        <w:rPr>
          <w:snapToGrid/>
        </w:rPr>
        <w:t>ffective</w:t>
      </w:r>
      <w:r w:rsidRPr="00FB5EAE">
        <w:rPr>
          <w:snapToGrid/>
        </w:rPr>
        <w:t xml:space="preserve"> price of fremanezumab but will increase the number of scripts required for patients in the continuing treatment phase</w:t>
      </w:r>
      <w:r>
        <w:rPr>
          <w:snapToGrid/>
        </w:rPr>
        <w:t xml:space="preserve"> hence would be expected to result in a small de</w:t>
      </w:r>
      <w:r>
        <w:t xml:space="preserve">crease in the cost to the </w:t>
      </w:r>
      <w:r>
        <w:rPr>
          <w:snapToGrid/>
        </w:rPr>
        <w:t xml:space="preserve">government compared to quarterly dosing. </w:t>
      </w:r>
    </w:p>
    <w:p w14:paraId="414F927B" w14:textId="77777777" w:rsidR="00683FF6" w:rsidRPr="00FB5EAE" w:rsidRDefault="00683FF6" w:rsidP="00683FF6">
      <w:pPr>
        <w:pStyle w:val="2-SectionHeading"/>
        <w:numPr>
          <w:ilvl w:val="0"/>
          <w:numId w:val="1"/>
        </w:numPr>
      </w:pPr>
      <w:r w:rsidRPr="00FB5EAE">
        <w:t>PBAC outcome</w:t>
      </w:r>
    </w:p>
    <w:p w14:paraId="24B341F7" w14:textId="3F972DA5" w:rsidR="00683FF6" w:rsidRDefault="00683FF6" w:rsidP="00683FF6">
      <w:pPr>
        <w:pStyle w:val="3-BodyText"/>
        <w:rPr>
          <w:snapToGrid/>
        </w:rPr>
      </w:pPr>
      <w:r w:rsidRPr="00FB5EAE">
        <w:rPr>
          <w:snapToGrid/>
        </w:rPr>
        <w:t xml:space="preserve">The PBAC advised fremanezumab could be listed </w:t>
      </w:r>
      <w:r>
        <w:rPr>
          <w:snapToGrid/>
        </w:rPr>
        <w:t xml:space="preserve">in the continuing treatment phase </w:t>
      </w:r>
      <w:r w:rsidRPr="006D313C">
        <w:rPr>
          <w:snapToGrid/>
        </w:rPr>
        <w:t>for</w:t>
      </w:r>
      <w:r>
        <w:rPr>
          <w:snapToGrid/>
        </w:rPr>
        <w:t xml:space="preserve"> either </w:t>
      </w:r>
      <w:r w:rsidRPr="006D313C">
        <w:rPr>
          <w:snapToGrid/>
        </w:rPr>
        <w:t>the quarterly d</w:t>
      </w:r>
      <w:r>
        <w:rPr>
          <w:snapToGrid/>
        </w:rPr>
        <w:t>ispensing</w:t>
      </w:r>
      <w:r w:rsidRPr="006D313C">
        <w:rPr>
          <w:snapToGrid/>
        </w:rPr>
        <w:t xml:space="preserve"> regimen, with maximum quantity </w:t>
      </w:r>
      <w:r>
        <w:rPr>
          <w:snapToGrid/>
        </w:rPr>
        <w:t xml:space="preserve">units </w:t>
      </w:r>
      <w:r w:rsidRPr="006D313C">
        <w:rPr>
          <w:snapToGrid/>
        </w:rPr>
        <w:t>of three</w:t>
      </w:r>
      <w:r>
        <w:rPr>
          <w:snapToGrid/>
        </w:rPr>
        <w:t xml:space="preserve"> autoinjector pens</w:t>
      </w:r>
      <w:r w:rsidRPr="006D313C">
        <w:rPr>
          <w:snapToGrid/>
        </w:rPr>
        <w:t xml:space="preserve">/ syringes and one repeat, </w:t>
      </w:r>
      <w:r>
        <w:rPr>
          <w:snapToGrid/>
        </w:rPr>
        <w:t xml:space="preserve">or </w:t>
      </w:r>
      <w:r w:rsidRPr="006D313C">
        <w:rPr>
          <w:snapToGrid/>
        </w:rPr>
        <w:t>for the monthly d</w:t>
      </w:r>
      <w:r>
        <w:rPr>
          <w:snapToGrid/>
        </w:rPr>
        <w:t>ispensing</w:t>
      </w:r>
      <w:r w:rsidRPr="006D313C">
        <w:rPr>
          <w:snapToGrid/>
        </w:rPr>
        <w:t xml:space="preserve"> regimen, with maximum quantity </w:t>
      </w:r>
      <w:r>
        <w:rPr>
          <w:snapToGrid/>
        </w:rPr>
        <w:t xml:space="preserve">units </w:t>
      </w:r>
      <w:r w:rsidRPr="006D313C">
        <w:rPr>
          <w:snapToGrid/>
        </w:rPr>
        <w:t xml:space="preserve">of one </w:t>
      </w:r>
      <w:r>
        <w:rPr>
          <w:snapToGrid/>
        </w:rPr>
        <w:t>autoinjector pen</w:t>
      </w:r>
      <w:r w:rsidRPr="006D313C">
        <w:rPr>
          <w:snapToGrid/>
        </w:rPr>
        <w:t>/ syringe with five repeats.</w:t>
      </w:r>
    </w:p>
    <w:p w14:paraId="0BF66CF0" w14:textId="77777777" w:rsidR="00683FF6" w:rsidRDefault="00683FF6" w:rsidP="00683FF6">
      <w:pPr>
        <w:pStyle w:val="3-BodyText"/>
        <w:numPr>
          <w:ilvl w:val="0"/>
          <w:numId w:val="0"/>
        </w:numPr>
        <w:rPr>
          <w:snapToGrid/>
        </w:rPr>
      </w:pPr>
      <w:r w:rsidRPr="00357AF8">
        <w:rPr>
          <w:b/>
          <w:bCs/>
          <w:snapToGrid/>
        </w:rPr>
        <w:t>Outcome:</w:t>
      </w:r>
      <w:r>
        <w:rPr>
          <w:snapToGrid/>
        </w:rPr>
        <w:t xml:space="preserve"> </w:t>
      </w:r>
    </w:p>
    <w:p w14:paraId="07BDDC41" w14:textId="77777777" w:rsidR="00683FF6" w:rsidRPr="006D313C" w:rsidRDefault="00683FF6" w:rsidP="00683FF6">
      <w:pPr>
        <w:pStyle w:val="3-BodyText"/>
        <w:numPr>
          <w:ilvl w:val="0"/>
          <w:numId w:val="0"/>
        </w:numPr>
        <w:rPr>
          <w:snapToGrid/>
        </w:rPr>
      </w:pPr>
      <w:r>
        <w:rPr>
          <w:snapToGrid/>
        </w:rPr>
        <w:t>Recommended</w:t>
      </w:r>
    </w:p>
    <w:p w14:paraId="19B74B69" w14:textId="77777777" w:rsidR="00683FF6" w:rsidRPr="00FB5EAE" w:rsidRDefault="00683FF6" w:rsidP="00683FF6">
      <w:pPr>
        <w:pStyle w:val="2-SectionHeading"/>
        <w:numPr>
          <w:ilvl w:val="0"/>
          <w:numId w:val="1"/>
        </w:numPr>
        <w:rPr>
          <w:bCs/>
          <w:iCs/>
        </w:rPr>
      </w:pPr>
      <w:r w:rsidRPr="00FB5EAE">
        <w:rPr>
          <w:bCs/>
        </w:rPr>
        <w:t xml:space="preserve">Recommended </w:t>
      </w:r>
      <w:proofErr w:type="gramStart"/>
      <w:r w:rsidRPr="00FB5EAE">
        <w:rPr>
          <w:bCs/>
        </w:rPr>
        <w:t>listing</w:t>
      </w:r>
      <w:proofErr w:type="gramEnd"/>
    </w:p>
    <w:p w14:paraId="27D4AB8D" w14:textId="77777777" w:rsidR="00683FF6" w:rsidRPr="00FB5EAE" w:rsidRDefault="00683FF6" w:rsidP="00683FF6">
      <w:pPr>
        <w:pStyle w:val="3-BodyText"/>
        <w:rPr>
          <w:b/>
          <w:bCs/>
        </w:rPr>
      </w:pPr>
      <w:r w:rsidRPr="00FB5EAE">
        <w:rPr>
          <w:bCs/>
        </w:rPr>
        <w:t>Amend existing listing as follows: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857"/>
        <w:gridCol w:w="708"/>
        <w:gridCol w:w="1694"/>
      </w:tblGrid>
      <w:tr w:rsidR="00683FF6" w:rsidRPr="00FB5EAE" w14:paraId="098740D3"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24C600BD" w14:textId="77777777" w:rsidR="00683FF6" w:rsidRPr="00FB5EAE" w:rsidRDefault="00683FF6" w:rsidP="00D030F8">
            <w:pPr>
              <w:pStyle w:val="TableText0"/>
              <w:rPr>
                <w:snapToGrid w:val="0"/>
              </w:rPr>
            </w:pPr>
            <w:r w:rsidRPr="00FB5EAE">
              <w:rPr>
                <w:snapToGrid w:val="0"/>
              </w:rPr>
              <w:lastRenderedPageBreak/>
              <w:t>MEDICINAL PRODUCT</w:t>
            </w:r>
          </w:p>
          <w:p w14:paraId="5B171532" w14:textId="77777777" w:rsidR="00683FF6" w:rsidRPr="00FB5EAE" w:rsidRDefault="00683FF6" w:rsidP="00D030F8">
            <w:pPr>
              <w:pStyle w:val="TableText0"/>
              <w:rPr>
                <w:snapToGrid w:val="0"/>
              </w:rPr>
            </w:pPr>
            <w:r w:rsidRPr="00FB5EAE">
              <w:rPr>
                <w:snapToGrid w:val="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1F950465" w14:textId="77777777" w:rsidR="00683FF6" w:rsidRPr="00FB5EAE" w:rsidRDefault="00683FF6" w:rsidP="00D030F8">
            <w:pPr>
              <w:pStyle w:val="TableText0"/>
            </w:pPr>
            <w:r w:rsidRPr="00FB5EAE">
              <w:t>PBS item code</w:t>
            </w:r>
          </w:p>
        </w:tc>
        <w:tc>
          <w:tcPr>
            <w:tcW w:w="849" w:type="dxa"/>
            <w:tcBorders>
              <w:top w:val="single" w:sz="4" w:space="0" w:color="auto"/>
              <w:left w:val="single" w:sz="4" w:space="0" w:color="auto"/>
              <w:bottom w:val="single" w:sz="4" w:space="0" w:color="auto"/>
              <w:right w:val="single" w:sz="4" w:space="0" w:color="auto"/>
            </w:tcBorders>
            <w:hideMark/>
          </w:tcPr>
          <w:p w14:paraId="32D65961" w14:textId="77777777" w:rsidR="00683FF6" w:rsidRPr="00FB5EAE" w:rsidRDefault="00683FF6" w:rsidP="00D030F8">
            <w:pPr>
              <w:pStyle w:val="TableText0"/>
            </w:pPr>
            <w:r w:rsidRPr="00FB5EAE">
              <w:t>Max. qty packs</w:t>
            </w:r>
          </w:p>
        </w:tc>
        <w:tc>
          <w:tcPr>
            <w:tcW w:w="857" w:type="dxa"/>
            <w:tcBorders>
              <w:top w:val="single" w:sz="4" w:space="0" w:color="auto"/>
              <w:left w:val="single" w:sz="4" w:space="0" w:color="auto"/>
              <w:bottom w:val="single" w:sz="4" w:space="0" w:color="auto"/>
              <w:right w:val="single" w:sz="4" w:space="0" w:color="auto"/>
            </w:tcBorders>
            <w:hideMark/>
          </w:tcPr>
          <w:p w14:paraId="642FAB0A" w14:textId="77777777" w:rsidR="00683FF6" w:rsidRPr="00FB5EAE" w:rsidRDefault="00683FF6" w:rsidP="00D030F8">
            <w:pPr>
              <w:pStyle w:val="TableText0"/>
            </w:pPr>
            <w:r w:rsidRPr="00FB5EAE">
              <w:t>Max. qty units</w:t>
            </w:r>
          </w:p>
        </w:tc>
        <w:tc>
          <w:tcPr>
            <w:tcW w:w="708" w:type="dxa"/>
            <w:tcBorders>
              <w:top w:val="single" w:sz="4" w:space="0" w:color="auto"/>
              <w:left w:val="single" w:sz="4" w:space="0" w:color="auto"/>
              <w:bottom w:val="single" w:sz="4" w:space="0" w:color="auto"/>
              <w:right w:val="single" w:sz="4" w:space="0" w:color="auto"/>
            </w:tcBorders>
            <w:hideMark/>
          </w:tcPr>
          <w:p w14:paraId="13C17F71" w14:textId="77777777" w:rsidR="00683FF6" w:rsidRPr="00FB5EAE" w:rsidRDefault="00683FF6" w:rsidP="00D030F8">
            <w:pPr>
              <w:pStyle w:val="TableText0"/>
            </w:pPr>
            <w:proofErr w:type="gramStart"/>
            <w:r w:rsidRPr="00FB5EAE">
              <w:t>№.of</w:t>
            </w:r>
            <w:proofErr w:type="gramEnd"/>
          </w:p>
          <w:p w14:paraId="0142DF9B" w14:textId="77777777" w:rsidR="00683FF6" w:rsidRPr="00FB5EAE" w:rsidRDefault="00683FF6" w:rsidP="00D030F8">
            <w:pPr>
              <w:pStyle w:val="TableText0"/>
            </w:pPr>
            <w:r w:rsidRPr="00FB5EAE">
              <w:t>Rpts</w:t>
            </w:r>
          </w:p>
        </w:tc>
        <w:tc>
          <w:tcPr>
            <w:tcW w:w="1694" w:type="dxa"/>
            <w:tcBorders>
              <w:top w:val="single" w:sz="4" w:space="0" w:color="auto"/>
              <w:left w:val="single" w:sz="4" w:space="0" w:color="auto"/>
              <w:bottom w:val="single" w:sz="4" w:space="0" w:color="auto"/>
              <w:right w:val="single" w:sz="4" w:space="0" w:color="auto"/>
            </w:tcBorders>
            <w:hideMark/>
          </w:tcPr>
          <w:p w14:paraId="7D88F0B5" w14:textId="77777777" w:rsidR="00683FF6" w:rsidRPr="00FB5EAE" w:rsidRDefault="00683FF6" w:rsidP="00D030F8">
            <w:pPr>
              <w:pStyle w:val="TableText0"/>
            </w:pPr>
            <w:r w:rsidRPr="00FB5EAE">
              <w:t>Available brands</w:t>
            </w:r>
          </w:p>
        </w:tc>
      </w:tr>
      <w:tr w:rsidR="00683FF6" w:rsidRPr="00FB5EAE" w14:paraId="26133348" w14:textId="77777777" w:rsidTr="00D030F8">
        <w:trPr>
          <w:cantSplit/>
          <w:trHeight w:val="20"/>
        </w:trPr>
        <w:tc>
          <w:tcPr>
            <w:tcW w:w="9060" w:type="dxa"/>
            <w:gridSpan w:val="7"/>
            <w:tcBorders>
              <w:top w:val="single" w:sz="4" w:space="0" w:color="auto"/>
              <w:left w:val="single" w:sz="4" w:space="0" w:color="auto"/>
              <w:bottom w:val="single" w:sz="4" w:space="0" w:color="auto"/>
              <w:right w:val="single" w:sz="4" w:space="0" w:color="auto"/>
            </w:tcBorders>
            <w:hideMark/>
          </w:tcPr>
          <w:p w14:paraId="24CEA16A" w14:textId="77777777" w:rsidR="00683FF6" w:rsidRPr="00FB5EAE" w:rsidRDefault="00683FF6" w:rsidP="00D030F8">
            <w:pPr>
              <w:keepNext/>
              <w:ind w:left="-57"/>
              <w:rPr>
                <w:rFonts w:ascii="Arial Narrow" w:hAnsi="Arial Narrow"/>
                <w:sz w:val="20"/>
                <w:szCs w:val="20"/>
              </w:rPr>
            </w:pPr>
            <w:r w:rsidRPr="00FB5EAE">
              <w:rPr>
                <w:rFonts w:ascii="Arial Narrow" w:hAnsi="Arial Narrow"/>
                <w:sz w:val="20"/>
                <w:szCs w:val="20"/>
              </w:rPr>
              <w:t>FREMANEZUMAB</w:t>
            </w:r>
          </w:p>
        </w:tc>
      </w:tr>
      <w:tr w:rsidR="00683FF6" w:rsidRPr="00FB5EAE" w14:paraId="724D75B7"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49A3077B" w14:textId="77777777" w:rsidR="00683FF6" w:rsidRPr="00FB5EAE" w:rsidRDefault="00683FF6" w:rsidP="00D030F8">
            <w:pPr>
              <w:keepNext/>
              <w:ind w:left="-57"/>
              <w:rPr>
                <w:rFonts w:ascii="Arial Narrow" w:hAnsi="Arial Narrow"/>
                <w:sz w:val="20"/>
                <w:szCs w:val="20"/>
              </w:rPr>
            </w:pPr>
            <w:r w:rsidRPr="00FB5EAE">
              <w:rPr>
                <w:rFonts w:ascii="Arial Narrow" w:hAnsi="Arial Narrow"/>
                <w:sz w:val="20"/>
                <w:szCs w:val="20"/>
              </w:rPr>
              <w:t>fremanezumab 225 mg/1.5 mL injection, 1.5 mL pen device</w:t>
            </w:r>
          </w:p>
        </w:tc>
        <w:tc>
          <w:tcPr>
            <w:tcW w:w="992" w:type="dxa"/>
            <w:tcBorders>
              <w:top w:val="single" w:sz="4" w:space="0" w:color="auto"/>
              <w:left w:val="single" w:sz="4" w:space="0" w:color="auto"/>
              <w:bottom w:val="single" w:sz="4" w:space="0" w:color="auto"/>
              <w:right w:val="single" w:sz="4" w:space="0" w:color="auto"/>
            </w:tcBorders>
            <w:hideMark/>
          </w:tcPr>
          <w:p w14:paraId="0E62C79D"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13115G</w:t>
            </w:r>
          </w:p>
        </w:tc>
        <w:tc>
          <w:tcPr>
            <w:tcW w:w="849" w:type="dxa"/>
            <w:tcBorders>
              <w:top w:val="single" w:sz="4" w:space="0" w:color="auto"/>
              <w:left w:val="single" w:sz="4" w:space="0" w:color="auto"/>
              <w:bottom w:val="single" w:sz="4" w:space="0" w:color="auto"/>
              <w:right w:val="single" w:sz="4" w:space="0" w:color="auto"/>
            </w:tcBorders>
            <w:hideMark/>
          </w:tcPr>
          <w:p w14:paraId="7E9081E9"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w:t>
            </w:r>
          </w:p>
        </w:tc>
        <w:tc>
          <w:tcPr>
            <w:tcW w:w="857" w:type="dxa"/>
            <w:tcBorders>
              <w:top w:val="single" w:sz="4" w:space="0" w:color="auto"/>
              <w:left w:val="single" w:sz="4" w:space="0" w:color="auto"/>
              <w:bottom w:val="single" w:sz="4" w:space="0" w:color="auto"/>
              <w:right w:val="single" w:sz="4" w:space="0" w:color="auto"/>
            </w:tcBorders>
            <w:hideMark/>
          </w:tcPr>
          <w:p w14:paraId="08D4CA79"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66683D20"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2</w:t>
            </w:r>
          </w:p>
        </w:tc>
        <w:tc>
          <w:tcPr>
            <w:tcW w:w="1694" w:type="dxa"/>
            <w:tcBorders>
              <w:top w:val="single" w:sz="4" w:space="0" w:color="auto"/>
              <w:left w:val="single" w:sz="4" w:space="0" w:color="auto"/>
              <w:bottom w:val="single" w:sz="4" w:space="0" w:color="auto"/>
              <w:right w:val="single" w:sz="4" w:space="0" w:color="auto"/>
            </w:tcBorders>
            <w:hideMark/>
          </w:tcPr>
          <w:p w14:paraId="47FDE52B" w14:textId="77777777" w:rsidR="00683FF6" w:rsidRPr="00FB5EAE" w:rsidRDefault="00683FF6" w:rsidP="00D030F8">
            <w:pPr>
              <w:pStyle w:val="TableText0"/>
              <w:keepLines/>
              <w:rPr>
                <w:szCs w:val="20"/>
                <w:lang w:eastAsia="en-US"/>
              </w:rPr>
            </w:pPr>
            <w:r w:rsidRPr="00FB5EAE">
              <w:rPr>
                <w:szCs w:val="20"/>
              </w:rPr>
              <w:t xml:space="preserve">‘a’ </w:t>
            </w:r>
            <w:r w:rsidRPr="00FB5EAE">
              <w:rPr>
                <w:rFonts w:cs="Arial"/>
                <w:szCs w:val="20"/>
                <w:lang w:eastAsia="en-US"/>
              </w:rPr>
              <w:t>Ajovy</w:t>
            </w:r>
          </w:p>
        </w:tc>
      </w:tr>
      <w:tr w:rsidR="00683FF6" w:rsidRPr="00FB5EAE" w14:paraId="61310201"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20A9D82E" w14:textId="77777777" w:rsidR="00683FF6" w:rsidRPr="00FB5EAE" w:rsidRDefault="00683FF6" w:rsidP="00D030F8">
            <w:pPr>
              <w:keepNext/>
              <w:ind w:left="-57"/>
              <w:rPr>
                <w:rFonts w:ascii="Arial Narrow" w:hAnsi="Arial Narrow"/>
                <w:sz w:val="20"/>
                <w:szCs w:val="20"/>
                <w:lang w:eastAsia="en-US"/>
              </w:rPr>
            </w:pPr>
            <w:r w:rsidRPr="00FB5EAE">
              <w:rPr>
                <w:rFonts w:ascii="Arial Narrow" w:hAnsi="Arial Narrow"/>
                <w:sz w:val="20"/>
                <w:szCs w:val="20"/>
              </w:rPr>
              <w:t>fremanezumab 225 mg/1.5 mL injection, 1.5 mL syringe</w:t>
            </w:r>
          </w:p>
        </w:tc>
        <w:tc>
          <w:tcPr>
            <w:tcW w:w="992" w:type="dxa"/>
            <w:tcBorders>
              <w:top w:val="single" w:sz="4" w:space="0" w:color="auto"/>
              <w:left w:val="single" w:sz="4" w:space="0" w:color="auto"/>
              <w:bottom w:val="single" w:sz="4" w:space="0" w:color="auto"/>
              <w:right w:val="single" w:sz="4" w:space="0" w:color="auto"/>
            </w:tcBorders>
            <w:hideMark/>
          </w:tcPr>
          <w:p w14:paraId="2ED7295D"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12611R</w:t>
            </w:r>
          </w:p>
        </w:tc>
        <w:tc>
          <w:tcPr>
            <w:tcW w:w="849" w:type="dxa"/>
            <w:tcBorders>
              <w:top w:val="single" w:sz="4" w:space="0" w:color="auto"/>
              <w:left w:val="single" w:sz="4" w:space="0" w:color="auto"/>
              <w:bottom w:val="single" w:sz="4" w:space="0" w:color="auto"/>
              <w:right w:val="single" w:sz="4" w:space="0" w:color="auto"/>
            </w:tcBorders>
            <w:hideMark/>
          </w:tcPr>
          <w:p w14:paraId="0F5AA7A9"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w:t>
            </w:r>
          </w:p>
        </w:tc>
        <w:tc>
          <w:tcPr>
            <w:tcW w:w="857" w:type="dxa"/>
            <w:tcBorders>
              <w:top w:val="single" w:sz="4" w:space="0" w:color="auto"/>
              <w:left w:val="single" w:sz="4" w:space="0" w:color="auto"/>
              <w:bottom w:val="single" w:sz="4" w:space="0" w:color="auto"/>
              <w:right w:val="single" w:sz="4" w:space="0" w:color="auto"/>
            </w:tcBorders>
            <w:hideMark/>
          </w:tcPr>
          <w:p w14:paraId="23DEADD4"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30BF50AB" w14:textId="77777777" w:rsidR="00683FF6" w:rsidRPr="00FB5EAE" w:rsidRDefault="00683FF6" w:rsidP="00D030F8">
            <w:pPr>
              <w:keepNext/>
              <w:jc w:val="center"/>
              <w:rPr>
                <w:rFonts w:ascii="Arial Narrow" w:hAnsi="Arial Narrow"/>
                <w:sz w:val="20"/>
                <w:szCs w:val="20"/>
              </w:rPr>
            </w:pPr>
            <w:r w:rsidRPr="00FB5EAE">
              <w:rPr>
                <w:rFonts w:ascii="Arial Narrow" w:hAnsi="Arial Narrow"/>
                <w:sz w:val="20"/>
                <w:szCs w:val="20"/>
              </w:rPr>
              <w:t>2</w:t>
            </w:r>
          </w:p>
        </w:tc>
        <w:tc>
          <w:tcPr>
            <w:tcW w:w="1694" w:type="dxa"/>
            <w:tcBorders>
              <w:top w:val="single" w:sz="4" w:space="0" w:color="auto"/>
              <w:left w:val="single" w:sz="4" w:space="0" w:color="auto"/>
              <w:bottom w:val="single" w:sz="4" w:space="0" w:color="auto"/>
              <w:right w:val="single" w:sz="4" w:space="0" w:color="auto"/>
            </w:tcBorders>
            <w:hideMark/>
          </w:tcPr>
          <w:p w14:paraId="368681DE" w14:textId="77777777" w:rsidR="00683FF6" w:rsidRPr="00FB5EAE" w:rsidRDefault="00683FF6" w:rsidP="00D030F8">
            <w:pPr>
              <w:pStyle w:val="TableText0"/>
              <w:keepLines/>
              <w:rPr>
                <w:rFonts w:eastAsiaTheme="minorHAnsi" w:cstheme="minorBidi"/>
                <w:bCs w:val="0"/>
                <w:szCs w:val="20"/>
                <w:lang w:eastAsia="en-US"/>
              </w:rPr>
            </w:pPr>
            <w:r w:rsidRPr="00FB5EAE">
              <w:rPr>
                <w:szCs w:val="20"/>
              </w:rPr>
              <w:t xml:space="preserve">‘a’ </w:t>
            </w:r>
            <w:r w:rsidRPr="00FB5EAE">
              <w:rPr>
                <w:rFonts w:cs="Arial"/>
                <w:szCs w:val="20"/>
                <w:lang w:eastAsia="en-US"/>
              </w:rPr>
              <w:t>Ajovy</w:t>
            </w:r>
          </w:p>
        </w:tc>
      </w:tr>
      <w:tr w:rsidR="00683FF6" w:rsidRPr="00FB5EAE" w14:paraId="5C264781" w14:textId="77777777" w:rsidTr="00D030F8">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26D0D5" w14:textId="77777777" w:rsidR="00683FF6" w:rsidRPr="00FB5EAE" w:rsidRDefault="00683FF6" w:rsidP="00D030F8">
            <w:pPr>
              <w:rPr>
                <w:rFonts w:ascii="Arial Narrow" w:eastAsiaTheme="minorHAnsi" w:hAnsi="Arial Narrow"/>
                <w:sz w:val="20"/>
                <w:szCs w:val="20"/>
                <w:lang w:eastAsia="en-US"/>
              </w:rPr>
            </w:pPr>
          </w:p>
        </w:tc>
      </w:tr>
      <w:tr w:rsidR="00683FF6" w:rsidRPr="00FB5EAE" w14:paraId="554A1BDA" w14:textId="77777777" w:rsidTr="00D030F8">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920EAF" w14:textId="77777777" w:rsidR="00683FF6" w:rsidRPr="00FB5EAE" w:rsidRDefault="00683FF6" w:rsidP="00D030F8">
            <w:pPr>
              <w:shd w:val="clear" w:color="auto" w:fill="DDDDDD"/>
              <w:rPr>
                <w:rFonts w:ascii="Arial Narrow" w:hAnsi="Arial Narrow"/>
                <w:b/>
                <w:sz w:val="20"/>
                <w:szCs w:val="20"/>
              </w:rPr>
            </w:pPr>
            <w:r w:rsidRPr="00FB5EAE">
              <w:rPr>
                <w:rFonts w:ascii="Arial Narrow" w:hAnsi="Arial Narrow"/>
                <w:b/>
                <w:sz w:val="20"/>
                <w:szCs w:val="20"/>
              </w:rPr>
              <w:t xml:space="preserve">Restriction Summary New 1 / ToC: New 2: Authority Required: Streamlined </w:t>
            </w:r>
          </w:p>
        </w:tc>
      </w:tr>
      <w:tr w:rsidR="00683FF6" w:rsidRPr="00FB5EAE" w14:paraId="58B80605" w14:textId="77777777" w:rsidTr="00D030F8">
        <w:trPr>
          <w:trHeight w:val="20"/>
        </w:trPr>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B117E73" w14:textId="77777777" w:rsidR="00683FF6" w:rsidRPr="00FB5EAE" w:rsidRDefault="00683FF6" w:rsidP="00D030F8">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92CD613" w14:textId="77777777" w:rsidR="00683FF6" w:rsidRPr="00FB5EAE" w:rsidRDefault="00683FF6" w:rsidP="00D030F8">
            <w:pPr>
              <w:rPr>
                <w:rFonts w:ascii="Arial Narrow" w:hAnsi="Arial Narrow"/>
                <w:sz w:val="20"/>
                <w:szCs w:val="20"/>
              </w:rPr>
            </w:pPr>
            <w:r w:rsidRPr="00FB5EAE">
              <w:rPr>
                <w:rFonts w:ascii="Arial Narrow" w:hAnsi="Arial Narrow"/>
                <w:b/>
                <w:sz w:val="20"/>
                <w:szCs w:val="20"/>
              </w:rPr>
              <w:t xml:space="preserve">Category / Program:   </w:t>
            </w:r>
            <w:r w:rsidRPr="00FB5EAE">
              <w:rPr>
                <w:rFonts w:ascii="Arial Narrow" w:hAnsi="Arial Narrow"/>
                <w:sz w:val="20"/>
                <w:szCs w:val="20"/>
              </w:rPr>
              <w:t>GENERAL – General Schedule (Code GE)</w:t>
            </w:r>
            <w:r w:rsidRPr="00FB5EAE">
              <w:rPr>
                <w:rFonts w:ascii="Arial Narrow" w:hAnsi="Arial Narrow"/>
                <w:color w:val="FF0000"/>
                <w:sz w:val="20"/>
                <w:szCs w:val="20"/>
              </w:rPr>
              <w:t xml:space="preserve"> </w:t>
            </w:r>
          </w:p>
          <w:p w14:paraId="381D57A4" w14:textId="77777777" w:rsidR="00683FF6" w:rsidRPr="00FB5EAE" w:rsidRDefault="00683FF6" w:rsidP="00D030F8">
            <w:pPr>
              <w:rPr>
                <w:rFonts w:ascii="Arial Narrow" w:hAnsi="Arial Narrow"/>
                <w:sz w:val="20"/>
                <w:szCs w:val="20"/>
              </w:rPr>
            </w:pPr>
          </w:p>
        </w:tc>
      </w:tr>
      <w:tr w:rsidR="00683FF6" w:rsidRPr="00FB5EAE" w14:paraId="62FFF733" w14:textId="77777777" w:rsidTr="00D030F8">
        <w:trPr>
          <w:trHeight w:val="20"/>
        </w:trPr>
        <w:tc>
          <w:tcPr>
            <w:tcW w:w="980" w:type="dxa"/>
            <w:vMerge/>
            <w:tcBorders>
              <w:top w:val="single" w:sz="4" w:space="0" w:color="auto"/>
              <w:left w:val="single" w:sz="4" w:space="0" w:color="auto"/>
              <w:bottom w:val="single" w:sz="4" w:space="0" w:color="auto"/>
              <w:right w:val="single" w:sz="4" w:space="0" w:color="auto"/>
            </w:tcBorders>
            <w:vAlign w:val="center"/>
          </w:tcPr>
          <w:p w14:paraId="26CBC6AF" w14:textId="77777777" w:rsidR="00683FF6" w:rsidRPr="00FB5EAE" w:rsidRDefault="00683FF6" w:rsidP="00D030F8">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91EB62" w14:textId="77777777" w:rsidR="00683FF6" w:rsidRPr="00FB5EAE" w:rsidRDefault="00683FF6" w:rsidP="00D030F8">
            <w:pPr>
              <w:rPr>
                <w:rFonts w:ascii="Arial Narrow" w:hAnsi="Arial Narrow"/>
                <w:b/>
                <w:sz w:val="20"/>
                <w:szCs w:val="20"/>
              </w:rPr>
            </w:pPr>
            <w:r w:rsidRPr="00FB5EAE">
              <w:rPr>
                <w:rFonts w:ascii="Arial Narrow" w:hAnsi="Arial Narrow"/>
                <w:b/>
                <w:sz w:val="20"/>
                <w:szCs w:val="20"/>
              </w:rPr>
              <w:t xml:space="preserve">Prescriber type:   </w:t>
            </w:r>
            <w:r w:rsidRPr="00FB5EAE">
              <w:rPr>
                <w:rFonts w:ascii="Arial Narrow" w:hAnsi="Arial Narrow"/>
                <w:sz w:val="20"/>
                <w:szCs w:val="20"/>
              </w:rPr>
              <w:fldChar w:fldCharType="begin" w:fldLock="1">
                <w:ffData>
                  <w:name w:val=""/>
                  <w:enabled/>
                  <w:calcOnExit w:val="0"/>
                  <w:checkBox>
                    <w:sizeAuto/>
                    <w:default w:val="1"/>
                  </w:checkBox>
                </w:ffData>
              </w:fldChar>
            </w:r>
            <w:r w:rsidRPr="00FB5EAE">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sidRPr="00FB5EAE">
              <w:rPr>
                <w:rFonts w:ascii="Arial Narrow" w:hAnsi="Arial Narrow"/>
                <w:sz w:val="20"/>
                <w:szCs w:val="20"/>
              </w:rPr>
              <w:fldChar w:fldCharType="end"/>
            </w:r>
            <w:r w:rsidRPr="00FB5EAE">
              <w:rPr>
                <w:rFonts w:ascii="Arial Narrow" w:hAnsi="Arial Narrow"/>
                <w:sz w:val="20"/>
                <w:szCs w:val="20"/>
              </w:rPr>
              <w:t xml:space="preserve">Medical Practitioners    </w:t>
            </w:r>
          </w:p>
        </w:tc>
      </w:tr>
      <w:tr w:rsidR="00683FF6" w:rsidRPr="00FB5EAE" w14:paraId="1DA1C5C1" w14:textId="77777777" w:rsidTr="00D030F8">
        <w:trPr>
          <w:trHeight w:val="20"/>
        </w:trPr>
        <w:tc>
          <w:tcPr>
            <w:tcW w:w="980" w:type="dxa"/>
            <w:vMerge/>
            <w:tcBorders>
              <w:top w:val="single" w:sz="4" w:space="0" w:color="auto"/>
              <w:left w:val="single" w:sz="4" w:space="0" w:color="auto"/>
              <w:bottom w:val="single" w:sz="4" w:space="0" w:color="auto"/>
              <w:right w:val="single" w:sz="4" w:space="0" w:color="auto"/>
            </w:tcBorders>
            <w:vAlign w:val="center"/>
          </w:tcPr>
          <w:p w14:paraId="10BB4F40" w14:textId="77777777" w:rsidR="00683FF6" w:rsidRPr="00FB5EAE" w:rsidRDefault="00683FF6" w:rsidP="00D030F8">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DBF70E" w14:textId="77777777" w:rsidR="00683FF6" w:rsidRPr="00FB5EAE" w:rsidRDefault="00683FF6" w:rsidP="00D030F8">
            <w:pPr>
              <w:rPr>
                <w:rFonts w:ascii="Arial Narrow" w:hAnsi="Arial Narrow"/>
                <w:b/>
                <w:sz w:val="20"/>
                <w:szCs w:val="20"/>
              </w:rPr>
            </w:pPr>
            <w:r w:rsidRPr="00FB5EAE">
              <w:rPr>
                <w:rFonts w:ascii="Arial Narrow" w:hAnsi="Arial Narrow"/>
                <w:b/>
                <w:sz w:val="20"/>
                <w:szCs w:val="20"/>
              </w:rPr>
              <w:t xml:space="preserve">Restriction type: </w:t>
            </w:r>
            <w:r w:rsidRPr="00FB5EAE">
              <w:rPr>
                <w:rFonts w:ascii="Arial Narrow" w:eastAsia="Calibri" w:hAnsi="Arial Narrow"/>
                <w:sz w:val="20"/>
                <w:szCs w:val="20"/>
              </w:rPr>
              <w:fldChar w:fldCharType="begin" w:fldLock="1">
                <w:ffData>
                  <w:name w:val=""/>
                  <w:enabled/>
                  <w:calcOnExit w:val="0"/>
                  <w:checkBox>
                    <w:sizeAuto/>
                    <w:default w:val="1"/>
                  </w:checkBox>
                </w:ffData>
              </w:fldChar>
            </w:r>
            <w:r w:rsidRPr="00FB5EAE">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sidRPr="00FB5EAE">
              <w:rPr>
                <w:rFonts w:ascii="Arial Narrow" w:eastAsia="Calibri" w:hAnsi="Arial Narrow"/>
                <w:sz w:val="20"/>
                <w:szCs w:val="20"/>
              </w:rPr>
              <w:fldChar w:fldCharType="end"/>
            </w:r>
            <w:r w:rsidRPr="00FB5EAE">
              <w:rPr>
                <w:rFonts w:ascii="Arial Narrow" w:eastAsia="Calibri" w:hAnsi="Arial Narrow"/>
                <w:sz w:val="20"/>
                <w:szCs w:val="20"/>
              </w:rPr>
              <w:t>Authority Required (Streamlined)</w:t>
            </w:r>
            <w:r w:rsidRPr="00FB5EAE">
              <w:rPr>
                <w:rFonts w:ascii="Arial Narrow" w:eastAsia="Calibri" w:hAnsi="Arial Narrow"/>
                <w:i/>
                <w:sz w:val="20"/>
                <w:szCs w:val="20"/>
              </w:rPr>
              <w:t xml:space="preserve"> [amendment to existing code-New 2]</w:t>
            </w:r>
          </w:p>
        </w:tc>
      </w:tr>
      <w:tr w:rsidR="00683FF6" w:rsidRPr="00FB5EAE" w14:paraId="09857FBC"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22C45B8" w14:textId="25BEE49D" w:rsidR="00683FF6" w:rsidRPr="00FB5EAE" w:rsidRDefault="00683FF6" w:rsidP="00D030F8">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7B7E0E" w14:textId="77777777" w:rsidR="00683FF6" w:rsidRPr="00FB5EAE" w:rsidRDefault="00683FF6" w:rsidP="00D030F8">
            <w:pPr>
              <w:rPr>
                <w:rFonts w:ascii="Arial Narrow" w:hAnsi="Arial Narrow"/>
                <w:color w:val="333333"/>
                <w:sz w:val="20"/>
                <w:szCs w:val="20"/>
              </w:rPr>
            </w:pPr>
            <w:r w:rsidRPr="00FB5EAE">
              <w:rPr>
                <w:rFonts w:ascii="Arial Narrow" w:hAnsi="Arial Narrow"/>
                <w:b/>
                <w:bCs/>
                <w:color w:val="333333"/>
                <w:sz w:val="20"/>
                <w:szCs w:val="20"/>
              </w:rPr>
              <w:t>Administrative Advice:</w:t>
            </w:r>
          </w:p>
          <w:p w14:paraId="379FD39A" w14:textId="77777777" w:rsidR="00683FF6" w:rsidRPr="00FB5EAE" w:rsidRDefault="00683FF6" w:rsidP="00D030F8">
            <w:pPr>
              <w:rPr>
                <w:rFonts w:ascii="Arial Narrow" w:hAnsi="Arial Narrow"/>
                <w:color w:val="333333"/>
                <w:sz w:val="20"/>
                <w:szCs w:val="20"/>
              </w:rPr>
            </w:pPr>
            <w:r w:rsidRPr="00FB5EAE">
              <w:rPr>
                <w:rFonts w:ascii="Arial Narrow" w:eastAsia="Calibri" w:hAnsi="Arial Narrow"/>
                <w:sz w:val="20"/>
                <w:szCs w:val="20"/>
              </w:rPr>
              <w:t>No increase in the maximum quantity or number of units may be authorised.</w:t>
            </w:r>
          </w:p>
        </w:tc>
      </w:tr>
      <w:tr w:rsidR="00683FF6" w:rsidRPr="00FB5EAE" w14:paraId="34533F1C"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181F908" w14:textId="2755346D"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3B886A" w14:textId="77777777" w:rsidR="00683FF6" w:rsidRPr="00FB5EAE" w:rsidRDefault="00683FF6" w:rsidP="00D030F8">
            <w:pPr>
              <w:rPr>
                <w:rFonts w:ascii="Open Sans" w:eastAsiaTheme="minorHAnsi" w:hAnsi="Open Sans"/>
                <w:color w:val="333333"/>
                <w:sz w:val="20"/>
                <w:szCs w:val="20"/>
                <w:lang w:eastAsia="en-US"/>
              </w:rPr>
            </w:pPr>
            <w:r w:rsidRPr="00FB5EAE">
              <w:rPr>
                <w:rFonts w:ascii="Arial Narrow" w:hAnsi="Arial Narrow"/>
                <w:b/>
                <w:bCs/>
                <w:color w:val="333333"/>
                <w:sz w:val="20"/>
                <w:szCs w:val="20"/>
              </w:rPr>
              <w:t>Administrative Advice</w:t>
            </w:r>
          </w:p>
          <w:p w14:paraId="50ED228C" w14:textId="77777777" w:rsidR="00683FF6" w:rsidRPr="00FB5EAE" w:rsidRDefault="00683FF6" w:rsidP="00D030F8">
            <w:pPr>
              <w:rPr>
                <w:rFonts w:ascii="Arial Narrow" w:eastAsia="Calibri" w:hAnsi="Arial Narrow"/>
                <w:sz w:val="20"/>
                <w:szCs w:val="20"/>
              </w:rPr>
            </w:pPr>
            <w:r w:rsidRPr="00FB5EAE">
              <w:rPr>
                <w:rFonts w:ascii="Arial Narrow" w:eastAsia="Calibri" w:hAnsi="Arial Narrow"/>
                <w:sz w:val="20"/>
                <w:szCs w:val="20"/>
              </w:rPr>
              <w:t>No increase in the maximum number of repeats may be authorised.</w:t>
            </w:r>
          </w:p>
        </w:tc>
      </w:tr>
      <w:tr w:rsidR="00683FF6" w:rsidRPr="00FB5EAE" w14:paraId="737FB1A5"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8A8DE60" w14:textId="0AC907D4" w:rsidR="00683FF6" w:rsidRPr="00FB5EAE" w:rsidRDefault="00683FF6" w:rsidP="00D030F8">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7F47A"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Administrative Advice:</w:t>
            </w:r>
          </w:p>
          <w:p w14:paraId="0C1A9981" w14:textId="77777777" w:rsidR="00683FF6" w:rsidRPr="00FB5EAE" w:rsidRDefault="00683FF6" w:rsidP="00D030F8">
            <w:pPr>
              <w:rPr>
                <w:rFonts w:ascii="Arial Narrow" w:hAnsi="Arial Narrow"/>
                <w:bCs/>
                <w:color w:val="333333"/>
                <w:sz w:val="20"/>
                <w:szCs w:val="20"/>
              </w:rPr>
            </w:pPr>
            <w:r w:rsidRPr="00FB5EAE">
              <w:rPr>
                <w:rFonts w:ascii="Arial Narrow" w:eastAsia="Calibri" w:hAnsi="Arial Narrow"/>
                <w:sz w:val="20"/>
                <w:szCs w:val="20"/>
              </w:rPr>
              <w:t>Special Pricing Arrangements apply.</w:t>
            </w:r>
          </w:p>
        </w:tc>
      </w:tr>
      <w:tr w:rsidR="00683FF6" w:rsidRPr="00FB5EAE" w14:paraId="6CD2F1A3"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15CA5D1" w14:textId="5D3DF56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51FB46"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Administrative Advice:</w:t>
            </w:r>
          </w:p>
          <w:p w14:paraId="262176AF" w14:textId="77777777" w:rsidR="00683FF6" w:rsidRPr="00FB5EAE" w:rsidRDefault="00683FF6" w:rsidP="00D030F8">
            <w:pPr>
              <w:rPr>
                <w:rFonts w:ascii="Arial Narrow" w:hAnsi="Arial Narrow"/>
                <w:color w:val="333333"/>
                <w:sz w:val="20"/>
                <w:szCs w:val="20"/>
              </w:rPr>
            </w:pPr>
            <w:r w:rsidRPr="00FB5EAE">
              <w:rPr>
                <w:rFonts w:ascii="Arial Narrow" w:hAnsi="Arial Narrow"/>
                <w:color w:val="333333"/>
                <w:sz w:val="20"/>
                <w:szCs w:val="20"/>
              </w:rPr>
              <w:t>Pharmaceutical benefits that have the form fremanezumab 225 mg/1.5 mL syringes and pharmaceutical benefits that have the form fremanezumab 225 mg/1.5 mL pen devices are equivalent for the purposes of substitution.</w:t>
            </w:r>
          </w:p>
        </w:tc>
      </w:tr>
      <w:tr w:rsidR="00683FF6" w:rsidRPr="00FB5EAE" w14:paraId="3F2C933A"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38CE0CA" w14:textId="2CFC62C3"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E9898D8" w14:textId="77777777" w:rsidR="00683FF6" w:rsidRPr="00FB5EAE" w:rsidRDefault="00683FF6" w:rsidP="00D030F8">
            <w:pPr>
              <w:rPr>
                <w:rFonts w:ascii="Arial Narrow" w:hAnsi="Arial Narrow"/>
                <w:color w:val="333333"/>
                <w:sz w:val="20"/>
                <w:szCs w:val="20"/>
              </w:rPr>
            </w:pPr>
            <w:r w:rsidRPr="00FB5EAE">
              <w:rPr>
                <w:rFonts w:ascii="Arial Narrow" w:hAnsi="Arial Narrow"/>
                <w:b/>
                <w:bCs/>
                <w:color w:val="333333"/>
                <w:sz w:val="20"/>
                <w:szCs w:val="20"/>
              </w:rPr>
              <w:t>Indication:</w:t>
            </w:r>
            <w:r w:rsidRPr="00FB5EAE">
              <w:rPr>
                <w:rFonts w:ascii="Arial Narrow" w:hAnsi="Arial Narrow"/>
                <w:color w:val="333333"/>
                <w:sz w:val="20"/>
                <w:szCs w:val="20"/>
              </w:rPr>
              <w:t xml:space="preserve"> </w:t>
            </w:r>
            <w:r w:rsidRPr="00FB5EAE">
              <w:rPr>
                <w:rFonts w:ascii="Arial Narrow" w:hAnsi="Arial Narrow"/>
                <w:i/>
                <w:iCs/>
                <w:color w:val="333333"/>
                <w:sz w:val="20"/>
                <w:szCs w:val="20"/>
              </w:rPr>
              <w:t>Treatment-resistant</w:t>
            </w:r>
            <w:r w:rsidRPr="00FB5EAE">
              <w:rPr>
                <w:rFonts w:ascii="Arial Narrow" w:hAnsi="Arial Narrow"/>
                <w:color w:val="333333"/>
                <w:sz w:val="20"/>
                <w:szCs w:val="20"/>
              </w:rPr>
              <w:t xml:space="preserve"> </w:t>
            </w:r>
            <w:r w:rsidRPr="00FB5EAE">
              <w:rPr>
                <w:rFonts w:ascii="Arial Narrow" w:hAnsi="Arial Narrow"/>
                <w:strike/>
                <w:color w:val="333333"/>
                <w:sz w:val="20"/>
                <w:szCs w:val="20"/>
              </w:rPr>
              <w:t>chronic</w:t>
            </w:r>
            <w:r w:rsidRPr="00FB5EAE">
              <w:rPr>
                <w:rFonts w:ascii="Arial Narrow" w:hAnsi="Arial Narrow"/>
                <w:color w:val="333333"/>
                <w:sz w:val="20"/>
                <w:szCs w:val="20"/>
              </w:rPr>
              <w:t xml:space="preserve"> migraine</w:t>
            </w:r>
          </w:p>
        </w:tc>
      </w:tr>
      <w:tr w:rsidR="00683FF6" w:rsidRPr="00FB5EAE" w14:paraId="42402259"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8DC2F" w14:textId="77777777" w:rsidR="00683FF6" w:rsidRPr="00FB5EAE" w:rsidRDefault="00683FF6" w:rsidP="00D030F8">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3AED2" w14:textId="77777777" w:rsidR="00683FF6" w:rsidRPr="00FB5EAE" w:rsidRDefault="00683FF6" w:rsidP="00D030F8">
            <w:pPr>
              <w:rPr>
                <w:rFonts w:ascii="Arial Narrow" w:hAnsi="Arial Narrow"/>
                <w:color w:val="FF0000"/>
                <w:sz w:val="20"/>
                <w:szCs w:val="20"/>
              </w:rPr>
            </w:pPr>
            <w:r w:rsidRPr="00FB5EAE">
              <w:rPr>
                <w:rFonts w:ascii="Arial Narrow" w:hAnsi="Arial Narrow"/>
                <w:b/>
                <w:bCs/>
                <w:color w:val="333333"/>
                <w:sz w:val="20"/>
                <w:szCs w:val="20"/>
              </w:rPr>
              <w:t>Treatment Phase:</w:t>
            </w:r>
            <w:r w:rsidRPr="00FB5EAE">
              <w:rPr>
                <w:rFonts w:ascii="Arial Narrow" w:hAnsi="Arial Narrow"/>
                <w:color w:val="FF0000"/>
                <w:sz w:val="20"/>
                <w:szCs w:val="20"/>
              </w:rPr>
              <w:t xml:space="preserve"> </w:t>
            </w:r>
          </w:p>
          <w:p w14:paraId="7E168D85" w14:textId="77777777" w:rsidR="00683FF6" w:rsidRPr="00FB5EAE" w:rsidRDefault="00683FF6" w:rsidP="00D030F8">
            <w:pPr>
              <w:rPr>
                <w:rFonts w:ascii="Arial Narrow" w:hAnsi="Arial Narrow"/>
                <w:color w:val="FF00FF"/>
                <w:sz w:val="20"/>
                <w:szCs w:val="20"/>
              </w:rPr>
            </w:pPr>
            <w:r w:rsidRPr="00FB5EAE">
              <w:rPr>
                <w:rFonts w:ascii="Arial Narrow" w:hAnsi="Arial Narrow"/>
                <w:bCs/>
                <w:color w:val="333333"/>
                <w:sz w:val="20"/>
                <w:szCs w:val="20"/>
              </w:rPr>
              <w:t>Initial treatment</w:t>
            </w:r>
            <w:r w:rsidRPr="00FB5EAE">
              <w:rPr>
                <w:rFonts w:ascii="Arial Narrow" w:hAnsi="Arial Narrow"/>
                <w:color w:val="FF0000"/>
                <w:sz w:val="20"/>
                <w:szCs w:val="20"/>
              </w:rPr>
              <w:t xml:space="preserve">     </w:t>
            </w:r>
          </w:p>
        </w:tc>
      </w:tr>
      <w:tr w:rsidR="00683FF6" w:rsidRPr="00FB5EAE" w14:paraId="07E81EFE"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729410"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A6FA97" w14:textId="77777777" w:rsidR="00683FF6" w:rsidRPr="00FB5EAE" w:rsidRDefault="00683FF6" w:rsidP="00D030F8">
            <w:pPr>
              <w:rPr>
                <w:rFonts w:ascii="Arial Narrow" w:hAnsi="Arial Narrow"/>
                <w:b/>
                <w:bCs/>
                <w:color w:val="333333"/>
                <w:sz w:val="20"/>
                <w:szCs w:val="20"/>
              </w:rPr>
            </w:pPr>
            <w:r w:rsidRPr="00FB5EAE">
              <w:rPr>
                <w:rFonts w:ascii="Arial Narrow" w:hAnsi="Arial Narrow"/>
                <w:b/>
                <w:sz w:val="20"/>
                <w:szCs w:val="20"/>
              </w:rPr>
              <w:t>Treatment criteria:</w:t>
            </w:r>
          </w:p>
        </w:tc>
      </w:tr>
      <w:tr w:rsidR="00683FF6" w:rsidRPr="00FB5EAE" w14:paraId="2C80AF77"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F9A939" w14:textId="69658D5B"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DDDD53" w14:textId="77777777" w:rsidR="00683FF6" w:rsidRPr="00FB5EAE" w:rsidRDefault="00683FF6" w:rsidP="00D030F8">
            <w:pPr>
              <w:rPr>
                <w:rFonts w:ascii="Arial Narrow" w:hAnsi="Arial Narrow"/>
                <w:b/>
                <w:bCs/>
                <w:color w:val="333333"/>
                <w:sz w:val="20"/>
                <w:szCs w:val="20"/>
              </w:rPr>
            </w:pPr>
            <w:r w:rsidRPr="00FB5EAE">
              <w:rPr>
                <w:rFonts w:ascii="Arial Narrow" w:hAnsi="Arial Narrow"/>
                <w:bCs/>
                <w:color w:val="333333"/>
                <w:sz w:val="20"/>
                <w:szCs w:val="20"/>
              </w:rPr>
              <w:t>Must be treated by a neurologist</w:t>
            </w:r>
          </w:p>
        </w:tc>
      </w:tr>
      <w:tr w:rsidR="00683FF6" w:rsidRPr="00FB5EAE" w14:paraId="0A6E0182"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83AE0"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5578AA1"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3CF940A7"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3C827D"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166B9F8" w14:textId="77777777" w:rsidR="00683FF6" w:rsidRPr="00FB5EAE" w:rsidRDefault="00683FF6" w:rsidP="00D030F8">
            <w:pPr>
              <w:rPr>
                <w:rFonts w:ascii="Arial Narrow" w:hAnsi="Arial Narrow"/>
                <w:b/>
                <w:bCs/>
                <w:color w:val="333333"/>
                <w:sz w:val="20"/>
                <w:szCs w:val="20"/>
              </w:rPr>
            </w:pPr>
            <w:r w:rsidRPr="00FB5EAE">
              <w:rPr>
                <w:rFonts w:ascii="Arial Narrow" w:hAnsi="Arial Narrow"/>
                <w:b/>
                <w:sz w:val="20"/>
                <w:szCs w:val="20"/>
              </w:rPr>
              <w:t>Treatment criteria:</w:t>
            </w:r>
          </w:p>
        </w:tc>
      </w:tr>
      <w:tr w:rsidR="00683FF6" w:rsidRPr="00FB5EAE" w14:paraId="30375528"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320D2D" w14:textId="77ECD6F0"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304E44" w14:textId="77777777" w:rsidR="00683FF6" w:rsidRPr="00FB5EAE" w:rsidRDefault="00683FF6" w:rsidP="00D030F8">
            <w:pPr>
              <w:rPr>
                <w:rFonts w:ascii="Arial Narrow" w:hAnsi="Arial Narrow"/>
                <w:color w:val="333333"/>
                <w:sz w:val="20"/>
                <w:szCs w:val="20"/>
              </w:rPr>
            </w:pPr>
            <w:r w:rsidRPr="00FB5EAE">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683FF6" w:rsidRPr="00FB5EAE" w14:paraId="2BF0177F"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5CA99D3"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87C19A1"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37914E58"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4C22D18"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48AFE9" w14:textId="77777777" w:rsidR="00683FF6" w:rsidRPr="00FB5EAE" w:rsidRDefault="00683FF6" w:rsidP="00D030F8">
            <w:pPr>
              <w:rPr>
                <w:rFonts w:ascii="Arial Narrow" w:hAnsi="Arial Narrow"/>
                <w:b/>
                <w:sz w:val="20"/>
                <w:szCs w:val="20"/>
              </w:rPr>
            </w:pPr>
            <w:r w:rsidRPr="00FB5EAE">
              <w:rPr>
                <w:rFonts w:ascii="Arial Narrow" w:hAnsi="Arial Narrow"/>
                <w:b/>
                <w:sz w:val="20"/>
                <w:szCs w:val="20"/>
              </w:rPr>
              <w:t>Clinical criteria:</w:t>
            </w:r>
          </w:p>
        </w:tc>
      </w:tr>
      <w:tr w:rsidR="00683FF6" w:rsidRPr="00FB5EAE" w14:paraId="51329849"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77517F" w14:textId="53FEB131"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7E5292" w14:textId="77777777" w:rsidR="00683FF6" w:rsidRPr="00FB5EAE" w:rsidRDefault="00683FF6" w:rsidP="00D030F8">
            <w:pPr>
              <w:rPr>
                <w:rFonts w:ascii="Arial Narrow" w:hAnsi="Arial Narrow"/>
                <w:b/>
                <w:bCs/>
                <w:color w:val="333333"/>
                <w:sz w:val="20"/>
                <w:szCs w:val="20"/>
              </w:rPr>
            </w:pPr>
            <w:r w:rsidRPr="00FB5EAE">
              <w:rPr>
                <w:rFonts w:ascii="Arial Narrow" w:hAnsi="Arial Narrow"/>
                <w:color w:val="333333"/>
                <w:sz w:val="20"/>
                <w:szCs w:val="20"/>
              </w:rPr>
              <w:t xml:space="preserve">Patient must have experienced </w:t>
            </w:r>
            <w:r w:rsidRPr="00FB5EAE">
              <w:rPr>
                <w:rFonts w:ascii="Arial Narrow" w:hAnsi="Arial Narrow"/>
                <w:strike/>
                <w:color w:val="333333"/>
                <w:sz w:val="20"/>
                <w:szCs w:val="20"/>
              </w:rPr>
              <w:t>an average of 15 or more headache days per month, with</w:t>
            </w:r>
            <w:r w:rsidRPr="00FB5EAE">
              <w:rPr>
                <w:rFonts w:ascii="Arial Narrow" w:hAnsi="Arial Narrow"/>
                <w:color w:val="333333"/>
                <w:sz w:val="20"/>
                <w:szCs w:val="20"/>
              </w:rPr>
              <w:t xml:space="preserve"> at least 8 </w:t>
            </w:r>
            <w:r w:rsidRPr="00FB5EAE">
              <w:rPr>
                <w:rFonts w:ascii="Arial Narrow" w:hAnsi="Arial Narrow"/>
                <w:strike/>
                <w:color w:val="333333"/>
                <w:sz w:val="20"/>
                <w:szCs w:val="20"/>
              </w:rPr>
              <w:t>days o</w:t>
            </w:r>
            <w:r w:rsidRPr="00FB5EAE">
              <w:rPr>
                <w:rFonts w:ascii="Arial Narrow" w:hAnsi="Arial Narrow"/>
                <w:color w:val="333333"/>
                <w:sz w:val="20"/>
                <w:szCs w:val="20"/>
              </w:rPr>
              <w:t xml:space="preserve">f </w:t>
            </w:r>
            <w:r w:rsidRPr="00FB5EAE">
              <w:rPr>
                <w:rFonts w:ascii="Arial Narrow" w:hAnsi="Arial Narrow"/>
                <w:i/>
                <w:iCs/>
                <w:color w:val="333333"/>
                <w:sz w:val="20"/>
                <w:szCs w:val="20"/>
              </w:rPr>
              <w:t xml:space="preserve">migraine headache </w:t>
            </w:r>
            <w:r w:rsidRPr="00FB5EAE">
              <w:rPr>
                <w:rFonts w:ascii="Arial Narrow" w:hAnsi="Arial Narrow"/>
                <w:color w:val="333333"/>
                <w:sz w:val="20"/>
                <w:szCs w:val="20"/>
              </w:rPr>
              <w:t>days per month, over a period of at least 6 months, prior to commencement of treatment with this medicine for this condition</w:t>
            </w:r>
          </w:p>
        </w:tc>
      </w:tr>
      <w:tr w:rsidR="00683FF6" w:rsidRPr="00FB5EAE" w14:paraId="4BA1C083"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08FBEB"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B52036"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6EE2A41C"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633609"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1CC5F1" w14:textId="77777777" w:rsidR="00683FF6" w:rsidRPr="00FB5EAE" w:rsidRDefault="00683FF6" w:rsidP="00D030F8">
            <w:pPr>
              <w:rPr>
                <w:rFonts w:ascii="Arial Narrow" w:hAnsi="Arial Narrow"/>
                <w:b/>
                <w:bCs/>
                <w:color w:val="333333"/>
                <w:sz w:val="20"/>
                <w:szCs w:val="20"/>
              </w:rPr>
            </w:pPr>
            <w:r w:rsidRPr="00FB5EAE">
              <w:rPr>
                <w:rFonts w:ascii="Arial Narrow" w:hAnsi="Arial Narrow"/>
                <w:b/>
                <w:sz w:val="20"/>
                <w:szCs w:val="20"/>
              </w:rPr>
              <w:t>Clinical criteria:</w:t>
            </w:r>
          </w:p>
        </w:tc>
      </w:tr>
      <w:tr w:rsidR="00683FF6" w:rsidRPr="00FB5EAE" w14:paraId="59DFF093"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BEC627" w14:textId="6CE09651"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482EF" w14:textId="77777777" w:rsidR="00683FF6" w:rsidRPr="00FB5EAE" w:rsidRDefault="00683FF6" w:rsidP="00D030F8">
            <w:pPr>
              <w:rPr>
                <w:rFonts w:ascii="Arial Narrow" w:hAnsi="Arial Narrow"/>
                <w:color w:val="333333"/>
                <w:sz w:val="20"/>
                <w:szCs w:val="20"/>
              </w:rPr>
            </w:pPr>
            <w:r w:rsidRPr="00FB5EAE">
              <w:rPr>
                <w:rFonts w:ascii="Arial Narrow" w:hAnsi="Arial Narrow"/>
                <w:color w:val="333333"/>
                <w:sz w:val="20"/>
                <w:szCs w:val="20"/>
              </w:rPr>
              <w:t>Patient must have experienced an inadequate response, intolerance or a contraindication to at least three prophylactic migraine medications prior to commencement of treatment with this drug for this condition</w:t>
            </w:r>
          </w:p>
        </w:tc>
      </w:tr>
      <w:tr w:rsidR="00683FF6" w:rsidRPr="00FB5EAE" w14:paraId="7EB55328"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1D2ADD"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25CF8"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12B59526"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442729"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9F0CAA" w14:textId="77777777" w:rsidR="00683FF6" w:rsidRPr="00FB5EAE" w:rsidRDefault="00683FF6" w:rsidP="00D030F8">
            <w:pPr>
              <w:rPr>
                <w:rFonts w:ascii="Arial Narrow" w:hAnsi="Arial Narrow"/>
                <w:b/>
                <w:bCs/>
                <w:color w:val="333333"/>
                <w:sz w:val="20"/>
                <w:szCs w:val="20"/>
              </w:rPr>
            </w:pPr>
            <w:r w:rsidRPr="00FB5EAE">
              <w:rPr>
                <w:rFonts w:ascii="Arial Narrow" w:hAnsi="Arial Narrow"/>
                <w:b/>
                <w:sz w:val="20"/>
                <w:szCs w:val="20"/>
              </w:rPr>
              <w:t>Clinical criteria:</w:t>
            </w:r>
          </w:p>
        </w:tc>
      </w:tr>
      <w:tr w:rsidR="00683FF6" w:rsidRPr="00FB5EAE" w14:paraId="7FC99A02"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279FE8" w14:textId="7EF38261"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E5D9A" w14:textId="77777777" w:rsidR="00683FF6" w:rsidRPr="00FB5EAE" w:rsidRDefault="00683FF6" w:rsidP="00D030F8">
            <w:pPr>
              <w:rPr>
                <w:rFonts w:ascii="Open Sans" w:eastAsiaTheme="minorHAnsi" w:hAnsi="Open Sans"/>
                <w:color w:val="333333"/>
                <w:sz w:val="20"/>
                <w:szCs w:val="20"/>
                <w:lang w:eastAsia="en-US"/>
              </w:rPr>
            </w:pPr>
            <w:r w:rsidRPr="00FB5EAE">
              <w:rPr>
                <w:rFonts w:ascii="Arial Narrow" w:hAnsi="Arial Narrow"/>
                <w:color w:val="333333"/>
                <w:sz w:val="20"/>
                <w:szCs w:val="20"/>
              </w:rPr>
              <w:t xml:space="preserve">Patient must be appropriately managed by </w:t>
            </w:r>
            <w:r w:rsidRPr="00FB5EAE">
              <w:rPr>
                <w:rFonts w:ascii="Arial Narrow" w:hAnsi="Arial Narrow"/>
                <w:strike/>
                <w:color w:val="333333"/>
                <w:sz w:val="20"/>
                <w:szCs w:val="20"/>
              </w:rPr>
              <w:t>his or her</w:t>
            </w:r>
            <w:r w:rsidRPr="00FB5EAE">
              <w:rPr>
                <w:rFonts w:ascii="Arial Narrow" w:hAnsi="Arial Narrow"/>
                <w:color w:val="333333"/>
                <w:sz w:val="20"/>
                <w:szCs w:val="20"/>
              </w:rPr>
              <w:t xml:space="preserve"> </w:t>
            </w:r>
            <w:r w:rsidRPr="00FB5EAE">
              <w:rPr>
                <w:rFonts w:ascii="Arial Narrow" w:hAnsi="Arial Narrow"/>
                <w:i/>
                <w:iCs/>
                <w:color w:val="333333"/>
                <w:sz w:val="20"/>
                <w:szCs w:val="20"/>
              </w:rPr>
              <w:t xml:space="preserve">their </w:t>
            </w:r>
            <w:r w:rsidRPr="00FB5EAE">
              <w:rPr>
                <w:rFonts w:ascii="Arial Narrow" w:hAnsi="Arial Narrow"/>
                <w:color w:val="333333"/>
                <w:sz w:val="20"/>
                <w:szCs w:val="20"/>
              </w:rPr>
              <w:t>practitioner for medication overuse headache, prior to initiation of treatment with this drug</w:t>
            </w:r>
          </w:p>
        </w:tc>
      </w:tr>
      <w:tr w:rsidR="00683FF6" w:rsidRPr="00FB5EAE" w14:paraId="0D23477C"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426405A"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7F9FD2"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0D2A5F66"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D7A0DD5"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E71572E"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Population criteria:</w:t>
            </w:r>
          </w:p>
        </w:tc>
      </w:tr>
      <w:tr w:rsidR="00683FF6" w:rsidRPr="00FB5EAE" w14:paraId="08B4FD10"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9A7DE2" w14:textId="5EDDC53D"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DC18ED" w14:textId="77777777" w:rsidR="00683FF6" w:rsidRPr="00FB5EAE" w:rsidRDefault="00683FF6" w:rsidP="00D030F8">
            <w:pPr>
              <w:rPr>
                <w:rFonts w:ascii="Arial Narrow" w:hAnsi="Arial Narrow"/>
                <w:b/>
                <w:bCs/>
                <w:strike/>
                <w:color w:val="333333"/>
                <w:sz w:val="20"/>
                <w:szCs w:val="20"/>
              </w:rPr>
            </w:pPr>
            <w:r w:rsidRPr="00FB5EAE">
              <w:rPr>
                <w:rFonts w:ascii="Arial Narrow" w:hAnsi="Arial Narrow"/>
                <w:color w:val="333333"/>
                <w:sz w:val="20"/>
                <w:szCs w:val="20"/>
              </w:rPr>
              <w:t xml:space="preserve">Patient must be </w:t>
            </w:r>
            <w:r w:rsidRPr="00FB5EAE">
              <w:rPr>
                <w:rFonts w:ascii="Arial Narrow" w:hAnsi="Arial Narrow"/>
                <w:strike/>
                <w:color w:val="333333"/>
                <w:sz w:val="20"/>
                <w:szCs w:val="20"/>
              </w:rPr>
              <w:t xml:space="preserve">aged 18 years or older </w:t>
            </w:r>
            <w:r w:rsidRPr="00FB5EAE">
              <w:rPr>
                <w:rFonts w:ascii="Arial Narrow" w:hAnsi="Arial Narrow"/>
                <w:i/>
                <w:iCs/>
                <w:color w:val="333333"/>
                <w:sz w:val="20"/>
                <w:szCs w:val="20"/>
              </w:rPr>
              <w:t>at least 18 years of age</w:t>
            </w:r>
            <w:r w:rsidRPr="00FB5EAE">
              <w:rPr>
                <w:rFonts w:ascii="Arial Narrow" w:hAnsi="Arial Narrow"/>
                <w:color w:val="333333"/>
                <w:sz w:val="20"/>
                <w:szCs w:val="20"/>
              </w:rPr>
              <w:t>.</w:t>
            </w:r>
          </w:p>
        </w:tc>
      </w:tr>
      <w:tr w:rsidR="00683FF6" w:rsidRPr="00FB5EAE" w14:paraId="08B225F9"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5D14CC"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F3A29C"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2E1BF968"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677921"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EBF41"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Prescribing instructions:</w:t>
            </w:r>
          </w:p>
        </w:tc>
      </w:tr>
      <w:tr w:rsidR="00683FF6" w:rsidRPr="00FB5EAE" w14:paraId="47D35D07"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BC7A1" w14:textId="7CE494B1"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60B7B" w14:textId="77777777" w:rsidR="00683FF6" w:rsidRPr="00FB5EAE" w:rsidRDefault="00683FF6" w:rsidP="00D030F8">
            <w:pPr>
              <w:rPr>
                <w:rFonts w:ascii="Arial Narrow" w:hAnsi="Arial Narrow"/>
                <w:b/>
                <w:bCs/>
                <w:color w:val="333333"/>
                <w:sz w:val="20"/>
                <w:szCs w:val="20"/>
              </w:rPr>
            </w:pPr>
            <w:r w:rsidRPr="00FB5EAE">
              <w:rPr>
                <w:rFonts w:ascii="Arial Narrow" w:hAnsi="Arial Narrow"/>
                <w:color w:val="333333"/>
                <w:sz w:val="20"/>
                <w:szCs w:val="20"/>
              </w:rPr>
              <w:t>Prophylactic migraine medications are propranolol, amitriptyline, pizotifen, candesartan, verapamil, nortriptyline, sodium valproate or topiramate.</w:t>
            </w:r>
          </w:p>
        </w:tc>
      </w:tr>
      <w:tr w:rsidR="00683FF6" w:rsidRPr="00FB5EAE" w14:paraId="799F37D7"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A4C33E"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E2D200"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19186CE3"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2E3E3F" w14:textId="7777777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6DC90" w14:textId="77777777" w:rsidR="00683FF6" w:rsidRPr="00FB5EAE" w:rsidRDefault="00683FF6" w:rsidP="00D030F8">
            <w:pPr>
              <w:rPr>
                <w:rFonts w:ascii="Arial Narrow" w:hAnsi="Arial Narrow"/>
                <w:b/>
                <w:bCs/>
                <w:color w:val="333333"/>
                <w:sz w:val="20"/>
                <w:szCs w:val="20"/>
              </w:rPr>
            </w:pPr>
            <w:r w:rsidRPr="00FB5EAE">
              <w:rPr>
                <w:rFonts w:ascii="Arial Narrow" w:hAnsi="Arial Narrow"/>
                <w:b/>
                <w:bCs/>
                <w:color w:val="333333"/>
                <w:sz w:val="20"/>
                <w:szCs w:val="20"/>
              </w:rPr>
              <w:t>Prescribing instructions:</w:t>
            </w:r>
          </w:p>
        </w:tc>
      </w:tr>
      <w:tr w:rsidR="00683FF6" w:rsidRPr="00FB5EAE" w14:paraId="34C0C90E" w14:textId="77777777" w:rsidTr="00D030F8">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5FB82" w14:textId="68293AD7" w:rsidR="00683FF6" w:rsidRPr="00FB5EAE" w:rsidRDefault="00683FF6" w:rsidP="00D030F8">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5E8929" w14:textId="77777777" w:rsidR="00683FF6" w:rsidRPr="00FB5EAE" w:rsidRDefault="00683FF6" w:rsidP="00D030F8">
            <w:pPr>
              <w:rPr>
                <w:rFonts w:ascii="Arial Narrow" w:hAnsi="Arial Narrow"/>
                <w:b/>
                <w:bCs/>
                <w:color w:val="333333"/>
                <w:sz w:val="20"/>
                <w:szCs w:val="20"/>
              </w:rPr>
            </w:pPr>
            <w:r w:rsidRPr="00FB5EAE">
              <w:rPr>
                <w:rFonts w:ascii="Arial Narrow" w:hAnsi="Arial Narrow"/>
                <w:color w:val="333333"/>
                <w:sz w:val="20"/>
                <w:szCs w:val="20"/>
              </w:rPr>
              <w:t xml:space="preserve">Patient must have the number of migraine </w:t>
            </w:r>
            <w:r w:rsidRPr="00FB5EAE">
              <w:rPr>
                <w:rFonts w:ascii="Arial Narrow" w:hAnsi="Arial Narrow"/>
                <w:i/>
                <w:iCs/>
                <w:color w:val="333333"/>
                <w:sz w:val="20"/>
                <w:szCs w:val="20"/>
              </w:rPr>
              <w:t xml:space="preserve">headache </w:t>
            </w:r>
            <w:r w:rsidRPr="00FB5EAE">
              <w:rPr>
                <w:rFonts w:ascii="Arial Narrow" w:hAnsi="Arial Narrow"/>
                <w:color w:val="333333"/>
                <w:sz w:val="20"/>
                <w:szCs w:val="20"/>
              </w:rPr>
              <w:t>days per month documented in their medical records.</w:t>
            </w:r>
          </w:p>
        </w:tc>
      </w:tr>
    </w:tbl>
    <w:p w14:paraId="62EDEBC9" w14:textId="77777777" w:rsidR="00683FF6" w:rsidRPr="00FB5EAE" w:rsidRDefault="00683FF6" w:rsidP="000422A6">
      <w:pPr>
        <w:widowControl w:val="0"/>
        <w:rPr>
          <w:rFonts w:asciiTheme="minorHAnsi" w:hAnsiTheme="minorHAnsi"/>
          <w:bCs/>
          <w:snapToGrid w:val="0"/>
          <w:u w:val="single"/>
          <w:lang w:eastAsia="en-US"/>
        </w:rPr>
      </w:pPr>
    </w:p>
    <w:p w14:paraId="5C7B65B8" w14:textId="77777777" w:rsidR="00683FF6" w:rsidRPr="00FB5EAE" w:rsidRDefault="00683FF6" w:rsidP="000422A6">
      <w:pPr>
        <w:pStyle w:val="3-BodyText"/>
        <w:numPr>
          <w:ilvl w:val="0"/>
          <w:numId w:val="0"/>
        </w:numPr>
        <w:spacing w:after="0"/>
        <w:ind w:left="720" w:hanging="720"/>
        <w:rPr>
          <w:b/>
          <w:bCs/>
          <w:u w:val="single"/>
        </w:rPr>
      </w:pPr>
      <w:r w:rsidRPr="00FB5EAE">
        <w:rPr>
          <w:bCs/>
          <w:u w:val="single"/>
        </w:rPr>
        <w:t>The difference of max quantity and number of repeats is in the continuing treatment phase:</w:t>
      </w:r>
    </w:p>
    <w:p w14:paraId="04FA2CAC" w14:textId="77777777" w:rsidR="00683FF6" w:rsidRPr="00FB5EAE" w:rsidRDefault="00683FF6" w:rsidP="000422A6">
      <w:pPr>
        <w:widowControl w:val="0"/>
        <w:spacing w:after="120"/>
        <w:rPr>
          <w:rFonts w:asciiTheme="minorHAnsi" w:hAnsiTheme="minorHAnsi"/>
          <w:bCs/>
          <w:snapToGrid w:val="0"/>
          <w:u w:val="single"/>
          <w:lang w:eastAsia="en-US"/>
        </w:rPr>
      </w:pPr>
      <w:r w:rsidRPr="00FB5EAE">
        <w:rPr>
          <w:rFonts w:asciiTheme="minorHAnsi" w:hAnsiTheme="minorHAnsi"/>
          <w:bCs/>
          <w:snapToGrid w:val="0"/>
          <w:u w:val="single"/>
          <w:lang w:eastAsia="en-US"/>
        </w:rPr>
        <w:t>Monthly dosing regimen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857"/>
        <w:gridCol w:w="708"/>
        <w:gridCol w:w="1694"/>
      </w:tblGrid>
      <w:tr w:rsidR="00683FF6" w:rsidRPr="00FB5EAE" w14:paraId="28F41AB0"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0C907A62" w14:textId="77777777" w:rsidR="00683FF6" w:rsidRPr="00FB5EAE" w:rsidRDefault="00683FF6" w:rsidP="000422A6">
            <w:pPr>
              <w:keepNext/>
              <w:ind w:left="-57"/>
              <w:rPr>
                <w:rFonts w:ascii="Arial Narrow" w:hAnsi="Arial Narrow"/>
                <w:b/>
                <w:bCs/>
                <w:sz w:val="20"/>
                <w:szCs w:val="20"/>
              </w:rPr>
            </w:pPr>
            <w:r w:rsidRPr="00FB5EAE">
              <w:rPr>
                <w:rFonts w:asciiTheme="minorHAnsi" w:hAnsiTheme="minorHAnsi"/>
                <w:bCs/>
                <w:snapToGrid w:val="0"/>
                <w:lang w:eastAsia="en-US"/>
              </w:rPr>
              <w:br w:type="page"/>
            </w:r>
            <w:r w:rsidRPr="00FB5EAE">
              <w:rPr>
                <w:rFonts w:ascii="Arial Narrow" w:hAnsi="Arial Narrow"/>
                <w:b/>
                <w:bCs/>
                <w:sz w:val="20"/>
                <w:szCs w:val="20"/>
              </w:rPr>
              <w:t>MEDICINAL PRODUCT</w:t>
            </w:r>
          </w:p>
          <w:p w14:paraId="1DB3C869" w14:textId="77777777" w:rsidR="00683FF6" w:rsidRPr="00FB5EAE" w:rsidRDefault="00683FF6" w:rsidP="000422A6">
            <w:pPr>
              <w:keepNext/>
              <w:ind w:left="-57"/>
              <w:rPr>
                <w:rFonts w:ascii="Arial Narrow" w:hAnsi="Arial Narrow"/>
                <w:b/>
                <w:sz w:val="20"/>
                <w:szCs w:val="20"/>
              </w:rPr>
            </w:pPr>
            <w:r w:rsidRPr="00FB5EAE">
              <w:rPr>
                <w:rFonts w:ascii="Arial Narrow" w:hAnsi="Arial Narrow"/>
                <w:b/>
                <w:bCs/>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151C3093" w14:textId="77777777" w:rsidR="00683FF6" w:rsidRPr="00FB5EAE" w:rsidRDefault="00683FF6" w:rsidP="000422A6">
            <w:pPr>
              <w:keepNext/>
              <w:ind w:left="-108"/>
              <w:jc w:val="center"/>
              <w:rPr>
                <w:rFonts w:ascii="Arial Narrow" w:hAnsi="Arial Narrow"/>
                <w:b/>
                <w:sz w:val="20"/>
                <w:szCs w:val="20"/>
              </w:rPr>
            </w:pPr>
            <w:r w:rsidRPr="00FB5EAE">
              <w:rPr>
                <w:rFonts w:ascii="Arial Narrow" w:hAnsi="Arial Narrow"/>
                <w:b/>
                <w:sz w:val="20"/>
                <w:szCs w:val="20"/>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7580355D" w14:textId="77777777" w:rsidR="00683FF6" w:rsidRPr="00FB5EAE" w:rsidRDefault="00683FF6" w:rsidP="000422A6">
            <w:pPr>
              <w:keepNext/>
              <w:ind w:left="-108"/>
              <w:jc w:val="center"/>
              <w:rPr>
                <w:rFonts w:ascii="Arial Narrow" w:hAnsi="Arial Narrow"/>
                <w:b/>
                <w:sz w:val="20"/>
                <w:szCs w:val="20"/>
              </w:rPr>
            </w:pPr>
            <w:r w:rsidRPr="00FB5EAE">
              <w:rPr>
                <w:rFonts w:ascii="Arial Narrow" w:hAnsi="Arial Narrow"/>
                <w:b/>
                <w:sz w:val="20"/>
                <w:szCs w:val="20"/>
              </w:rPr>
              <w:t>Max. qty packs</w:t>
            </w:r>
          </w:p>
        </w:tc>
        <w:tc>
          <w:tcPr>
            <w:tcW w:w="857" w:type="dxa"/>
            <w:tcBorders>
              <w:top w:val="single" w:sz="4" w:space="0" w:color="auto"/>
              <w:left w:val="single" w:sz="4" w:space="0" w:color="auto"/>
              <w:bottom w:val="single" w:sz="4" w:space="0" w:color="auto"/>
              <w:right w:val="single" w:sz="4" w:space="0" w:color="auto"/>
            </w:tcBorders>
            <w:hideMark/>
          </w:tcPr>
          <w:p w14:paraId="528C394E" w14:textId="77777777" w:rsidR="00683FF6" w:rsidRPr="00FB5EAE" w:rsidRDefault="00683FF6" w:rsidP="000422A6">
            <w:pPr>
              <w:keepNext/>
              <w:ind w:left="-108"/>
              <w:jc w:val="center"/>
              <w:rPr>
                <w:rFonts w:ascii="Arial Narrow" w:hAnsi="Arial Narrow"/>
                <w:b/>
                <w:sz w:val="20"/>
                <w:szCs w:val="20"/>
              </w:rPr>
            </w:pPr>
            <w:r w:rsidRPr="00FB5EAE">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687F3D60" w14:textId="77777777" w:rsidR="00683FF6" w:rsidRPr="00FB5EAE" w:rsidRDefault="00683FF6" w:rsidP="000422A6">
            <w:pPr>
              <w:keepNext/>
              <w:ind w:left="-108"/>
              <w:jc w:val="center"/>
              <w:rPr>
                <w:rFonts w:ascii="Arial Narrow" w:hAnsi="Arial Narrow"/>
                <w:b/>
                <w:sz w:val="20"/>
                <w:szCs w:val="20"/>
              </w:rPr>
            </w:pPr>
            <w:proofErr w:type="gramStart"/>
            <w:r w:rsidRPr="00FB5EAE">
              <w:rPr>
                <w:rFonts w:ascii="Arial Narrow" w:hAnsi="Arial Narrow"/>
                <w:b/>
                <w:sz w:val="20"/>
                <w:szCs w:val="20"/>
              </w:rPr>
              <w:t>№.of</w:t>
            </w:r>
            <w:proofErr w:type="gramEnd"/>
          </w:p>
          <w:p w14:paraId="7462761F" w14:textId="77777777" w:rsidR="00683FF6" w:rsidRPr="00FB5EAE" w:rsidRDefault="00683FF6" w:rsidP="000422A6">
            <w:pPr>
              <w:keepNext/>
              <w:ind w:left="-108"/>
              <w:jc w:val="center"/>
              <w:rPr>
                <w:rFonts w:ascii="Arial Narrow" w:hAnsi="Arial Narrow"/>
                <w:b/>
                <w:sz w:val="20"/>
                <w:szCs w:val="20"/>
              </w:rPr>
            </w:pPr>
            <w:r w:rsidRPr="00FB5EAE">
              <w:rPr>
                <w:rFonts w:ascii="Arial Narrow" w:hAnsi="Arial Narrow"/>
                <w:b/>
                <w:sz w:val="20"/>
                <w:szCs w:val="20"/>
              </w:rPr>
              <w:t>Rpts</w:t>
            </w:r>
          </w:p>
        </w:tc>
        <w:tc>
          <w:tcPr>
            <w:tcW w:w="1694" w:type="dxa"/>
            <w:tcBorders>
              <w:top w:val="single" w:sz="4" w:space="0" w:color="auto"/>
              <w:left w:val="single" w:sz="4" w:space="0" w:color="auto"/>
              <w:bottom w:val="single" w:sz="4" w:space="0" w:color="auto"/>
              <w:right w:val="single" w:sz="4" w:space="0" w:color="auto"/>
            </w:tcBorders>
            <w:hideMark/>
          </w:tcPr>
          <w:p w14:paraId="005A72D6" w14:textId="77777777" w:rsidR="00683FF6" w:rsidRPr="00FB5EAE" w:rsidRDefault="00683FF6" w:rsidP="000422A6">
            <w:pPr>
              <w:keepNext/>
              <w:rPr>
                <w:rFonts w:ascii="Arial Narrow" w:hAnsi="Arial Narrow"/>
                <w:b/>
                <w:sz w:val="20"/>
                <w:szCs w:val="20"/>
              </w:rPr>
            </w:pPr>
            <w:r w:rsidRPr="00FB5EAE">
              <w:rPr>
                <w:rFonts w:ascii="Arial Narrow" w:hAnsi="Arial Narrow"/>
                <w:b/>
                <w:sz w:val="20"/>
                <w:szCs w:val="20"/>
              </w:rPr>
              <w:t>Available brands</w:t>
            </w:r>
          </w:p>
        </w:tc>
      </w:tr>
      <w:tr w:rsidR="00683FF6" w:rsidRPr="00FB5EAE" w14:paraId="0FD4B031" w14:textId="77777777" w:rsidTr="000422A6">
        <w:trPr>
          <w:cantSplit/>
          <w:trHeight w:val="20"/>
        </w:trPr>
        <w:tc>
          <w:tcPr>
            <w:tcW w:w="9060" w:type="dxa"/>
            <w:gridSpan w:val="7"/>
            <w:tcBorders>
              <w:top w:val="single" w:sz="4" w:space="0" w:color="auto"/>
              <w:left w:val="single" w:sz="4" w:space="0" w:color="auto"/>
              <w:bottom w:val="single" w:sz="4" w:space="0" w:color="auto"/>
              <w:right w:val="single" w:sz="4" w:space="0" w:color="auto"/>
            </w:tcBorders>
            <w:hideMark/>
          </w:tcPr>
          <w:p w14:paraId="37B0AC74" w14:textId="77777777" w:rsidR="00683FF6" w:rsidRPr="00FB5EAE" w:rsidRDefault="00683FF6" w:rsidP="000422A6">
            <w:pPr>
              <w:keepNext/>
              <w:ind w:left="-57"/>
              <w:rPr>
                <w:rFonts w:ascii="Arial Narrow" w:hAnsi="Arial Narrow"/>
                <w:sz w:val="20"/>
                <w:szCs w:val="20"/>
              </w:rPr>
            </w:pPr>
            <w:r w:rsidRPr="00FB5EAE">
              <w:rPr>
                <w:rFonts w:ascii="Arial Narrow" w:hAnsi="Arial Narrow"/>
                <w:sz w:val="20"/>
                <w:szCs w:val="20"/>
              </w:rPr>
              <w:t>FREMANEZUMAB</w:t>
            </w:r>
          </w:p>
        </w:tc>
      </w:tr>
      <w:tr w:rsidR="00683FF6" w:rsidRPr="00FB5EAE" w14:paraId="03EF313D"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6D77F74E" w14:textId="77777777" w:rsidR="00683FF6" w:rsidRPr="00FB5EAE" w:rsidRDefault="00683FF6" w:rsidP="000422A6">
            <w:pPr>
              <w:keepNext/>
              <w:ind w:left="-57"/>
              <w:rPr>
                <w:rFonts w:ascii="Arial Narrow" w:hAnsi="Arial Narrow"/>
                <w:sz w:val="20"/>
                <w:szCs w:val="20"/>
              </w:rPr>
            </w:pPr>
            <w:r w:rsidRPr="00FB5EAE">
              <w:rPr>
                <w:rFonts w:ascii="Arial Narrow" w:hAnsi="Arial Narrow"/>
                <w:sz w:val="20"/>
                <w:szCs w:val="20"/>
              </w:rPr>
              <w:t>fremanezumab 225 mg/1.5 mL injection, 1.5 mL pen device</w:t>
            </w:r>
          </w:p>
        </w:tc>
        <w:tc>
          <w:tcPr>
            <w:tcW w:w="992" w:type="dxa"/>
            <w:tcBorders>
              <w:top w:val="single" w:sz="4" w:space="0" w:color="auto"/>
              <w:left w:val="single" w:sz="4" w:space="0" w:color="auto"/>
              <w:bottom w:val="single" w:sz="4" w:space="0" w:color="auto"/>
              <w:right w:val="single" w:sz="4" w:space="0" w:color="auto"/>
            </w:tcBorders>
            <w:hideMark/>
          </w:tcPr>
          <w:p w14:paraId="2E574B52"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13129B</w:t>
            </w:r>
          </w:p>
        </w:tc>
        <w:tc>
          <w:tcPr>
            <w:tcW w:w="849" w:type="dxa"/>
            <w:tcBorders>
              <w:top w:val="single" w:sz="4" w:space="0" w:color="auto"/>
              <w:left w:val="single" w:sz="4" w:space="0" w:color="auto"/>
              <w:bottom w:val="single" w:sz="4" w:space="0" w:color="auto"/>
              <w:right w:val="single" w:sz="4" w:space="0" w:color="auto"/>
            </w:tcBorders>
            <w:hideMark/>
          </w:tcPr>
          <w:p w14:paraId="65F1567D"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w:t>
            </w:r>
          </w:p>
        </w:tc>
        <w:tc>
          <w:tcPr>
            <w:tcW w:w="857" w:type="dxa"/>
            <w:tcBorders>
              <w:top w:val="single" w:sz="4" w:space="0" w:color="auto"/>
              <w:left w:val="single" w:sz="4" w:space="0" w:color="auto"/>
              <w:bottom w:val="single" w:sz="4" w:space="0" w:color="auto"/>
              <w:right w:val="single" w:sz="4" w:space="0" w:color="auto"/>
            </w:tcBorders>
            <w:hideMark/>
          </w:tcPr>
          <w:p w14:paraId="768FE11C"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08BBD800"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5</w:t>
            </w:r>
          </w:p>
        </w:tc>
        <w:tc>
          <w:tcPr>
            <w:tcW w:w="1694" w:type="dxa"/>
            <w:tcBorders>
              <w:top w:val="single" w:sz="4" w:space="0" w:color="auto"/>
              <w:left w:val="single" w:sz="4" w:space="0" w:color="auto"/>
              <w:bottom w:val="single" w:sz="4" w:space="0" w:color="auto"/>
              <w:right w:val="single" w:sz="4" w:space="0" w:color="auto"/>
            </w:tcBorders>
            <w:hideMark/>
          </w:tcPr>
          <w:p w14:paraId="295A2FF9" w14:textId="77777777" w:rsidR="00683FF6" w:rsidRPr="00FB5EAE" w:rsidRDefault="00683FF6" w:rsidP="000422A6">
            <w:pPr>
              <w:pStyle w:val="TableText0"/>
              <w:keepLines/>
              <w:rPr>
                <w:rFonts w:eastAsiaTheme="minorHAnsi" w:cstheme="minorBidi"/>
                <w:bCs w:val="0"/>
                <w:szCs w:val="20"/>
                <w:lang w:eastAsia="en-US"/>
              </w:rPr>
            </w:pPr>
            <w:r w:rsidRPr="00FB5EAE">
              <w:rPr>
                <w:szCs w:val="20"/>
              </w:rPr>
              <w:t xml:space="preserve">‘a’ </w:t>
            </w:r>
            <w:r w:rsidRPr="00FB5EAE">
              <w:rPr>
                <w:rFonts w:cs="Arial"/>
                <w:szCs w:val="20"/>
                <w:lang w:eastAsia="en-US"/>
              </w:rPr>
              <w:t>Ajovy</w:t>
            </w:r>
          </w:p>
        </w:tc>
      </w:tr>
      <w:tr w:rsidR="00683FF6" w:rsidRPr="00FB5EAE" w14:paraId="1D9EE806"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0A40931B" w14:textId="77777777" w:rsidR="00683FF6" w:rsidRPr="00FB5EAE" w:rsidRDefault="00683FF6" w:rsidP="000422A6">
            <w:pPr>
              <w:keepNext/>
              <w:ind w:left="-57"/>
              <w:rPr>
                <w:rFonts w:ascii="Arial Narrow" w:eastAsiaTheme="minorHAnsi" w:hAnsi="Arial Narrow" w:cstheme="minorBidi"/>
                <w:sz w:val="20"/>
                <w:szCs w:val="20"/>
                <w:lang w:eastAsia="en-US"/>
              </w:rPr>
            </w:pPr>
            <w:r w:rsidRPr="00FB5EAE">
              <w:rPr>
                <w:rFonts w:ascii="Arial Narrow" w:hAnsi="Arial Narrow"/>
                <w:sz w:val="20"/>
                <w:szCs w:val="20"/>
              </w:rPr>
              <w:t>fremanezumab 225 mg/1.5 mL injection, 1.5 mL syringe</w:t>
            </w:r>
          </w:p>
        </w:tc>
        <w:tc>
          <w:tcPr>
            <w:tcW w:w="992" w:type="dxa"/>
            <w:tcBorders>
              <w:top w:val="single" w:sz="4" w:space="0" w:color="auto"/>
              <w:left w:val="single" w:sz="4" w:space="0" w:color="auto"/>
              <w:bottom w:val="single" w:sz="4" w:space="0" w:color="auto"/>
              <w:right w:val="single" w:sz="4" w:space="0" w:color="auto"/>
            </w:tcBorders>
            <w:hideMark/>
          </w:tcPr>
          <w:p w14:paraId="6A583126"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12603H</w:t>
            </w:r>
          </w:p>
        </w:tc>
        <w:tc>
          <w:tcPr>
            <w:tcW w:w="849" w:type="dxa"/>
            <w:tcBorders>
              <w:top w:val="single" w:sz="4" w:space="0" w:color="auto"/>
              <w:left w:val="single" w:sz="4" w:space="0" w:color="auto"/>
              <w:bottom w:val="single" w:sz="4" w:space="0" w:color="auto"/>
              <w:right w:val="single" w:sz="4" w:space="0" w:color="auto"/>
            </w:tcBorders>
            <w:hideMark/>
          </w:tcPr>
          <w:p w14:paraId="54625D70"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w:t>
            </w:r>
          </w:p>
        </w:tc>
        <w:tc>
          <w:tcPr>
            <w:tcW w:w="857" w:type="dxa"/>
            <w:tcBorders>
              <w:top w:val="single" w:sz="4" w:space="0" w:color="auto"/>
              <w:left w:val="single" w:sz="4" w:space="0" w:color="auto"/>
              <w:bottom w:val="single" w:sz="4" w:space="0" w:color="auto"/>
              <w:right w:val="single" w:sz="4" w:space="0" w:color="auto"/>
            </w:tcBorders>
            <w:hideMark/>
          </w:tcPr>
          <w:p w14:paraId="5CA77B56"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hideMark/>
          </w:tcPr>
          <w:p w14:paraId="2033706E" w14:textId="77777777" w:rsidR="00683FF6" w:rsidRPr="00FB5EAE" w:rsidRDefault="00683FF6" w:rsidP="000422A6">
            <w:pPr>
              <w:keepNext/>
              <w:jc w:val="center"/>
              <w:rPr>
                <w:rFonts w:ascii="Arial Narrow" w:hAnsi="Arial Narrow"/>
                <w:sz w:val="20"/>
                <w:szCs w:val="20"/>
              </w:rPr>
            </w:pPr>
            <w:r w:rsidRPr="00FB5EAE">
              <w:rPr>
                <w:rFonts w:ascii="Arial Narrow" w:hAnsi="Arial Narrow"/>
                <w:sz w:val="20"/>
                <w:szCs w:val="20"/>
              </w:rPr>
              <w:t>5</w:t>
            </w:r>
          </w:p>
        </w:tc>
        <w:tc>
          <w:tcPr>
            <w:tcW w:w="1694" w:type="dxa"/>
            <w:tcBorders>
              <w:top w:val="single" w:sz="4" w:space="0" w:color="auto"/>
              <w:left w:val="single" w:sz="4" w:space="0" w:color="auto"/>
              <w:bottom w:val="single" w:sz="4" w:space="0" w:color="auto"/>
              <w:right w:val="single" w:sz="4" w:space="0" w:color="auto"/>
            </w:tcBorders>
            <w:hideMark/>
          </w:tcPr>
          <w:p w14:paraId="706CEBCC" w14:textId="77777777" w:rsidR="00683FF6" w:rsidRPr="00FB5EAE" w:rsidRDefault="00683FF6" w:rsidP="000422A6">
            <w:pPr>
              <w:pStyle w:val="TableText0"/>
              <w:keepLines/>
              <w:rPr>
                <w:rFonts w:eastAsiaTheme="minorHAnsi" w:cstheme="minorBidi"/>
                <w:bCs w:val="0"/>
                <w:szCs w:val="20"/>
                <w:lang w:eastAsia="en-US"/>
              </w:rPr>
            </w:pPr>
            <w:r w:rsidRPr="00FB5EAE">
              <w:rPr>
                <w:szCs w:val="20"/>
              </w:rPr>
              <w:t xml:space="preserve">‘a’ </w:t>
            </w:r>
            <w:r w:rsidRPr="00FB5EAE">
              <w:rPr>
                <w:rFonts w:cs="Arial"/>
                <w:szCs w:val="20"/>
                <w:lang w:eastAsia="en-US"/>
              </w:rPr>
              <w:t>Ajovy</w:t>
            </w:r>
          </w:p>
        </w:tc>
      </w:tr>
      <w:tr w:rsidR="00683FF6" w:rsidRPr="00FB5EAE" w14:paraId="205FAA1E" w14:textId="77777777" w:rsidTr="000422A6">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437EBD8" w14:textId="77777777" w:rsidR="00683FF6" w:rsidRPr="00FB5EAE" w:rsidRDefault="00683FF6" w:rsidP="000422A6">
            <w:pPr>
              <w:jc w:val="center"/>
              <w:rPr>
                <w:rFonts w:ascii="Arial Narrow" w:hAnsi="Arial Narrow" w:cstheme="minorBidi"/>
                <w:color w:val="333333"/>
                <w:sz w:val="20"/>
                <w:szCs w:val="20"/>
              </w:rPr>
            </w:pPr>
          </w:p>
        </w:tc>
      </w:tr>
      <w:tr w:rsidR="00683FF6" w:rsidRPr="00FB5EAE" w14:paraId="61983F32" w14:textId="77777777" w:rsidTr="000422A6">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10E0310" w14:textId="409067CF" w:rsidR="00683FF6" w:rsidRPr="00FB5EAE" w:rsidRDefault="00683FF6" w:rsidP="000422A6">
            <w:pPr>
              <w:shd w:val="clear" w:color="auto" w:fill="DDDDDD"/>
              <w:rPr>
                <w:rFonts w:ascii="Arial Narrow" w:eastAsiaTheme="minorHAnsi" w:hAnsi="Arial Narrow"/>
                <w:b/>
                <w:sz w:val="20"/>
                <w:szCs w:val="20"/>
                <w:lang w:eastAsia="en-US"/>
              </w:rPr>
            </w:pPr>
            <w:r w:rsidRPr="00FB5EAE">
              <w:rPr>
                <w:rFonts w:ascii="Arial Narrow" w:hAnsi="Arial Narrow"/>
                <w:b/>
                <w:sz w:val="20"/>
                <w:szCs w:val="20"/>
              </w:rPr>
              <w:t xml:space="preserve">Restriction Summary / ToC: Authority Required: Streamlined </w:t>
            </w:r>
          </w:p>
        </w:tc>
      </w:tr>
      <w:tr w:rsidR="00683FF6" w:rsidRPr="00FB5EAE" w14:paraId="070F38F5" w14:textId="77777777" w:rsidTr="000422A6">
        <w:trPr>
          <w:trHeight w:val="20"/>
        </w:trPr>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E48EB8B" w14:textId="77777777" w:rsidR="00683FF6" w:rsidRPr="00FB5EAE" w:rsidRDefault="00683FF6" w:rsidP="000422A6">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E81040B" w14:textId="77777777" w:rsidR="00683FF6" w:rsidRPr="00FB5EAE" w:rsidRDefault="00683FF6" w:rsidP="000422A6">
            <w:pPr>
              <w:rPr>
                <w:rFonts w:ascii="Arial Narrow" w:hAnsi="Arial Narrow"/>
                <w:sz w:val="20"/>
                <w:szCs w:val="20"/>
              </w:rPr>
            </w:pPr>
            <w:r w:rsidRPr="00FB5EAE">
              <w:rPr>
                <w:rFonts w:ascii="Arial Narrow" w:hAnsi="Arial Narrow"/>
                <w:b/>
                <w:sz w:val="20"/>
                <w:szCs w:val="20"/>
              </w:rPr>
              <w:t xml:space="preserve">Category / Program:   </w:t>
            </w:r>
            <w:r w:rsidRPr="00FB5EAE">
              <w:rPr>
                <w:rFonts w:ascii="Arial Narrow" w:hAnsi="Arial Narrow"/>
                <w:sz w:val="20"/>
                <w:szCs w:val="20"/>
              </w:rPr>
              <w:t>GENERAL – General Schedule (Code GE)</w:t>
            </w:r>
            <w:r w:rsidRPr="00FB5EAE">
              <w:rPr>
                <w:rFonts w:ascii="Arial Narrow" w:hAnsi="Arial Narrow"/>
                <w:color w:val="FF0000"/>
                <w:sz w:val="20"/>
                <w:szCs w:val="20"/>
              </w:rPr>
              <w:t xml:space="preserve"> </w:t>
            </w:r>
          </w:p>
          <w:p w14:paraId="1684FDF4" w14:textId="77777777" w:rsidR="00683FF6" w:rsidRPr="00FB5EAE" w:rsidRDefault="00683FF6" w:rsidP="000422A6">
            <w:pPr>
              <w:rPr>
                <w:rFonts w:ascii="Arial Narrow" w:hAnsi="Arial Narrow"/>
                <w:sz w:val="20"/>
                <w:szCs w:val="20"/>
              </w:rPr>
            </w:pPr>
          </w:p>
        </w:tc>
      </w:tr>
      <w:tr w:rsidR="00683FF6" w:rsidRPr="00FB5EAE" w14:paraId="758C0D4C" w14:textId="77777777" w:rsidTr="000422A6">
        <w:trPr>
          <w:trHeight w:val="20"/>
        </w:trPr>
        <w:tc>
          <w:tcPr>
            <w:tcW w:w="980" w:type="dxa"/>
            <w:vMerge/>
            <w:vAlign w:val="center"/>
          </w:tcPr>
          <w:p w14:paraId="6E08D522" w14:textId="77777777" w:rsidR="00683FF6" w:rsidRPr="00FB5EAE" w:rsidRDefault="00683FF6" w:rsidP="000422A6">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3E57A27" w14:textId="77777777" w:rsidR="00683FF6" w:rsidRPr="00FB5EAE" w:rsidRDefault="00683FF6" w:rsidP="000422A6">
            <w:pPr>
              <w:rPr>
                <w:rFonts w:ascii="Arial Narrow" w:hAnsi="Arial Narrow"/>
                <w:b/>
                <w:sz w:val="20"/>
                <w:szCs w:val="20"/>
              </w:rPr>
            </w:pPr>
            <w:r w:rsidRPr="00FB5EAE">
              <w:rPr>
                <w:rFonts w:ascii="Arial Narrow" w:hAnsi="Arial Narrow"/>
                <w:b/>
                <w:sz w:val="20"/>
                <w:szCs w:val="20"/>
              </w:rPr>
              <w:t xml:space="preserve">Prescriber type:   </w:t>
            </w:r>
            <w:r w:rsidRPr="00FB5EAE">
              <w:rPr>
                <w:rFonts w:ascii="Arial Narrow" w:hAnsi="Arial Narrow"/>
                <w:sz w:val="20"/>
                <w:szCs w:val="20"/>
              </w:rPr>
              <w:fldChar w:fldCharType="begin" w:fldLock="1">
                <w:ffData>
                  <w:name w:val=""/>
                  <w:enabled/>
                  <w:calcOnExit w:val="0"/>
                  <w:checkBox>
                    <w:sizeAuto/>
                    <w:default w:val="1"/>
                  </w:checkBox>
                </w:ffData>
              </w:fldChar>
            </w:r>
            <w:r w:rsidRPr="00FB5EAE">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sidRPr="00FB5EAE">
              <w:rPr>
                <w:rFonts w:ascii="Arial Narrow" w:hAnsi="Arial Narrow"/>
                <w:sz w:val="20"/>
                <w:szCs w:val="20"/>
              </w:rPr>
              <w:fldChar w:fldCharType="end"/>
            </w:r>
            <w:r w:rsidRPr="00FB5EAE">
              <w:rPr>
                <w:rFonts w:ascii="Arial Narrow" w:hAnsi="Arial Narrow"/>
                <w:sz w:val="20"/>
                <w:szCs w:val="20"/>
              </w:rPr>
              <w:t xml:space="preserve">Medical Practitioners    </w:t>
            </w:r>
          </w:p>
        </w:tc>
      </w:tr>
      <w:tr w:rsidR="00683FF6" w:rsidRPr="00FB5EAE" w14:paraId="03AD7887" w14:textId="77777777" w:rsidTr="000422A6">
        <w:trPr>
          <w:trHeight w:val="20"/>
        </w:trPr>
        <w:tc>
          <w:tcPr>
            <w:tcW w:w="980" w:type="dxa"/>
            <w:vMerge/>
            <w:vAlign w:val="center"/>
          </w:tcPr>
          <w:p w14:paraId="18E7025D" w14:textId="77777777" w:rsidR="00683FF6" w:rsidRPr="00FB5EAE" w:rsidRDefault="00683FF6" w:rsidP="000422A6">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527709" w14:textId="77777777" w:rsidR="00683FF6" w:rsidRPr="00FB5EAE" w:rsidRDefault="00683FF6" w:rsidP="000422A6">
            <w:pPr>
              <w:rPr>
                <w:rFonts w:ascii="Arial Narrow" w:hAnsi="Arial Narrow"/>
                <w:b/>
                <w:sz w:val="20"/>
                <w:szCs w:val="20"/>
              </w:rPr>
            </w:pPr>
            <w:r w:rsidRPr="00FB5EAE">
              <w:rPr>
                <w:rFonts w:ascii="Arial Narrow" w:hAnsi="Arial Narrow"/>
                <w:b/>
                <w:sz w:val="20"/>
                <w:szCs w:val="20"/>
              </w:rPr>
              <w:t xml:space="preserve">Restriction type: </w:t>
            </w:r>
            <w:r w:rsidRPr="00FB5EAE">
              <w:rPr>
                <w:rFonts w:ascii="Arial Narrow" w:eastAsia="Calibri" w:hAnsi="Arial Narrow"/>
                <w:sz w:val="20"/>
                <w:szCs w:val="20"/>
              </w:rPr>
              <w:fldChar w:fldCharType="begin" w:fldLock="1">
                <w:ffData>
                  <w:name w:val=""/>
                  <w:enabled/>
                  <w:calcOnExit w:val="0"/>
                  <w:checkBox>
                    <w:sizeAuto/>
                    <w:default w:val="1"/>
                  </w:checkBox>
                </w:ffData>
              </w:fldChar>
            </w:r>
            <w:r w:rsidRPr="00FB5EAE">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sidRPr="00FB5EAE">
              <w:rPr>
                <w:rFonts w:ascii="Arial Narrow" w:eastAsia="Calibri" w:hAnsi="Arial Narrow"/>
                <w:sz w:val="20"/>
                <w:szCs w:val="20"/>
              </w:rPr>
              <w:fldChar w:fldCharType="end"/>
            </w:r>
            <w:r w:rsidRPr="00FB5EAE">
              <w:rPr>
                <w:rFonts w:ascii="Arial Narrow" w:eastAsia="Calibri" w:hAnsi="Arial Narrow"/>
                <w:sz w:val="20"/>
                <w:szCs w:val="20"/>
              </w:rPr>
              <w:t xml:space="preserve">Authority Required (Streamlined) </w:t>
            </w:r>
            <w:r w:rsidRPr="00FB5EAE">
              <w:rPr>
                <w:rFonts w:ascii="Arial Narrow" w:eastAsia="Calibri" w:hAnsi="Arial Narrow"/>
                <w:i/>
                <w:iCs/>
                <w:sz w:val="20"/>
                <w:szCs w:val="20"/>
              </w:rPr>
              <w:t>[</w:t>
            </w:r>
            <w:r w:rsidRPr="00FB5EAE">
              <w:rPr>
                <w:rFonts w:ascii="Arial Narrow" w:eastAsia="Calibri" w:hAnsi="Arial Narrow"/>
                <w:i/>
                <w:sz w:val="20"/>
                <w:szCs w:val="20"/>
              </w:rPr>
              <w:t>amendment to existing code- New 4]</w:t>
            </w:r>
          </w:p>
        </w:tc>
      </w:tr>
      <w:tr w:rsidR="00683FF6" w:rsidRPr="00FB5EAE" w14:paraId="79A60840"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F58805" w14:textId="768E45DB" w:rsidR="00683FF6" w:rsidRPr="00FB5EAE" w:rsidRDefault="00683FF6" w:rsidP="000422A6">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6FEB67" w14:textId="77777777" w:rsidR="00683FF6" w:rsidRPr="00FB5EAE" w:rsidRDefault="00683FF6" w:rsidP="000422A6">
            <w:pPr>
              <w:rPr>
                <w:rFonts w:ascii="Arial Narrow" w:hAnsi="Arial Narrow"/>
                <w:color w:val="333333"/>
                <w:sz w:val="20"/>
                <w:szCs w:val="20"/>
              </w:rPr>
            </w:pPr>
            <w:r w:rsidRPr="00FB5EAE">
              <w:rPr>
                <w:rFonts w:ascii="Arial Narrow" w:hAnsi="Arial Narrow"/>
                <w:b/>
                <w:bCs/>
                <w:color w:val="333333"/>
                <w:sz w:val="20"/>
                <w:szCs w:val="20"/>
              </w:rPr>
              <w:t>Administrative Advice:</w:t>
            </w:r>
          </w:p>
          <w:p w14:paraId="1EA6A21D" w14:textId="77777777" w:rsidR="00683FF6" w:rsidRPr="00FB5EAE" w:rsidRDefault="00683FF6" w:rsidP="000422A6">
            <w:pPr>
              <w:rPr>
                <w:rFonts w:ascii="Arial Narrow" w:hAnsi="Arial Narrow"/>
                <w:color w:val="333333"/>
                <w:sz w:val="20"/>
                <w:szCs w:val="20"/>
              </w:rPr>
            </w:pPr>
            <w:r w:rsidRPr="00FB5EAE">
              <w:rPr>
                <w:rFonts w:ascii="Arial Narrow" w:eastAsia="Calibri" w:hAnsi="Arial Narrow"/>
                <w:sz w:val="20"/>
                <w:szCs w:val="20"/>
              </w:rPr>
              <w:t>No increase in the maximum quantity or number of units may be authorised.</w:t>
            </w:r>
          </w:p>
        </w:tc>
      </w:tr>
      <w:tr w:rsidR="00683FF6" w:rsidRPr="00FB5EAE" w14:paraId="7D9A0D89"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19777A8" w14:textId="4B1AE861"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D66456" w14:textId="77777777" w:rsidR="00683FF6" w:rsidRPr="00FB5EAE" w:rsidRDefault="00683FF6" w:rsidP="000422A6">
            <w:pPr>
              <w:rPr>
                <w:rFonts w:ascii="Open Sans" w:eastAsiaTheme="minorHAnsi" w:hAnsi="Open Sans"/>
                <w:color w:val="333333"/>
                <w:sz w:val="20"/>
                <w:szCs w:val="20"/>
                <w:lang w:eastAsia="en-US"/>
              </w:rPr>
            </w:pPr>
            <w:r w:rsidRPr="00FB5EAE">
              <w:rPr>
                <w:rFonts w:ascii="Arial Narrow" w:hAnsi="Arial Narrow"/>
                <w:b/>
                <w:bCs/>
                <w:color w:val="333333"/>
                <w:sz w:val="20"/>
                <w:szCs w:val="20"/>
              </w:rPr>
              <w:t>Administrative Advice</w:t>
            </w:r>
          </w:p>
          <w:p w14:paraId="6DD41E44" w14:textId="77777777" w:rsidR="00683FF6" w:rsidRPr="00FB5EAE" w:rsidRDefault="00683FF6" w:rsidP="000422A6">
            <w:pPr>
              <w:rPr>
                <w:rFonts w:ascii="Arial Narrow" w:eastAsia="Calibri" w:hAnsi="Arial Narrow"/>
                <w:sz w:val="20"/>
                <w:szCs w:val="20"/>
              </w:rPr>
            </w:pPr>
            <w:r w:rsidRPr="00FB5EAE">
              <w:rPr>
                <w:rFonts w:ascii="Arial Narrow" w:eastAsia="Calibri" w:hAnsi="Arial Narrow"/>
                <w:sz w:val="20"/>
                <w:szCs w:val="20"/>
              </w:rPr>
              <w:t>No increase in the maximum number of repeats may be authorised.</w:t>
            </w:r>
          </w:p>
        </w:tc>
      </w:tr>
      <w:tr w:rsidR="00683FF6" w:rsidRPr="00FB5EAE" w14:paraId="73AE3B6C"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064445" w14:textId="6251BAF6" w:rsidR="00683FF6" w:rsidRPr="00FB5EAE" w:rsidRDefault="00683FF6" w:rsidP="000422A6">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5DC83"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Administrative Advice:</w:t>
            </w:r>
          </w:p>
          <w:p w14:paraId="2D997870" w14:textId="77777777" w:rsidR="00683FF6" w:rsidRPr="00FB5EAE" w:rsidRDefault="00683FF6" w:rsidP="000422A6">
            <w:pPr>
              <w:rPr>
                <w:rFonts w:ascii="Arial Narrow" w:hAnsi="Arial Narrow"/>
                <w:bCs/>
                <w:color w:val="333333"/>
                <w:sz w:val="20"/>
                <w:szCs w:val="20"/>
              </w:rPr>
            </w:pPr>
            <w:r w:rsidRPr="00FB5EAE">
              <w:rPr>
                <w:rFonts w:ascii="Arial Narrow" w:eastAsia="Calibri" w:hAnsi="Arial Narrow"/>
                <w:sz w:val="20"/>
                <w:szCs w:val="20"/>
              </w:rPr>
              <w:t>Special Pricing Arrangements apply.</w:t>
            </w:r>
          </w:p>
        </w:tc>
      </w:tr>
      <w:tr w:rsidR="00683FF6" w:rsidRPr="00FB5EAE" w14:paraId="510F754F"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3DC22B5" w14:textId="747E5484"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2C5A7C"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Administrative Advice:</w:t>
            </w:r>
          </w:p>
          <w:p w14:paraId="139833FF" w14:textId="77777777" w:rsidR="00683FF6" w:rsidRPr="00FB5EAE" w:rsidRDefault="00683FF6" w:rsidP="000422A6">
            <w:pPr>
              <w:rPr>
                <w:rFonts w:ascii="Arial Narrow" w:hAnsi="Arial Narrow"/>
                <w:color w:val="333333"/>
                <w:sz w:val="20"/>
                <w:szCs w:val="20"/>
              </w:rPr>
            </w:pPr>
            <w:r w:rsidRPr="00FB5EAE">
              <w:rPr>
                <w:rFonts w:ascii="Arial Narrow" w:hAnsi="Arial Narrow"/>
                <w:color w:val="333333"/>
                <w:sz w:val="20"/>
                <w:szCs w:val="20"/>
              </w:rPr>
              <w:t>Pharmaceutical benefits that have the form fremanezumab 225 mg/1.5 mL syringes and pharmaceutical benefits that have the form fremanezumab 225 mg/1.5 mL pen devices are equivalent for the purposes of substitution.</w:t>
            </w:r>
          </w:p>
        </w:tc>
      </w:tr>
      <w:tr w:rsidR="00683FF6" w:rsidRPr="00FB5EAE" w14:paraId="4B71A485"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42FF7" w14:textId="2D7D5466"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80EF84" w14:textId="77777777" w:rsidR="00683FF6" w:rsidRPr="00FB5EAE" w:rsidRDefault="00683FF6" w:rsidP="000422A6">
            <w:pPr>
              <w:rPr>
                <w:rFonts w:ascii="Arial Narrow" w:hAnsi="Arial Narrow"/>
                <w:color w:val="333333"/>
                <w:sz w:val="20"/>
                <w:szCs w:val="20"/>
              </w:rPr>
            </w:pPr>
            <w:r w:rsidRPr="00FB5EAE">
              <w:rPr>
                <w:rFonts w:ascii="Arial Narrow" w:hAnsi="Arial Narrow"/>
                <w:b/>
                <w:bCs/>
                <w:color w:val="333333"/>
                <w:sz w:val="20"/>
                <w:szCs w:val="20"/>
              </w:rPr>
              <w:t>Indication:</w:t>
            </w:r>
            <w:r w:rsidRPr="00FB5EAE">
              <w:rPr>
                <w:rFonts w:ascii="Arial Narrow" w:hAnsi="Arial Narrow"/>
                <w:color w:val="333333"/>
                <w:sz w:val="20"/>
                <w:szCs w:val="20"/>
              </w:rPr>
              <w:t xml:space="preserve"> Treatment-resistant migraine</w:t>
            </w:r>
          </w:p>
        </w:tc>
      </w:tr>
      <w:tr w:rsidR="00683FF6" w:rsidRPr="00FB5EAE" w14:paraId="630A3B7A"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C16F09" w14:textId="77777777" w:rsidR="00683FF6" w:rsidRPr="00FB5EAE" w:rsidRDefault="00683FF6" w:rsidP="000422A6">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CD9B9D" w14:textId="77777777" w:rsidR="00683FF6" w:rsidRPr="00FB5EAE" w:rsidRDefault="00683FF6" w:rsidP="000422A6">
            <w:pPr>
              <w:rPr>
                <w:rFonts w:ascii="Arial Narrow" w:hAnsi="Arial Narrow"/>
                <w:color w:val="FF0000"/>
                <w:sz w:val="20"/>
                <w:szCs w:val="20"/>
              </w:rPr>
            </w:pPr>
            <w:r w:rsidRPr="00FB5EAE">
              <w:rPr>
                <w:rFonts w:ascii="Arial Narrow" w:hAnsi="Arial Narrow"/>
                <w:b/>
                <w:bCs/>
                <w:color w:val="333333"/>
                <w:sz w:val="20"/>
                <w:szCs w:val="20"/>
              </w:rPr>
              <w:t>Treatment Phase:</w:t>
            </w:r>
            <w:r w:rsidRPr="00FB5EAE">
              <w:rPr>
                <w:rFonts w:ascii="Arial Narrow" w:hAnsi="Arial Narrow"/>
                <w:color w:val="FF0000"/>
                <w:sz w:val="20"/>
                <w:szCs w:val="20"/>
              </w:rPr>
              <w:t xml:space="preserve"> </w:t>
            </w:r>
          </w:p>
          <w:p w14:paraId="6ED7ACBA" w14:textId="77777777" w:rsidR="00683FF6" w:rsidRPr="00FB5EAE" w:rsidRDefault="00683FF6" w:rsidP="000422A6">
            <w:pPr>
              <w:rPr>
                <w:rFonts w:ascii="Arial Narrow" w:hAnsi="Arial Narrow"/>
                <w:color w:val="FF00FF"/>
                <w:sz w:val="20"/>
                <w:szCs w:val="20"/>
              </w:rPr>
            </w:pPr>
            <w:r w:rsidRPr="00FB5EAE">
              <w:rPr>
                <w:rFonts w:ascii="Arial Narrow" w:hAnsi="Arial Narrow"/>
                <w:bCs/>
                <w:color w:val="333333"/>
                <w:sz w:val="20"/>
                <w:szCs w:val="20"/>
              </w:rPr>
              <w:t>Continuing treatment</w:t>
            </w:r>
            <w:r w:rsidRPr="00FB5EAE">
              <w:rPr>
                <w:rFonts w:ascii="Arial Narrow" w:hAnsi="Arial Narrow"/>
                <w:color w:val="FF0000"/>
                <w:sz w:val="20"/>
                <w:szCs w:val="20"/>
              </w:rPr>
              <w:t xml:space="preserve">     </w:t>
            </w:r>
          </w:p>
        </w:tc>
      </w:tr>
      <w:tr w:rsidR="00683FF6" w:rsidRPr="00FB5EAE" w14:paraId="3BCAAF13"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98A458"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E58275" w14:textId="77777777" w:rsidR="00683FF6" w:rsidRPr="00FB5EAE" w:rsidRDefault="00683FF6" w:rsidP="000422A6">
            <w:pPr>
              <w:rPr>
                <w:rFonts w:ascii="Arial Narrow" w:hAnsi="Arial Narrow"/>
                <w:b/>
                <w:bCs/>
                <w:color w:val="333333"/>
                <w:sz w:val="20"/>
                <w:szCs w:val="20"/>
              </w:rPr>
            </w:pPr>
            <w:r w:rsidRPr="00FB5EAE">
              <w:rPr>
                <w:rFonts w:ascii="Arial Narrow" w:hAnsi="Arial Narrow"/>
                <w:b/>
                <w:sz w:val="20"/>
                <w:szCs w:val="20"/>
              </w:rPr>
              <w:t>Treatment criteria:</w:t>
            </w:r>
          </w:p>
        </w:tc>
      </w:tr>
      <w:tr w:rsidR="00683FF6" w:rsidRPr="00FB5EAE" w14:paraId="6E9BC5E6" w14:textId="77777777" w:rsidTr="000422A6">
        <w:trPr>
          <w:trHeight w:val="20"/>
        </w:trPr>
        <w:tc>
          <w:tcPr>
            <w:tcW w:w="980"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69AB4D62" w14:textId="3C1B9E0E"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C48E80" w14:textId="77777777" w:rsidR="00683FF6" w:rsidRPr="00FB5EAE" w:rsidRDefault="00683FF6" w:rsidP="000422A6">
            <w:pPr>
              <w:rPr>
                <w:rFonts w:ascii="Arial Narrow" w:hAnsi="Arial Narrow"/>
                <w:b/>
                <w:bCs/>
                <w:i/>
                <w:iCs/>
                <w:color w:val="333333"/>
                <w:sz w:val="20"/>
                <w:szCs w:val="20"/>
              </w:rPr>
            </w:pPr>
            <w:r w:rsidRPr="00FB5EAE">
              <w:rPr>
                <w:rFonts w:ascii="Arial Narrow" w:hAnsi="Arial Narrow"/>
                <w:i/>
                <w:iCs/>
                <w:color w:val="333333"/>
                <w:sz w:val="20"/>
                <w:szCs w:val="20"/>
              </w:rPr>
              <w:t xml:space="preserve">Must be treated by a neurologist </w:t>
            </w:r>
            <w:r w:rsidRPr="00FB5EAE">
              <w:rPr>
                <w:rFonts w:ascii="Arial Narrow" w:hAnsi="Arial Narrow"/>
                <w:b/>
                <w:bCs/>
                <w:i/>
                <w:iCs/>
                <w:color w:val="333333"/>
                <w:sz w:val="20"/>
                <w:szCs w:val="20"/>
              </w:rPr>
              <w:t>OR</w:t>
            </w:r>
            <w:r w:rsidRPr="00FB5EAE">
              <w:rPr>
                <w:rFonts w:ascii="Arial Narrow" w:hAnsi="Arial Narrow"/>
                <w:i/>
                <w:iCs/>
                <w:color w:val="333333"/>
                <w:sz w:val="20"/>
                <w:szCs w:val="20"/>
              </w:rPr>
              <w:t xml:space="preserve"> </w:t>
            </w:r>
          </w:p>
        </w:tc>
      </w:tr>
      <w:tr w:rsidR="00683FF6" w:rsidRPr="00FB5EAE" w14:paraId="644F001F" w14:textId="77777777" w:rsidTr="000422A6">
        <w:trPr>
          <w:trHeight w:val="20"/>
        </w:trPr>
        <w:tc>
          <w:tcPr>
            <w:tcW w:w="980" w:type="dxa"/>
            <w:vMerge/>
            <w:tcMar>
              <w:top w:w="15" w:type="dxa"/>
              <w:left w:w="15" w:type="dxa"/>
              <w:bottom w:w="15" w:type="dxa"/>
              <w:right w:w="15" w:type="dxa"/>
            </w:tcMar>
            <w:vAlign w:val="center"/>
          </w:tcPr>
          <w:p w14:paraId="6903FD11"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106066" w14:textId="77777777" w:rsidR="00683FF6" w:rsidRPr="00FB5EAE" w:rsidRDefault="00683FF6" w:rsidP="000422A6">
            <w:pPr>
              <w:rPr>
                <w:rFonts w:ascii="Arial Narrow" w:hAnsi="Arial Narrow"/>
                <w:i/>
                <w:iCs/>
                <w:color w:val="333333"/>
                <w:sz w:val="20"/>
                <w:szCs w:val="20"/>
              </w:rPr>
            </w:pPr>
            <w:r w:rsidRPr="00FB5EAE">
              <w:rPr>
                <w:rFonts w:ascii="Arial Narrow" w:hAnsi="Arial Narrow" w:cstheme="minorBidi"/>
                <w:i/>
                <w:iCs/>
                <w:color w:val="333333"/>
                <w:sz w:val="20"/>
                <w:szCs w:val="20"/>
              </w:rPr>
              <w:t>Must be treated by a general practitioner in consultation with a neurologist</w:t>
            </w:r>
          </w:p>
        </w:tc>
      </w:tr>
      <w:tr w:rsidR="00683FF6" w:rsidRPr="00FB5EAE" w14:paraId="2AB29A92"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5C481A6"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AE95B9"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5CDD9AE4"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E0AE01"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02378" w14:textId="77777777" w:rsidR="00683FF6" w:rsidRPr="00FB5EAE" w:rsidRDefault="00683FF6" w:rsidP="000422A6">
            <w:pPr>
              <w:rPr>
                <w:rFonts w:ascii="Arial Narrow" w:hAnsi="Arial Narrow"/>
                <w:b/>
                <w:bCs/>
                <w:color w:val="333333"/>
                <w:sz w:val="20"/>
                <w:szCs w:val="20"/>
              </w:rPr>
            </w:pPr>
            <w:r w:rsidRPr="00FB5EAE">
              <w:rPr>
                <w:rFonts w:ascii="Arial Narrow" w:hAnsi="Arial Narrow"/>
                <w:b/>
                <w:sz w:val="20"/>
                <w:szCs w:val="20"/>
              </w:rPr>
              <w:t>Treatment criteria:</w:t>
            </w:r>
          </w:p>
        </w:tc>
      </w:tr>
      <w:tr w:rsidR="00683FF6" w:rsidRPr="00FB5EAE" w14:paraId="2C3D28E7"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C8C1709" w14:textId="0A8B4021"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5C97EC" w14:textId="77777777" w:rsidR="00683FF6" w:rsidRPr="00FB5EAE" w:rsidRDefault="00683FF6" w:rsidP="000422A6">
            <w:pPr>
              <w:rPr>
                <w:rFonts w:ascii="Arial Narrow" w:hAnsi="Arial Narrow"/>
                <w:color w:val="333333"/>
                <w:sz w:val="20"/>
                <w:szCs w:val="20"/>
              </w:rPr>
            </w:pPr>
            <w:r w:rsidRPr="00FB5EAE">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683FF6" w:rsidRPr="00FB5EAE" w14:paraId="73DFCCE5"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56FC89"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22ECB6"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2D6AD694"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451AB"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7DFD49" w14:textId="77777777" w:rsidR="00683FF6" w:rsidRPr="00FB5EAE" w:rsidRDefault="00683FF6" w:rsidP="000422A6">
            <w:pPr>
              <w:rPr>
                <w:rFonts w:ascii="Arial Narrow" w:hAnsi="Arial Narrow"/>
                <w:b/>
                <w:sz w:val="20"/>
                <w:szCs w:val="20"/>
              </w:rPr>
            </w:pPr>
            <w:r w:rsidRPr="00FB5EAE">
              <w:rPr>
                <w:rFonts w:ascii="Arial Narrow" w:hAnsi="Arial Narrow"/>
                <w:b/>
                <w:sz w:val="20"/>
                <w:szCs w:val="20"/>
              </w:rPr>
              <w:t>Clinical criteria:</w:t>
            </w:r>
          </w:p>
        </w:tc>
      </w:tr>
      <w:tr w:rsidR="00683FF6" w:rsidRPr="00FB5EAE" w14:paraId="4851DBC6"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6B6A54F" w14:textId="1B27D894" w:rsidR="00683FF6" w:rsidRPr="00FB5EAE" w:rsidRDefault="00683FF6" w:rsidP="000422A6">
            <w:pPr>
              <w:jc w:val="center"/>
              <w:rPr>
                <w:rFonts w:ascii="Arial Narrow" w:hAnsi="Arial Narrow"/>
                <w:color w:val="333333"/>
                <w:sz w:val="20"/>
                <w:szCs w:val="20"/>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F0B4B8" w14:textId="77777777" w:rsidR="00683FF6" w:rsidRPr="00FB5EAE" w:rsidRDefault="00683FF6" w:rsidP="000422A6">
            <w:pPr>
              <w:rPr>
                <w:rFonts w:ascii="Arial Narrow" w:hAnsi="Arial Narrow"/>
                <w:b/>
                <w:bCs/>
                <w:color w:val="333333"/>
                <w:sz w:val="20"/>
                <w:szCs w:val="20"/>
                <w:highlight w:val="yellow"/>
              </w:rPr>
            </w:pPr>
            <w:r w:rsidRPr="00FB5EAE">
              <w:rPr>
                <w:rFonts w:ascii="Arial Narrow" w:hAnsi="Arial Narrow"/>
                <w:color w:val="333333"/>
                <w:sz w:val="20"/>
                <w:szCs w:val="20"/>
              </w:rPr>
              <w:t>Patient must have previously received PBS-subsidised treatment with this drug for this condition</w:t>
            </w:r>
          </w:p>
        </w:tc>
      </w:tr>
      <w:tr w:rsidR="00683FF6" w:rsidRPr="00FB5EAE" w14:paraId="472A6507"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69081C"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68D118"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3C48B032"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2992E"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6B592C" w14:textId="77777777" w:rsidR="00683FF6" w:rsidRPr="00FB5EAE" w:rsidRDefault="00683FF6" w:rsidP="000422A6">
            <w:pPr>
              <w:rPr>
                <w:rFonts w:ascii="Arial Narrow" w:hAnsi="Arial Narrow"/>
                <w:b/>
                <w:bCs/>
                <w:color w:val="333333"/>
                <w:sz w:val="20"/>
                <w:szCs w:val="20"/>
              </w:rPr>
            </w:pPr>
            <w:r w:rsidRPr="00FB5EAE">
              <w:rPr>
                <w:rFonts w:ascii="Arial Narrow" w:hAnsi="Arial Narrow"/>
                <w:b/>
                <w:sz w:val="20"/>
                <w:szCs w:val="20"/>
              </w:rPr>
              <w:t>Clinical criteria:</w:t>
            </w:r>
          </w:p>
        </w:tc>
      </w:tr>
      <w:tr w:rsidR="00683FF6" w:rsidRPr="00FB5EAE" w14:paraId="3ED0587C"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9C4561" w14:textId="62AC6E25"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1E8490" w14:textId="77777777" w:rsidR="00683FF6" w:rsidRPr="00FB5EAE" w:rsidRDefault="00683FF6" w:rsidP="000422A6">
            <w:pPr>
              <w:rPr>
                <w:rFonts w:ascii="Arial Narrow" w:hAnsi="Arial Narrow"/>
                <w:color w:val="333333"/>
                <w:sz w:val="20"/>
                <w:szCs w:val="20"/>
              </w:rPr>
            </w:pPr>
            <w:r w:rsidRPr="00FB5EAE">
              <w:rPr>
                <w:rFonts w:ascii="Arial Narrow" w:hAnsi="Arial Narrow"/>
                <w:color w:val="333333"/>
                <w:sz w:val="20"/>
                <w:szCs w:val="20"/>
              </w:rPr>
              <w:t xml:space="preserve">Patient must have achieved and maintained at </w:t>
            </w:r>
            <w:r w:rsidRPr="00FB5EAE">
              <w:rPr>
                <w:rFonts w:ascii="Arial Narrow" w:hAnsi="Arial Narrow"/>
                <w:i/>
                <w:iCs/>
                <w:color w:val="333333"/>
                <w:sz w:val="20"/>
                <w:szCs w:val="20"/>
              </w:rPr>
              <w:t>least 50%</w:t>
            </w:r>
            <w:r w:rsidRPr="00FB5EAE">
              <w:rPr>
                <w:rFonts w:ascii="Arial Narrow" w:hAnsi="Arial Narrow"/>
                <w:color w:val="333333"/>
                <w:sz w:val="20"/>
                <w:szCs w:val="20"/>
              </w:rPr>
              <w:t xml:space="preserve"> </w:t>
            </w:r>
            <w:r w:rsidRPr="00FB5EAE">
              <w:rPr>
                <w:rFonts w:ascii="Arial Narrow" w:hAnsi="Arial Narrow"/>
                <w:strike/>
                <w:color w:val="333333"/>
                <w:sz w:val="20"/>
                <w:szCs w:val="20"/>
              </w:rPr>
              <w:t>50% or greater</w:t>
            </w:r>
            <w:r w:rsidRPr="00FB5EAE">
              <w:rPr>
                <w:rFonts w:ascii="Arial Narrow" w:hAnsi="Arial Narrow"/>
                <w:color w:val="333333"/>
                <w:sz w:val="20"/>
                <w:szCs w:val="20"/>
              </w:rPr>
              <w:t xml:space="preserve"> reduction from baseline in the number of migraine headache days per month</w:t>
            </w:r>
          </w:p>
        </w:tc>
      </w:tr>
      <w:tr w:rsidR="00683FF6" w:rsidRPr="00FB5EAE" w14:paraId="6D9E3434"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DF7486"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860C99"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1903C3E5"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9459B03"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58A020" w14:textId="77777777" w:rsidR="00683FF6" w:rsidRPr="00FB5EAE" w:rsidRDefault="00683FF6" w:rsidP="000422A6">
            <w:pPr>
              <w:rPr>
                <w:rFonts w:ascii="Arial Narrow" w:hAnsi="Arial Narrow"/>
                <w:b/>
                <w:bCs/>
                <w:color w:val="333333"/>
                <w:sz w:val="20"/>
                <w:szCs w:val="20"/>
              </w:rPr>
            </w:pPr>
            <w:r w:rsidRPr="00FB5EAE">
              <w:rPr>
                <w:rFonts w:ascii="Arial Narrow" w:hAnsi="Arial Narrow"/>
                <w:b/>
                <w:sz w:val="20"/>
                <w:szCs w:val="20"/>
              </w:rPr>
              <w:t>Clinical criteria:</w:t>
            </w:r>
          </w:p>
        </w:tc>
      </w:tr>
      <w:tr w:rsidR="00683FF6" w:rsidRPr="00FB5EAE" w14:paraId="55577AAA"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7EDA9E" w14:textId="0C0A6D1E"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95C29A" w14:textId="77777777" w:rsidR="00683FF6" w:rsidRPr="00FB5EAE" w:rsidRDefault="00683FF6" w:rsidP="000422A6">
            <w:pPr>
              <w:rPr>
                <w:rFonts w:ascii="Arial Narrow" w:hAnsi="Arial Narrow"/>
                <w:color w:val="333333"/>
                <w:sz w:val="20"/>
                <w:szCs w:val="20"/>
              </w:rPr>
            </w:pPr>
            <w:r w:rsidRPr="00FB5EAE">
              <w:rPr>
                <w:rFonts w:ascii="Arial Narrow" w:hAnsi="Arial Narrow"/>
                <w:color w:val="333333"/>
                <w:sz w:val="20"/>
                <w:szCs w:val="20"/>
              </w:rPr>
              <w:t>Patient must continue to be appropriately managed for medication overuse headache</w:t>
            </w:r>
          </w:p>
        </w:tc>
      </w:tr>
      <w:tr w:rsidR="00683FF6" w:rsidRPr="00FB5EAE" w14:paraId="7FC13D9F"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09BB1B"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5BAB23"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AND</w:t>
            </w:r>
          </w:p>
        </w:tc>
      </w:tr>
      <w:tr w:rsidR="00683FF6" w:rsidRPr="00FB5EAE" w14:paraId="458C81AB"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365E9C9" w14:textId="77777777"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C68295" w14:textId="77777777" w:rsidR="00683FF6" w:rsidRPr="00FB5EAE" w:rsidRDefault="00683FF6" w:rsidP="000422A6">
            <w:pPr>
              <w:rPr>
                <w:rFonts w:ascii="Arial Narrow" w:hAnsi="Arial Narrow"/>
                <w:b/>
                <w:bCs/>
                <w:color w:val="333333"/>
                <w:sz w:val="20"/>
                <w:szCs w:val="20"/>
              </w:rPr>
            </w:pPr>
            <w:r w:rsidRPr="00FB5EAE">
              <w:rPr>
                <w:rFonts w:ascii="Arial Narrow" w:hAnsi="Arial Narrow"/>
                <w:b/>
                <w:bCs/>
                <w:color w:val="333333"/>
                <w:sz w:val="20"/>
                <w:szCs w:val="20"/>
              </w:rPr>
              <w:t>Prescribing instructions:</w:t>
            </w:r>
          </w:p>
        </w:tc>
      </w:tr>
      <w:tr w:rsidR="00683FF6" w:rsidRPr="00FB5EAE" w14:paraId="1FCC78FF"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A575A68" w14:textId="0708CC0D" w:rsidR="00683FF6" w:rsidRPr="00FB5EAE"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342717" w14:textId="77777777" w:rsidR="00683FF6" w:rsidRPr="00FB5EAE" w:rsidRDefault="00683FF6" w:rsidP="000422A6">
            <w:pPr>
              <w:rPr>
                <w:rFonts w:ascii="Arial Narrow" w:hAnsi="Arial Narrow"/>
                <w:b/>
                <w:bCs/>
                <w:color w:val="333333"/>
                <w:sz w:val="20"/>
                <w:szCs w:val="20"/>
              </w:rPr>
            </w:pPr>
            <w:r w:rsidRPr="00FB5EAE">
              <w:rPr>
                <w:rFonts w:ascii="Arial Narrow" w:hAnsi="Arial Narrow"/>
                <w:color w:val="333333"/>
                <w:sz w:val="20"/>
                <w:szCs w:val="20"/>
              </w:rPr>
              <w:t xml:space="preserve">Patient must have the number of migraine </w:t>
            </w:r>
            <w:r w:rsidRPr="00FB5EAE">
              <w:rPr>
                <w:rFonts w:ascii="Arial Narrow" w:hAnsi="Arial Narrow"/>
                <w:i/>
                <w:iCs/>
                <w:color w:val="333333"/>
                <w:sz w:val="20"/>
                <w:szCs w:val="20"/>
              </w:rPr>
              <w:t>headache</w:t>
            </w:r>
            <w:r w:rsidRPr="00FB5EAE">
              <w:rPr>
                <w:rFonts w:ascii="Arial Narrow" w:hAnsi="Arial Narrow"/>
                <w:color w:val="333333"/>
                <w:sz w:val="20"/>
                <w:szCs w:val="20"/>
              </w:rPr>
              <w:t xml:space="preserve"> days per month documented in their medical records.</w:t>
            </w:r>
          </w:p>
        </w:tc>
      </w:tr>
    </w:tbl>
    <w:p w14:paraId="024A87BC" w14:textId="77777777" w:rsidR="00683FF6" w:rsidRPr="00FB5EAE" w:rsidRDefault="00683FF6" w:rsidP="000422A6">
      <w:pPr>
        <w:widowControl w:val="0"/>
        <w:rPr>
          <w:rFonts w:asciiTheme="minorHAnsi" w:hAnsiTheme="minorHAnsi"/>
          <w:bCs/>
          <w:snapToGrid w:val="0"/>
          <w:lang w:eastAsia="en-US"/>
        </w:rPr>
      </w:pPr>
    </w:p>
    <w:p w14:paraId="0045FA83" w14:textId="77777777" w:rsidR="00683FF6" w:rsidRPr="00FB5EAE" w:rsidRDefault="00683FF6" w:rsidP="00683FF6">
      <w:pPr>
        <w:pStyle w:val="3-BodyText"/>
        <w:numPr>
          <w:ilvl w:val="0"/>
          <w:numId w:val="0"/>
        </w:numPr>
        <w:ind w:left="720" w:hanging="720"/>
        <w:rPr>
          <w:b/>
          <w:bCs/>
          <w:u w:val="single"/>
        </w:rPr>
      </w:pPr>
      <w:r w:rsidRPr="00FB5EAE">
        <w:rPr>
          <w:bCs/>
          <w:u w:val="single"/>
        </w:rPr>
        <w:t xml:space="preserve">Quarterly dosing regimen </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980"/>
        <w:gridCol w:w="992"/>
        <w:gridCol w:w="849"/>
        <w:gridCol w:w="857"/>
        <w:gridCol w:w="708"/>
        <w:gridCol w:w="1694"/>
      </w:tblGrid>
      <w:tr w:rsidR="00683FF6" w:rsidRPr="000422A6" w14:paraId="0E9999A3"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17A82473" w14:textId="77777777" w:rsidR="00683FF6" w:rsidRPr="000422A6" w:rsidRDefault="00683FF6" w:rsidP="000422A6">
            <w:pPr>
              <w:keepNext/>
              <w:ind w:left="-57"/>
              <w:rPr>
                <w:rFonts w:ascii="Arial Narrow" w:hAnsi="Arial Narrow"/>
                <w:b/>
                <w:bCs/>
                <w:sz w:val="20"/>
                <w:szCs w:val="20"/>
              </w:rPr>
            </w:pPr>
            <w:r w:rsidRPr="000422A6">
              <w:rPr>
                <w:rFonts w:ascii="Arial Narrow" w:hAnsi="Arial Narrow"/>
                <w:bCs/>
                <w:snapToGrid w:val="0"/>
                <w:lang w:eastAsia="en-US"/>
              </w:rPr>
              <w:br w:type="page"/>
            </w:r>
            <w:r w:rsidRPr="000422A6">
              <w:rPr>
                <w:rFonts w:ascii="Arial Narrow" w:hAnsi="Arial Narrow"/>
                <w:b/>
                <w:bCs/>
                <w:sz w:val="20"/>
                <w:szCs w:val="20"/>
              </w:rPr>
              <w:t>MEDICINAL PRODUCT</w:t>
            </w:r>
          </w:p>
          <w:p w14:paraId="288B0460" w14:textId="77777777" w:rsidR="00683FF6" w:rsidRPr="000422A6" w:rsidRDefault="00683FF6" w:rsidP="000422A6">
            <w:pPr>
              <w:keepNext/>
              <w:ind w:left="-57"/>
              <w:rPr>
                <w:rFonts w:ascii="Arial Narrow" w:hAnsi="Arial Narrow"/>
                <w:b/>
                <w:sz w:val="20"/>
                <w:szCs w:val="20"/>
              </w:rPr>
            </w:pPr>
            <w:r w:rsidRPr="000422A6">
              <w:rPr>
                <w:rFonts w:ascii="Arial Narrow" w:hAnsi="Arial Narrow"/>
                <w:b/>
                <w:bCs/>
                <w:sz w:val="20"/>
                <w:szCs w:val="20"/>
              </w:rPr>
              <w:t>medicinal product pack</w:t>
            </w:r>
          </w:p>
        </w:tc>
        <w:tc>
          <w:tcPr>
            <w:tcW w:w="992" w:type="dxa"/>
            <w:tcBorders>
              <w:top w:val="single" w:sz="4" w:space="0" w:color="auto"/>
              <w:left w:val="single" w:sz="4" w:space="0" w:color="auto"/>
              <w:bottom w:val="single" w:sz="4" w:space="0" w:color="auto"/>
              <w:right w:val="single" w:sz="4" w:space="0" w:color="auto"/>
            </w:tcBorders>
            <w:hideMark/>
          </w:tcPr>
          <w:p w14:paraId="78338DB8" w14:textId="77777777" w:rsidR="00683FF6" w:rsidRPr="000422A6" w:rsidRDefault="00683FF6" w:rsidP="000422A6">
            <w:pPr>
              <w:keepNext/>
              <w:ind w:left="-108"/>
              <w:jc w:val="center"/>
              <w:rPr>
                <w:rFonts w:ascii="Arial Narrow" w:hAnsi="Arial Narrow"/>
                <w:b/>
                <w:sz w:val="20"/>
                <w:szCs w:val="20"/>
              </w:rPr>
            </w:pPr>
            <w:r w:rsidRPr="000422A6">
              <w:rPr>
                <w:rFonts w:ascii="Arial Narrow" w:hAnsi="Arial Narrow"/>
                <w:b/>
                <w:sz w:val="20"/>
                <w:szCs w:val="20"/>
              </w:rPr>
              <w:t>PBS item code</w:t>
            </w:r>
          </w:p>
        </w:tc>
        <w:tc>
          <w:tcPr>
            <w:tcW w:w="849" w:type="dxa"/>
            <w:tcBorders>
              <w:top w:val="single" w:sz="4" w:space="0" w:color="auto"/>
              <w:left w:val="single" w:sz="4" w:space="0" w:color="auto"/>
              <w:bottom w:val="single" w:sz="4" w:space="0" w:color="auto"/>
              <w:right w:val="single" w:sz="4" w:space="0" w:color="auto"/>
            </w:tcBorders>
            <w:hideMark/>
          </w:tcPr>
          <w:p w14:paraId="6CD0CA8C" w14:textId="77777777" w:rsidR="00683FF6" w:rsidRPr="000422A6" w:rsidRDefault="00683FF6" w:rsidP="000422A6">
            <w:pPr>
              <w:keepNext/>
              <w:ind w:left="-108"/>
              <w:jc w:val="center"/>
              <w:rPr>
                <w:rFonts w:ascii="Arial Narrow" w:hAnsi="Arial Narrow"/>
                <w:b/>
                <w:sz w:val="20"/>
                <w:szCs w:val="20"/>
              </w:rPr>
            </w:pPr>
            <w:r w:rsidRPr="000422A6">
              <w:rPr>
                <w:rFonts w:ascii="Arial Narrow" w:hAnsi="Arial Narrow"/>
                <w:b/>
                <w:sz w:val="20"/>
                <w:szCs w:val="20"/>
              </w:rPr>
              <w:t>Max. qty packs</w:t>
            </w:r>
          </w:p>
        </w:tc>
        <w:tc>
          <w:tcPr>
            <w:tcW w:w="857" w:type="dxa"/>
            <w:tcBorders>
              <w:top w:val="single" w:sz="4" w:space="0" w:color="auto"/>
              <w:left w:val="single" w:sz="4" w:space="0" w:color="auto"/>
              <w:bottom w:val="single" w:sz="4" w:space="0" w:color="auto"/>
              <w:right w:val="single" w:sz="4" w:space="0" w:color="auto"/>
            </w:tcBorders>
            <w:hideMark/>
          </w:tcPr>
          <w:p w14:paraId="20F73CB2" w14:textId="77777777" w:rsidR="00683FF6" w:rsidRPr="000422A6" w:rsidRDefault="00683FF6" w:rsidP="000422A6">
            <w:pPr>
              <w:keepNext/>
              <w:ind w:left="-108"/>
              <w:jc w:val="center"/>
              <w:rPr>
                <w:rFonts w:ascii="Arial Narrow" w:hAnsi="Arial Narrow"/>
                <w:b/>
                <w:sz w:val="20"/>
                <w:szCs w:val="20"/>
              </w:rPr>
            </w:pPr>
            <w:r w:rsidRPr="000422A6">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hideMark/>
          </w:tcPr>
          <w:p w14:paraId="47E0386E" w14:textId="77777777" w:rsidR="00683FF6" w:rsidRPr="000422A6" w:rsidRDefault="00683FF6" w:rsidP="000422A6">
            <w:pPr>
              <w:keepNext/>
              <w:ind w:left="-108"/>
              <w:jc w:val="center"/>
              <w:rPr>
                <w:rFonts w:ascii="Arial Narrow" w:hAnsi="Arial Narrow"/>
                <w:b/>
                <w:sz w:val="20"/>
                <w:szCs w:val="20"/>
              </w:rPr>
            </w:pPr>
            <w:proofErr w:type="gramStart"/>
            <w:r w:rsidRPr="000422A6">
              <w:rPr>
                <w:rFonts w:ascii="Arial Narrow" w:hAnsi="Arial Narrow"/>
                <w:b/>
                <w:sz w:val="20"/>
                <w:szCs w:val="20"/>
              </w:rPr>
              <w:t>№.of</w:t>
            </w:r>
            <w:proofErr w:type="gramEnd"/>
          </w:p>
          <w:p w14:paraId="7FE19D89" w14:textId="77777777" w:rsidR="00683FF6" w:rsidRPr="000422A6" w:rsidRDefault="00683FF6" w:rsidP="000422A6">
            <w:pPr>
              <w:keepNext/>
              <w:ind w:left="-108"/>
              <w:jc w:val="center"/>
              <w:rPr>
                <w:rFonts w:ascii="Arial Narrow" w:hAnsi="Arial Narrow"/>
                <w:b/>
                <w:sz w:val="20"/>
                <w:szCs w:val="20"/>
              </w:rPr>
            </w:pPr>
            <w:r w:rsidRPr="000422A6">
              <w:rPr>
                <w:rFonts w:ascii="Arial Narrow" w:hAnsi="Arial Narrow"/>
                <w:b/>
                <w:sz w:val="20"/>
                <w:szCs w:val="20"/>
              </w:rPr>
              <w:t>Rpts</w:t>
            </w:r>
          </w:p>
        </w:tc>
        <w:tc>
          <w:tcPr>
            <w:tcW w:w="1694" w:type="dxa"/>
            <w:tcBorders>
              <w:top w:val="single" w:sz="4" w:space="0" w:color="auto"/>
              <w:left w:val="single" w:sz="4" w:space="0" w:color="auto"/>
              <w:bottom w:val="single" w:sz="4" w:space="0" w:color="auto"/>
              <w:right w:val="single" w:sz="4" w:space="0" w:color="auto"/>
            </w:tcBorders>
            <w:hideMark/>
          </w:tcPr>
          <w:p w14:paraId="0D659F36" w14:textId="77777777" w:rsidR="00683FF6" w:rsidRPr="000422A6" w:rsidRDefault="00683FF6" w:rsidP="000422A6">
            <w:pPr>
              <w:keepNext/>
              <w:rPr>
                <w:rFonts w:ascii="Arial Narrow" w:hAnsi="Arial Narrow"/>
                <w:b/>
                <w:sz w:val="20"/>
                <w:szCs w:val="20"/>
              </w:rPr>
            </w:pPr>
            <w:r w:rsidRPr="000422A6">
              <w:rPr>
                <w:rFonts w:ascii="Arial Narrow" w:hAnsi="Arial Narrow"/>
                <w:b/>
                <w:sz w:val="20"/>
                <w:szCs w:val="20"/>
              </w:rPr>
              <w:t>Available brands</w:t>
            </w:r>
          </w:p>
        </w:tc>
      </w:tr>
      <w:tr w:rsidR="00683FF6" w:rsidRPr="000422A6" w14:paraId="7C9088E0" w14:textId="77777777" w:rsidTr="000422A6">
        <w:trPr>
          <w:cantSplit/>
          <w:trHeight w:val="20"/>
        </w:trPr>
        <w:tc>
          <w:tcPr>
            <w:tcW w:w="9060" w:type="dxa"/>
            <w:gridSpan w:val="7"/>
            <w:tcBorders>
              <w:top w:val="single" w:sz="4" w:space="0" w:color="auto"/>
              <w:left w:val="single" w:sz="4" w:space="0" w:color="auto"/>
              <w:bottom w:val="single" w:sz="4" w:space="0" w:color="auto"/>
              <w:right w:val="single" w:sz="4" w:space="0" w:color="auto"/>
            </w:tcBorders>
            <w:hideMark/>
          </w:tcPr>
          <w:p w14:paraId="35A7AC7A" w14:textId="77777777" w:rsidR="00683FF6" w:rsidRPr="000422A6" w:rsidRDefault="00683FF6" w:rsidP="000422A6">
            <w:pPr>
              <w:keepNext/>
              <w:ind w:left="-57"/>
              <w:rPr>
                <w:rFonts w:ascii="Arial Narrow" w:hAnsi="Arial Narrow"/>
                <w:sz w:val="20"/>
                <w:szCs w:val="20"/>
              </w:rPr>
            </w:pPr>
            <w:r w:rsidRPr="000422A6">
              <w:rPr>
                <w:rFonts w:ascii="Arial Narrow" w:hAnsi="Arial Narrow"/>
                <w:sz w:val="20"/>
                <w:szCs w:val="20"/>
              </w:rPr>
              <w:t>FREMANEZUMAB</w:t>
            </w:r>
          </w:p>
        </w:tc>
      </w:tr>
      <w:tr w:rsidR="00683FF6" w:rsidRPr="000422A6" w14:paraId="23847D6D"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4FE0014B" w14:textId="77777777" w:rsidR="00683FF6" w:rsidRPr="000422A6" w:rsidRDefault="00683FF6" w:rsidP="000422A6">
            <w:pPr>
              <w:keepNext/>
              <w:ind w:left="-57"/>
              <w:rPr>
                <w:rFonts w:ascii="Arial Narrow" w:hAnsi="Arial Narrow"/>
                <w:sz w:val="20"/>
                <w:szCs w:val="20"/>
              </w:rPr>
            </w:pPr>
            <w:r w:rsidRPr="000422A6">
              <w:rPr>
                <w:rFonts w:ascii="Arial Narrow" w:hAnsi="Arial Narrow"/>
                <w:sz w:val="20"/>
                <w:szCs w:val="20"/>
              </w:rPr>
              <w:t>fremanezumab 225 mg/1.5 mL injection, 1.5 mL pen device</w:t>
            </w:r>
          </w:p>
        </w:tc>
        <w:tc>
          <w:tcPr>
            <w:tcW w:w="992" w:type="dxa"/>
            <w:tcBorders>
              <w:top w:val="single" w:sz="4" w:space="0" w:color="auto"/>
              <w:left w:val="single" w:sz="4" w:space="0" w:color="auto"/>
              <w:bottom w:val="single" w:sz="4" w:space="0" w:color="auto"/>
              <w:right w:val="single" w:sz="4" w:space="0" w:color="auto"/>
            </w:tcBorders>
            <w:hideMark/>
          </w:tcPr>
          <w:p w14:paraId="5F9E8744"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13129B</w:t>
            </w:r>
          </w:p>
        </w:tc>
        <w:tc>
          <w:tcPr>
            <w:tcW w:w="849" w:type="dxa"/>
            <w:tcBorders>
              <w:top w:val="single" w:sz="4" w:space="0" w:color="auto"/>
              <w:left w:val="single" w:sz="4" w:space="0" w:color="auto"/>
              <w:bottom w:val="single" w:sz="4" w:space="0" w:color="auto"/>
              <w:right w:val="single" w:sz="4" w:space="0" w:color="auto"/>
            </w:tcBorders>
            <w:hideMark/>
          </w:tcPr>
          <w:p w14:paraId="5FB8208E"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3</w:t>
            </w:r>
          </w:p>
        </w:tc>
        <w:tc>
          <w:tcPr>
            <w:tcW w:w="857" w:type="dxa"/>
            <w:tcBorders>
              <w:top w:val="single" w:sz="4" w:space="0" w:color="auto"/>
              <w:left w:val="single" w:sz="4" w:space="0" w:color="auto"/>
              <w:bottom w:val="single" w:sz="4" w:space="0" w:color="auto"/>
              <w:right w:val="single" w:sz="4" w:space="0" w:color="auto"/>
            </w:tcBorders>
            <w:hideMark/>
          </w:tcPr>
          <w:p w14:paraId="35C5D428"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14:paraId="0168E3F1"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1</w:t>
            </w:r>
          </w:p>
        </w:tc>
        <w:tc>
          <w:tcPr>
            <w:tcW w:w="1694" w:type="dxa"/>
            <w:tcBorders>
              <w:top w:val="single" w:sz="4" w:space="0" w:color="auto"/>
              <w:left w:val="single" w:sz="4" w:space="0" w:color="auto"/>
              <w:bottom w:val="single" w:sz="4" w:space="0" w:color="auto"/>
              <w:right w:val="single" w:sz="4" w:space="0" w:color="auto"/>
            </w:tcBorders>
            <w:hideMark/>
          </w:tcPr>
          <w:p w14:paraId="2FFD4D1F" w14:textId="77777777" w:rsidR="00683FF6" w:rsidRPr="000422A6" w:rsidRDefault="00683FF6" w:rsidP="000422A6">
            <w:pPr>
              <w:pStyle w:val="TableText0"/>
              <w:keepLines/>
              <w:rPr>
                <w:rFonts w:eastAsiaTheme="minorHAnsi" w:cstheme="minorBidi"/>
                <w:bCs w:val="0"/>
                <w:szCs w:val="20"/>
                <w:lang w:eastAsia="en-US"/>
              </w:rPr>
            </w:pPr>
            <w:r w:rsidRPr="000422A6">
              <w:rPr>
                <w:szCs w:val="20"/>
              </w:rPr>
              <w:t xml:space="preserve">‘a’ </w:t>
            </w:r>
            <w:r w:rsidRPr="000422A6">
              <w:rPr>
                <w:rFonts w:cs="Arial"/>
                <w:szCs w:val="20"/>
                <w:lang w:eastAsia="en-US"/>
              </w:rPr>
              <w:t>Ajovy</w:t>
            </w:r>
          </w:p>
        </w:tc>
      </w:tr>
      <w:tr w:rsidR="00683FF6" w:rsidRPr="000422A6" w14:paraId="3BD142C3" w14:textId="77777777" w:rsidTr="00D030F8">
        <w:trPr>
          <w:cantSplit/>
          <w:trHeight w:val="20"/>
        </w:trPr>
        <w:tc>
          <w:tcPr>
            <w:tcW w:w="3960" w:type="dxa"/>
            <w:gridSpan w:val="2"/>
            <w:tcBorders>
              <w:top w:val="single" w:sz="4" w:space="0" w:color="auto"/>
              <w:left w:val="single" w:sz="4" w:space="0" w:color="auto"/>
              <w:bottom w:val="single" w:sz="4" w:space="0" w:color="auto"/>
              <w:right w:val="single" w:sz="4" w:space="0" w:color="auto"/>
            </w:tcBorders>
            <w:hideMark/>
          </w:tcPr>
          <w:p w14:paraId="2CCC7170" w14:textId="77777777" w:rsidR="00683FF6" w:rsidRPr="000422A6" w:rsidRDefault="00683FF6" w:rsidP="000422A6">
            <w:pPr>
              <w:keepNext/>
              <w:ind w:left="-57"/>
              <w:rPr>
                <w:rFonts w:ascii="Arial Narrow" w:eastAsiaTheme="minorHAnsi" w:hAnsi="Arial Narrow" w:cstheme="minorBidi"/>
                <w:sz w:val="20"/>
                <w:szCs w:val="20"/>
                <w:lang w:eastAsia="en-US"/>
              </w:rPr>
            </w:pPr>
            <w:r w:rsidRPr="000422A6">
              <w:rPr>
                <w:rFonts w:ascii="Arial Narrow" w:hAnsi="Arial Narrow"/>
                <w:sz w:val="20"/>
                <w:szCs w:val="20"/>
              </w:rPr>
              <w:t>fremanezumab 225 mg/1.5 mL injection, 1.5 mL syringe</w:t>
            </w:r>
          </w:p>
        </w:tc>
        <w:tc>
          <w:tcPr>
            <w:tcW w:w="992" w:type="dxa"/>
            <w:tcBorders>
              <w:top w:val="single" w:sz="4" w:space="0" w:color="auto"/>
              <w:left w:val="single" w:sz="4" w:space="0" w:color="auto"/>
              <w:bottom w:val="single" w:sz="4" w:space="0" w:color="auto"/>
              <w:right w:val="single" w:sz="4" w:space="0" w:color="auto"/>
            </w:tcBorders>
            <w:hideMark/>
          </w:tcPr>
          <w:p w14:paraId="3A28A5AD"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12603H</w:t>
            </w:r>
          </w:p>
        </w:tc>
        <w:tc>
          <w:tcPr>
            <w:tcW w:w="849" w:type="dxa"/>
            <w:tcBorders>
              <w:top w:val="single" w:sz="4" w:space="0" w:color="auto"/>
              <w:left w:val="single" w:sz="4" w:space="0" w:color="auto"/>
              <w:bottom w:val="single" w:sz="4" w:space="0" w:color="auto"/>
              <w:right w:val="single" w:sz="4" w:space="0" w:color="auto"/>
            </w:tcBorders>
            <w:hideMark/>
          </w:tcPr>
          <w:p w14:paraId="4468A0B9"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3</w:t>
            </w:r>
          </w:p>
        </w:tc>
        <w:tc>
          <w:tcPr>
            <w:tcW w:w="857" w:type="dxa"/>
            <w:tcBorders>
              <w:top w:val="single" w:sz="4" w:space="0" w:color="auto"/>
              <w:left w:val="single" w:sz="4" w:space="0" w:color="auto"/>
              <w:bottom w:val="single" w:sz="4" w:space="0" w:color="auto"/>
              <w:right w:val="single" w:sz="4" w:space="0" w:color="auto"/>
            </w:tcBorders>
            <w:hideMark/>
          </w:tcPr>
          <w:p w14:paraId="7CEAA448"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3</w:t>
            </w:r>
          </w:p>
        </w:tc>
        <w:tc>
          <w:tcPr>
            <w:tcW w:w="708" w:type="dxa"/>
            <w:tcBorders>
              <w:top w:val="single" w:sz="4" w:space="0" w:color="auto"/>
              <w:left w:val="single" w:sz="4" w:space="0" w:color="auto"/>
              <w:bottom w:val="single" w:sz="4" w:space="0" w:color="auto"/>
              <w:right w:val="single" w:sz="4" w:space="0" w:color="auto"/>
            </w:tcBorders>
            <w:hideMark/>
          </w:tcPr>
          <w:p w14:paraId="50AD5E82" w14:textId="77777777" w:rsidR="00683FF6" w:rsidRPr="000422A6" w:rsidRDefault="00683FF6" w:rsidP="000422A6">
            <w:pPr>
              <w:keepNext/>
              <w:jc w:val="center"/>
              <w:rPr>
                <w:rFonts w:ascii="Arial Narrow" w:hAnsi="Arial Narrow"/>
                <w:sz w:val="20"/>
                <w:szCs w:val="20"/>
              </w:rPr>
            </w:pPr>
            <w:r w:rsidRPr="000422A6">
              <w:rPr>
                <w:rFonts w:ascii="Arial Narrow" w:hAnsi="Arial Narrow"/>
                <w:sz w:val="20"/>
                <w:szCs w:val="20"/>
              </w:rPr>
              <w:t>1</w:t>
            </w:r>
          </w:p>
        </w:tc>
        <w:tc>
          <w:tcPr>
            <w:tcW w:w="1694" w:type="dxa"/>
            <w:tcBorders>
              <w:top w:val="single" w:sz="4" w:space="0" w:color="auto"/>
              <w:left w:val="single" w:sz="4" w:space="0" w:color="auto"/>
              <w:bottom w:val="single" w:sz="4" w:space="0" w:color="auto"/>
              <w:right w:val="single" w:sz="4" w:space="0" w:color="auto"/>
            </w:tcBorders>
            <w:hideMark/>
          </w:tcPr>
          <w:p w14:paraId="260F80E9" w14:textId="77777777" w:rsidR="00683FF6" w:rsidRPr="000422A6" w:rsidRDefault="00683FF6" w:rsidP="000422A6">
            <w:pPr>
              <w:pStyle w:val="TableText0"/>
              <w:keepLines/>
              <w:rPr>
                <w:rFonts w:eastAsiaTheme="minorHAnsi" w:cstheme="minorBidi"/>
                <w:bCs w:val="0"/>
                <w:szCs w:val="20"/>
                <w:lang w:eastAsia="en-US"/>
              </w:rPr>
            </w:pPr>
            <w:r w:rsidRPr="000422A6">
              <w:rPr>
                <w:szCs w:val="20"/>
              </w:rPr>
              <w:t xml:space="preserve">‘a’ </w:t>
            </w:r>
            <w:r w:rsidRPr="000422A6">
              <w:rPr>
                <w:rFonts w:cs="Arial"/>
                <w:szCs w:val="20"/>
                <w:lang w:eastAsia="en-US"/>
              </w:rPr>
              <w:t>Ajovy</w:t>
            </w:r>
          </w:p>
        </w:tc>
      </w:tr>
      <w:tr w:rsidR="00683FF6" w:rsidRPr="000422A6" w14:paraId="68E35ABF" w14:textId="77777777" w:rsidTr="000422A6">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5FAFDB1" w14:textId="77777777" w:rsidR="00683FF6" w:rsidRPr="000422A6" w:rsidRDefault="00683FF6" w:rsidP="000422A6">
            <w:pPr>
              <w:jc w:val="center"/>
              <w:rPr>
                <w:rFonts w:ascii="Arial Narrow" w:hAnsi="Arial Narrow" w:cstheme="minorBidi"/>
                <w:color w:val="333333"/>
                <w:sz w:val="20"/>
                <w:szCs w:val="20"/>
              </w:rPr>
            </w:pPr>
          </w:p>
        </w:tc>
      </w:tr>
      <w:tr w:rsidR="00683FF6" w:rsidRPr="000422A6" w14:paraId="7DC7C271" w14:textId="77777777" w:rsidTr="000422A6">
        <w:trPr>
          <w:trHeight w:val="20"/>
        </w:trPr>
        <w:tc>
          <w:tcPr>
            <w:tcW w:w="9060"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1D3D5B" w14:textId="5D3C4C60" w:rsidR="00683FF6" w:rsidRPr="000422A6" w:rsidRDefault="00683FF6" w:rsidP="000422A6">
            <w:pPr>
              <w:shd w:val="clear" w:color="auto" w:fill="DDDDDD"/>
              <w:rPr>
                <w:rFonts w:ascii="Arial Narrow" w:eastAsiaTheme="minorHAnsi" w:hAnsi="Arial Narrow"/>
                <w:b/>
                <w:sz w:val="20"/>
                <w:szCs w:val="20"/>
                <w:lang w:eastAsia="en-US"/>
              </w:rPr>
            </w:pPr>
            <w:r w:rsidRPr="000422A6">
              <w:rPr>
                <w:rFonts w:ascii="Arial Narrow" w:hAnsi="Arial Narrow"/>
                <w:b/>
                <w:sz w:val="20"/>
                <w:szCs w:val="20"/>
              </w:rPr>
              <w:t xml:space="preserve">Restriction Summary / ToC: Authority Required: Streamlined </w:t>
            </w:r>
          </w:p>
        </w:tc>
      </w:tr>
      <w:tr w:rsidR="00683FF6" w:rsidRPr="000422A6" w14:paraId="15DE3941" w14:textId="77777777" w:rsidTr="000422A6">
        <w:trPr>
          <w:trHeight w:val="20"/>
        </w:trPr>
        <w:tc>
          <w:tcPr>
            <w:tcW w:w="980"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7C1AD2" w14:textId="77777777" w:rsidR="00683FF6" w:rsidRPr="000422A6" w:rsidRDefault="00683FF6" w:rsidP="000422A6">
            <w:pPr>
              <w:rPr>
                <w:rFonts w:ascii="Arial Narrow" w:hAnsi="Arial Narrow"/>
                <w:b/>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B6A3E20" w14:textId="15592CE4" w:rsidR="00683FF6" w:rsidRPr="000422A6" w:rsidRDefault="00683FF6" w:rsidP="000422A6">
            <w:pPr>
              <w:rPr>
                <w:rFonts w:ascii="Arial Narrow" w:hAnsi="Arial Narrow"/>
                <w:sz w:val="20"/>
                <w:szCs w:val="20"/>
              </w:rPr>
            </w:pPr>
            <w:r w:rsidRPr="000422A6">
              <w:rPr>
                <w:rFonts w:ascii="Arial Narrow" w:hAnsi="Arial Narrow"/>
                <w:b/>
                <w:sz w:val="20"/>
                <w:szCs w:val="20"/>
              </w:rPr>
              <w:t xml:space="preserve">Category / Program:   </w:t>
            </w:r>
            <w:r w:rsidRPr="000422A6">
              <w:rPr>
                <w:rFonts w:ascii="Arial Narrow" w:hAnsi="Arial Narrow"/>
                <w:sz w:val="20"/>
                <w:szCs w:val="20"/>
              </w:rPr>
              <w:t>GENERAL – General Schedule (Code GE)</w:t>
            </w:r>
            <w:r w:rsidRPr="000422A6">
              <w:rPr>
                <w:rFonts w:ascii="Arial Narrow" w:hAnsi="Arial Narrow"/>
                <w:color w:val="FF0000"/>
                <w:sz w:val="20"/>
                <w:szCs w:val="20"/>
              </w:rPr>
              <w:t xml:space="preserve"> </w:t>
            </w:r>
          </w:p>
        </w:tc>
      </w:tr>
      <w:tr w:rsidR="00683FF6" w:rsidRPr="000422A6" w14:paraId="1B67B23C" w14:textId="77777777" w:rsidTr="000422A6">
        <w:trPr>
          <w:trHeight w:val="20"/>
        </w:trPr>
        <w:tc>
          <w:tcPr>
            <w:tcW w:w="980" w:type="dxa"/>
            <w:vMerge/>
            <w:vAlign w:val="center"/>
          </w:tcPr>
          <w:p w14:paraId="09472E1C" w14:textId="77777777" w:rsidR="00683FF6" w:rsidRPr="000422A6" w:rsidRDefault="00683FF6" w:rsidP="000422A6">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AC0A431" w14:textId="77777777" w:rsidR="00683FF6" w:rsidRPr="000422A6" w:rsidRDefault="00683FF6" w:rsidP="000422A6">
            <w:pPr>
              <w:rPr>
                <w:rFonts w:ascii="Arial Narrow" w:hAnsi="Arial Narrow"/>
                <w:b/>
                <w:sz w:val="20"/>
                <w:szCs w:val="20"/>
              </w:rPr>
            </w:pPr>
            <w:r w:rsidRPr="000422A6">
              <w:rPr>
                <w:rFonts w:ascii="Arial Narrow" w:hAnsi="Arial Narrow"/>
                <w:b/>
                <w:sz w:val="20"/>
                <w:szCs w:val="20"/>
              </w:rPr>
              <w:t xml:space="preserve">Prescriber type:   </w:t>
            </w:r>
            <w:r w:rsidRPr="000422A6">
              <w:rPr>
                <w:rFonts w:ascii="Arial Narrow" w:hAnsi="Arial Narrow"/>
                <w:sz w:val="20"/>
                <w:szCs w:val="20"/>
              </w:rPr>
              <w:fldChar w:fldCharType="begin" w:fldLock="1">
                <w:ffData>
                  <w:name w:val=""/>
                  <w:enabled/>
                  <w:calcOnExit w:val="0"/>
                  <w:checkBox>
                    <w:sizeAuto/>
                    <w:default w:val="1"/>
                  </w:checkBox>
                </w:ffData>
              </w:fldChar>
            </w:r>
            <w:r w:rsidRPr="000422A6">
              <w:rPr>
                <w:rFonts w:ascii="Arial Narrow" w:hAnsi="Arial Narrow"/>
                <w:sz w:val="20"/>
                <w:szCs w:val="20"/>
              </w:rPr>
              <w:instrText xml:space="preserve"> FORMCHECKBOX </w:instrText>
            </w:r>
            <w:r w:rsidR="00D90B4C">
              <w:rPr>
                <w:rFonts w:ascii="Arial Narrow" w:hAnsi="Arial Narrow"/>
                <w:sz w:val="20"/>
                <w:szCs w:val="20"/>
              </w:rPr>
            </w:r>
            <w:r w:rsidR="00D90B4C">
              <w:rPr>
                <w:rFonts w:ascii="Arial Narrow" w:hAnsi="Arial Narrow"/>
                <w:sz w:val="20"/>
                <w:szCs w:val="20"/>
              </w:rPr>
              <w:fldChar w:fldCharType="separate"/>
            </w:r>
            <w:r w:rsidRPr="000422A6">
              <w:rPr>
                <w:rFonts w:ascii="Arial Narrow" w:hAnsi="Arial Narrow"/>
                <w:sz w:val="20"/>
                <w:szCs w:val="20"/>
              </w:rPr>
              <w:fldChar w:fldCharType="end"/>
            </w:r>
            <w:r w:rsidRPr="000422A6">
              <w:rPr>
                <w:rFonts w:ascii="Arial Narrow" w:hAnsi="Arial Narrow"/>
                <w:sz w:val="20"/>
                <w:szCs w:val="20"/>
              </w:rPr>
              <w:t xml:space="preserve">Medical Practitioners    </w:t>
            </w:r>
          </w:p>
        </w:tc>
      </w:tr>
      <w:tr w:rsidR="00683FF6" w:rsidRPr="000422A6" w14:paraId="31931370" w14:textId="77777777" w:rsidTr="000422A6">
        <w:trPr>
          <w:trHeight w:val="20"/>
        </w:trPr>
        <w:tc>
          <w:tcPr>
            <w:tcW w:w="980" w:type="dxa"/>
            <w:vMerge/>
            <w:vAlign w:val="center"/>
          </w:tcPr>
          <w:p w14:paraId="742D77BE" w14:textId="77777777" w:rsidR="00683FF6" w:rsidRPr="000422A6" w:rsidRDefault="00683FF6" w:rsidP="000422A6">
            <w:pPr>
              <w:rPr>
                <w:rFonts w:ascii="Arial Narrow" w:hAnsi="Arial Narrow"/>
                <w:b/>
                <w:sz w:val="20"/>
                <w:szCs w:val="20"/>
                <w:lang w:eastAsia="en-US"/>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7ACF6" w14:textId="77777777" w:rsidR="00683FF6" w:rsidRPr="000422A6" w:rsidRDefault="00683FF6" w:rsidP="000422A6">
            <w:pPr>
              <w:rPr>
                <w:rFonts w:ascii="Arial Narrow" w:hAnsi="Arial Narrow"/>
                <w:b/>
                <w:sz w:val="20"/>
                <w:szCs w:val="20"/>
              </w:rPr>
            </w:pPr>
            <w:r w:rsidRPr="000422A6">
              <w:rPr>
                <w:rFonts w:ascii="Arial Narrow" w:hAnsi="Arial Narrow"/>
                <w:b/>
                <w:sz w:val="20"/>
                <w:szCs w:val="20"/>
              </w:rPr>
              <w:t xml:space="preserve">Restriction type: </w:t>
            </w:r>
            <w:r w:rsidRPr="000422A6">
              <w:rPr>
                <w:rFonts w:ascii="Arial Narrow" w:eastAsia="Calibri" w:hAnsi="Arial Narrow"/>
                <w:sz w:val="20"/>
                <w:szCs w:val="20"/>
              </w:rPr>
              <w:fldChar w:fldCharType="begin" w:fldLock="1">
                <w:ffData>
                  <w:name w:val=""/>
                  <w:enabled/>
                  <w:calcOnExit w:val="0"/>
                  <w:checkBox>
                    <w:sizeAuto/>
                    <w:default w:val="1"/>
                  </w:checkBox>
                </w:ffData>
              </w:fldChar>
            </w:r>
            <w:r w:rsidRPr="000422A6">
              <w:rPr>
                <w:rFonts w:ascii="Arial Narrow" w:eastAsia="Calibri" w:hAnsi="Arial Narrow"/>
                <w:sz w:val="20"/>
                <w:szCs w:val="20"/>
              </w:rPr>
              <w:instrText xml:space="preserve"> FORMCHECKBOX </w:instrText>
            </w:r>
            <w:r w:rsidR="00D90B4C">
              <w:rPr>
                <w:rFonts w:ascii="Arial Narrow" w:eastAsia="Calibri" w:hAnsi="Arial Narrow"/>
                <w:sz w:val="20"/>
                <w:szCs w:val="20"/>
              </w:rPr>
            </w:r>
            <w:r w:rsidR="00D90B4C">
              <w:rPr>
                <w:rFonts w:ascii="Arial Narrow" w:eastAsia="Calibri" w:hAnsi="Arial Narrow"/>
                <w:sz w:val="20"/>
                <w:szCs w:val="20"/>
              </w:rPr>
              <w:fldChar w:fldCharType="separate"/>
            </w:r>
            <w:r w:rsidRPr="000422A6">
              <w:rPr>
                <w:rFonts w:ascii="Arial Narrow" w:eastAsia="Calibri" w:hAnsi="Arial Narrow"/>
                <w:sz w:val="20"/>
                <w:szCs w:val="20"/>
              </w:rPr>
              <w:fldChar w:fldCharType="end"/>
            </w:r>
            <w:r w:rsidRPr="000422A6">
              <w:rPr>
                <w:rFonts w:ascii="Arial Narrow" w:eastAsia="Calibri" w:hAnsi="Arial Narrow"/>
                <w:sz w:val="20"/>
                <w:szCs w:val="20"/>
              </w:rPr>
              <w:t xml:space="preserve">Authority Required (Streamlined) </w:t>
            </w:r>
            <w:r w:rsidRPr="000422A6">
              <w:rPr>
                <w:rFonts w:ascii="Arial Narrow" w:eastAsia="Calibri" w:hAnsi="Arial Narrow"/>
                <w:i/>
                <w:iCs/>
                <w:sz w:val="20"/>
                <w:szCs w:val="20"/>
              </w:rPr>
              <w:t>[</w:t>
            </w:r>
            <w:r w:rsidRPr="000422A6">
              <w:rPr>
                <w:rFonts w:ascii="Arial Narrow" w:eastAsia="Calibri" w:hAnsi="Arial Narrow"/>
                <w:i/>
                <w:sz w:val="20"/>
                <w:szCs w:val="20"/>
              </w:rPr>
              <w:t>amendment to existing code]</w:t>
            </w:r>
          </w:p>
        </w:tc>
      </w:tr>
      <w:tr w:rsidR="00683FF6" w:rsidRPr="000422A6" w14:paraId="51D99B62"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25D80C2" w14:textId="7788D261" w:rsidR="00683FF6" w:rsidRPr="000422A6" w:rsidRDefault="00683FF6" w:rsidP="000422A6">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2180DA" w14:textId="77777777" w:rsidR="00683FF6" w:rsidRPr="000422A6" w:rsidRDefault="00683FF6" w:rsidP="000422A6">
            <w:pPr>
              <w:rPr>
                <w:rFonts w:ascii="Arial Narrow" w:hAnsi="Arial Narrow"/>
                <w:color w:val="333333"/>
                <w:sz w:val="20"/>
                <w:szCs w:val="20"/>
              </w:rPr>
            </w:pPr>
            <w:r w:rsidRPr="000422A6">
              <w:rPr>
                <w:rFonts w:ascii="Arial Narrow" w:hAnsi="Arial Narrow"/>
                <w:b/>
                <w:bCs/>
                <w:color w:val="333333"/>
                <w:sz w:val="20"/>
                <w:szCs w:val="20"/>
              </w:rPr>
              <w:t>Administrative Advice:</w:t>
            </w:r>
          </w:p>
          <w:p w14:paraId="0858CDBE" w14:textId="77777777" w:rsidR="00683FF6" w:rsidRPr="000422A6" w:rsidRDefault="00683FF6" w:rsidP="000422A6">
            <w:pPr>
              <w:rPr>
                <w:rFonts w:ascii="Arial Narrow" w:hAnsi="Arial Narrow"/>
                <w:color w:val="333333"/>
                <w:sz w:val="20"/>
                <w:szCs w:val="20"/>
              </w:rPr>
            </w:pPr>
            <w:r w:rsidRPr="000422A6">
              <w:rPr>
                <w:rFonts w:ascii="Arial Narrow" w:eastAsia="Calibri" w:hAnsi="Arial Narrow"/>
                <w:sz w:val="20"/>
                <w:szCs w:val="20"/>
              </w:rPr>
              <w:t>No increase in the maximum quantity or number of units may be authorised.</w:t>
            </w:r>
          </w:p>
        </w:tc>
      </w:tr>
      <w:tr w:rsidR="00683FF6" w:rsidRPr="000422A6" w14:paraId="75C95961"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2AE2A2" w14:textId="56FBD444"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452723" w14:textId="77777777" w:rsidR="00683FF6" w:rsidRPr="000422A6" w:rsidRDefault="00683FF6" w:rsidP="000422A6">
            <w:pPr>
              <w:rPr>
                <w:rFonts w:ascii="Arial Narrow" w:eastAsiaTheme="minorHAnsi" w:hAnsi="Arial Narrow"/>
                <w:color w:val="333333"/>
                <w:sz w:val="20"/>
                <w:szCs w:val="20"/>
                <w:lang w:eastAsia="en-US"/>
              </w:rPr>
            </w:pPr>
            <w:r w:rsidRPr="000422A6">
              <w:rPr>
                <w:rFonts w:ascii="Arial Narrow" w:hAnsi="Arial Narrow"/>
                <w:b/>
                <w:bCs/>
                <w:color w:val="333333"/>
                <w:sz w:val="20"/>
                <w:szCs w:val="20"/>
              </w:rPr>
              <w:t>Administrative Advice</w:t>
            </w:r>
          </w:p>
          <w:p w14:paraId="23FB2BBB" w14:textId="77777777" w:rsidR="00683FF6" w:rsidRPr="000422A6" w:rsidRDefault="00683FF6" w:rsidP="000422A6">
            <w:pPr>
              <w:rPr>
                <w:rFonts w:ascii="Arial Narrow" w:eastAsia="Calibri" w:hAnsi="Arial Narrow"/>
                <w:sz w:val="20"/>
                <w:szCs w:val="20"/>
              </w:rPr>
            </w:pPr>
            <w:r w:rsidRPr="000422A6">
              <w:rPr>
                <w:rFonts w:ascii="Arial Narrow" w:eastAsia="Calibri" w:hAnsi="Arial Narrow"/>
                <w:sz w:val="20"/>
                <w:szCs w:val="20"/>
              </w:rPr>
              <w:t>No increase in the maximum number of repeats may be authorised.</w:t>
            </w:r>
          </w:p>
        </w:tc>
      </w:tr>
      <w:tr w:rsidR="00683FF6" w:rsidRPr="000422A6" w14:paraId="2A59151C"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876E423" w14:textId="160B0674" w:rsidR="00683FF6" w:rsidRPr="000422A6" w:rsidRDefault="00683FF6" w:rsidP="000422A6">
            <w:pPr>
              <w:jc w:val="center"/>
              <w:rPr>
                <w:rFonts w:ascii="Arial Narrow" w:hAnsi="Arial Narrow" w:cstheme="minorBidi"/>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1ADCF9"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Administrative Advice:</w:t>
            </w:r>
          </w:p>
          <w:p w14:paraId="659BF028" w14:textId="77777777" w:rsidR="00683FF6" w:rsidRPr="000422A6" w:rsidRDefault="00683FF6" w:rsidP="000422A6">
            <w:pPr>
              <w:rPr>
                <w:rFonts w:ascii="Arial Narrow" w:hAnsi="Arial Narrow"/>
                <w:bCs/>
                <w:color w:val="333333"/>
                <w:sz w:val="20"/>
                <w:szCs w:val="20"/>
              </w:rPr>
            </w:pPr>
            <w:r w:rsidRPr="000422A6">
              <w:rPr>
                <w:rFonts w:ascii="Arial Narrow" w:eastAsia="Calibri" w:hAnsi="Arial Narrow"/>
                <w:sz w:val="20"/>
                <w:szCs w:val="20"/>
              </w:rPr>
              <w:t>Special Pricing Arrangements apply.</w:t>
            </w:r>
          </w:p>
        </w:tc>
      </w:tr>
      <w:tr w:rsidR="00683FF6" w:rsidRPr="000422A6" w14:paraId="5768E70C"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8D93E1" w14:textId="40034A23"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6EDFED"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Administrative Advice:</w:t>
            </w:r>
          </w:p>
          <w:p w14:paraId="0F9161FD" w14:textId="77777777" w:rsidR="00683FF6" w:rsidRPr="000422A6" w:rsidRDefault="00683FF6" w:rsidP="000422A6">
            <w:pPr>
              <w:rPr>
                <w:rFonts w:ascii="Arial Narrow" w:hAnsi="Arial Narrow"/>
                <w:color w:val="333333"/>
                <w:sz w:val="20"/>
                <w:szCs w:val="20"/>
              </w:rPr>
            </w:pPr>
            <w:r w:rsidRPr="000422A6">
              <w:rPr>
                <w:rFonts w:ascii="Arial Narrow" w:hAnsi="Arial Narrow"/>
                <w:color w:val="333333"/>
                <w:sz w:val="20"/>
                <w:szCs w:val="20"/>
              </w:rPr>
              <w:t>Pharmaceutical benefits that have the form fremanezumab 225 mg/1.5 mL syringes and pharmaceutical benefits that have the form fremanezumab 225 mg/1.5 mL pen devices are equivalent for the purposes of substitution.</w:t>
            </w:r>
          </w:p>
        </w:tc>
      </w:tr>
      <w:tr w:rsidR="00683FF6" w:rsidRPr="000422A6" w14:paraId="46D0C9F3"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74A3C7" w14:textId="593FEAD1"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BBC0321" w14:textId="77777777" w:rsidR="00683FF6" w:rsidRPr="000422A6" w:rsidRDefault="00683FF6" w:rsidP="000422A6">
            <w:pPr>
              <w:rPr>
                <w:rFonts w:ascii="Arial Narrow" w:hAnsi="Arial Narrow"/>
                <w:color w:val="333333"/>
                <w:sz w:val="20"/>
                <w:szCs w:val="20"/>
              </w:rPr>
            </w:pPr>
            <w:r w:rsidRPr="000422A6">
              <w:rPr>
                <w:rFonts w:ascii="Arial Narrow" w:hAnsi="Arial Narrow"/>
                <w:b/>
                <w:bCs/>
                <w:color w:val="333333"/>
                <w:sz w:val="20"/>
                <w:szCs w:val="20"/>
              </w:rPr>
              <w:t>Indication:</w:t>
            </w:r>
            <w:r w:rsidRPr="000422A6">
              <w:rPr>
                <w:rFonts w:ascii="Arial Narrow" w:hAnsi="Arial Narrow"/>
                <w:color w:val="333333"/>
                <w:sz w:val="20"/>
                <w:szCs w:val="20"/>
              </w:rPr>
              <w:t xml:space="preserve"> Treatment-resistant migraine</w:t>
            </w:r>
          </w:p>
        </w:tc>
      </w:tr>
      <w:tr w:rsidR="00683FF6" w:rsidRPr="000422A6" w14:paraId="08097B46"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E05B9F" w14:textId="77777777" w:rsidR="00683FF6" w:rsidRPr="000422A6" w:rsidRDefault="00683FF6" w:rsidP="000422A6">
            <w:pP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27D5A1" w14:textId="77777777" w:rsidR="00683FF6" w:rsidRPr="000422A6" w:rsidRDefault="00683FF6" w:rsidP="000422A6">
            <w:pPr>
              <w:rPr>
                <w:rFonts w:ascii="Arial Narrow" w:hAnsi="Arial Narrow"/>
                <w:color w:val="FF0000"/>
                <w:sz w:val="20"/>
                <w:szCs w:val="20"/>
              </w:rPr>
            </w:pPr>
            <w:r w:rsidRPr="000422A6">
              <w:rPr>
                <w:rFonts w:ascii="Arial Narrow" w:hAnsi="Arial Narrow"/>
                <w:b/>
                <w:bCs/>
                <w:color w:val="333333"/>
                <w:sz w:val="20"/>
                <w:szCs w:val="20"/>
              </w:rPr>
              <w:t>Treatment Phase:</w:t>
            </w:r>
            <w:r w:rsidRPr="000422A6">
              <w:rPr>
                <w:rFonts w:ascii="Arial Narrow" w:hAnsi="Arial Narrow"/>
                <w:color w:val="FF0000"/>
                <w:sz w:val="20"/>
                <w:szCs w:val="20"/>
              </w:rPr>
              <w:t xml:space="preserve"> </w:t>
            </w:r>
          </w:p>
          <w:p w14:paraId="073B466D" w14:textId="77777777" w:rsidR="00683FF6" w:rsidRPr="000422A6" w:rsidRDefault="00683FF6" w:rsidP="000422A6">
            <w:pPr>
              <w:rPr>
                <w:rFonts w:ascii="Arial Narrow" w:hAnsi="Arial Narrow"/>
                <w:color w:val="FF00FF"/>
                <w:sz w:val="20"/>
                <w:szCs w:val="20"/>
              </w:rPr>
            </w:pPr>
            <w:r w:rsidRPr="000422A6">
              <w:rPr>
                <w:rFonts w:ascii="Arial Narrow" w:hAnsi="Arial Narrow"/>
                <w:bCs/>
                <w:color w:val="333333"/>
                <w:sz w:val="20"/>
                <w:szCs w:val="20"/>
              </w:rPr>
              <w:t>Continuing treatment</w:t>
            </w:r>
            <w:r w:rsidRPr="000422A6">
              <w:rPr>
                <w:rFonts w:ascii="Arial Narrow" w:hAnsi="Arial Narrow"/>
                <w:color w:val="FF0000"/>
                <w:sz w:val="20"/>
                <w:szCs w:val="20"/>
              </w:rPr>
              <w:t xml:space="preserve">     </w:t>
            </w:r>
          </w:p>
        </w:tc>
      </w:tr>
      <w:tr w:rsidR="00683FF6" w:rsidRPr="000422A6" w14:paraId="24BDF267"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ECADE54"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C03BAA" w14:textId="77777777" w:rsidR="00683FF6" w:rsidRPr="000422A6" w:rsidRDefault="00683FF6" w:rsidP="000422A6">
            <w:pPr>
              <w:rPr>
                <w:rFonts w:ascii="Arial Narrow" w:hAnsi="Arial Narrow"/>
                <w:b/>
                <w:bCs/>
                <w:color w:val="333333"/>
                <w:sz w:val="20"/>
                <w:szCs w:val="20"/>
              </w:rPr>
            </w:pPr>
            <w:r w:rsidRPr="000422A6">
              <w:rPr>
                <w:rFonts w:ascii="Arial Narrow" w:hAnsi="Arial Narrow"/>
                <w:b/>
                <w:sz w:val="20"/>
                <w:szCs w:val="20"/>
              </w:rPr>
              <w:t>Treatment criteria:</w:t>
            </w:r>
          </w:p>
        </w:tc>
      </w:tr>
      <w:tr w:rsidR="00683FF6" w:rsidRPr="000422A6" w14:paraId="047ADBD9" w14:textId="77777777" w:rsidTr="000422A6">
        <w:trPr>
          <w:trHeight w:val="20"/>
        </w:trPr>
        <w:tc>
          <w:tcPr>
            <w:tcW w:w="980" w:type="dxa"/>
            <w:vMerge w:val="restart"/>
            <w:tcBorders>
              <w:top w:val="single" w:sz="4" w:space="0" w:color="auto"/>
              <w:left w:val="single" w:sz="4" w:space="0" w:color="auto"/>
              <w:right w:val="single" w:sz="4" w:space="0" w:color="auto"/>
            </w:tcBorders>
            <w:tcMar>
              <w:top w:w="15" w:type="dxa"/>
              <w:left w:w="15" w:type="dxa"/>
              <w:bottom w:w="15" w:type="dxa"/>
              <w:right w:w="15" w:type="dxa"/>
            </w:tcMar>
            <w:vAlign w:val="center"/>
          </w:tcPr>
          <w:p w14:paraId="260926D2" w14:textId="0420466C"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23121E" w14:textId="77777777" w:rsidR="00683FF6" w:rsidRPr="000422A6" w:rsidRDefault="00683FF6" w:rsidP="000422A6">
            <w:pPr>
              <w:rPr>
                <w:rFonts w:ascii="Arial Narrow" w:hAnsi="Arial Narrow"/>
                <w:b/>
                <w:bCs/>
                <w:i/>
                <w:iCs/>
                <w:color w:val="333333"/>
                <w:sz w:val="20"/>
                <w:szCs w:val="20"/>
              </w:rPr>
            </w:pPr>
            <w:r w:rsidRPr="000422A6">
              <w:rPr>
                <w:rFonts w:ascii="Arial Narrow" w:hAnsi="Arial Narrow"/>
                <w:i/>
                <w:iCs/>
                <w:color w:val="333333"/>
                <w:sz w:val="20"/>
                <w:szCs w:val="20"/>
              </w:rPr>
              <w:t xml:space="preserve">Must be treated by a neurologist </w:t>
            </w:r>
            <w:r w:rsidRPr="000422A6">
              <w:rPr>
                <w:rFonts w:ascii="Arial Narrow" w:hAnsi="Arial Narrow"/>
                <w:b/>
                <w:bCs/>
                <w:i/>
                <w:iCs/>
                <w:color w:val="333333"/>
                <w:sz w:val="20"/>
                <w:szCs w:val="20"/>
              </w:rPr>
              <w:t>OR</w:t>
            </w:r>
            <w:r w:rsidRPr="000422A6">
              <w:rPr>
                <w:rFonts w:ascii="Arial Narrow" w:hAnsi="Arial Narrow"/>
                <w:i/>
                <w:iCs/>
                <w:color w:val="333333"/>
                <w:sz w:val="20"/>
                <w:szCs w:val="20"/>
              </w:rPr>
              <w:t xml:space="preserve"> </w:t>
            </w:r>
          </w:p>
        </w:tc>
      </w:tr>
      <w:tr w:rsidR="00683FF6" w:rsidRPr="000422A6" w14:paraId="7C117EB5" w14:textId="77777777" w:rsidTr="000422A6">
        <w:trPr>
          <w:trHeight w:val="20"/>
        </w:trPr>
        <w:tc>
          <w:tcPr>
            <w:tcW w:w="980" w:type="dxa"/>
            <w:vMerge/>
            <w:tcMar>
              <w:top w:w="15" w:type="dxa"/>
              <w:left w:w="15" w:type="dxa"/>
              <w:bottom w:w="15" w:type="dxa"/>
              <w:right w:w="15" w:type="dxa"/>
            </w:tcMar>
            <w:vAlign w:val="center"/>
          </w:tcPr>
          <w:p w14:paraId="7850CA3A"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6B0E54" w14:textId="77777777" w:rsidR="00683FF6" w:rsidRPr="000422A6" w:rsidRDefault="00683FF6" w:rsidP="000422A6">
            <w:pPr>
              <w:rPr>
                <w:rFonts w:ascii="Arial Narrow" w:hAnsi="Arial Narrow"/>
                <w:i/>
                <w:iCs/>
                <w:color w:val="333333"/>
                <w:sz w:val="20"/>
                <w:szCs w:val="20"/>
              </w:rPr>
            </w:pPr>
            <w:r w:rsidRPr="000422A6">
              <w:rPr>
                <w:rFonts w:ascii="Arial Narrow" w:hAnsi="Arial Narrow" w:cstheme="minorBidi"/>
                <w:i/>
                <w:iCs/>
                <w:color w:val="333333"/>
                <w:sz w:val="20"/>
                <w:szCs w:val="20"/>
              </w:rPr>
              <w:t>Must be treated by a general practitioner in consultation with a neurologist</w:t>
            </w:r>
          </w:p>
        </w:tc>
      </w:tr>
      <w:tr w:rsidR="00683FF6" w:rsidRPr="000422A6" w14:paraId="2414FEB3"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636EFEC"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9F087A"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AND</w:t>
            </w:r>
          </w:p>
        </w:tc>
      </w:tr>
      <w:tr w:rsidR="00683FF6" w:rsidRPr="000422A6" w14:paraId="4DB58761"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7BCC5A"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5B82CC" w14:textId="77777777" w:rsidR="00683FF6" w:rsidRPr="000422A6" w:rsidRDefault="00683FF6" w:rsidP="000422A6">
            <w:pPr>
              <w:rPr>
                <w:rFonts w:ascii="Arial Narrow" w:hAnsi="Arial Narrow"/>
                <w:b/>
                <w:bCs/>
                <w:color w:val="333333"/>
                <w:sz w:val="20"/>
                <w:szCs w:val="20"/>
              </w:rPr>
            </w:pPr>
            <w:r w:rsidRPr="000422A6">
              <w:rPr>
                <w:rFonts w:ascii="Arial Narrow" w:hAnsi="Arial Narrow"/>
                <w:b/>
                <w:sz w:val="20"/>
                <w:szCs w:val="20"/>
              </w:rPr>
              <w:t>Treatment criteria:</w:t>
            </w:r>
          </w:p>
        </w:tc>
      </w:tr>
      <w:tr w:rsidR="00683FF6" w:rsidRPr="000422A6" w14:paraId="2E087E9E"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81761B7" w14:textId="653A3F53"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40C7C47" w14:textId="77777777" w:rsidR="00683FF6" w:rsidRPr="000422A6" w:rsidRDefault="00683FF6" w:rsidP="000422A6">
            <w:pPr>
              <w:rPr>
                <w:rFonts w:ascii="Arial Narrow" w:hAnsi="Arial Narrow"/>
                <w:color w:val="333333"/>
                <w:sz w:val="20"/>
                <w:szCs w:val="20"/>
              </w:rPr>
            </w:pPr>
            <w:r w:rsidRPr="000422A6">
              <w:rPr>
                <w:rFonts w:ascii="Arial Narrow" w:hAnsi="Arial Narrow"/>
                <w:color w:val="333333"/>
                <w:sz w:val="20"/>
                <w:szCs w:val="20"/>
              </w:rPr>
              <w:t>Patient must not be undergoing concurrent treatment with the following PBS benefits: (i) botulinum toxin type A listed for this PBS indication, (ii) another drug in the same pharmacological class as this drug listed for this PBS indication</w:t>
            </w:r>
          </w:p>
        </w:tc>
      </w:tr>
      <w:tr w:rsidR="00683FF6" w:rsidRPr="000422A6" w14:paraId="0B926DF6"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6EE508A"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946924"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AND</w:t>
            </w:r>
          </w:p>
        </w:tc>
      </w:tr>
      <w:tr w:rsidR="00683FF6" w:rsidRPr="000422A6" w14:paraId="06BBC25D"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912EB7"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B9ECBC" w14:textId="77777777" w:rsidR="00683FF6" w:rsidRPr="000422A6" w:rsidRDefault="00683FF6" w:rsidP="000422A6">
            <w:pPr>
              <w:rPr>
                <w:rFonts w:ascii="Arial Narrow" w:hAnsi="Arial Narrow"/>
                <w:b/>
                <w:sz w:val="20"/>
                <w:szCs w:val="20"/>
              </w:rPr>
            </w:pPr>
            <w:r w:rsidRPr="000422A6">
              <w:rPr>
                <w:rFonts w:ascii="Arial Narrow" w:hAnsi="Arial Narrow"/>
                <w:b/>
                <w:sz w:val="20"/>
                <w:szCs w:val="20"/>
              </w:rPr>
              <w:t>Clinical criteria:</w:t>
            </w:r>
          </w:p>
        </w:tc>
      </w:tr>
      <w:tr w:rsidR="00683FF6" w:rsidRPr="000422A6" w14:paraId="58414EE4"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C1C29FF" w14:textId="069C45CC" w:rsidR="00683FF6" w:rsidRPr="000422A6" w:rsidRDefault="00683FF6" w:rsidP="000422A6">
            <w:pPr>
              <w:jc w:val="center"/>
              <w:rPr>
                <w:rFonts w:ascii="Arial Narrow" w:hAnsi="Arial Narrow"/>
                <w:color w:val="333333"/>
                <w:sz w:val="20"/>
                <w:szCs w:val="20"/>
                <w:highlight w:val="yellow"/>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840F08" w14:textId="77777777" w:rsidR="00683FF6" w:rsidRPr="000422A6" w:rsidRDefault="00683FF6" w:rsidP="000422A6">
            <w:pPr>
              <w:rPr>
                <w:rFonts w:ascii="Arial Narrow" w:hAnsi="Arial Narrow"/>
                <w:b/>
                <w:bCs/>
                <w:color w:val="333333"/>
                <w:sz w:val="20"/>
                <w:szCs w:val="20"/>
                <w:highlight w:val="yellow"/>
              </w:rPr>
            </w:pPr>
            <w:r w:rsidRPr="000422A6">
              <w:rPr>
                <w:rFonts w:ascii="Arial Narrow" w:hAnsi="Arial Narrow"/>
                <w:color w:val="333333"/>
                <w:sz w:val="20"/>
                <w:szCs w:val="20"/>
              </w:rPr>
              <w:t>Patient must have previously received PBS-subsidised treatment with this drug for this condition</w:t>
            </w:r>
          </w:p>
        </w:tc>
      </w:tr>
      <w:tr w:rsidR="00683FF6" w:rsidRPr="000422A6" w14:paraId="1352AE21"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7C6861"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BBD2C21"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AND</w:t>
            </w:r>
          </w:p>
        </w:tc>
      </w:tr>
      <w:tr w:rsidR="00683FF6" w:rsidRPr="000422A6" w14:paraId="1B654D32"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EEEE0B"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2F15D5" w14:textId="77777777" w:rsidR="00683FF6" w:rsidRPr="000422A6" w:rsidRDefault="00683FF6" w:rsidP="000422A6">
            <w:pPr>
              <w:rPr>
                <w:rFonts w:ascii="Arial Narrow" w:hAnsi="Arial Narrow"/>
                <w:b/>
                <w:bCs/>
                <w:color w:val="333333"/>
                <w:sz w:val="20"/>
                <w:szCs w:val="20"/>
              </w:rPr>
            </w:pPr>
            <w:r w:rsidRPr="000422A6">
              <w:rPr>
                <w:rFonts w:ascii="Arial Narrow" w:hAnsi="Arial Narrow"/>
                <w:b/>
                <w:sz w:val="20"/>
                <w:szCs w:val="20"/>
              </w:rPr>
              <w:t>Clinical criteria:</w:t>
            </w:r>
          </w:p>
        </w:tc>
      </w:tr>
      <w:tr w:rsidR="00683FF6" w:rsidRPr="000422A6" w14:paraId="299B56F9"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84F2F37" w14:textId="342E5324"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D2FF5D" w14:textId="77777777" w:rsidR="00683FF6" w:rsidRPr="000422A6" w:rsidRDefault="00683FF6" w:rsidP="000422A6">
            <w:pPr>
              <w:rPr>
                <w:rFonts w:ascii="Arial Narrow" w:hAnsi="Arial Narrow"/>
                <w:color w:val="333333"/>
                <w:sz w:val="20"/>
                <w:szCs w:val="20"/>
              </w:rPr>
            </w:pPr>
            <w:r w:rsidRPr="000422A6">
              <w:rPr>
                <w:rFonts w:ascii="Arial Narrow" w:hAnsi="Arial Narrow"/>
                <w:color w:val="333333"/>
                <w:sz w:val="20"/>
                <w:szCs w:val="20"/>
              </w:rPr>
              <w:t xml:space="preserve">Patient must have achieved and maintained at </w:t>
            </w:r>
            <w:r w:rsidRPr="000422A6">
              <w:rPr>
                <w:rFonts w:ascii="Arial Narrow" w:hAnsi="Arial Narrow"/>
                <w:i/>
                <w:iCs/>
                <w:color w:val="333333"/>
                <w:sz w:val="20"/>
                <w:szCs w:val="20"/>
              </w:rPr>
              <w:t>least 50%</w:t>
            </w:r>
            <w:r w:rsidRPr="000422A6">
              <w:rPr>
                <w:rFonts w:ascii="Arial Narrow" w:hAnsi="Arial Narrow"/>
                <w:color w:val="333333"/>
                <w:sz w:val="20"/>
                <w:szCs w:val="20"/>
              </w:rPr>
              <w:t xml:space="preserve"> </w:t>
            </w:r>
            <w:r w:rsidRPr="000422A6">
              <w:rPr>
                <w:rFonts w:ascii="Arial Narrow" w:hAnsi="Arial Narrow"/>
                <w:strike/>
                <w:color w:val="333333"/>
                <w:sz w:val="20"/>
                <w:szCs w:val="20"/>
              </w:rPr>
              <w:t>50% or greater</w:t>
            </w:r>
            <w:r w:rsidRPr="000422A6">
              <w:rPr>
                <w:rFonts w:ascii="Arial Narrow" w:hAnsi="Arial Narrow"/>
                <w:color w:val="333333"/>
                <w:sz w:val="20"/>
                <w:szCs w:val="20"/>
              </w:rPr>
              <w:t xml:space="preserve"> reduction from baseline in the number of migraine headache days per month</w:t>
            </w:r>
          </w:p>
        </w:tc>
      </w:tr>
      <w:tr w:rsidR="00683FF6" w:rsidRPr="000422A6" w14:paraId="61CCD020"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644D2C"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F16C18"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AND</w:t>
            </w:r>
          </w:p>
        </w:tc>
      </w:tr>
      <w:tr w:rsidR="00683FF6" w:rsidRPr="000422A6" w14:paraId="6F3C211F"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9593BC3"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565D0A" w14:textId="77777777" w:rsidR="00683FF6" w:rsidRPr="000422A6" w:rsidRDefault="00683FF6" w:rsidP="000422A6">
            <w:pPr>
              <w:rPr>
                <w:rFonts w:ascii="Arial Narrow" w:hAnsi="Arial Narrow"/>
                <w:b/>
                <w:bCs/>
                <w:color w:val="333333"/>
                <w:sz w:val="20"/>
                <w:szCs w:val="20"/>
              </w:rPr>
            </w:pPr>
            <w:r w:rsidRPr="000422A6">
              <w:rPr>
                <w:rFonts w:ascii="Arial Narrow" w:hAnsi="Arial Narrow"/>
                <w:b/>
                <w:sz w:val="20"/>
                <w:szCs w:val="20"/>
              </w:rPr>
              <w:t>Clinical criteria:</w:t>
            </w:r>
          </w:p>
        </w:tc>
      </w:tr>
      <w:tr w:rsidR="00683FF6" w:rsidRPr="000422A6" w14:paraId="57A5CC63"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0CF8FF4" w14:textId="7038501C"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D280D8" w14:textId="77777777" w:rsidR="00683FF6" w:rsidRPr="000422A6" w:rsidRDefault="00683FF6" w:rsidP="000422A6">
            <w:pPr>
              <w:rPr>
                <w:rFonts w:ascii="Arial Narrow" w:hAnsi="Arial Narrow"/>
                <w:color w:val="333333"/>
                <w:sz w:val="20"/>
                <w:szCs w:val="20"/>
              </w:rPr>
            </w:pPr>
            <w:r w:rsidRPr="000422A6">
              <w:rPr>
                <w:rFonts w:ascii="Arial Narrow" w:hAnsi="Arial Narrow"/>
                <w:color w:val="333333"/>
                <w:sz w:val="20"/>
                <w:szCs w:val="20"/>
              </w:rPr>
              <w:t>Patient must continue to be appropriately managed for medication overuse headache</w:t>
            </w:r>
          </w:p>
        </w:tc>
      </w:tr>
      <w:tr w:rsidR="00683FF6" w:rsidRPr="000422A6" w14:paraId="1568837D"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9EDDB7"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FAC7098"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AND</w:t>
            </w:r>
          </w:p>
        </w:tc>
      </w:tr>
      <w:tr w:rsidR="00683FF6" w:rsidRPr="000422A6" w14:paraId="6F86615A"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90715" w14:textId="77777777"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E1A511" w14:textId="77777777" w:rsidR="00683FF6" w:rsidRPr="000422A6" w:rsidRDefault="00683FF6" w:rsidP="000422A6">
            <w:pPr>
              <w:rPr>
                <w:rFonts w:ascii="Arial Narrow" w:hAnsi="Arial Narrow"/>
                <w:b/>
                <w:bCs/>
                <w:color w:val="333333"/>
                <w:sz w:val="20"/>
                <w:szCs w:val="20"/>
              </w:rPr>
            </w:pPr>
            <w:r w:rsidRPr="000422A6">
              <w:rPr>
                <w:rFonts w:ascii="Arial Narrow" w:hAnsi="Arial Narrow"/>
                <w:b/>
                <w:bCs/>
                <w:color w:val="333333"/>
                <w:sz w:val="20"/>
                <w:szCs w:val="20"/>
              </w:rPr>
              <w:t>Prescribing instructions:</w:t>
            </w:r>
          </w:p>
        </w:tc>
      </w:tr>
      <w:tr w:rsidR="00683FF6" w:rsidRPr="000422A6" w14:paraId="27374AA9" w14:textId="77777777" w:rsidTr="000422A6">
        <w:trPr>
          <w:trHeight w:val="20"/>
        </w:trPr>
        <w:tc>
          <w:tcPr>
            <w:tcW w:w="98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51B448" w14:textId="3B663FAD" w:rsidR="00683FF6" w:rsidRPr="000422A6" w:rsidRDefault="00683FF6" w:rsidP="000422A6">
            <w:pPr>
              <w:jc w:val="center"/>
              <w:rPr>
                <w:rFonts w:ascii="Arial Narrow" w:hAnsi="Arial Narrow"/>
                <w:color w:val="333333"/>
                <w:sz w:val="20"/>
                <w:szCs w:val="20"/>
              </w:rPr>
            </w:pPr>
          </w:p>
        </w:tc>
        <w:tc>
          <w:tcPr>
            <w:tcW w:w="8080"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DE7EE" w14:textId="77777777" w:rsidR="00683FF6" w:rsidRPr="000422A6" w:rsidRDefault="00683FF6" w:rsidP="000422A6">
            <w:pPr>
              <w:rPr>
                <w:rFonts w:ascii="Arial Narrow" w:hAnsi="Arial Narrow"/>
                <w:b/>
                <w:bCs/>
                <w:color w:val="333333"/>
                <w:sz w:val="20"/>
                <w:szCs w:val="20"/>
              </w:rPr>
            </w:pPr>
            <w:r w:rsidRPr="000422A6">
              <w:rPr>
                <w:rFonts w:ascii="Arial Narrow" w:hAnsi="Arial Narrow"/>
                <w:color w:val="333333"/>
                <w:sz w:val="20"/>
                <w:szCs w:val="20"/>
              </w:rPr>
              <w:t xml:space="preserve">Patient must have the number of migraine </w:t>
            </w:r>
            <w:r w:rsidRPr="000422A6">
              <w:rPr>
                <w:rFonts w:ascii="Arial Narrow" w:hAnsi="Arial Narrow"/>
                <w:i/>
                <w:iCs/>
                <w:color w:val="333333"/>
                <w:sz w:val="20"/>
                <w:szCs w:val="20"/>
              </w:rPr>
              <w:t>headache</w:t>
            </w:r>
            <w:r w:rsidRPr="000422A6">
              <w:rPr>
                <w:rFonts w:ascii="Arial Narrow" w:hAnsi="Arial Narrow"/>
                <w:color w:val="333333"/>
                <w:sz w:val="20"/>
                <w:szCs w:val="20"/>
              </w:rPr>
              <w:t xml:space="preserve"> days per month documented in their medical records.</w:t>
            </w:r>
          </w:p>
        </w:tc>
      </w:tr>
    </w:tbl>
    <w:p w14:paraId="0F380DE3" w14:textId="77777777" w:rsidR="00683FF6" w:rsidRPr="00FB5EAE" w:rsidRDefault="00683FF6" w:rsidP="00683FF6">
      <w:pPr>
        <w:widowControl w:val="0"/>
        <w:spacing w:after="120"/>
        <w:rPr>
          <w:rFonts w:asciiTheme="minorHAnsi" w:hAnsiTheme="minorHAnsi"/>
          <w:bCs/>
          <w:snapToGrid w:val="0"/>
          <w:lang w:eastAsia="en-US"/>
        </w:rPr>
      </w:pPr>
    </w:p>
    <w:p w14:paraId="747984CB" w14:textId="77777777" w:rsidR="00683FF6" w:rsidRPr="00FB5EAE" w:rsidRDefault="00683FF6" w:rsidP="00683FF6">
      <w:pPr>
        <w:pStyle w:val="3Bodytext"/>
        <w:ind w:left="0" w:firstLine="0"/>
        <w:rPr>
          <w:snapToGrid w:val="0"/>
        </w:rPr>
      </w:pPr>
      <w:r w:rsidRPr="00FB5EAE">
        <w:rPr>
          <w:rFonts w:cs="Arial"/>
          <w:b/>
          <w:i/>
        </w:rPr>
        <w:t>This restriction may be subject to further review. Should there be any changes made to the restriction the Sponsor will be informed.</w:t>
      </w:r>
    </w:p>
    <w:p w14:paraId="6255537A" w14:textId="77777777" w:rsidR="00D030F8" w:rsidRDefault="00D030F8" w:rsidP="00D030F8">
      <w:pPr>
        <w:pStyle w:val="2-SectionHeading"/>
        <w:rPr>
          <w:bCs/>
          <w:lang w:val="en-GB"/>
        </w:rPr>
      </w:pPr>
      <w:r w:rsidRPr="00C07617">
        <w:t>Context for Decision</w:t>
      </w:r>
    </w:p>
    <w:p w14:paraId="7E705272" w14:textId="77777777" w:rsidR="00D030F8" w:rsidRPr="007129F2" w:rsidRDefault="00D030F8" w:rsidP="00D030F8">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17EB88" w14:textId="3BC5B2FA" w:rsidR="00D030F8" w:rsidRPr="00C07617" w:rsidRDefault="00D030F8" w:rsidP="00D030F8">
      <w:pPr>
        <w:pStyle w:val="2-SectionHeading"/>
      </w:pPr>
      <w:r>
        <w:t>Sponsor’s Comment</w:t>
      </w:r>
    </w:p>
    <w:p w14:paraId="4A6880B3" w14:textId="790123C2" w:rsidR="00B61A28" w:rsidRPr="00D030F8" w:rsidRDefault="00D030F8" w:rsidP="00D030F8">
      <w:pPr>
        <w:spacing w:after="120"/>
        <w:ind w:left="426" w:firstLine="294"/>
        <w:rPr>
          <w:rFonts w:asciiTheme="minorHAnsi" w:hAnsiTheme="minorHAnsi"/>
          <w:bCs/>
        </w:rPr>
      </w:pPr>
      <w:r w:rsidRPr="00C07617">
        <w:rPr>
          <w:rFonts w:asciiTheme="minorHAnsi" w:hAnsiTheme="minorHAnsi"/>
          <w:bCs/>
        </w:rPr>
        <w:t>The sponsor had no comment.</w:t>
      </w:r>
      <w:bookmarkStart w:id="91" w:name="_Toc112357928"/>
      <w:bookmarkStart w:id="92" w:name="_Toc114059219"/>
    </w:p>
    <w:bookmarkEnd w:id="91"/>
    <w:bookmarkEnd w:id="92"/>
    <w:sectPr w:rsidR="00B61A28" w:rsidRPr="00D030F8" w:rsidSect="00B97129">
      <w:headerReference w:type="default" r:id="rId8"/>
      <w:footerReference w:type="default" r:id="rId9"/>
      <w:footerReference w:type="first" r:id="rId10"/>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9EE2" w14:textId="77777777" w:rsidR="005F7D32" w:rsidRDefault="005F7D32" w:rsidP="00124A51">
      <w:r>
        <w:separator/>
      </w:r>
    </w:p>
    <w:p w14:paraId="446723EF" w14:textId="77777777" w:rsidR="005F7D32" w:rsidRDefault="005F7D32"/>
  </w:endnote>
  <w:endnote w:type="continuationSeparator" w:id="0">
    <w:p w14:paraId="2DB6135A" w14:textId="77777777" w:rsidR="005F7D32" w:rsidRDefault="005F7D32" w:rsidP="00124A51">
      <w:r>
        <w:continuationSeparator/>
      </w:r>
    </w:p>
    <w:p w14:paraId="3D112987" w14:textId="77777777" w:rsidR="005F7D32" w:rsidRDefault="005F7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0F7CA" w14:textId="77777777" w:rsidR="000511A3" w:rsidRDefault="000511A3" w:rsidP="000511A3">
    <w:pPr>
      <w:tabs>
        <w:tab w:val="center" w:pos="4513"/>
        <w:tab w:val="right" w:pos="9026"/>
      </w:tabs>
      <w:jc w:val="center"/>
    </w:pPr>
  </w:p>
  <w:p w14:paraId="1B063511" w14:textId="0A86BD33" w:rsidR="00D843F2" w:rsidRDefault="00D90B4C" w:rsidP="00DC6E2E">
    <w:pPr>
      <w:tabs>
        <w:tab w:val="center" w:pos="4513"/>
        <w:tab w:val="right" w:pos="9026"/>
      </w:tabs>
      <w:jc w:val="center"/>
    </w:pPr>
    <w:sdt>
      <w:sdtPr>
        <w:id w:val="1036156457"/>
        <w:docPartObj>
          <w:docPartGallery w:val="Page Numbers (Bottom of Page)"/>
          <w:docPartUnique/>
        </w:docPartObj>
      </w:sdtPr>
      <w:sdtEndPr>
        <w:rPr>
          <w:b/>
          <w:bCs/>
          <w:noProof/>
        </w:rPr>
      </w:sdtEndPr>
      <w:sdtContent>
        <w:r w:rsidR="000511A3" w:rsidRPr="00C23593">
          <w:rPr>
            <w:b/>
            <w:bCs/>
          </w:rPr>
          <w:fldChar w:fldCharType="begin"/>
        </w:r>
        <w:r w:rsidR="000511A3" w:rsidRPr="00C23593">
          <w:rPr>
            <w:b/>
            <w:bCs/>
          </w:rPr>
          <w:instrText xml:space="preserve"> PAGE   \* MERGEFORMAT </w:instrText>
        </w:r>
        <w:r w:rsidR="000511A3" w:rsidRPr="00C23593">
          <w:rPr>
            <w:b/>
            <w:bCs/>
          </w:rPr>
          <w:fldChar w:fldCharType="separate"/>
        </w:r>
        <w:r w:rsidR="000511A3" w:rsidRPr="00C23593">
          <w:rPr>
            <w:b/>
            <w:bCs/>
          </w:rPr>
          <w:t>2</w:t>
        </w:r>
        <w:r w:rsidR="000511A3" w:rsidRPr="00C23593">
          <w:rPr>
            <w:b/>
            <w:b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783C" w14:textId="54EED817" w:rsidR="008A570F" w:rsidRDefault="008A570F" w:rsidP="008A570F">
    <w:pPr>
      <w:pStyle w:val="Footer"/>
      <w:jc w:val="center"/>
    </w:pPr>
    <w:r>
      <w:t>6.03.COM.i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06E5" w14:textId="77777777" w:rsidR="005F7D32" w:rsidRDefault="005F7D32" w:rsidP="00124A51">
      <w:r>
        <w:separator/>
      </w:r>
    </w:p>
    <w:p w14:paraId="43A14E3E" w14:textId="77777777" w:rsidR="005F7D32" w:rsidRDefault="005F7D32"/>
  </w:footnote>
  <w:footnote w:type="continuationSeparator" w:id="0">
    <w:p w14:paraId="1B9ACBE7" w14:textId="77777777" w:rsidR="005F7D32" w:rsidRDefault="005F7D32" w:rsidP="00124A51">
      <w:r>
        <w:continuationSeparator/>
      </w:r>
    </w:p>
    <w:p w14:paraId="1C8D1B8F" w14:textId="77777777" w:rsidR="005F7D32" w:rsidRDefault="005F7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FA1CA" w14:textId="0D93CEFA" w:rsidR="000511A3" w:rsidRDefault="00A251CB" w:rsidP="000511A3">
    <w:pPr>
      <w:pStyle w:val="Footer"/>
      <w:jc w:val="center"/>
      <w:rPr>
        <w:i/>
        <w:iCs/>
      </w:rPr>
    </w:pPr>
    <w:r>
      <w:rPr>
        <w:i/>
        <w:iCs/>
      </w:rPr>
      <w:t>Public Summary Document</w:t>
    </w:r>
    <w:r w:rsidR="009F62C4" w:rsidRPr="00056684">
      <w:rPr>
        <w:rFonts w:asciiTheme="minorHAnsi" w:hAnsiTheme="minorHAnsi"/>
        <w:i/>
        <w:color w:val="808080"/>
      </w:rPr>
      <w:t xml:space="preserve"> </w:t>
    </w:r>
    <w:r w:rsidR="009F62C4" w:rsidRPr="009F62C4">
      <w:rPr>
        <w:rFonts w:asciiTheme="minorHAnsi" w:hAnsiTheme="minorHAnsi"/>
        <w:i/>
      </w:rPr>
      <w:t xml:space="preserve">– </w:t>
    </w:r>
    <w:r w:rsidR="000511A3" w:rsidRPr="000511A3">
      <w:rPr>
        <w:i/>
        <w:iCs/>
      </w:rPr>
      <w:t xml:space="preserve">November 2022 PBAC </w:t>
    </w:r>
    <w:r w:rsidR="00683FF6">
      <w:rPr>
        <w:i/>
        <w:iCs/>
      </w:rPr>
      <w:t>M</w:t>
    </w:r>
    <w:r w:rsidR="000511A3" w:rsidRPr="000511A3">
      <w:rPr>
        <w:i/>
        <w:iCs/>
      </w:rPr>
      <w:t>eeting</w:t>
    </w:r>
    <w:r w:rsidR="00683FF6">
      <w:rPr>
        <w:i/>
        <w:iCs/>
      </w:rPr>
      <w:t xml:space="preserve"> with Out of Session Addendum August 2023</w:t>
    </w:r>
  </w:p>
  <w:p w14:paraId="6AE47E64" w14:textId="77777777" w:rsidR="00422B21" w:rsidRPr="000511A3" w:rsidRDefault="00422B21" w:rsidP="000511A3">
    <w:pPr>
      <w:pStyle w:val="Foot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62CFC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53A1F"/>
    <w:multiLevelType w:val="multilevel"/>
    <w:tmpl w:val="1234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F41C7"/>
    <w:multiLevelType w:val="hybridMultilevel"/>
    <w:tmpl w:val="0E74FD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E30D41"/>
    <w:multiLevelType w:val="hybridMultilevel"/>
    <w:tmpl w:val="65D2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6E584B"/>
    <w:multiLevelType w:val="multilevel"/>
    <w:tmpl w:val="033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7405"/>
    <w:multiLevelType w:val="multilevel"/>
    <w:tmpl w:val="74BE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0B1CDD"/>
    <w:multiLevelType w:val="hybridMultilevel"/>
    <w:tmpl w:val="A6663A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3F3932"/>
    <w:multiLevelType w:val="hybridMultilevel"/>
    <w:tmpl w:val="E0FCB4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F8213F"/>
    <w:multiLevelType w:val="hybridMultilevel"/>
    <w:tmpl w:val="6A4C62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7FB5F13"/>
    <w:multiLevelType w:val="hybridMultilevel"/>
    <w:tmpl w:val="32541B4E"/>
    <w:lvl w:ilvl="0" w:tplc="0C090001">
      <w:start w:val="1"/>
      <w:numFmt w:val="bullet"/>
      <w:lvlText w:val=""/>
      <w:lvlJc w:val="left"/>
      <w:pPr>
        <w:ind w:left="1182" w:hanging="360"/>
      </w:pPr>
      <w:rPr>
        <w:rFonts w:ascii="Symbol" w:hAnsi="Symbol" w:hint="default"/>
      </w:rPr>
    </w:lvl>
    <w:lvl w:ilvl="1" w:tplc="0C090003">
      <w:start w:val="1"/>
      <w:numFmt w:val="bullet"/>
      <w:lvlText w:val="o"/>
      <w:lvlJc w:val="left"/>
      <w:pPr>
        <w:ind w:left="1902" w:hanging="360"/>
      </w:pPr>
      <w:rPr>
        <w:rFonts w:ascii="Courier New" w:hAnsi="Courier New" w:cs="Courier New" w:hint="default"/>
      </w:rPr>
    </w:lvl>
    <w:lvl w:ilvl="2" w:tplc="0C090005">
      <w:start w:val="1"/>
      <w:numFmt w:val="bullet"/>
      <w:lvlText w:val=""/>
      <w:lvlJc w:val="left"/>
      <w:pPr>
        <w:ind w:left="2622" w:hanging="360"/>
      </w:pPr>
      <w:rPr>
        <w:rFonts w:ascii="Wingdings" w:hAnsi="Wingdings" w:hint="default"/>
      </w:rPr>
    </w:lvl>
    <w:lvl w:ilvl="3" w:tplc="0C090001">
      <w:start w:val="1"/>
      <w:numFmt w:val="bullet"/>
      <w:lvlText w:val=""/>
      <w:lvlJc w:val="left"/>
      <w:pPr>
        <w:ind w:left="3342" w:hanging="360"/>
      </w:pPr>
      <w:rPr>
        <w:rFonts w:ascii="Symbol" w:hAnsi="Symbol" w:hint="default"/>
      </w:rPr>
    </w:lvl>
    <w:lvl w:ilvl="4" w:tplc="0C090003">
      <w:start w:val="1"/>
      <w:numFmt w:val="bullet"/>
      <w:lvlText w:val="o"/>
      <w:lvlJc w:val="left"/>
      <w:pPr>
        <w:ind w:left="4062" w:hanging="360"/>
      </w:pPr>
      <w:rPr>
        <w:rFonts w:ascii="Courier New" w:hAnsi="Courier New" w:cs="Courier New" w:hint="default"/>
      </w:rPr>
    </w:lvl>
    <w:lvl w:ilvl="5" w:tplc="0C090005">
      <w:start w:val="1"/>
      <w:numFmt w:val="bullet"/>
      <w:lvlText w:val=""/>
      <w:lvlJc w:val="left"/>
      <w:pPr>
        <w:ind w:left="4782" w:hanging="360"/>
      </w:pPr>
      <w:rPr>
        <w:rFonts w:ascii="Wingdings" w:hAnsi="Wingdings" w:hint="default"/>
      </w:rPr>
    </w:lvl>
    <w:lvl w:ilvl="6" w:tplc="0C090001">
      <w:start w:val="1"/>
      <w:numFmt w:val="bullet"/>
      <w:lvlText w:val=""/>
      <w:lvlJc w:val="left"/>
      <w:pPr>
        <w:ind w:left="5502" w:hanging="360"/>
      </w:pPr>
      <w:rPr>
        <w:rFonts w:ascii="Symbol" w:hAnsi="Symbol" w:hint="default"/>
      </w:rPr>
    </w:lvl>
    <w:lvl w:ilvl="7" w:tplc="0C090003">
      <w:start w:val="1"/>
      <w:numFmt w:val="bullet"/>
      <w:lvlText w:val="o"/>
      <w:lvlJc w:val="left"/>
      <w:pPr>
        <w:ind w:left="6222" w:hanging="360"/>
      </w:pPr>
      <w:rPr>
        <w:rFonts w:ascii="Courier New" w:hAnsi="Courier New" w:cs="Courier New" w:hint="default"/>
      </w:rPr>
    </w:lvl>
    <w:lvl w:ilvl="8" w:tplc="0C090005">
      <w:start w:val="1"/>
      <w:numFmt w:val="bullet"/>
      <w:lvlText w:val=""/>
      <w:lvlJc w:val="left"/>
      <w:pPr>
        <w:ind w:left="6942" w:hanging="360"/>
      </w:pPr>
      <w:rPr>
        <w:rFonts w:ascii="Wingdings" w:hAnsi="Wingdings" w:hint="default"/>
      </w:rPr>
    </w:lvl>
  </w:abstractNum>
  <w:abstractNum w:abstractNumId="15" w15:restartNumberingAfterBreak="0">
    <w:nsid w:val="40E3787A"/>
    <w:multiLevelType w:val="hybridMultilevel"/>
    <w:tmpl w:val="4F747226"/>
    <w:lvl w:ilvl="0" w:tplc="E3584654">
      <w:start w:val="8"/>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6162C4"/>
    <w:multiLevelType w:val="hybridMultilevel"/>
    <w:tmpl w:val="DAB289EE"/>
    <w:lvl w:ilvl="0" w:tplc="DE5ABF1E">
      <w:start w:val="1"/>
      <w:numFmt w:val="decimal"/>
      <w:lvlText w:val="%1."/>
      <w:lvlJc w:val="left"/>
      <w:pPr>
        <w:ind w:left="720" w:hanging="360"/>
      </w:pPr>
      <w:rPr>
        <w:b w:val="0"/>
        <w:color w:val="000000"/>
      </w:rPr>
    </w:lvl>
    <w:lvl w:ilvl="1" w:tplc="3A88D610">
      <w:start w:val="1"/>
      <w:numFmt w:val="bullet"/>
      <w:lvlText w:val=""/>
      <w:lvlJc w:val="left"/>
      <w:pPr>
        <w:ind w:left="1440" w:hanging="360"/>
      </w:pPr>
      <w:rPr>
        <w:rFonts w:ascii="Symbol" w:hAnsi="Symbol" w:hint="default"/>
        <w:color w:val="00000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4BF5DBF"/>
    <w:multiLevelType w:val="hybridMultilevel"/>
    <w:tmpl w:val="8A3CC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8745AD"/>
    <w:multiLevelType w:val="multilevel"/>
    <w:tmpl w:val="A3E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6BCA7E6B"/>
    <w:multiLevelType w:val="hybridMultilevel"/>
    <w:tmpl w:val="1AAEC5F4"/>
    <w:lvl w:ilvl="0" w:tplc="AC6C1F7A">
      <w:start w:val="12"/>
      <w:numFmt w:val="bullet"/>
      <w:lvlText w:val="-"/>
      <w:lvlJc w:val="left"/>
      <w:pPr>
        <w:ind w:left="720" w:hanging="360"/>
      </w:pPr>
      <w:rPr>
        <w:rFonts w:ascii="Arial Narrow" w:eastAsiaTheme="majorEastAsia" w:hAnsi="Arial Narrow" w:cstheme="maj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5B4CD3"/>
    <w:multiLevelType w:val="hybridMultilevel"/>
    <w:tmpl w:val="09D69E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270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7918CF"/>
    <w:multiLevelType w:val="hybridMultilevel"/>
    <w:tmpl w:val="F2962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FA11093"/>
    <w:multiLevelType w:val="hybridMultilevel"/>
    <w:tmpl w:val="262A990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num w:numId="1" w16cid:durableId="244536777">
    <w:abstractNumId w:val="27"/>
  </w:num>
  <w:num w:numId="2" w16cid:durableId="1873961456">
    <w:abstractNumId w:val="16"/>
  </w:num>
  <w:num w:numId="3" w16cid:durableId="653722240">
    <w:abstractNumId w:val="17"/>
  </w:num>
  <w:num w:numId="4" w16cid:durableId="1254163511">
    <w:abstractNumId w:val="0"/>
  </w:num>
  <w:num w:numId="5" w16cid:durableId="1854029822">
    <w:abstractNumId w:val="27"/>
  </w:num>
  <w:num w:numId="6" w16cid:durableId="500974677">
    <w:abstractNumId w:val="23"/>
  </w:num>
  <w:num w:numId="7" w16cid:durableId="715085199">
    <w:abstractNumId w:val="24"/>
  </w:num>
  <w:num w:numId="8" w16cid:durableId="1201670344">
    <w:abstractNumId w:val="10"/>
  </w:num>
  <w:num w:numId="9" w16cid:durableId="2068602189">
    <w:abstractNumId w:val="12"/>
  </w:num>
  <w:num w:numId="10" w16cid:durableId="1547836945">
    <w:abstractNumId w:val="28"/>
  </w:num>
  <w:num w:numId="11" w16cid:durableId="1159423896">
    <w:abstractNumId w:val="4"/>
  </w:num>
  <w:num w:numId="12" w16cid:durableId="1673143079">
    <w:abstractNumId w:val="15"/>
  </w:num>
  <w:num w:numId="13" w16cid:durableId="2087677861">
    <w:abstractNumId w:val="26"/>
  </w:num>
  <w:num w:numId="14" w16cid:durableId="10231714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2128347">
    <w:abstractNumId w:val="14"/>
  </w:num>
  <w:num w:numId="16" w16cid:durableId="553546965">
    <w:abstractNumId w:val="5"/>
  </w:num>
  <w:num w:numId="17" w16cid:durableId="1385371159">
    <w:abstractNumId w:val="19"/>
  </w:num>
  <w:num w:numId="18" w16cid:durableId="590164466">
    <w:abstractNumId w:val="20"/>
  </w:num>
  <w:num w:numId="19" w16cid:durableId="606624903">
    <w:abstractNumId w:val="3"/>
  </w:num>
  <w:num w:numId="20" w16cid:durableId="551424775">
    <w:abstractNumId w:val="1"/>
  </w:num>
  <w:num w:numId="21" w16cid:durableId="555504682">
    <w:abstractNumId w:val="8"/>
  </w:num>
  <w:num w:numId="22" w16cid:durableId="1378045293">
    <w:abstractNumId w:val="11"/>
  </w:num>
  <w:num w:numId="23" w16cid:durableId="1084379599">
    <w:abstractNumId w:val="7"/>
  </w:num>
  <w:num w:numId="24" w16cid:durableId="204813880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1842328">
    <w:abstractNumId w:val="25"/>
  </w:num>
  <w:num w:numId="26" w16cid:durableId="177886877">
    <w:abstractNumId w:val="22"/>
  </w:num>
  <w:num w:numId="27" w16cid:durableId="1393650257">
    <w:abstractNumId w:val="13"/>
  </w:num>
  <w:num w:numId="28" w16cid:durableId="418716036">
    <w:abstractNumId w:val="2"/>
  </w:num>
  <w:num w:numId="29" w16cid:durableId="358118501">
    <w:abstractNumId w:val="6"/>
  </w:num>
  <w:num w:numId="30" w16cid:durableId="1717898390">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70420529">
    <w:abstractNumId w:val="21"/>
  </w:num>
  <w:num w:numId="32" w16cid:durableId="588004576">
    <w:abstractNumId w:val="27"/>
  </w:num>
  <w:num w:numId="33" w16cid:durableId="1951543520">
    <w:abstractNumId w:val="27"/>
  </w:num>
  <w:num w:numId="34" w16cid:durableId="1151991863">
    <w:abstractNumId w:val="27"/>
  </w:num>
  <w:num w:numId="35" w16cid:durableId="1551261771">
    <w:abstractNumId w:val="27"/>
  </w:num>
  <w:num w:numId="36" w16cid:durableId="192410176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0MrY0NTa2MLWwMDBV0lEKTi0uzszPAykwMawFAOfequEtAAAA"/>
  </w:docVars>
  <w:rsids>
    <w:rsidRoot w:val="00E65E79"/>
    <w:rsid w:val="00000790"/>
    <w:rsid w:val="00000C4A"/>
    <w:rsid w:val="0000110B"/>
    <w:rsid w:val="000013E5"/>
    <w:rsid w:val="000019D5"/>
    <w:rsid w:val="00002D12"/>
    <w:rsid w:val="00003499"/>
    <w:rsid w:val="000039B7"/>
    <w:rsid w:val="00003D4B"/>
    <w:rsid w:val="000046FE"/>
    <w:rsid w:val="000055C4"/>
    <w:rsid w:val="000056B9"/>
    <w:rsid w:val="000062E0"/>
    <w:rsid w:val="0000637B"/>
    <w:rsid w:val="0000639A"/>
    <w:rsid w:val="00007108"/>
    <w:rsid w:val="00010CD7"/>
    <w:rsid w:val="0001115E"/>
    <w:rsid w:val="00011BB6"/>
    <w:rsid w:val="0001201C"/>
    <w:rsid w:val="00012FBD"/>
    <w:rsid w:val="00013247"/>
    <w:rsid w:val="00014B7A"/>
    <w:rsid w:val="00015886"/>
    <w:rsid w:val="000161DA"/>
    <w:rsid w:val="000162EF"/>
    <w:rsid w:val="0001640D"/>
    <w:rsid w:val="000207C9"/>
    <w:rsid w:val="000212CD"/>
    <w:rsid w:val="00021FBC"/>
    <w:rsid w:val="0002225F"/>
    <w:rsid w:val="000228DA"/>
    <w:rsid w:val="00023763"/>
    <w:rsid w:val="00023D01"/>
    <w:rsid w:val="0002480A"/>
    <w:rsid w:val="00024EB5"/>
    <w:rsid w:val="00025008"/>
    <w:rsid w:val="000253EE"/>
    <w:rsid w:val="000261A2"/>
    <w:rsid w:val="00026512"/>
    <w:rsid w:val="000274B8"/>
    <w:rsid w:val="00027FB6"/>
    <w:rsid w:val="00030993"/>
    <w:rsid w:val="00031D03"/>
    <w:rsid w:val="00031DE8"/>
    <w:rsid w:val="000334BD"/>
    <w:rsid w:val="000335F2"/>
    <w:rsid w:val="00033863"/>
    <w:rsid w:val="00033A63"/>
    <w:rsid w:val="00033F8C"/>
    <w:rsid w:val="0003580D"/>
    <w:rsid w:val="000358F4"/>
    <w:rsid w:val="0003593E"/>
    <w:rsid w:val="000359BC"/>
    <w:rsid w:val="00035DC0"/>
    <w:rsid w:val="000361D1"/>
    <w:rsid w:val="000365FF"/>
    <w:rsid w:val="00036829"/>
    <w:rsid w:val="00036EA9"/>
    <w:rsid w:val="0003734D"/>
    <w:rsid w:val="00040257"/>
    <w:rsid w:val="00040895"/>
    <w:rsid w:val="000410A0"/>
    <w:rsid w:val="000422A6"/>
    <w:rsid w:val="000435EE"/>
    <w:rsid w:val="0004371D"/>
    <w:rsid w:val="00043C37"/>
    <w:rsid w:val="000441E2"/>
    <w:rsid w:val="000444F0"/>
    <w:rsid w:val="000448D4"/>
    <w:rsid w:val="00045017"/>
    <w:rsid w:val="0004572D"/>
    <w:rsid w:val="00045A2B"/>
    <w:rsid w:val="000460FD"/>
    <w:rsid w:val="00046929"/>
    <w:rsid w:val="0004698F"/>
    <w:rsid w:val="00046D64"/>
    <w:rsid w:val="000473F5"/>
    <w:rsid w:val="000508C2"/>
    <w:rsid w:val="000511A3"/>
    <w:rsid w:val="000526E4"/>
    <w:rsid w:val="00052760"/>
    <w:rsid w:val="00053712"/>
    <w:rsid w:val="000539D0"/>
    <w:rsid w:val="000539EE"/>
    <w:rsid w:val="00054408"/>
    <w:rsid w:val="00054621"/>
    <w:rsid w:val="000546D7"/>
    <w:rsid w:val="00054A8D"/>
    <w:rsid w:val="00054CC5"/>
    <w:rsid w:val="000553B6"/>
    <w:rsid w:val="00055941"/>
    <w:rsid w:val="00055D5A"/>
    <w:rsid w:val="000569E8"/>
    <w:rsid w:val="00056ECF"/>
    <w:rsid w:val="00057D49"/>
    <w:rsid w:val="0006001B"/>
    <w:rsid w:val="000604DF"/>
    <w:rsid w:val="00060BC0"/>
    <w:rsid w:val="00062278"/>
    <w:rsid w:val="00064775"/>
    <w:rsid w:val="00064F03"/>
    <w:rsid w:val="000653B5"/>
    <w:rsid w:val="000659A9"/>
    <w:rsid w:val="00066360"/>
    <w:rsid w:val="00066AF8"/>
    <w:rsid w:val="00066B3C"/>
    <w:rsid w:val="00071248"/>
    <w:rsid w:val="00071896"/>
    <w:rsid w:val="00071CDE"/>
    <w:rsid w:val="000720B9"/>
    <w:rsid w:val="00072703"/>
    <w:rsid w:val="000729EA"/>
    <w:rsid w:val="000737F7"/>
    <w:rsid w:val="00073A62"/>
    <w:rsid w:val="00074046"/>
    <w:rsid w:val="000743DF"/>
    <w:rsid w:val="00075A86"/>
    <w:rsid w:val="00076143"/>
    <w:rsid w:val="00076634"/>
    <w:rsid w:val="0007672F"/>
    <w:rsid w:val="00076B54"/>
    <w:rsid w:val="00076C30"/>
    <w:rsid w:val="00076F50"/>
    <w:rsid w:val="000774F0"/>
    <w:rsid w:val="000805B5"/>
    <w:rsid w:val="00080909"/>
    <w:rsid w:val="000812CA"/>
    <w:rsid w:val="00081E63"/>
    <w:rsid w:val="0008258D"/>
    <w:rsid w:val="0008288C"/>
    <w:rsid w:val="00082E6D"/>
    <w:rsid w:val="0008387F"/>
    <w:rsid w:val="00083E99"/>
    <w:rsid w:val="00083FFB"/>
    <w:rsid w:val="00084539"/>
    <w:rsid w:val="00084CF4"/>
    <w:rsid w:val="00084FA8"/>
    <w:rsid w:val="000856C5"/>
    <w:rsid w:val="00085BEC"/>
    <w:rsid w:val="00085C31"/>
    <w:rsid w:val="00087E4A"/>
    <w:rsid w:val="000902D9"/>
    <w:rsid w:val="00090C7E"/>
    <w:rsid w:val="000911AC"/>
    <w:rsid w:val="00092300"/>
    <w:rsid w:val="00092600"/>
    <w:rsid w:val="0009262B"/>
    <w:rsid w:val="0009281A"/>
    <w:rsid w:val="00092F8D"/>
    <w:rsid w:val="000930C8"/>
    <w:rsid w:val="00093310"/>
    <w:rsid w:val="0009445C"/>
    <w:rsid w:val="00094581"/>
    <w:rsid w:val="00094A52"/>
    <w:rsid w:val="00094E56"/>
    <w:rsid w:val="00095200"/>
    <w:rsid w:val="00095FE5"/>
    <w:rsid w:val="00096284"/>
    <w:rsid w:val="000967A5"/>
    <w:rsid w:val="000979A2"/>
    <w:rsid w:val="000A1BC0"/>
    <w:rsid w:val="000A2192"/>
    <w:rsid w:val="000A2357"/>
    <w:rsid w:val="000A2795"/>
    <w:rsid w:val="000A2DBA"/>
    <w:rsid w:val="000A2F9E"/>
    <w:rsid w:val="000A2FD0"/>
    <w:rsid w:val="000A310E"/>
    <w:rsid w:val="000A341D"/>
    <w:rsid w:val="000A3BAA"/>
    <w:rsid w:val="000A3E47"/>
    <w:rsid w:val="000A43C1"/>
    <w:rsid w:val="000A522B"/>
    <w:rsid w:val="000A561A"/>
    <w:rsid w:val="000A5D1B"/>
    <w:rsid w:val="000A6039"/>
    <w:rsid w:val="000A708C"/>
    <w:rsid w:val="000A7453"/>
    <w:rsid w:val="000A7615"/>
    <w:rsid w:val="000A7D08"/>
    <w:rsid w:val="000B0121"/>
    <w:rsid w:val="000B05C5"/>
    <w:rsid w:val="000B0641"/>
    <w:rsid w:val="000B0670"/>
    <w:rsid w:val="000B08AF"/>
    <w:rsid w:val="000B0E75"/>
    <w:rsid w:val="000B24A7"/>
    <w:rsid w:val="000B29E2"/>
    <w:rsid w:val="000B2DCB"/>
    <w:rsid w:val="000B4796"/>
    <w:rsid w:val="000B4DDC"/>
    <w:rsid w:val="000B5407"/>
    <w:rsid w:val="000B557F"/>
    <w:rsid w:val="000B5CE0"/>
    <w:rsid w:val="000B6CAC"/>
    <w:rsid w:val="000B7612"/>
    <w:rsid w:val="000B78AE"/>
    <w:rsid w:val="000C0F42"/>
    <w:rsid w:val="000C3DF9"/>
    <w:rsid w:val="000C4354"/>
    <w:rsid w:val="000C4CF2"/>
    <w:rsid w:val="000C4F23"/>
    <w:rsid w:val="000C56BA"/>
    <w:rsid w:val="000C6265"/>
    <w:rsid w:val="000C6713"/>
    <w:rsid w:val="000C6A83"/>
    <w:rsid w:val="000C70B3"/>
    <w:rsid w:val="000C7604"/>
    <w:rsid w:val="000D1BFC"/>
    <w:rsid w:val="000D1D5D"/>
    <w:rsid w:val="000D26FB"/>
    <w:rsid w:val="000D281A"/>
    <w:rsid w:val="000D2848"/>
    <w:rsid w:val="000D3026"/>
    <w:rsid w:val="000D326A"/>
    <w:rsid w:val="000D3548"/>
    <w:rsid w:val="000D38E5"/>
    <w:rsid w:val="000D3FD6"/>
    <w:rsid w:val="000D51FB"/>
    <w:rsid w:val="000D552A"/>
    <w:rsid w:val="000D59DE"/>
    <w:rsid w:val="000E0276"/>
    <w:rsid w:val="000E0640"/>
    <w:rsid w:val="000E0F73"/>
    <w:rsid w:val="000E135D"/>
    <w:rsid w:val="000E2F10"/>
    <w:rsid w:val="000E53C0"/>
    <w:rsid w:val="000E67D8"/>
    <w:rsid w:val="000F00BA"/>
    <w:rsid w:val="000F08DE"/>
    <w:rsid w:val="000F0A08"/>
    <w:rsid w:val="000F116B"/>
    <w:rsid w:val="000F1F2A"/>
    <w:rsid w:val="000F316A"/>
    <w:rsid w:val="000F319D"/>
    <w:rsid w:val="000F3C74"/>
    <w:rsid w:val="000F3D16"/>
    <w:rsid w:val="000F4BB8"/>
    <w:rsid w:val="000F4FA9"/>
    <w:rsid w:val="000F53FB"/>
    <w:rsid w:val="000F55A7"/>
    <w:rsid w:val="000F57B4"/>
    <w:rsid w:val="000F7127"/>
    <w:rsid w:val="000F7A83"/>
    <w:rsid w:val="000F7B54"/>
    <w:rsid w:val="001000B3"/>
    <w:rsid w:val="00100F0F"/>
    <w:rsid w:val="00100F8A"/>
    <w:rsid w:val="001013D9"/>
    <w:rsid w:val="001030F1"/>
    <w:rsid w:val="001037C5"/>
    <w:rsid w:val="0010452E"/>
    <w:rsid w:val="00105AE2"/>
    <w:rsid w:val="001060C6"/>
    <w:rsid w:val="00106B80"/>
    <w:rsid w:val="00106BE2"/>
    <w:rsid w:val="001077C1"/>
    <w:rsid w:val="0011032E"/>
    <w:rsid w:val="001112D3"/>
    <w:rsid w:val="001113B3"/>
    <w:rsid w:val="00111456"/>
    <w:rsid w:val="0011348B"/>
    <w:rsid w:val="0011389D"/>
    <w:rsid w:val="0011419D"/>
    <w:rsid w:val="00114DDF"/>
    <w:rsid w:val="0011573B"/>
    <w:rsid w:val="001157DB"/>
    <w:rsid w:val="00115982"/>
    <w:rsid w:val="00116413"/>
    <w:rsid w:val="00116C53"/>
    <w:rsid w:val="00120B0C"/>
    <w:rsid w:val="00120BA9"/>
    <w:rsid w:val="001214DF"/>
    <w:rsid w:val="00121799"/>
    <w:rsid w:val="00121EA0"/>
    <w:rsid w:val="001222AB"/>
    <w:rsid w:val="001222FC"/>
    <w:rsid w:val="00122CFA"/>
    <w:rsid w:val="00123902"/>
    <w:rsid w:val="00124A51"/>
    <w:rsid w:val="00124FA6"/>
    <w:rsid w:val="00126621"/>
    <w:rsid w:val="00126B1D"/>
    <w:rsid w:val="0013014C"/>
    <w:rsid w:val="001301E9"/>
    <w:rsid w:val="001301F1"/>
    <w:rsid w:val="00130260"/>
    <w:rsid w:val="00130995"/>
    <w:rsid w:val="00131CB7"/>
    <w:rsid w:val="00131D82"/>
    <w:rsid w:val="00132B22"/>
    <w:rsid w:val="00133D36"/>
    <w:rsid w:val="00134722"/>
    <w:rsid w:val="00134BB9"/>
    <w:rsid w:val="001369E6"/>
    <w:rsid w:val="00137645"/>
    <w:rsid w:val="00140094"/>
    <w:rsid w:val="0014015A"/>
    <w:rsid w:val="00140E99"/>
    <w:rsid w:val="0014145E"/>
    <w:rsid w:val="00141C14"/>
    <w:rsid w:val="00142132"/>
    <w:rsid w:val="001427E6"/>
    <w:rsid w:val="00143F67"/>
    <w:rsid w:val="00145234"/>
    <w:rsid w:val="00145540"/>
    <w:rsid w:val="001456B0"/>
    <w:rsid w:val="001458FF"/>
    <w:rsid w:val="00147A91"/>
    <w:rsid w:val="001516F9"/>
    <w:rsid w:val="00151D2F"/>
    <w:rsid w:val="0015221F"/>
    <w:rsid w:val="00152AC6"/>
    <w:rsid w:val="001547AB"/>
    <w:rsid w:val="0015646A"/>
    <w:rsid w:val="00156922"/>
    <w:rsid w:val="00156F8F"/>
    <w:rsid w:val="00157130"/>
    <w:rsid w:val="001573ED"/>
    <w:rsid w:val="001576B1"/>
    <w:rsid w:val="00157AA2"/>
    <w:rsid w:val="0016030D"/>
    <w:rsid w:val="0016047B"/>
    <w:rsid w:val="00160A4C"/>
    <w:rsid w:val="00160C16"/>
    <w:rsid w:val="00161257"/>
    <w:rsid w:val="0016246C"/>
    <w:rsid w:val="00162913"/>
    <w:rsid w:val="00162A1E"/>
    <w:rsid w:val="00162B4A"/>
    <w:rsid w:val="00163EFF"/>
    <w:rsid w:val="00163F66"/>
    <w:rsid w:val="00164001"/>
    <w:rsid w:val="0016478E"/>
    <w:rsid w:val="001647DE"/>
    <w:rsid w:val="00165EC4"/>
    <w:rsid w:val="001661FB"/>
    <w:rsid w:val="001671A0"/>
    <w:rsid w:val="0016767F"/>
    <w:rsid w:val="001701C5"/>
    <w:rsid w:val="001705E6"/>
    <w:rsid w:val="00170A8E"/>
    <w:rsid w:val="00170C3E"/>
    <w:rsid w:val="00170EE3"/>
    <w:rsid w:val="00172504"/>
    <w:rsid w:val="00172CE4"/>
    <w:rsid w:val="00173115"/>
    <w:rsid w:val="00173565"/>
    <w:rsid w:val="00173B07"/>
    <w:rsid w:val="001751FA"/>
    <w:rsid w:val="00175570"/>
    <w:rsid w:val="00175908"/>
    <w:rsid w:val="00175EF9"/>
    <w:rsid w:val="0017647E"/>
    <w:rsid w:val="00177F7F"/>
    <w:rsid w:val="00181C10"/>
    <w:rsid w:val="00181D9C"/>
    <w:rsid w:val="00181ED3"/>
    <w:rsid w:val="001837FF"/>
    <w:rsid w:val="00184857"/>
    <w:rsid w:val="00184B0E"/>
    <w:rsid w:val="001861F2"/>
    <w:rsid w:val="001865C5"/>
    <w:rsid w:val="001869BC"/>
    <w:rsid w:val="0018752F"/>
    <w:rsid w:val="00187B32"/>
    <w:rsid w:val="001920CD"/>
    <w:rsid w:val="0019234B"/>
    <w:rsid w:val="00193838"/>
    <w:rsid w:val="00194AD8"/>
    <w:rsid w:val="00195222"/>
    <w:rsid w:val="00195452"/>
    <w:rsid w:val="00195726"/>
    <w:rsid w:val="00195E72"/>
    <w:rsid w:val="001975D8"/>
    <w:rsid w:val="001A0293"/>
    <w:rsid w:val="001A09C7"/>
    <w:rsid w:val="001A0E13"/>
    <w:rsid w:val="001A1375"/>
    <w:rsid w:val="001A178E"/>
    <w:rsid w:val="001A1D19"/>
    <w:rsid w:val="001A1F49"/>
    <w:rsid w:val="001A22D1"/>
    <w:rsid w:val="001A25B4"/>
    <w:rsid w:val="001A30EE"/>
    <w:rsid w:val="001A376F"/>
    <w:rsid w:val="001A417F"/>
    <w:rsid w:val="001A43E1"/>
    <w:rsid w:val="001A43FA"/>
    <w:rsid w:val="001A45B5"/>
    <w:rsid w:val="001A47C5"/>
    <w:rsid w:val="001A59EE"/>
    <w:rsid w:val="001A59FB"/>
    <w:rsid w:val="001A5E9E"/>
    <w:rsid w:val="001A626D"/>
    <w:rsid w:val="001A6354"/>
    <w:rsid w:val="001A6366"/>
    <w:rsid w:val="001A7AE8"/>
    <w:rsid w:val="001A7B99"/>
    <w:rsid w:val="001B1D5F"/>
    <w:rsid w:val="001B204E"/>
    <w:rsid w:val="001B2136"/>
    <w:rsid w:val="001B2372"/>
    <w:rsid w:val="001B3443"/>
    <w:rsid w:val="001B3E52"/>
    <w:rsid w:val="001B424B"/>
    <w:rsid w:val="001B429E"/>
    <w:rsid w:val="001B4D20"/>
    <w:rsid w:val="001B6BB1"/>
    <w:rsid w:val="001B6E91"/>
    <w:rsid w:val="001B7F84"/>
    <w:rsid w:val="001C0FBE"/>
    <w:rsid w:val="001C13C0"/>
    <w:rsid w:val="001C1A5E"/>
    <w:rsid w:val="001C23C3"/>
    <w:rsid w:val="001C2A9B"/>
    <w:rsid w:val="001C3BD7"/>
    <w:rsid w:val="001C3DD6"/>
    <w:rsid w:val="001C3EBF"/>
    <w:rsid w:val="001C4299"/>
    <w:rsid w:val="001C4874"/>
    <w:rsid w:val="001C48D4"/>
    <w:rsid w:val="001C4D97"/>
    <w:rsid w:val="001C5F94"/>
    <w:rsid w:val="001C5FD2"/>
    <w:rsid w:val="001C6D77"/>
    <w:rsid w:val="001C6E66"/>
    <w:rsid w:val="001D02C5"/>
    <w:rsid w:val="001D0800"/>
    <w:rsid w:val="001D1100"/>
    <w:rsid w:val="001D1391"/>
    <w:rsid w:val="001D25D7"/>
    <w:rsid w:val="001D35E1"/>
    <w:rsid w:val="001D4546"/>
    <w:rsid w:val="001D454A"/>
    <w:rsid w:val="001D50B2"/>
    <w:rsid w:val="001D58D6"/>
    <w:rsid w:val="001D701C"/>
    <w:rsid w:val="001D71F4"/>
    <w:rsid w:val="001D763C"/>
    <w:rsid w:val="001D7645"/>
    <w:rsid w:val="001E03A7"/>
    <w:rsid w:val="001E1CF0"/>
    <w:rsid w:val="001E1E86"/>
    <w:rsid w:val="001E1F90"/>
    <w:rsid w:val="001E238E"/>
    <w:rsid w:val="001E2483"/>
    <w:rsid w:val="001E24FA"/>
    <w:rsid w:val="001E2B1E"/>
    <w:rsid w:val="001E2CFF"/>
    <w:rsid w:val="001E2F24"/>
    <w:rsid w:val="001E30D4"/>
    <w:rsid w:val="001E3103"/>
    <w:rsid w:val="001E34DF"/>
    <w:rsid w:val="001E399A"/>
    <w:rsid w:val="001E4DCD"/>
    <w:rsid w:val="001E5128"/>
    <w:rsid w:val="001E52EB"/>
    <w:rsid w:val="001E61D2"/>
    <w:rsid w:val="001E71CA"/>
    <w:rsid w:val="001E740C"/>
    <w:rsid w:val="001F01F2"/>
    <w:rsid w:val="001F0D8E"/>
    <w:rsid w:val="001F1235"/>
    <w:rsid w:val="001F1CB3"/>
    <w:rsid w:val="001F29DF"/>
    <w:rsid w:val="001F2FDA"/>
    <w:rsid w:val="001F38B5"/>
    <w:rsid w:val="001F4081"/>
    <w:rsid w:val="001F4ABA"/>
    <w:rsid w:val="001F56F8"/>
    <w:rsid w:val="001F5DBA"/>
    <w:rsid w:val="001F6671"/>
    <w:rsid w:val="001F7361"/>
    <w:rsid w:val="0020097E"/>
    <w:rsid w:val="002011B0"/>
    <w:rsid w:val="0020198F"/>
    <w:rsid w:val="00203181"/>
    <w:rsid w:val="00203783"/>
    <w:rsid w:val="0020385F"/>
    <w:rsid w:val="00203DC1"/>
    <w:rsid w:val="0020489F"/>
    <w:rsid w:val="002068A0"/>
    <w:rsid w:val="00207021"/>
    <w:rsid w:val="0020732F"/>
    <w:rsid w:val="0020761F"/>
    <w:rsid w:val="00207D00"/>
    <w:rsid w:val="002105C1"/>
    <w:rsid w:val="002116FD"/>
    <w:rsid w:val="00211A88"/>
    <w:rsid w:val="0021280F"/>
    <w:rsid w:val="00212B5C"/>
    <w:rsid w:val="0021354C"/>
    <w:rsid w:val="00213EF5"/>
    <w:rsid w:val="00214FC7"/>
    <w:rsid w:val="0021549F"/>
    <w:rsid w:val="00215A79"/>
    <w:rsid w:val="00216BF5"/>
    <w:rsid w:val="00216E27"/>
    <w:rsid w:val="0022092E"/>
    <w:rsid w:val="0022125E"/>
    <w:rsid w:val="00222A31"/>
    <w:rsid w:val="0022370C"/>
    <w:rsid w:val="00223B49"/>
    <w:rsid w:val="00223D5A"/>
    <w:rsid w:val="00224DD4"/>
    <w:rsid w:val="00225248"/>
    <w:rsid w:val="0022550A"/>
    <w:rsid w:val="002259C5"/>
    <w:rsid w:val="00227421"/>
    <w:rsid w:val="002278A0"/>
    <w:rsid w:val="00227B01"/>
    <w:rsid w:val="00227E5C"/>
    <w:rsid w:val="002309CC"/>
    <w:rsid w:val="00231BA9"/>
    <w:rsid w:val="0023209F"/>
    <w:rsid w:val="0023313E"/>
    <w:rsid w:val="00233C01"/>
    <w:rsid w:val="0023413C"/>
    <w:rsid w:val="00234642"/>
    <w:rsid w:val="002346EF"/>
    <w:rsid w:val="002346F0"/>
    <w:rsid w:val="00235695"/>
    <w:rsid w:val="0023629D"/>
    <w:rsid w:val="00236C05"/>
    <w:rsid w:val="00237255"/>
    <w:rsid w:val="00237AB9"/>
    <w:rsid w:val="00240EF5"/>
    <w:rsid w:val="002424AF"/>
    <w:rsid w:val="002439DC"/>
    <w:rsid w:val="00243E4C"/>
    <w:rsid w:val="002441D2"/>
    <w:rsid w:val="00244DC8"/>
    <w:rsid w:val="002458BA"/>
    <w:rsid w:val="00245CE9"/>
    <w:rsid w:val="0024636C"/>
    <w:rsid w:val="0024712F"/>
    <w:rsid w:val="00247925"/>
    <w:rsid w:val="00250439"/>
    <w:rsid w:val="002504E1"/>
    <w:rsid w:val="00251006"/>
    <w:rsid w:val="002524D5"/>
    <w:rsid w:val="00252D1B"/>
    <w:rsid w:val="00252DA6"/>
    <w:rsid w:val="00253B1D"/>
    <w:rsid w:val="00254DCF"/>
    <w:rsid w:val="0025516C"/>
    <w:rsid w:val="0025534B"/>
    <w:rsid w:val="00255A09"/>
    <w:rsid w:val="00255BB7"/>
    <w:rsid w:val="00255D88"/>
    <w:rsid w:val="00257541"/>
    <w:rsid w:val="00257A39"/>
    <w:rsid w:val="00257AC4"/>
    <w:rsid w:val="00257BBE"/>
    <w:rsid w:val="00260707"/>
    <w:rsid w:val="00260B65"/>
    <w:rsid w:val="00261EEF"/>
    <w:rsid w:val="00262A1A"/>
    <w:rsid w:val="00262A87"/>
    <w:rsid w:val="00264450"/>
    <w:rsid w:val="00264452"/>
    <w:rsid w:val="00264CA2"/>
    <w:rsid w:val="00264D26"/>
    <w:rsid w:val="00264ED6"/>
    <w:rsid w:val="00264EF6"/>
    <w:rsid w:val="00265B7B"/>
    <w:rsid w:val="00265E11"/>
    <w:rsid w:val="00266B89"/>
    <w:rsid w:val="00267642"/>
    <w:rsid w:val="00267AEA"/>
    <w:rsid w:val="002700E6"/>
    <w:rsid w:val="00270C10"/>
    <w:rsid w:val="00271364"/>
    <w:rsid w:val="0027288F"/>
    <w:rsid w:val="0027294B"/>
    <w:rsid w:val="00273DC7"/>
    <w:rsid w:val="00273EB4"/>
    <w:rsid w:val="00274682"/>
    <w:rsid w:val="00274EEE"/>
    <w:rsid w:val="00275158"/>
    <w:rsid w:val="002755B3"/>
    <w:rsid w:val="002757BF"/>
    <w:rsid w:val="00275C5A"/>
    <w:rsid w:val="0027609B"/>
    <w:rsid w:val="002766CB"/>
    <w:rsid w:val="00277778"/>
    <w:rsid w:val="00277996"/>
    <w:rsid w:val="00277DA1"/>
    <w:rsid w:val="00277FD7"/>
    <w:rsid w:val="00281014"/>
    <w:rsid w:val="00281BA3"/>
    <w:rsid w:val="00282513"/>
    <w:rsid w:val="00283070"/>
    <w:rsid w:val="002851E8"/>
    <w:rsid w:val="00285BCE"/>
    <w:rsid w:val="0028665D"/>
    <w:rsid w:val="002961ED"/>
    <w:rsid w:val="00297C50"/>
    <w:rsid w:val="002A0167"/>
    <w:rsid w:val="002A0241"/>
    <w:rsid w:val="002A0AC0"/>
    <w:rsid w:val="002A1246"/>
    <w:rsid w:val="002A14AB"/>
    <w:rsid w:val="002A2121"/>
    <w:rsid w:val="002A2ADE"/>
    <w:rsid w:val="002A2C83"/>
    <w:rsid w:val="002A2F50"/>
    <w:rsid w:val="002A5A0E"/>
    <w:rsid w:val="002A61D8"/>
    <w:rsid w:val="002A7943"/>
    <w:rsid w:val="002B0344"/>
    <w:rsid w:val="002B03EB"/>
    <w:rsid w:val="002B05A1"/>
    <w:rsid w:val="002B0766"/>
    <w:rsid w:val="002B082B"/>
    <w:rsid w:val="002B09A4"/>
    <w:rsid w:val="002B0C88"/>
    <w:rsid w:val="002B1A44"/>
    <w:rsid w:val="002B1C1F"/>
    <w:rsid w:val="002B1D00"/>
    <w:rsid w:val="002B263E"/>
    <w:rsid w:val="002B38B3"/>
    <w:rsid w:val="002B3CDA"/>
    <w:rsid w:val="002B432F"/>
    <w:rsid w:val="002B5464"/>
    <w:rsid w:val="002B62B3"/>
    <w:rsid w:val="002B6754"/>
    <w:rsid w:val="002B6923"/>
    <w:rsid w:val="002B6CCE"/>
    <w:rsid w:val="002B7393"/>
    <w:rsid w:val="002C047F"/>
    <w:rsid w:val="002C0CEA"/>
    <w:rsid w:val="002C2510"/>
    <w:rsid w:val="002C2775"/>
    <w:rsid w:val="002C27C1"/>
    <w:rsid w:val="002C2B06"/>
    <w:rsid w:val="002C36E3"/>
    <w:rsid w:val="002C4249"/>
    <w:rsid w:val="002C4C95"/>
    <w:rsid w:val="002C5099"/>
    <w:rsid w:val="002C5595"/>
    <w:rsid w:val="002C5889"/>
    <w:rsid w:val="002C71CE"/>
    <w:rsid w:val="002D03B8"/>
    <w:rsid w:val="002D08F8"/>
    <w:rsid w:val="002D0FE1"/>
    <w:rsid w:val="002D3399"/>
    <w:rsid w:val="002D3898"/>
    <w:rsid w:val="002D577C"/>
    <w:rsid w:val="002D579F"/>
    <w:rsid w:val="002D5B32"/>
    <w:rsid w:val="002D6C97"/>
    <w:rsid w:val="002D6CC0"/>
    <w:rsid w:val="002D73B1"/>
    <w:rsid w:val="002D76F8"/>
    <w:rsid w:val="002D7832"/>
    <w:rsid w:val="002E1071"/>
    <w:rsid w:val="002E15B9"/>
    <w:rsid w:val="002E2158"/>
    <w:rsid w:val="002E3273"/>
    <w:rsid w:val="002E456F"/>
    <w:rsid w:val="002E4F02"/>
    <w:rsid w:val="002E530B"/>
    <w:rsid w:val="002E6A84"/>
    <w:rsid w:val="002E760C"/>
    <w:rsid w:val="002E7722"/>
    <w:rsid w:val="002F07BA"/>
    <w:rsid w:val="002F0DA9"/>
    <w:rsid w:val="002F1014"/>
    <w:rsid w:val="002F1E3B"/>
    <w:rsid w:val="002F269A"/>
    <w:rsid w:val="002F4A2F"/>
    <w:rsid w:val="002F555A"/>
    <w:rsid w:val="002F5CFC"/>
    <w:rsid w:val="002F643C"/>
    <w:rsid w:val="002F65BA"/>
    <w:rsid w:val="002F6A5D"/>
    <w:rsid w:val="002F71C0"/>
    <w:rsid w:val="002F74F1"/>
    <w:rsid w:val="002F7DD2"/>
    <w:rsid w:val="00301017"/>
    <w:rsid w:val="0030149F"/>
    <w:rsid w:val="0030155F"/>
    <w:rsid w:val="00301857"/>
    <w:rsid w:val="00302B5B"/>
    <w:rsid w:val="003039DB"/>
    <w:rsid w:val="0030587B"/>
    <w:rsid w:val="00306456"/>
    <w:rsid w:val="00306D98"/>
    <w:rsid w:val="003076FC"/>
    <w:rsid w:val="0030786C"/>
    <w:rsid w:val="0031031A"/>
    <w:rsid w:val="00310981"/>
    <w:rsid w:val="003111DD"/>
    <w:rsid w:val="00311D9B"/>
    <w:rsid w:val="003124D9"/>
    <w:rsid w:val="00312594"/>
    <w:rsid w:val="00315498"/>
    <w:rsid w:val="00316474"/>
    <w:rsid w:val="00316B5E"/>
    <w:rsid w:val="00317F8C"/>
    <w:rsid w:val="00322107"/>
    <w:rsid w:val="00322355"/>
    <w:rsid w:val="00322846"/>
    <w:rsid w:val="0032377B"/>
    <w:rsid w:val="00323F44"/>
    <w:rsid w:val="003254A9"/>
    <w:rsid w:val="00325A9C"/>
    <w:rsid w:val="00326DA7"/>
    <w:rsid w:val="003270E4"/>
    <w:rsid w:val="003308BD"/>
    <w:rsid w:val="00330DAA"/>
    <w:rsid w:val="00330F5C"/>
    <w:rsid w:val="0033133D"/>
    <w:rsid w:val="003362A7"/>
    <w:rsid w:val="003366C9"/>
    <w:rsid w:val="003371B0"/>
    <w:rsid w:val="00337B25"/>
    <w:rsid w:val="00340DF1"/>
    <w:rsid w:val="00342577"/>
    <w:rsid w:val="00342B98"/>
    <w:rsid w:val="0034311E"/>
    <w:rsid w:val="00343462"/>
    <w:rsid w:val="003435CF"/>
    <w:rsid w:val="00343EE9"/>
    <w:rsid w:val="00345E7C"/>
    <w:rsid w:val="003460A4"/>
    <w:rsid w:val="0034671A"/>
    <w:rsid w:val="00346792"/>
    <w:rsid w:val="00346FCB"/>
    <w:rsid w:val="003478CB"/>
    <w:rsid w:val="003517F9"/>
    <w:rsid w:val="003518CE"/>
    <w:rsid w:val="00351BA9"/>
    <w:rsid w:val="003527C3"/>
    <w:rsid w:val="003528A0"/>
    <w:rsid w:val="00352A1C"/>
    <w:rsid w:val="00354F64"/>
    <w:rsid w:val="00355BE8"/>
    <w:rsid w:val="0035620E"/>
    <w:rsid w:val="003575BE"/>
    <w:rsid w:val="00357A72"/>
    <w:rsid w:val="00360109"/>
    <w:rsid w:val="00360345"/>
    <w:rsid w:val="00360FD2"/>
    <w:rsid w:val="00361A05"/>
    <w:rsid w:val="00361FB7"/>
    <w:rsid w:val="003624C4"/>
    <w:rsid w:val="00363B00"/>
    <w:rsid w:val="003654AC"/>
    <w:rsid w:val="003661F2"/>
    <w:rsid w:val="00366778"/>
    <w:rsid w:val="00366EBC"/>
    <w:rsid w:val="00367BFD"/>
    <w:rsid w:val="00370D40"/>
    <w:rsid w:val="003710CF"/>
    <w:rsid w:val="00371776"/>
    <w:rsid w:val="00371BFE"/>
    <w:rsid w:val="00372A37"/>
    <w:rsid w:val="00373332"/>
    <w:rsid w:val="0037358A"/>
    <w:rsid w:val="00373ADF"/>
    <w:rsid w:val="00374C38"/>
    <w:rsid w:val="003750F6"/>
    <w:rsid w:val="003758BE"/>
    <w:rsid w:val="0037605F"/>
    <w:rsid w:val="003760FC"/>
    <w:rsid w:val="003818FE"/>
    <w:rsid w:val="00382DB0"/>
    <w:rsid w:val="003831B0"/>
    <w:rsid w:val="0038365C"/>
    <w:rsid w:val="0038369B"/>
    <w:rsid w:val="00383B78"/>
    <w:rsid w:val="003840B1"/>
    <w:rsid w:val="00385A9D"/>
    <w:rsid w:val="00386EF6"/>
    <w:rsid w:val="00387121"/>
    <w:rsid w:val="003902B1"/>
    <w:rsid w:val="00390423"/>
    <w:rsid w:val="003904FF"/>
    <w:rsid w:val="0039179C"/>
    <w:rsid w:val="00393847"/>
    <w:rsid w:val="00393D28"/>
    <w:rsid w:val="00394A1E"/>
    <w:rsid w:val="00394CD0"/>
    <w:rsid w:val="00396896"/>
    <w:rsid w:val="00396FD0"/>
    <w:rsid w:val="003A0D09"/>
    <w:rsid w:val="003A17C8"/>
    <w:rsid w:val="003A1A7A"/>
    <w:rsid w:val="003A2392"/>
    <w:rsid w:val="003A2467"/>
    <w:rsid w:val="003A2831"/>
    <w:rsid w:val="003A30A1"/>
    <w:rsid w:val="003A3CB6"/>
    <w:rsid w:val="003A3ED1"/>
    <w:rsid w:val="003A3F03"/>
    <w:rsid w:val="003A44DB"/>
    <w:rsid w:val="003A4C14"/>
    <w:rsid w:val="003A6EBC"/>
    <w:rsid w:val="003B0D60"/>
    <w:rsid w:val="003B1229"/>
    <w:rsid w:val="003B1259"/>
    <w:rsid w:val="003B1654"/>
    <w:rsid w:val="003B1D86"/>
    <w:rsid w:val="003B3971"/>
    <w:rsid w:val="003B3BFE"/>
    <w:rsid w:val="003B4431"/>
    <w:rsid w:val="003B4BA8"/>
    <w:rsid w:val="003B55D1"/>
    <w:rsid w:val="003B5B61"/>
    <w:rsid w:val="003B703B"/>
    <w:rsid w:val="003C018D"/>
    <w:rsid w:val="003C1654"/>
    <w:rsid w:val="003C27E8"/>
    <w:rsid w:val="003C3DFA"/>
    <w:rsid w:val="003C4DD7"/>
    <w:rsid w:val="003C5542"/>
    <w:rsid w:val="003C771D"/>
    <w:rsid w:val="003C78D4"/>
    <w:rsid w:val="003C7C15"/>
    <w:rsid w:val="003C7D19"/>
    <w:rsid w:val="003C7D2F"/>
    <w:rsid w:val="003D0C5A"/>
    <w:rsid w:val="003D1482"/>
    <w:rsid w:val="003D1828"/>
    <w:rsid w:val="003D1DE4"/>
    <w:rsid w:val="003D1E9A"/>
    <w:rsid w:val="003D21E8"/>
    <w:rsid w:val="003D2422"/>
    <w:rsid w:val="003D28AA"/>
    <w:rsid w:val="003D2E5B"/>
    <w:rsid w:val="003D2ED1"/>
    <w:rsid w:val="003D39A1"/>
    <w:rsid w:val="003D3FBF"/>
    <w:rsid w:val="003D4A30"/>
    <w:rsid w:val="003D4E17"/>
    <w:rsid w:val="003D59F8"/>
    <w:rsid w:val="003D5E06"/>
    <w:rsid w:val="003D7452"/>
    <w:rsid w:val="003D75C8"/>
    <w:rsid w:val="003D79BB"/>
    <w:rsid w:val="003D7C98"/>
    <w:rsid w:val="003D7D9D"/>
    <w:rsid w:val="003E0543"/>
    <w:rsid w:val="003E0566"/>
    <w:rsid w:val="003E20F8"/>
    <w:rsid w:val="003E343F"/>
    <w:rsid w:val="003E36F0"/>
    <w:rsid w:val="003E4008"/>
    <w:rsid w:val="003E5603"/>
    <w:rsid w:val="003E749E"/>
    <w:rsid w:val="003F0957"/>
    <w:rsid w:val="003F0AD6"/>
    <w:rsid w:val="003F1630"/>
    <w:rsid w:val="003F19BA"/>
    <w:rsid w:val="003F296C"/>
    <w:rsid w:val="003F4156"/>
    <w:rsid w:val="003F44CB"/>
    <w:rsid w:val="003F4615"/>
    <w:rsid w:val="003F4928"/>
    <w:rsid w:val="003F5054"/>
    <w:rsid w:val="003F5ADF"/>
    <w:rsid w:val="003F61B3"/>
    <w:rsid w:val="003F7F2B"/>
    <w:rsid w:val="00400B29"/>
    <w:rsid w:val="00400D72"/>
    <w:rsid w:val="0040178D"/>
    <w:rsid w:val="00402812"/>
    <w:rsid w:val="00404010"/>
    <w:rsid w:val="0040451C"/>
    <w:rsid w:val="0040491B"/>
    <w:rsid w:val="0040504B"/>
    <w:rsid w:val="00405309"/>
    <w:rsid w:val="004059F4"/>
    <w:rsid w:val="00405E0D"/>
    <w:rsid w:val="00406FAB"/>
    <w:rsid w:val="004071FC"/>
    <w:rsid w:val="00407BB2"/>
    <w:rsid w:val="00407FE5"/>
    <w:rsid w:val="004101B0"/>
    <w:rsid w:val="004101C5"/>
    <w:rsid w:val="00410326"/>
    <w:rsid w:val="00410708"/>
    <w:rsid w:val="00410EC7"/>
    <w:rsid w:val="00411B02"/>
    <w:rsid w:val="00411B39"/>
    <w:rsid w:val="00411DCD"/>
    <w:rsid w:val="00412315"/>
    <w:rsid w:val="004127A7"/>
    <w:rsid w:val="00413A1E"/>
    <w:rsid w:val="00414476"/>
    <w:rsid w:val="004149E8"/>
    <w:rsid w:val="00414C2E"/>
    <w:rsid w:val="00414D66"/>
    <w:rsid w:val="004151CF"/>
    <w:rsid w:val="00416364"/>
    <w:rsid w:val="00416E45"/>
    <w:rsid w:val="00417B2B"/>
    <w:rsid w:val="0042047F"/>
    <w:rsid w:val="00420AA6"/>
    <w:rsid w:val="00420B9F"/>
    <w:rsid w:val="004213B1"/>
    <w:rsid w:val="004215A6"/>
    <w:rsid w:val="004215DD"/>
    <w:rsid w:val="0042192C"/>
    <w:rsid w:val="00422260"/>
    <w:rsid w:val="00422B21"/>
    <w:rsid w:val="0042413F"/>
    <w:rsid w:val="0042492E"/>
    <w:rsid w:val="00426750"/>
    <w:rsid w:val="0043094A"/>
    <w:rsid w:val="00430E53"/>
    <w:rsid w:val="0043118D"/>
    <w:rsid w:val="00431991"/>
    <w:rsid w:val="004319F8"/>
    <w:rsid w:val="00431E55"/>
    <w:rsid w:val="004321F6"/>
    <w:rsid w:val="00432C02"/>
    <w:rsid w:val="00432F98"/>
    <w:rsid w:val="00433044"/>
    <w:rsid w:val="00433446"/>
    <w:rsid w:val="00434088"/>
    <w:rsid w:val="004351DA"/>
    <w:rsid w:val="004375B9"/>
    <w:rsid w:val="00441653"/>
    <w:rsid w:val="004418B2"/>
    <w:rsid w:val="00441D14"/>
    <w:rsid w:val="004421E3"/>
    <w:rsid w:val="004428D0"/>
    <w:rsid w:val="00442DA0"/>
    <w:rsid w:val="00443D24"/>
    <w:rsid w:val="00444185"/>
    <w:rsid w:val="004443A7"/>
    <w:rsid w:val="0044442C"/>
    <w:rsid w:val="004451F3"/>
    <w:rsid w:val="00445606"/>
    <w:rsid w:val="00445941"/>
    <w:rsid w:val="004464EB"/>
    <w:rsid w:val="00446CED"/>
    <w:rsid w:val="00447D26"/>
    <w:rsid w:val="00447DFC"/>
    <w:rsid w:val="00452572"/>
    <w:rsid w:val="00452A1B"/>
    <w:rsid w:val="0045439B"/>
    <w:rsid w:val="004553DD"/>
    <w:rsid w:val="00455D45"/>
    <w:rsid w:val="00456C59"/>
    <w:rsid w:val="00460B4E"/>
    <w:rsid w:val="00463D2F"/>
    <w:rsid w:val="00464595"/>
    <w:rsid w:val="00464A4B"/>
    <w:rsid w:val="004658B5"/>
    <w:rsid w:val="0047064C"/>
    <w:rsid w:val="00471EA5"/>
    <w:rsid w:val="00472A79"/>
    <w:rsid w:val="00473970"/>
    <w:rsid w:val="00473F19"/>
    <w:rsid w:val="00474903"/>
    <w:rsid w:val="00475909"/>
    <w:rsid w:val="00475ABE"/>
    <w:rsid w:val="00475E22"/>
    <w:rsid w:val="004777B7"/>
    <w:rsid w:val="0048088E"/>
    <w:rsid w:val="00480F2B"/>
    <w:rsid w:val="004817A9"/>
    <w:rsid w:val="00481AB9"/>
    <w:rsid w:val="00482720"/>
    <w:rsid w:val="004835E7"/>
    <w:rsid w:val="00483D3F"/>
    <w:rsid w:val="004845B0"/>
    <w:rsid w:val="004849BA"/>
    <w:rsid w:val="0048539D"/>
    <w:rsid w:val="004859E1"/>
    <w:rsid w:val="004867E2"/>
    <w:rsid w:val="00487CA8"/>
    <w:rsid w:val="0049003D"/>
    <w:rsid w:val="00490736"/>
    <w:rsid w:val="00490B17"/>
    <w:rsid w:val="00491B3A"/>
    <w:rsid w:val="004921F7"/>
    <w:rsid w:val="00492656"/>
    <w:rsid w:val="00492CFD"/>
    <w:rsid w:val="0049382B"/>
    <w:rsid w:val="00494207"/>
    <w:rsid w:val="004942DA"/>
    <w:rsid w:val="004945EC"/>
    <w:rsid w:val="00494DD5"/>
    <w:rsid w:val="00496000"/>
    <w:rsid w:val="004962D2"/>
    <w:rsid w:val="004971A8"/>
    <w:rsid w:val="004A0BC6"/>
    <w:rsid w:val="004A0DA1"/>
    <w:rsid w:val="004A134E"/>
    <w:rsid w:val="004A13D6"/>
    <w:rsid w:val="004A16E3"/>
    <w:rsid w:val="004A1EC5"/>
    <w:rsid w:val="004A28C8"/>
    <w:rsid w:val="004A3989"/>
    <w:rsid w:val="004A492E"/>
    <w:rsid w:val="004A52E9"/>
    <w:rsid w:val="004A6040"/>
    <w:rsid w:val="004A6597"/>
    <w:rsid w:val="004A6F4F"/>
    <w:rsid w:val="004A7848"/>
    <w:rsid w:val="004A793B"/>
    <w:rsid w:val="004A7AE9"/>
    <w:rsid w:val="004A7E72"/>
    <w:rsid w:val="004B0017"/>
    <w:rsid w:val="004B0225"/>
    <w:rsid w:val="004B1CB4"/>
    <w:rsid w:val="004B2F18"/>
    <w:rsid w:val="004B3707"/>
    <w:rsid w:val="004B3DDB"/>
    <w:rsid w:val="004B4176"/>
    <w:rsid w:val="004B44FD"/>
    <w:rsid w:val="004B5A14"/>
    <w:rsid w:val="004B5CFC"/>
    <w:rsid w:val="004B6F79"/>
    <w:rsid w:val="004B774D"/>
    <w:rsid w:val="004C2AC2"/>
    <w:rsid w:val="004C4A2A"/>
    <w:rsid w:val="004C4AED"/>
    <w:rsid w:val="004C5B62"/>
    <w:rsid w:val="004C791C"/>
    <w:rsid w:val="004C7B29"/>
    <w:rsid w:val="004D0107"/>
    <w:rsid w:val="004D14A6"/>
    <w:rsid w:val="004D2BCA"/>
    <w:rsid w:val="004D2C2D"/>
    <w:rsid w:val="004D2F87"/>
    <w:rsid w:val="004D511B"/>
    <w:rsid w:val="004D69B5"/>
    <w:rsid w:val="004D7227"/>
    <w:rsid w:val="004D7B5E"/>
    <w:rsid w:val="004E0E7F"/>
    <w:rsid w:val="004E0EB8"/>
    <w:rsid w:val="004E1049"/>
    <w:rsid w:val="004E18E9"/>
    <w:rsid w:val="004E1F0E"/>
    <w:rsid w:val="004E2ADC"/>
    <w:rsid w:val="004E40F9"/>
    <w:rsid w:val="004E43B2"/>
    <w:rsid w:val="004E4553"/>
    <w:rsid w:val="004E7793"/>
    <w:rsid w:val="004F1D02"/>
    <w:rsid w:val="004F24F9"/>
    <w:rsid w:val="004F2679"/>
    <w:rsid w:val="004F2F21"/>
    <w:rsid w:val="004F3219"/>
    <w:rsid w:val="004F3DE5"/>
    <w:rsid w:val="004F4208"/>
    <w:rsid w:val="004F475D"/>
    <w:rsid w:val="004F5F78"/>
    <w:rsid w:val="004F6913"/>
    <w:rsid w:val="004F6C25"/>
    <w:rsid w:val="004F7760"/>
    <w:rsid w:val="004F7865"/>
    <w:rsid w:val="004F7A3C"/>
    <w:rsid w:val="004F7C86"/>
    <w:rsid w:val="005002A6"/>
    <w:rsid w:val="00500BD9"/>
    <w:rsid w:val="005014F8"/>
    <w:rsid w:val="0050174E"/>
    <w:rsid w:val="00501854"/>
    <w:rsid w:val="00501ACD"/>
    <w:rsid w:val="0050219B"/>
    <w:rsid w:val="00503F17"/>
    <w:rsid w:val="00503F3A"/>
    <w:rsid w:val="005050D6"/>
    <w:rsid w:val="00505130"/>
    <w:rsid w:val="00506928"/>
    <w:rsid w:val="00506BE3"/>
    <w:rsid w:val="00507724"/>
    <w:rsid w:val="005077EF"/>
    <w:rsid w:val="00511AD5"/>
    <w:rsid w:val="00511DC7"/>
    <w:rsid w:val="005120AC"/>
    <w:rsid w:val="00512B70"/>
    <w:rsid w:val="00513651"/>
    <w:rsid w:val="005142C5"/>
    <w:rsid w:val="00514DB7"/>
    <w:rsid w:val="0051501B"/>
    <w:rsid w:val="005152B5"/>
    <w:rsid w:val="00515886"/>
    <w:rsid w:val="00516DD1"/>
    <w:rsid w:val="005205FC"/>
    <w:rsid w:val="0052123C"/>
    <w:rsid w:val="00521319"/>
    <w:rsid w:val="00522BC8"/>
    <w:rsid w:val="00523C28"/>
    <w:rsid w:val="00525562"/>
    <w:rsid w:val="00527065"/>
    <w:rsid w:val="0053176B"/>
    <w:rsid w:val="00533D54"/>
    <w:rsid w:val="005341B3"/>
    <w:rsid w:val="00534D29"/>
    <w:rsid w:val="0053511A"/>
    <w:rsid w:val="00535A4A"/>
    <w:rsid w:val="00536F42"/>
    <w:rsid w:val="00537078"/>
    <w:rsid w:val="00537182"/>
    <w:rsid w:val="00540A12"/>
    <w:rsid w:val="00541EDD"/>
    <w:rsid w:val="00541EE2"/>
    <w:rsid w:val="005423B8"/>
    <w:rsid w:val="005424D2"/>
    <w:rsid w:val="00542743"/>
    <w:rsid w:val="00542C2D"/>
    <w:rsid w:val="005433D2"/>
    <w:rsid w:val="00543831"/>
    <w:rsid w:val="00543B4E"/>
    <w:rsid w:val="00543E3D"/>
    <w:rsid w:val="0054479A"/>
    <w:rsid w:val="0054483A"/>
    <w:rsid w:val="0054553A"/>
    <w:rsid w:val="005461B5"/>
    <w:rsid w:val="005461F7"/>
    <w:rsid w:val="005478BD"/>
    <w:rsid w:val="005479E3"/>
    <w:rsid w:val="0055029F"/>
    <w:rsid w:val="00551985"/>
    <w:rsid w:val="00552556"/>
    <w:rsid w:val="00552BD3"/>
    <w:rsid w:val="005532A0"/>
    <w:rsid w:val="0055339D"/>
    <w:rsid w:val="0055379B"/>
    <w:rsid w:val="00554A74"/>
    <w:rsid w:val="00555109"/>
    <w:rsid w:val="005557F8"/>
    <w:rsid w:val="005566B8"/>
    <w:rsid w:val="00556756"/>
    <w:rsid w:val="00556A08"/>
    <w:rsid w:val="00556B35"/>
    <w:rsid w:val="0055741A"/>
    <w:rsid w:val="00557843"/>
    <w:rsid w:val="005611B7"/>
    <w:rsid w:val="005618D4"/>
    <w:rsid w:val="005645F4"/>
    <w:rsid w:val="00564867"/>
    <w:rsid w:val="005651B5"/>
    <w:rsid w:val="005654D0"/>
    <w:rsid w:val="005656E5"/>
    <w:rsid w:val="00565845"/>
    <w:rsid w:val="00565AD6"/>
    <w:rsid w:val="00565C79"/>
    <w:rsid w:val="00565DF0"/>
    <w:rsid w:val="0056696F"/>
    <w:rsid w:val="0056723C"/>
    <w:rsid w:val="00572269"/>
    <w:rsid w:val="0057244A"/>
    <w:rsid w:val="00572F26"/>
    <w:rsid w:val="00573268"/>
    <w:rsid w:val="00574EEB"/>
    <w:rsid w:val="005750C5"/>
    <w:rsid w:val="005752DE"/>
    <w:rsid w:val="005758EB"/>
    <w:rsid w:val="00575D60"/>
    <w:rsid w:val="00575D8D"/>
    <w:rsid w:val="00576972"/>
    <w:rsid w:val="00577248"/>
    <w:rsid w:val="00577DA0"/>
    <w:rsid w:val="00581BBC"/>
    <w:rsid w:val="0058316E"/>
    <w:rsid w:val="00583362"/>
    <w:rsid w:val="00583699"/>
    <w:rsid w:val="005852E0"/>
    <w:rsid w:val="00585CDD"/>
    <w:rsid w:val="00586E5C"/>
    <w:rsid w:val="00587058"/>
    <w:rsid w:val="0058713A"/>
    <w:rsid w:val="005876AA"/>
    <w:rsid w:val="00587AD1"/>
    <w:rsid w:val="00590C32"/>
    <w:rsid w:val="00591957"/>
    <w:rsid w:val="00591F15"/>
    <w:rsid w:val="00591F83"/>
    <w:rsid w:val="00593DBB"/>
    <w:rsid w:val="00594491"/>
    <w:rsid w:val="00594784"/>
    <w:rsid w:val="00594DA5"/>
    <w:rsid w:val="00595240"/>
    <w:rsid w:val="005969DD"/>
    <w:rsid w:val="00597BF9"/>
    <w:rsid w:val="005A0874"/>
    <w:rsid w:val="005A0C11"/>
    <w:rsid w:val="005A2126"/>
    <w:rsid w:val="005A309A"/>
    <w:rsid w:val="005A3239"/>
    <w:rsid w:val="005A373D"/>
    <w:rsid w:val="005A3B41"/>
    <w:rsid w:val="005A512F"/>
    <w:rsid w:val="005B0B58"/>
    <w:rsid w:val="005B0FEC"/>
    <w:rsid w:val="005B1BF4"/>
    <w:rsid w:val="005B2891"/>
    <w:rsid w:val="005B2A9D"/>
    <w:rsid w:val="005B3C3A"/>
    <w:rsid w:val="005B4E53"/>
    <w:rsid w:val="005B5857"/>
    <w:rsid w:val="005B590A"/>
    <w:rsid w:val="005B681D"/>
    <w:rsid w:val="005B73B3"/>
    <w:rsid w:val="005C143A"/>
    <w:rsid w:val="005C19C4"/>
    <w:rsid w:val="005C1B83"/>
    <w:rsid w:val="005C25FF"/>
    <w:rsid w:val="005C2D55"/>
    <w:rsid w:val="005C346B"/>
    <w:rsid w:val="005C36DD"/>
    <w:rsid w:val="005C4172"/>
    <w:rsid w:val="005C44A6"/>
    <w:rsid w:val="005C5ABC"/>
    <w:rsid w:val="005C5C7F"/>
    <w:rsid w:val="005C60EC"/>
    <w:rsid w:val="005C62FF"/>
    <w:rsid w:val="005C7777"/>
    <w:rsid w:val="005D01C6"/>
    <w:rsid w:val="005D02AB"/>
    <w:rsid w:val="005D044D"/>
    <w:rsid w:val="005D0ABD"/>
    <w:rsid w:val="005D0F46"/>
    <w:rsid w:val="005D18AD"/>
    <w:rsid w:val="005D2097"/>
    <w:rsid w:val="005D2390"/>
    <w:rsid w:val="005D26B4"/>
    <w:rsid w:val="005D2BA7"/>
    <w:rsid w:val="005D5A49"/>
    <w:rsid w:val="005D6A4B"/>
    <w:rsid w:val="005D7669"/>
    <w:rsid w:val="005E02A9"/>
    <w:rsid w:val="005E05CF"/>
    <w:rsid w:val="005E0685"/>
    <w:rsid w:val="005E1995"/>
    <w:rsid w:val="005E2C46"/>
    <w:rsid w:val="005E2E50"/>
    <w:rsid w:val="005E36A3"/>
    <w:rsid w:val="005E3F88"/>
    <w:rsid w:val="005E4665"/>
    <w:rsid w:val="005E494C"/>
    <w:rsid w:val="005E4F9E"/>
    <w:rsid w:val="005E6377"/>
    <w:rsid w:val="005E6CBC"/>
    <w:rsid w:val="005E72FF"/>
    <w:rsid w:val="005E73C0"/>
    <w:rsid w:val="005E7564"/>
    <w:rsid w:val="005E7DBE"/>
    <w:rsid w:val="005F07ED"/>
    <w:rsid w:val="005F1B85"/>
    <w:rsid w:val="005F2706"/>
    <w:rsid w:val="005F275A"/>
    <w:rsid w:val="005F319C"/>
    <w:rsid w:val="005F6A8F"/>
    <w:rsid w:val="005F6BB7"/>
    <w:rsid w:val="005F7588"/>
    <w:rsid w:val="005F7B60"/>
    <w:rsid w:val="005F7D32"/>
    <w:rsid w:val="00601BE3"/>
    <w:rsid w:val="00601D50"/>
    <w:rsid w:val="00601F06"/>
    <w:rsid w:val="00603DB9"/>
    <w:rsid w:val="0060448B"/>
    <w:rsid w:val="00606127"/>
    <w:rsid w:val="00606FBA"/>
    <w:rsid w:val="006074B5"/>
    <w:rsid w:val="00607669"/>
    <w:rsid w:val="006076F4"/>
    <w:rsid w:val="00607AFD"/>
    <w:rsid w:val="00610E7F"/>
    <w:rsid w:val="00611B12"/>
    <w:rsid w:val="00612F97"/>
    <w:rsid w:val="0061345D"/>
    <w:rsid w:val="00614A71"/>
    <w:rsid w:val="0061549B"/>
    <w:rsid w:val="00616802"/>
    <w:rsid w:val="00616A96"/>
    <w:rsid w:val="00616B82"/>
    <w:rsid w:val="00617689"/>
    <w:rsid w:val="00617E12"/>
    <w:rsid w:val="00620C25"/>
    <w:rsid w:val="00621013"/>
    <w:rsid w:val="00621477"/>
    <w:rsid w:val="00621559"/>
    <w:rsid w:val="00621ADA"/>
    <w:rsid w:val="0062285B"/>
    <w:rsid w:val="00622AAC"/>
    <w:rsid w:val="00623F7B"/>
    <w:rsid w:val="00624BD4"/>
    <w:rsid w:val="00624CA8"/>
    <w:rsid w:val="00624EFC"/>
    <w:rsid w:val="006252A2"/>
    <w:rsid w:val="006264BC"/>
    <w:rsid w:val="00626DAB"/>
    <w:rsid w:val="00626FA1"/>
    <w:rsid w:val="0063158F"/>
    <w:rsid w:val="0063167F"/>
    <w:rsid w:val="00631D6B"/>
    <w:rsid w:val="00632183"/>
    <w:rsid w:val="006329D1"/>
    <w:rsid w:val="006330A1"/>
    <w:rsid w:val="00633627"/>
    <w:rsid w:val="00633732"/>
    <w:rsid w:val="006343D5"/>
    <w:rsid w:val="0063479F"/>
    <w:rsid w:val="006353F0"/>
    <w:rsid w:val="006357B5"/>
    <w:rsid w:val="006363B8"/>
    <w:rsid w:val="0063649D"/>
    <w:rsid w:val="006364A1"/>
    <w:rsid w:val="00636726"/>
    <w:rsid w:val="0063678E"/>
    <w:rsid w:val="00636B30"/>
    <w:rsid w:val="00636F90"/>
    <w:rsid w:val="00637903"/>
    <w:rsid w:val="00637BFD"/>
    <w:rsid w:val="00637C5C"/>
    <w:rsid w:val="00640565"/>
    <w:rsid w:val="0064091C"/>
    <w:rsid w:val="00640C14"/>
    <w:rsid w:val="00641C4E"/>
    <w:rsid w:val="00641F83"/>
    <w:rsid w:val="00641FB3"/>
    <w:rsid w:val="00642B3F"/>
    <w:rsid w:val="00642F9F"/>
    <w:rsid w:val="006439E0"/>
    <w:rsid w:val="0064434C"/>
    <w:rsid w:val="006448CE"/>
    <w:rsid w:val="00644BC0"/>
    <w:rsid w:val="00645536"/>
    <w:rsid w:val="006467E5"/>
    <w:rsid w:val="006471CC"/>
    <w:rsid w:val="006472FE"/>
    <w:rsid w:val="00647A29"/>
    <w:rsid w:val="00647F2A"/>
    <w:rsid w:val="0065079F"/>
    <w:rsid w:val="006511B5"/>
    <w:rsid w:val="00652A28"/>
    <w:rsid w:val="00652C9F"/>
    <w:rsid w:val="0065379F"/>
    <w:rsid w:val="00654528"/>
    <w:rsid w:val="00654900"/>
    <w:rsid w:val="00654C9F"/>
    <w:rsid w:val="00654DC3"/>
    <w:rsid w:val="00655BB5"/>
    <w:rsid w:val="00656188"/>
    <w:rsid w:val="00656916"/>
    <w:rsid w:val="0065715A"/>
    <w:rsid w:val="006610F1"/>
    <w:rsid w:val="00661433"/>
    <w:rsid w:val="006614C8"/>
    <w:rsid w:val="00661C6B"/>
    <w:rsid w:val="00662D3E"/>
    <w:rsid w:val="006640E4"/>
    <w:rsid w:val="0066433E"/>
    <w:rsid w:val="0066446C"/>
    <w:rsid w:val="00666056"/>
    <w:rsid w:val="00666F4D"/>
    <w:rsid w:val="00667073"/>
    <w:rsid w:val="00667BE3"/>
    <w:rsid w:val="00671004"/>
    <w:rsid w:val="00672646"/>
    <w:rsid w:val="00672A2B"/>
    <w:rsid w:val="00672A71"/>
    <w:rsid w:val="00674E42"/>
    <w:rsid w:val="00675027"/>
    <w:rsid w:val="00675B8C"/>
    <w:rsid w:val="00676540"/>
    <w:rsid w:val="00676563"/>
    <w:rsid w:val="00676742"/>
    <w:rsid w:val="00677787"/>
    <w:rsid w:val="00677BCA"/>
    <w:rsid w:val="006813F8"/>
    <w:rsid w:val="0068177C"/>
    <w:rsid w:val="00682112"/>
    <w:rsid w:val="00682BA6"/>
    <w:rsid w:val="00683366"/>
    <w:rsid w:val="00683FF6"/>
    <w:rsid w:val="00686413"/>
    <w:rsid w:val="00686957"/>
    <w:rsid w:val="006872BA"/>
    <w:rsid w:val="006877E5"/>
    <w:rsid w:val="00687D11"/>
    <w:rsid w:val="00690795"/>
    <w:rsid w:val="00690903"/>
    <w:rsid w:val="00691648"/>
    <w:rsid w:val="006917D7"/>
    <w:rsid w:val="006920E3"/>
    <w:rsid w:val="00692829"/>
    <w:rsid w:val="006934CA"/>
    <w:rsid w:val="0069434C"/>
    <w:rsid w:val="00694CEC"/>
    <w:rsid w:val="00694F44"/>
    <w:rsid w:val="00696893"/>
    <w:rsid w:val="00696EF9"/>
    <w:rsid w:val="00696F51"/>
    <w:rsid w:val="006979A5"/>
    <w:rsid w:val="006A016F"/>
    <w:rsid w:val="006A0DF7"/>
    <w:rsid w:val="006A1A84"/>
    <w:rsid w:val="006A1E78"/>
    <w:rsid w:val="006A240A"/>
    <w:rsid w:val="006A2425"/>
    <w:rsid w:val="006A4321"/>
    <w:rsid w:val="006A43D9"/>
    <w:rsid w:val="006A49D3"/>
    <w:rsid w:val="006A4E3F"/>
    <w:rsid w:val="006A51B8"/>
    <w:rsid w:val="006A59D4"/>
    <w:rsid w:val="006A6B30"/>
    <w:rsid w:val="006A6B99"/>
    <w:rsid w:val="006A71A6"/>
    <w:rsid w:val="006A7E5F"/>
    <w:rsid w:val="006B138F"/>
    <w:rsid w:val="006B1755"/>
    <w:rsid w:val="006B261B"/>
    <w:rsid w:val="006B2ACC"/>
    <w:rsid w:val="006B2C90"/>
    <w:rsid w:val="006B35E6"/>
    <w:rsid w:val="006B465A"/>
    <w:rsid w:val="006B6618"/>
    <w:rsid w:val="006B6DD0"/>
    <w:rsid w:val="006B77E9"/>
    <w:rsid w:val="006B7C42"/>
    <w:rsid w:val="006B7DF6"/>
    <w:rsid w:val="006C0399"/>
    <w:rsid w:val="006C0AB5"/>
    <w:rsid w:val="006C2A8E"/>
    <w:rsid w:val="006C3255"/>
    <w:rsid w:val="006C34A5"/>
    <w:rsid w:val="006C3F26"/>
    <w:rsid w:val="006C68AA"/>
    <w:rsid w:val="006C7D71"/>
    <w:rsid w:val="006D0543"/>
    <w:rsid w:val="006D0D17"/>
    <w:rsid w:val="006D2412"/>
    <w:rsid w:val="006D3C7D"/>
    <w:rsid w:val="006D4659"/>
    <w:rsid w:val="006D49E8"/>
    <w:rsid w:val="006D5AA5"/>
    <w:rsid w:val="006D5D5F"/>
    <w:rsid w:val="006D606E"/>
    <w:rsid w:val="006D6413"/>
    <w:rsid w:val="006D6487"/>
    <w:rsid w:val="006D68FB"/>
    <w:rsid w:val="006D6C17"/>
    <w:rsid w:val="006D70E5"/>
    <w:rsid w:val="006E066E"/>
    <w:rsid w:val="006E0B10"/>
    <w:rsid w:val="006E1EB7"/>
    <w:rsid w:val="006E1EEB"/>
    <w:rsid w:val="006E2607"/>
    <w:rsid w:val="006E2868"/>
    <w:rsid w:val="006E32CB"/>
    <w:rsid w:val="006E37A0"/>
    <w:rsid w:val="006E43EC"/>
    <w:rsid w:val="006E5900"/>
    <w:rsid w:val="006F306C"/>
    <w:rsid w:val="006F3444"/>
    <w:rsid w:val="006F426B"/>
    <w:rsid w:val="006F44E2"/>
    <w:rsid w:val="006F63A5"/>
    <w:rsid w:val="006F6886"/>
    <w:rsid w:val="006F7A01"/>
    <w:rsid w:val="00700C3C"/>
    <w:rsid w:val="0070142B"/>
    <w:rsid w:val="007024B7"/>
    <w:rsid w:val="0070276E"/>
    <w:rsid w:val="00702F8F"/>
    <w:rsid w:val="00703552"/>
    <w:rsid w:val="0070598A"/>
    <w:rsid w:val="007070DF"/>
    <w:rsid w:val="007079FC"/>
    <w:rsid w:val="00707ABD"/>
    <w:rsid w:val="00711A36"/>
    <w:rsid w:val="007125D3"/>
    <w:rsid w:val="00714C26"/>
    <w:rsid w:val="0071529C"/>
    <w:rsid w:val="00715952"/>
    <w:rsid w:val="007170DA"/>
    <w:rsid w:val="007172AD"/>
    <w:rsid w:val="00717546"/>
    <w:rsid w:val="00717847"/>
    <w:rsid w:val="0072053F"/>
    <w:rsid w:val="00720801"/>
    <w:rsid w:val="007228E2"/>
    <w:rsid w:val="00722B1B"/>
    <w:rsid w:val="00722E4F"/>
    <w:rsid w:val="0072416F"/>
    <w:rsid w:val="007248A4"/>
    <w:rsid w:val="00727C94"/>
    <w:rsid w:val="00731B0A"/>
    <w:rsid w:val="00731EAE"/>
    <w:rsid w:val="00732A93"/>
    <w:rsid w:val="00733073"/>
    <w:rsid w:val="00735033"/>
    <w:rsid w:val="00735200"/>
    <w:rsid w:val="00735328"/>
    <w:rsid w:val="007363DF"/>
    <w:rsid w:val="0073658E"/>
    <w:rsid w:val="007365BB"/>
    <w:rsid w:val="0073685B"/>
    <w:rsid w:val="00737CFB"/>
    <w:rsid w:val="00741815"/>
    <w:rsid w:val="00741B52"/>
    <w:rsid w:val="007445BB"/>
    <w:rsid w:val="0074484C"/>
    <w:rsid w:val="007449BF"/>
    <w:rsid w:val="00746322"/>
    <w:rsid w:val="007463FE"/>
    <w:rsid w:val="00746BC0"/>
    <w:rsid w:val="00746C42"/>
    <w:rsid w:val="007471F7"/>
    <w:rsid w:val="007510AA"/>
    <w:rsid w:val="007510B4"/>
    <w:rsid w:val="00752142"/>
    <w:rsid w:val="007523F9"/>
    <w:rsid w:val="00752E12"/>
    <w:rsid w:val="0075357E"/>
    <w:rsid w:val="00753B29"/>
    <w:rsid w:val="00755278"/>
    <w:rsid w:val="00755B56"/>
    <w:rsid w:val="00755B7E"/>
    <w:rsid w:val="007573E8"/>
    <w:rsid w:val="00760A10"/>
    <w:rsid w:val="00760C4E"/>
    <w:rsid w:val="00760F9E"/>
    <w:rsid w:val="00761555"/>
    <w:rsid w:val="007616E6"/>
    <w:rsid w:val="00761BE9"/>
    <w:rsid w:val="007622FE"/>
    <w:rsid w:val="007627BE"/>
    <w:rsid w:val="00762C26"/>
    <w:rsid w:val="0076319F"/>
    <w:rsid w:val="007634C5"/>
    <w:rsid w:val="00763F41"/>
    <w:rsid w:val="00764F03"/>
    <w:rsid w:val="00765B1A"/>
    <w:rsid w:val="00765DC1"/>
    <w:rsid w:val="007702C0"/>
    <w:rsid w:val="00771398"/>
    <w:rsid w:val="007713BC"/>
    <w:rsid w:val="00772800"/>
    <w:rsid w:val="00774ED4"/>
    <w:rsid w:val="00774FEF"/>
    <w:rsid w:val="0077661E"/>
    <w:rsid w:val="007766AC"/>
    <w:rsid w:val="00777335"/>
    <w:rsid w:val="00777796"/>
    <w:rsid w:val="00777DDA"/>
    <w:rsid w:val="007800A6"/>
    <w:rsid w:val="007803F7"/>
    <w:rsid w:val="00780719"/>
    <w:rsid w:val="00780E15"/>
    <w:rsid w:val="00782858"/>
    <w:rsid w:val="00783AE2"/>
    <w:rsid w:val="007843F2"/>
    <w:rsid w:val="007846FA"/>
    <w:rsid w:val="00785200"/>
    <w:rsid w:val="00785A9F"/>
    <w:rsid w:val="00785ABA"/>
    <w:rsid w:val="00785AF6"/>
    <w:rsid w:val="00786B33"/>
    <w:rsid w:val="00790CA4"/>
    <w:rsid w:val="0079155F"/>
    <w:rsid w:val="007925DF"/>
    <w:rsid w:val="007A08AA"/>
    <w:rsid w:val="007A0A12"/>
    <w:rsid w:val="007A0A51"/>
    <w:rsid w:val="007A132D"/>
    <w:rsid w:val="007A1345"/>
    <w:rsid w:val="007A29C8"/>
    <w:rsid w:val="007A2DDB"/>
    <w:rsid w:val="007A32C9"/>
    <w:rsid w:val="007A70BA"/>
    <w:rsid w:val="007A7836"/>
    <w:rsid w:val="007B0D68"/>
    <w:rsid w:val="007B1DC9"/>
    <w:rsid w:val="007B251D"/>
    <w:rsid w:val="007B28E9"/>
    <w:rsid w:val="007B3533"/>
    <w:rsid w:val="007B4F58"/>
    <w:rsid w:val="007B528D"/>
    <w:rsid w:val="007B5582"/>
    <w:rsid w:val="007B63CA"/>
    <w:rsid w:val="007B653A"/>
    <w:rsid w:val="007B77D1"/>
    <w:rsid w:val="007C07C7"/>
    <w:rsid w:val="007C1324"/>
    <w:rsid w:val="007C1C57"/>
    <w:rsid w:val="007C1CD9"/>
    <w:rsid w:val="007C32EF"/>
    <w:rsid w:val="007C3408"/>
    <w:rsid w:val="007C361D"/>
    <w:rsid w:val="007C3CC1"/>
    <w:rsid w:val="007C473F"/>
    <w:rsid w:val="007C4B84"/>
    <w:rsid w:val="007C58F1"/>
    <w:rsid w:val="007C70FF"/>
    <w:rsid w:val="007C7350"/>
    <w:rsid w:val="007C7C25"/>
    <w:rsid w:val="007D004F"/>
    <w:rsid w:val="007D035F"/>
    <w:rsid w:val="007D0371"/>
    <w:rsid w:val="007D06B2"/>
    <w:rsid w:val="007D0B38"/>
    <w:rsid w:val="007D1D2D"/>
    <w:rsid w:val="007D1EE7"/>
    <w:rsid w:val="007D2F61"/>
    <w:rsid w:val="007D4EB9"/>
    <w:rsid w:val="007D52EE"/>
    <w:rsid w:val="007D5440"/>
    <w:rsid w:val="007D6379"/>
    <w:rsid w:val="007D69EB"/>
    <w:rsid w:val="007D6AAE"/>
    <w:rsid w:val="007E032A"/>
    <w:rsid w:val="007E0B8B"/>
    <w:rsid w:val="007E128F"/>
    <w:rsid w:val="007E32A5"/>
    <w:rsid w:val="007E3445"/>
    <w:rsid w:val="007E568D"/>
    <w:rsid w:val="007E5B96"/>
    <w:rsid w:val="007E6B3D"/>
    <w:rsid w:val="007F0825"/>
    <w:rsid w:val="007F1017"/>
    <w:rsid w:val="007F345E"/>
    <w:rsid w:val="007F36D1"/>
    <w:rsid w:val="007F3B97"/>
    <w:rsid w:val="007F4091"/>
    <w:rsid w:val="007F4772"/>
    <w:rsid w:val="007F49E0"/>
    <w:rsid w:val="007F4A3F"/>
    <w:rsid w:val="007F4A61"/>
    <w:rsid w:val="007F4DD3"/>
    <w:rsid w:val="007F5255"/>
    <w:rsid w:val="007F558D"/>
    <w:rsid w:val="007F56CC"/>
    <w:rsid w:val="007F5EDA"/>
    <w:rsid w:val="007F61C2"/>
    <w:rsid w:val="007F67B8"/>
    <w:rsid w:val="00802CAE"/>
    <w:rsid w:val="008033D2"/>
    <w:rsid w:val="00803C0F"/>
    <w:rsid w:val="00805142"/>
    <w:rsid w:val="00805FCE"/>
    <w:rsid w:val="00807932"/>
    <w:rsid w:val="00807A8B"/>
    <w:rsid w:val="00811383"/>
    <w:rsid w:val="00812149"/>
    <w:rsid w:val="00812AD4"/>
    <w:rsid w:val="00812CAC"/>
    <w:rsid w:val="00813108"/>
    <w:rsid w:val="00813138"/>
    <w:rsid w:val="008143FA"/>
    <w:rsid w:val="00816361"/>
    <w:rsid w:val="008166A3"/>
    <w:rsid w:val="008166EF"/>
    <w:rsid w:val="00816D77"/>
    <w:rsid w:val="00816FEF"/>
    <w:rsid w:val="008174EC"/>
    <w:rsid w:val="00820A8C"/>
    <w:rsid w:val="008215FB"/>
    <w:rsid w:val="008220CC"/>
    <w:rsid w:val="00823174"/>
    <w:rsid w:val="00824A55"/>
    <w:rsid w:val="00825751"/>
    <w:rsid w:val="00825C46"/>
    <w:rsid w:val="008260F1"/>
    <w:rsid w:val="008264EB"/>
    <w:rsid w:val="008268CE"/>
    <w:rsid w:val="00827144"/>
    <w:rsid w:val="00827C23"/>
    <w:rsid w:val="00831816"/>
    <w:rsid w:val="00833B05"/>
    <w:rsid w:val="00835049"/>
    <w:rsid w:val="008362B4"/>
    <w:rsid w:val="008370E8"/>
    <w:rsid w:val="00837215"/>
    <w:rsid w:val="00837622"/>
    <w:rsid w:val="00840CA2"/>
    <w:rsid w:val="008411FD"/>
    <w:rsid w:val="008418C1"/>
    <w:rsid w:val="00841EAA"/>
    <w:rsid w:val="00842394"/>
    <w:rsid w:val="00842EE5"/>
    <w:rsid w:val="0084350B"/>
    <w:rsid w:val="0084374F"/>
    <w:rsid w:val="0084424E"/>
    <w:rsid w:val="00844A22"/>
    <w:rsid w:val="00846B13"/>
    <w:rsid w:val="008473A2"/>
    <w:rsid w:val="00847703"/>
    <w:rsid w:val="00847DF5"/>
    <w:rsid w:val="00847F82"/>
    <w:rsid w:val="00850F62"/>
    <w:rsid w:val="008511DF"/>
    <w:rsid w:val="0085309D"/>
    <w:rsid w:val="00853459"/>
    <w:rsid w:val="00853F4E"/>
    <w:rsid w:val="00853F5B"/>
    <w:rsid w:val="008549F0"/>
    <w:rsid w:val="00854EE6"/>
    <w:rsid w:val="00855163"/>
    <w:rsid w:val="008552DF"/>
    <w:rsid w:val="00855D33"/>
    <w:rsid w:val="008567CF"/>
    <w:rsid w:val="00856897"/>
    <w:rsid w:val="00856A27"/>
    <w:rsid w:val="00856E9A"/>
    <w:rsid w:val="0086075D"/>
    <w:rsid w:val="008613F3"/>
    <w:rsid w:val="00862502"/>
    <w:rsid w:val="008625B6"/>
    <w:rsid w:val="00862CC1"/>
    <w:rsid w:val="00862E7B"/>
    <w:rsid w:val="008631B4"/>
    <w:rsid w:val="008641D9"/>
    <w:rsid w:val="008642A7"/>
    <w:rsid w:val="008650D7"/>
    <w:rsid w:val="00865DD9"/>
    <w:rsid w:val="008660D4"/>
    <w:rsid w:val="00866A0C"/>
    <w:rsid w:val="00866EDC"/>
    <w:rsid w:val="00867506"/>
    <w:rsid w:val="00871FA9"/>
    <w:rsid w:val="00872232"/>
    <w:rsid w:val="008728E9"/>
    <w:rsid w:val="0087327D"/>
    <w:rsid w:val="0087344E"/>
    <w:rsid w:val="008737D7"/>
    <w:rsid w:val="00874991"/>
    <w:rsid w:val="00874E31"/>
    <w:rsid w:val="00876059"/>
    <w:rsid w:val="00877208"/>
    <w:rsid w:val="00877BB9"/>
    <w:rsid w:val="00877CB2"/>
    <w:rsid w:val="00877F5B"/>
    <w:rsid w:val="00881B6D"/>
    <w:rsid w:val="00882779"/>
    <w:rsid w:val="00882874"/>
    <w:rsid w:val="00882B31"/>
    <w:rsid w:val="00882E3C"/>
    <w:rsid w:val="0088308A"/>
    <w:rsid w:val="008836A8"/>
    <w:rsid w:val="00883787"/>
    <w:rsid w:val="0088397A"/>
    <w:rsid w:val="008855E4"/>
    <w:rsid w:val="00886CD2"/>
    <w:rsid w:val="008874D7"/>
    <w:rsid w:val="00890947"/>
    <w:rsid w:val="00891E6F"/>
    <w:rsid w:val="0089275D"/>
    <w:rsid w:val="00892A36"/>
    <w:rsid w:val="00893239"/>
    <w:rsid w:val="00894489"/>
    <w:rsid w:val="0089485C"/>
    <w:rsid w:val="00894CD6"/>
    <w:rsid w:val="00895984"/>
    <w:rsid w:val="008959C1"/>
    <w:rsid w:val="008963A5"/>
    <w:rsid w:val="00896D5D"/>
    <w:rsid w:val="00897047"/>
    <w:rsid w:val="008975FB"/>
    <w:rsid w:val="008A0819"/>
    <w:rsid w:val="008A3158"/>
    <w:rsid w:val="008A3363"/>
    <w:rsid w:val="008A3371"/>
    <w:rsid w:val="008A3C3E"/>
    <w:rsid w:val="008A4743"/>
    <w:rsid w:val="008A570F"/>
    <w:rsid w:val="008A6742"/>
    <w:rsid w:val="008A7301"/>
    <w:rsid w:val="008A795E"/>
    <w:rsid w:val="008A79DE"/>
    <w:rsid w:val="008B1329"/>
    <w:rsid w:val="008B1757"/>
    <w:rsid w:val="008B1C33"/>
    <w:rsid w:val="008B39F4"/>
    <w:rsid w:val="008B4B6F"/>
    <w:rsid w:val="008B549E"/>
    <w:rsid w:val="008B5523"/>
    <w:rsid w:val="008B7992"/>
    <w:rsid w:val="008B7D7E"/>
    <w:rsid w:val="008C0FED"/>
    <w:rsid w:val="008C2031"/>
    <w:rsid w:val="008C4F44"/>
    <w:rsid w:val="008C554B"/>
    <w:rsid w:val="008C5610"/>
    <w:rsid w:val="008C56E3"/>
    <w:rsid w:val="008C5739"/>
    <w:rsid w:val="008C665C"/>
    <w:rsid w:val="008C6677"/>
    <w:rsid w:val="008C7282"/>
    <w:rsid w:val="008C7ECB"/>
    <w:rsid w:val="008D0DEB"/>
    <w:rsid w:val="008D3B86"/>
    <w:rsid w:val="008D3FFA"/>
    <w:rsid w:val="008D4078"/>
    <w:rsid w:val="008D43FD"/>
    <w:rsid w:val="008D4755"/>
    <w:rsid w:val="008D4C3D"/>
    <w:rsid w:val="008D4F72"/>
    <w:rsid w:val="008D603E"/>
    <w:rsid w:val="008D741A"/>
    <w:rsid w:val="008D743C"/>
    <w:rsid w:val="008D7F9D"/>
    <w:rsid w:val="008E0D3C"/>
    <w:rsid w:val="008E1B9E"/>
    <w:rsid w:val="008E1C5A"/>
    <w:rsid w:val="008E1D8A"/>
    <w:rsid w:val="008E2AC8"/>
    <w:rsid w:val="008E315B"/>
    <w:rsid w:val="008E357B"/>
    <w:rsid w:val="008E35AC"/>
    <w:rsid w:val="008E3892"/>
    <w:rsid w:val="008E3B1D"/>
    <w:rsid w:val="008E55AB"/>
    <w:rsid w:val="008E58E6"/>
    <w:rsid w:val="008F0E48"/>
    <w:rsid w:val="008F120A"/>
    <w:rsid w:val="008F1A85"/>
    <w:rsid w:val="008F27E0"/>
    <w:rsid w:val="008F33CD"/>
    <w:rsid w:val="008F367E"/>
    <w:rsid w:val="008F4622"/>
    <w:rsid w:val="008F4811"/>
    <w:rsid w:val="008F48EB"/>
    <w:rsid w:val="008F4F0B"/>
    <w:rsid w:val="008F5134"/>
    <w:rsid w:val="008F720E"/>
    <w:rsid w:val="00900496"/>
    <w:rsid w:val="009010DE"/>
    <w:rsid w:val="009017BB"/>
    <w:rsid w:val="00903F4B"/>
    <w:rsid w:val="0090415F"/>
    <w:rsid w:val="009046C4"/>
    <w:rsid w:val="00905438"/>
    <w:rsid w:val="009062A5"/>
    <w:rsid w:val="009062C7"/>
    <w:rsid w:val="0090718B"/>
    <w:rsid w:val="009073C2"/>
    <w:rsid w:val="00907699"/>
    <w:rsid w:val="00907B62"/>
    <w:rsid w:val="00910FA7"/>
    <w:rsid w:val="00911272"/>
    <w:rsid w:val="00911339"/>
    <w:rsid w:val="009135D6"/>
    <w:rsid w:val="00914C77"/>
    <w:rsid w:val="00916471"/>
    <w:rsid w:val="00921ACB"/>
    <w:rsid w:val="0092214D"/>
    <w:rsid w:val="00922709"/>
    <w:rsid w:val="0092369B"/>
    <w:rsid w:val="0092389D"/>
    <w:rsid w:val="00924A00"/>
    <w:rsid w:val="00924A60"/>
    <w:rsid w:val="009274B0"/>
    <w:rsid w:val="00927677"/>
    <w:rsid w:val="00927734"/>
    <w:rsid w:val="00930264"/>
    <w:rsid w:val="00931BCA"/>
    <w:rsid w:val="00932732"/>
    <w:rsid w:val="00933D96"/>
    <w:rsid w:val="0093457B"/>
    <w:rsid w:val="00934988"/>
    <w:rsid w:val="0093507B"/>
    <w:rsid w:val="00937089"/>
    <w:rsid w:val="00937D26"/>
    <w:rsid w:val="00940BB3"/>
    <w:rsid w:val="009417F0"/>
    <w:rsid w:val="009440D4"/>
    <w:rsid w:val="00944BEA"/>
    <w:rsid w:val="00944F8A"/>
    <w:rsid w:val="00945922"/>
    <w:rsid w:val="009510A2"/>
    <w:rsid w:val="0095142A"/>
    <w:rsid w:val="009514D8"/>
    <w:rsid w:val="009517E4"/>
    <w:rsid w:val="00952FF3"/>
    <w:rsid w:val="00953234"/>
    <w:rsid w:val="00953257"/>
    <w:rsid w:val="0095394D"/>
    <w:rsid w:val="00954703"/>
    <w:rsid w:val="0095474C"/>
    <w:rsid w:val="00957D92"/>
    <w:rsid w:val="00960E6A"/>
    <w:rsid w:val="00961BC6"/>
    <w:rsid w:val="00962BEF"/>
    <w:rsid w:val="00962CB9"/>
    <w:rsid w:val="00963DEF"/>
    <w:rsid w:val="00964312"/>
    <w:rsid w:val="00964580"/>
    <w:rsid w:val="009657E3"/>
    <w:rsid w:val="00965B8A"/>
    <w:rsid w:val="009670CA"/>
    <w:rsid w:val="009705AE"/>
    <w:rsid w:val="0097071F"/>
    <w:rsid w:val="00970CAA"/>
    <w:rsid w:val="0097128F"/>
    <w:rsid w:val="00971791"/>
    <w:rsid w:val="009717AC"/>
    <w:rsid w:val="0097298D"/>
    <w:rsid w:val="009737F3"/>
    <w:rsid w:val="00973FCC"/>
    <w:rsid w:val="009751C1"/>
    <w:rsid w:val="009811F1"/>
    <w:rsid w:val="00982551"/>
    <w:rsid w:val="009833B3"/>
    <w:rsid w:val="00983E57"/>
    <w:rsid w:val="00985DE2"/>
    <w:rsid w:val="0098675D"/>
    <w:rsid w:val="00986DB0"/>
    <w:rsid w:val="009872C7"/>
    <w:rsid w:val="00987BA4"/>
    <w:rsid w:val="009913BA"/>
    <w:rsid w:val="00991916"/>
    <w:rsid w:val="00991E5F"/>
    <w:rsid w:val="009926E0"/>
    <w:rsid w:val="009934E7"/>
    <w:rsid w:val="009942B6"/>
    <w:rsid w:val="00994379"/>
    <w:rsid w:val="0099451E"/>
    <w:rsid w:val="00996B1A"/>
    <w:rsid w:val="009971AF"/>
    <w:rsid w:val="009A08E1"/>
    <w:rsid w:val="009A0FE5"/>
    <w:rsid w:val="009A17C0"/>
    <w:rsid w:val="009A18F6"/>
    <w:rsid w:val="009A286D"/>
    <w:rsid w:val="009A2DCC"/>
    <w:rsid w:val="009A4333"/>
    <w:rsid w:val="009A43C4"/>
    <w:rsid w:val="009A47E5"/>
    <w:rsid w:val="009A56D5"/>
    <w:rsid w:val="009A5ABC"/>
    <w:rsid w:val="009A7F10"/>
    <w:rsid w:val="009B08AC"/>
    <w:rsid w:val="009B2CEA"/>
    <w:rsid w:val="009B2F4D"/>
    <w:rsid w:val="009B3E26"/>
    <w:rsid w:val="009B4960"/>
    <w:rsid w:val="009B61B7"/>
    <w:rsid w:val="009B7938"/>
    <w:rsid w:val="009C04B9"/>
    <w:rsid w:val="009C1271"/>
    <w:rsid w:val="009C1A37"/>
    <w:rsid w:val="009C1D60"/>
    <w:rsid w:val="009C29FA"/>
    <w:rsid w:val="009C2F56"/>
    <w:rsid w:val="009C3706"/>
    <w:rsid w:val="009C39D9"/>
    <w:rsid w:val="009C3A3A"/>
    <w:rsid w:val="009C5143"/>
    <w:rsid w:val="009C526C"/>
    <w:rsid w:val="009C6CEA"/>
    <w:rsid w:val="009C7B85"/>
    <w:rsid w:val="009D0254"/>
    <w:rsid w:val="009D03E8"/>
    <w:rsid w:val="009D1A64"/>
    <w:rsid w:val="009D491B"/>
    <w:rsid w:val="009D4B68"/>
    <w:rsid w:val="009D4CE8"/>
    <w:rsid w:val="009D5867"/>
    <w:rsid w:val="009D5B91"/>
    <w:rsid w:val="009D792E"/>
    <w:rsid w:val="009D798F"/>
    <w:rsid w:val="009D7B2C"/>
    <w:rsid w:val="009D7BE5"/>
    <w:rsid w:val="009E06E8"/>
    <w:rsid w:val="009E0DFE"/>
    <w:rsid w:val="009E1AB7"/>
    <w:rsid w:val="009E2AB3"/>
    <w:rsid w:val="009E31F6"/>
    <w:rsid w:val="009E34CD"/>
    <w:rsid w:val="009E4C07"/>
    <w:rsid w:val="009E777F"/>
    <w:rsid w:val="009F1727"/>
    <w:rsid w:val="009F2CC1"/>
    <w:rsid w:val="009F2ED0"/>
    <w:rsid w:val="009F381B"/>
    <w:rsid w:val="009F3A3E"/>
    <w:rsid w:val="009F4022"/>
    <w:rsid w:val="009F43F3"/>
    <w:rsid w:val="009F4698"/>
    <w:rsid w:val="009F537A"/>
    <w:rsid w:val="009F579E"/>
    <w:rsid w:val="009F6120"/>
    <w:rsid w:val="009F62C4"/>
    <w:rsid w:val="009F6612"/>
    <w:rsid w:val="009F6F9E"/>
    <w:rsid w:val="009F7578"/>
    <w:rsid w:val="00A004C4"/>
    <w:rsid w:val="00A005ED"/>
    <w:rsid w:val="00A00D76"/>
    <w:rsid w:val="00A01014"/>
    <w:rsid w:val="00A01184"/>
    <w:rsid w:val="00A01449"/>
    <w:rsid w:val="00A037C2"/>
    <w:rsid w:val="00A03D43"/>
    <w:rsid w:val="00A040B0"/>
    <w:rsid w:val="00A04380"/>
    <w:rsid w:val="00A04786"/>
    <w:rsid w:val="00A0525F"/>
    <w:rsid w:val="00A05472"/>
    <w:rsid w:val="00A056CD"/>
    <w:rsid w:val="00A05C32"/>
    <w:rsid w:val="00A0653F"/>
    <w:rsid w:val="00A07445"/>
    <w:rsid w:val="00A07A3D"/>
    <w:rsid w:val="00A114C9"/>
    <w:rsid w:val="00A11CD0"/>
    <w:rsid w:val="00A13948"/>
    <w:rsid w:val="00A14391"/>
    <w:rsid w:val="00A145E4"/>
    <w:rsid w:val="00A1555B"/>
    <w:rsid w:val="00A155C5"/>
    <w:rsid w:val="00A16078"/>
    <w:rsid w:val="00A1685A"/>
    <w:rsid w:val="00A16AD8"/>
    <w:rsid w:val="00A170CD"/>
    <w:rsid w:val="00A1719D"/>
    <w:rsid w:val="00A2021E"/>
    <w:rsid w:val="00A213CE"/>
    <w:rsid w:val="00A21C95"/>
    <w:rsid w:val="00A21CF3"/>
    <w:rsid w:val="00A2214C"/>
    <w:rsid w:val="00A24813"/>
    <w:rsid w:val="00A25156"/>
    <w:rsid w:val="00A251CB"/>
    <w:rsid w:val="00A25593"/>
    <w:rsid w:val="00A256B8"/>
    <w:rsid w:val="00A25737"/>
    <w:rsid w:val="00A25A9F"/>
    <w:rsid w:val="00A27AEC"/>
    <w:rsid w:val="00A310FD"/>
    <w:rsid w:val="00A320DB"/>
    <w:rsid w:val="00A335DC"/>
    <w:rsid w:val="00A34885"/>
    <w:rsid w:val="00A352B8"/>
    <w:rsid w:val="00A354F5"/>
    <w:rsid w:val="00A35D16"/>
    <w:rsid w:val="00A36F26"/>
    <w:rsid w:val="00A37BCD"/>
    <w:rsid w:val="00A40BC3"/>
    <w:rsid w:val="00A41689"/>
    <w:rsid w:val="00A41B0A"/>
    <w:rsid w:val="00A41FA0"/>
    <w:rsid w:val="00A42592"/>
    <w:rsid w:val="00A42CF6"/>
    <w:rsid w:val="00A42F13"/>
    <w:rsid w:val="00A43C59"/>
    <w:rsid w:val="00A45494"/>
    <w:rsid w:val="00A46ECF"/>
    <w:rsid w:val="00A4719C"/>
    <w:rsid w:val="00A472A4"/>
    <w:rsid w:val="00A4776A"/>
    <w:rsid w:val="00A47902"/>
    <w:rsid w:val="00A50ECD"/>
    <w:rsid w:val="00A518F3"/>
    <w:rsid w:val="00A52012"/>
    <w:rsid w:val="00A52729"/>
    <w:rsid w:val="00A52D33"/>
    <w:rsid w:val="00A53675"/>
    <w:rsid w:val="00A544AC"/>
    <w:rsid w:val="00A55770"/>
    <w:rsid w:val="00A55BDD"/>
    <w:rsid w:val="00A564D7"/>
    <w:rsid w:val="00A56B6A"/>
    <w:rsid w:val="00A57315"/>
    <w:rsid w:val="00A578DC"/>
    <w:rsid w:val="00A60013"/>
    <w:rsid w:val="00A617A6"/>
    <w:rsid w:val="00A61948"/>
    <w:rsid w:val="00A62E08"/>
    <w:rsid w:val="00A63248"/>
    <w:rsid w:val="00A63414"/>
    <w:rsid w:val="00A640E2"/>
    <w:rsid w:val="00A64D65"/>
    <w:rsid w:val="00A65787"/>
    <w:rsid w:val="00A6661E"/>
    <w:rsid w:val="00A6725B"/>
    <w:rsid w:val="00A70605"/>
    <w:rsid w:val="00A7065A"/>
    <w:rsid w:val="00A70DB5"/>
    <w:rsid w:val="00A71A78"/>
    <w:rsid w:val="00A73134"/>
    <w:rsid w:val="00A7365A"/>
    <w:rsid w:val="00A7417A"/>
    <w:rsid w:val="00A749A7"/>
    <w:rsid w:val="00A756FB"/>
    <w:rsid w:val="00A75AFF"/>
    <w:rsid w:val="00A76001"/>
    <w:rsid w:val="00A76E0A"/>
    <w:rsid w:val="00A777B2"/>
    <w:rsid w:val="00A80C39"/>
    <w:rsid w:val="00A825D4"/>
    <w:rsid w:val="00A828F6"/>
    <w:rsid w:val="00A82B73"/>
    <w:rsid w:val="00A832D1"/>
    <w:rsid w:val="00A83A84"/>
    <w:rsid w:val="00A8427B"/>
    <w:rsid w:val="00A84D50"/>
    <w:rsid w:val="00A85102"/>
    <w:rsid w:val="00A86B94"/>
    <w:rsid w:val="00A86E8B"/>
    <w:rsid w:val="00A87164"/>
    <w:rsid w:val="00A9083A"/>
    <w:rsid w:val="00A90AF3"/>
    <w:rsid w:val="00A919F6"/>
    <w:rsid w:val="00A93072"/>
    <w:rsid w:val="00A938BD"/>
    <w:rsid w:val="00A93953"/>
    <w:rsid w:val="00A93EE2"/>
    <w:rsid w:val="00A945BC"/>
    <w:rsid w:val="00A94FE8"/>
    <w:rsid w:val="00A959D8"/>
    <w:rsid w:val="00A96052"/>
    <w:rsid w:val="00A97C18"/>
    <w:rsid w:val="00AA113D"/>
    <w:rsid w:val="00AA4BD8"/>
    <w:rsid w:val="00AA52FA"/>
    <w:rsid w:val="00AA58D2"/>
    <w:rsid w:val="00AA670D"/>
    <w:rsid w:val="00AA6B47"/>
    <w:rsid w:val="00AA6BD5"/>
    <w:rsid w:val="00AA6BD8"/>
    <w:rsid w:val="00AA6C7D"/>
    <w:rsid w:val="00AA7FD6"/>
    <w:rsid w:val="00AB042A"/>
    <w:rsid w:val="00AB11AD"/>
    <w:rsid w:val="00AB19EF"/>
    <w:rsid w:val="00AB21BB"/>
    <w:rsid w:val="00AB2495"/>
    <w:rsid w:val="00AB2D34"/>
    <w:rsid w:val="00AB3430"/>
    <w:rsid w:val="00AB37B9"/>
    <w:rsid w:val="00AB41F1"/>
    <w:rsid w:val="00AB4925"/>
    <w:rsid w:val="00AB4AD1"/>
    <w:rsid w:val="00AB5D84"/>
    <w:rsid w:val="00AB5E07"/>
    <w:rsid w:val="00AB6977"/>
    <w:rsid w:val="00AB7057"/>
    <w:rsid w:val="00AB767D"/>
    <w:rsid w:val="00AB7CA2"/>
    <w:rsid w:val="00AB7CFA"/>
    <w:rsid w:val="00AC1CDE"/>
    <w:rsid w:val="00AC3F9F"/>
    <w:rsid w:val="00AC4B91"/>
    <w:rsid w:val="00AC514F"/>
    <w:rsid w:val="00AC5B42"/>
    <w:rsid w:val="00AC5B48"/>
    <w:rsid w:val="00AC5CB6"/>
    <w:rsid w:val="00AC633D"/>
    <w:rsid w:val="00AC6502"/>
    <w:rsid w:val="00AD0581"/>
    <w:rsid w:val="00AD1450"/>
    <w:rsid w:val="00AD15E8"/>
    <w:rsid w:val="00AD1660"/>
    <w:rsid w:val="00AD1693"/>
    <w:rsid w:val="00AD187B"/>
    <w:rsid w:val="00AD1B30"/>
    <w:rsid w:val="00AD356D"/>
    <w:rsid w:val="00AD49D7"/>
    <w:rsid w:val="00AD5C6B"/>
    <w:rsid w:val="00AD6502"/>
    <w:rsid w:val="00AD69BD"/>
    <w:rsid w:val="00AD7000"/>
    <w:rsid w:val="00AD71EB"/>
    <w:rsid w:val="00AD73C8"/>
    <w:rsid w:val="00AE0695"/>
    <w:rsid w:val="00AE208D"/>
    <w:rsid w:val="00AE2DBB"/>
    <w:rsid w:val="00AE3DEE"/>
    <w:rsid w:val="00AE3E7E"/>
    <w:rsid w:val="00AE4E57"/>
    <w:rsid w:val="00AE5C7A"/>
    <w:rsid w:val="00AE5F6B"/>
    <w:rsid w:val="00AE7E53"/>
    <w:rsid w:val="00AF1315"/>
    <w:rsid w:val="00AF19BF"/>
    <w:rsid w:val="00AF1A10"/>
    <w:rsid w:val="00AF2DC3"/>
    <w:rsid w:val="00AF2FAF"/>
    <w:rsid w:val="00AF42C6"/>
    <w:rsid w:val="00AF43DE"/>
    <w:rsid w:val="00AF4DC6"/>
    <w:rsid w:val="00AF72CD"/>
    <w:rsid w:val="00AF75DB"/>
    <w:rsid w:val="00AF7D14"/>
    <w:rsid w:val="00B019B4"/>
    <w:rsid w:val="00B02F94"/>
    <w:rsid w:val="00B033E5"/>
    <w:rsid w:val="00B03A63"/>
    <w:rsid w:val="00B03BF0"/>
    <w:rsid w:val="00B05831"/>
    <w:rsid w:val="00B05BD6"/>
    <w:rsid w:val="00B10B5B"/>
    <w:rsid w:val="00B11EAD"/>
    <w:rsid w:val="00B129A4"/>
    <w:rsid w:val="00B1422F"/>
    <w:rsid w:val="00B15039"/>
    <w:rsid w:val="00B15BDF"/>
    <w:rsid w:val="00B201A4"/>
    <w:rsid w:val="00B201D1"/>
    <w:rsid w:val="00B21124"/>
    <w:rsid w:val="00B213A6"/>
    <w:rsid w:val="00B2348A"/>
    <w:rsid w:val="00B235B0"/>
    <w:rsid w:val="00B2466D"/>
    <w:rsid w:val="00B24754"/>
    <w:rsid w:val="00B24DF6"/>
    <w:rsid w:val="00B251EE"/>
    <w:rsid w:val="00B27A61"/>
    <w:rsid w:val="00B337D2"/>
    <w:rsid w:val="00B34220"/>
    <w:rsid w:val="00B34FE2"/>
    <w:rsid w:val="00B35166"/>
    <w:rsid w:val="00B357D8"/>
    <w:rsid w:val="00B35C17"/>
    <w:rsid w:val="00B360F4"/>
    <w:rsid w:val="00B36A00"/>
    <w:rsid w:val="00B3792B"/>
    <w:rsid w:val="00B37BFC"/>
    <w:rsid w:val="00B40358"/>
    <w:rsid w:val="00B4115A"/>
    <w:rsid w:val="00B41614"/>
    <w:rsid w:val="00B41C6E"/>
    <w:rsid w:val="00B42851"/>
    <w:rsid w:val="00B42F80"/>
    <w:rsid w:val="00B435CB"/>
    <w:rsid w:val="00B4566C"/>
    <w:rsid w:val="00B45CAD"/>
    <w:rsid w:val="00B465EC"/>
    <w:rsid w:val="00B47211"/>
    <w:rsid w:val="00B477F4"/>
    <w:rsid w:val="00B505C8"/>
    <w:rsid w:val="00B50DB8"/>
    <w:rsid w:val="00B50E55"/>
    <w:rsid w:val="00B52603"/>
    <w:rsid w:val="00B52FFB"/>
    <w:rsid w:val="00B53654"/>
    <w:rsid w:val="00B53905"/>
    <w:rsid w:val="00B546DB"/>
    <w:rsid w:val="00B54B5B"/>
    <w:rsid w:val="00B54EC5"/>
    <w:rsid w:val="00B5562E"/>
    <w:rsid w:val="00B5571C"/>
    <w:rsid w:val="00B557AD"/>
    <w:rsid w:val="00B55862"/>
    <w:rsid w:val="00B55D65"/>
    <w:rsid w:val="00B56305"/>
    <w:rsid w:val="00B56B40"/>
    <w:rsid w:val="00B57000"/>
    <w:rsid w:val="00B60773"/>
    <w:rsid w:val="00B60939"/>
    <w:rsid w:val="00B60AFD"/>
    <w:rsid w:val="00B61801"/>
    <w:rsid w:val="00B61A28"/>
    <w:rsid w:val="00B61BEC"/>
    <w:rsid w:val="00B62715"/>
    <w:rsid w:val="00B63613"/>
    <w:rsid w:val="00B636A6"/>
    <w:rsid w:val="00B65611"/>
    <w:rsid w:val="00B65DD1"/>
    <w:rsid w:val="00B67639"/>
    <w:rsid w:val="00B678C4"/>
    <w:rsid w:val="00B702DD"/>
    <w:rsid w:val="00B704F1"/>
    <w:rsid w:val="00B70514"/>
    <w:rsid w:val="00B70E8E"/>
    <w:rsid w:val="00B71867"/>
    <w:rsid w:val="00B7215A"/>
    <w:rsid w:val="00B7413B"/>
    <w:rsid w:val="00B74ABF"/>
    <w:rsid w:val="00B74DAD"/>
    <w:rsid w:val="00B74EB2"/>
    <w:rsid w:val="00B75F05"/>
    <w:rsid w:val="00B76500"/>
    <w:rsid w:val="00B76AB1"/>
    <w:rsid w:val="00B76C92"/>
    <w:rsid w:val="00B7713A"/>
    <w:rsid w:val="00B777C7"/>
    <w:rsid w:val="00B778FF"/>
    <w:rsid w:val="00B77B25"/>
    <w:rsid w:val="00B80C86"/>
    <w:rsid w:val="00B80EFD"/>
    <w:rsid w:val="00B81809"/>
    <w:rsid w:val="00B818A4"/>
    <w:rsid w:val="00B83739"/>
    <w:rsid w:val="00B84117"/>
    <w:rsid w:val="00B8481D"/>
    <w:rsid w:val="00B85078"/>
    <w:rsid w:val="00B8562B"/>
    <w:rsid w:val="00B858F0"/>
    <w:rsid w:val="00B85AA2"/>
    <w:rsid w:val="00B8649C"/>
    <w:rsid w:val="00B8695D"/>
    <w:rsid w:val="00B86B04"/>
    <w:rsid w:val="00B87F0A"/>
    <w:rsid w:val="00B92D0B"/>
    <w:rsid w:val="00B93D22"/>
    <w:rsid w:val="00B94945"/>
    <w:rsid w:val="00B94DD6"/>
    <w:rsid w:val="00B95276"/>
    <w:rsid w:val="00B9691F"/>
    <w:rsid w:val="00B97129"/>
    <w:rsid w:val="00B972E4"/>
    <w:rsid w:val="00B97852"/>
    <w:rsid w:val="00BA0166"/>
    <w:rsid w:val="00BA2525"/>
    <w:rsid w:val="00BA2A09"/>
    <w:rsid w:val="00BA322D"/>
    <w:rsid w:val="00BA5D4A"/>
    <w:rsid w:val="00BA6351"/>
    <w:rsid w:val="00BA63FA"/>
    <w:rsid w:val="00BA7D81"/>
    <w:rsid w:val="00BB00B3"/>
    <w:rsid w:val="00BB0BDD"/>
    <w:rsid w:val="00BB161A"/>
    <w:rsid w:val="00BB176C"/>
    <w:rsid w:val="00BB2A73"/>
    <w:rsid w:val="00BB3A45"/>
    <w:rsid w:val="00BB4A55"/>
    <w:rsid w:val="00BB4ACC"/>
    <w:rsid w:val="00BB4F04"/>
    <w:rsid w:val="00BB60BA"/>
    <w:rsid w:val="00BB703E"/>
    <w:rsid w:val="00BB732D"/>
    <w:rsid w:val="00BB7405"/>
    <w:rsid w:val="00BB7E37"/>
    <w:rsid w:val="00BC099A"/>
    <w:rsid w:val="00BC1F92"/>
    <w:rsid w:val="00BC2183"/>
    <w:rsid w:val="00BC3631"/>
    <w:rsid w:val="00BC479B"/>
    <w:rsid w:val="00BC4A0D"/>
    <w:rsid w:val="00BC4CA7"/>
    <w:rsid w:val="00BC4E63"/>
    <w:rsid w:val="00BC5766"/>
    <w:rsid w:val="00BC591F"/>
    <w:rsid w:val="00BC64A1"/>
    <w:rsid w:val="00BC6821"/>
    <w:rsid w:val="00BC7D6D"/>
    <w:rsid w:val="00BD0086"/>
    <w:rsid w:val="00BD0730"/>
    <w:rsid w:val="00BD0A1D"/>
    <w:rsid w:val="00BD1EAA"/>
    <w:rsid w:val="00BD201D"/>
    <w:rsid w:val="00BD2108"/>
    <w:rsid w:val="00BD29F9"/>
    <w:rsid w:val="00BD3301"/>
    <w:rsid w:val="00BD51B9"/>
    <w:rsid w:val="00BD5549"/>
    <w:rsid w:val="00BD5673"/>
    <w:rsid w:val="00BD574D"/>
    <w:rsid w:val="00BD5CE7"/>
    <w:rsid w:val="00BD60A0"/>
    <w:rsid w:val="00BD68A3"/>
    <w:rsid w:val="00BD6938"/>
    <w:rsid w:val="00BD6CF3"/>
    <w:rsid w:val="00BD7F72"/>
    <w:rsid w:val="00BE00D7"/>
    <w:rsid w:val="00BE0ECA"/>
    <w:rsid w:val="00BE2180"/>
    <w:rsid w:val="00BE21F2"/>
    <w:rsid w:val="00BE2297"/>
    <w:rsid w:val="00BE22F1"/>
    <w:rsid w:val="00BE3793"/>
    <w:rsid w:val="00BE4275"/>
    <w:rsid w:val="00BE4EAB"/>
    <w:rsid w:val="00BE54B3"/>
    <w:rsid w:val="00BE5658"/>
    <w:rsid w:val="00BF06AE"/>
    <w:rsid w:val="00BF0F95"/>
    <w:rsid w:val="00BF2433"/>
    <w:rsid w:val="00BF2E6E"/>
    <w:rsid w:val="00BF4161"/>
    <w:rsid w:val="00BF61C9"/>
    <w:rsid w:val="00BF6C94"/>
    <w:rsid w:val="00BF6EF1"/>
    <w:rsid w:val="00BF7C77"/>
    <w:rsid w:val="00C00424"/>
    <w:rsid w:val="00C00BB0"/>
    <w:rsid w:val="00C01D89"/>
    <w:rsid w:val="00C03418"/>
    <w:rsid w:val="00C05258"/>
    <w:rsid w:val="00C05335"/>
    <w:rsid w:val="00C0578A"/>
    <w:rsid w:val="00C06721"/>
    <w:rsid w:val="00C07BC0"/>
    <w:rsid w:val="00C1001B"/>
    <w:rsid w:val="00C104F6"/>
    <w:rsid w:val="00C112FD"/>
    <w:rsid w:val="00C1179F"/>
    <w:rsid w:val="00C12243"/>
    <w:rsid w:val="00C127B9"/>
    <w:rsid w:val="00C128FA"/>
    <w:rsid w:val="00C12968"/>
    <w:rsid w:val="00C12C14"/>
    <w:rsid w:val="00C13423"/>
    <w:rsid w:val="00C1344F"/>
    <w:rsid w:val="00C13971"/>
    <w:rsid w:val="00C14132"/>
    <w:rsid w:val="00C15DEC"/>
    <w:rsid w:val="00C15F04"/>
    <w:rsid w:val="00C16B00"/>
    <w:rsid w:val="00C17974"/>
    <w:rsid w:val="00C179B3"/>
    <w:rsid w:val="00C17E3F"/>
    <w:rsid w:val="00C200AA"/>
    <w:rsid w:val="00C21951"/>
    <w:rsid w:val="00C22FCB"/>
    <w:rsid w:val="00C23593"/>
    <w:rsid w:val="00C2376D"/>
    <w:rsid w:val="00C237ED"/>
    <w:rsid w:val="00C23B35"/>
    <w:rsid w:val="00C24632"/>
    <w:rsid w:val="00C25418"/>
    <w:rsid w:val="00C25C41"/>
    <w:rsid w:val="00C25D9C"/>
    <w:rsid w:val="00C26345"/>
    <w:rsid w:val="00C27501"/>
    <w:rsid w:val="00C2763D"/>
    <w:rsid w:val="00C2778B"/>
    <w:rsid w:val="00C27F1A"/>
    <w:rsid w:val="00C312A6"/>
    <w:rsid w:val="00C31649"/>
    <w:rsid w:val="00C318EA"/>
    <w:rsid w:val="00C3190A"/>
    <w:rsid w:val="00C326E5"/>
    <w:rsid w:val="00C33A7D"/>
    <w:rsid w:val="00C341FA"/>
    <w:rsid w:val="00C3434C"/>
    <w:rsid w:val="00C37AE9"/>
    <w:rsid w:val="00C37E11"/>
    <w:rsid w:val="00C4005E"/>
    <w:rsid w:val="00C40385"/>
    <w:rsid w:val="00C41326"/>
    <w:rsid w:val="00C41768"/>
    <w:rsid w:val="00C41B13"/>
    <w:rsid w:val="00C42495"/>
    <w:rsid w:val="00C4266D"/>
    <w:rsid w:val="00C43BF7"/>
    <w:rsid w:val="00C44909"/>
    <w:rsid w:val="00C46322"/>
    <w:rsid w:val="00C467DF"/>
    <w:rsid w:val="00C4682E"/>
    <w:rsid w:val="00C475AA"/>
    <w:rsid w:val="00C513AC"/>
    <w:rsid w:val="00C520B3"/>
    <w:rsid w:val="00C527C7"/>
    <w:rsid w:val="00C52943"/>
    <w:rsid w:val="00C53282"/>
    <w:rsid w:val="00C53C98"/>
    <w:rsid w:val="00C5482A"/>
    <w:rsid w:val="00C557ED"/>
    <w:rsid w:val="00C56FCF"/>
    <w:rsid w:val="00C574B2"/>
    <w:rsid w:val="00C57B6C"/>
    <w:rsid w:val="00C607D5"/>
    <w:rsid w:val="00C6148D"/>
    <w:rsid w:val="00C61A59"/>
    <w:rsid w:val="00C628A6"/>
    <w:rsid w:val="00C6393F"/>
    <w:rsid w:val="00C64252"/>
    <w:rsid w:val="00C64344"/>
    <w:rsid w:val="00C64641"/>
    <w:rsid w:val="00C65108"/>
    <w:rsid w:val="00C65248"/>
    <w:rsid w:val="00C654B1"/>
    <w:rsid w:val="00C65576"/>
    <w:rsid w:val="00C66009"/>
    <w:rsid w:val="00C66165"/>
    <w:rsid w:val="00C66F22"/>
    <w:rsid w:val="00C7060A"/>
    <w:rsid w:val="00C7151A"/>
    <w:rsid w:val="00C717E3"/>
    <w:rsid w:val="00C71994"/>
    <w:rsid w:val="00C71F60"/>
    <w:rsid w:val="00C72241"/>
    <w:rsid w:val="00C72BFB"/>
    <w:rsid w:val="00C7307A"/>
    <w:rsid w:val="00C73F90"/>
    <w:rsid w:val="00C74F0D"/>
    <w:rsid w:val="00C750C8"/>
    <w:rsid w:val="00C7560F"/>
    <w:rsid w:val="00C7786E"/>
    <w:rsid w:val="00C77EF7"/>
    <w:rsid w:val="00C80A0E"/>
    <w:rsid w:val="00C81456"/>
    <w:rsid w:val="00C81C41"/>
    <w:rsid w:val="00C81FB5"/>
    <w:rsid w:val="00C8213F"/>
    <w:rsid w:val="00C8303F"/>
    <w:rsid w:val="00C83E4E"/>
    <w:rsid w:val="00C85154"/>
    <w:rsid w:val="00C8568C"/>
    <w:rsid w:val="00C85A70"/>
    <w:rsid w:val="00C8797A"/>
    <w:rsid w:val="00C900B8"/>
    <w:rsid w:val="00C90197"/>
    <w:rsid w:val="00C90C71"/>
    <w:rsid w:val="00C91E80"/>
    <w:rsid w:val="00C91FD1"/>
    <w:rsid w:val="00C9205D"/>
    <w:rsid w:val="00C92D6F"/>
    <w:rsid w:val="00C931CF"/>
    <w:rsid w:val="00C938CF"/>
    <w:rsid w:val="00C93B6B"/>
    <w:rsid w:val="00C94053"/>
    <w:rsid w:val="00C9528B"/>
    <w:rsid w:val="00C95DD8"/>
    <w:rsid w:val="00C95F82"/>
    <w:rsid w:val="00C961FB"/>
    <w:rsid w:val="00C9624D"/>
    <w:rsid w:val="00C969DA"/>
    <w:rsid w:val="00C96D68"/>
    <w:rsid w:val="00C979FB"/>
    <w:rsid w:val="00CA00CB"/>
    <w:rsid w:val="00CA01D5"/>
    <w:rsid w:val="00CA041C"/>
    <w:rsid w:val="00CA0CF2"/>
    <w:rsid w:val="00CA1912"/>
    <w:rsid w:val="00CA2C77"/>
    <w:rsid w:val="00CA2E3C"/>
    <w:rsid w:val="00CA444F"/>
    <w:rsid w:val="00CA5245"/>
    <w:rsid w:val="00CA5918"/>
    <w:rsid w:val="00CA71F4"/>
    <w:rsid w:val="00CA7B09"/>
    <w:rsid w:val="00CB12A5"/>
    <w:rsid w:val="00CB1CAC"/>
    <w:rsid w:val="00CB1E63"/>
    <w:rsid w:val="00CB2F2A"/>
    <w:rsid w:val="00CB3AF2"/>
    <w:rsid w:val="00CB5664"/>
    <w:rsid w:val="00CB5B1A"/>
    <w:rsid w:val="00CB6B22"/>
    <w:rsid w:val="00CB71D9"/>
    <w:rsid w:val="00CB7F5F"/>
    <w:rsid w:val="00CC0AA4"/>
    <w:rsid w:val="00CC1206"/>
    <w:rsid w:val="00CC1B39"/>
    <w:rsid w:val="00CC1BFA"/>
    <w:rsid w:val="00CC2E9F"/>
    <w:rsid w:val="00CC35EA"/>
    <w:rsid w:val="00CC3848"/>
    <w:rsid w:val="00CC3B68"/>
    <w:rsid w:val="00CC6D5E"/>
    <w:rsid w:val="00CC7A38"/>
    <w:rsid w:val="00CC7A8B"/>
    <w:rsid w:val="00CD0200"/>
    <w:rsid w:val="00CD04E0"/>
    <w:rsid w:val="00CD3F77"/>
    <w:rsid w:val="00CD6ADC"/>
    <w:rsid w:val="00CD7193"/>
    <w:rsid w:val="00CD7910"/>
    <w:rsid w:val="00CE14CB"/>
    <w:rsid w:val="00CE1F15"/>
    <w:rsid w:val="00CE21D3"/>
    <w:rsid w:val="00CE376F"/>
    <w:rsid w:val="00CE38C8"/>
    <w:rsid w:val="00CE524F"/>
    <w:rsid w:val="00CE58CC"/>
    <w:rsid w:val="00CE6274"/>
    <w:rsid w:val="00CE77B6"/>
    <w:rsid w:val="00CF220E"/>
    <w:rsid w:val="00CF2A86"/>
    <w:rsid w:val="00CF2B8D"/>
    <w:rsid w:val="00CF342B"/>
    <w:rsid w:val="00CF3A1B"/>
    <w:rsid w:val="00CF456B"/>
    <w:rsid w:val="00CF4A06"/>
    <w:rsid w:val="00CF4FAA"/>
    <w:rsid w:val="00CF5A22"/>
    <w:rsid w:val="00CF5D11"/>
    <w:rsid w:val="00CF5E70"/>
    <w:rsid w:val="00CF6997"/>
    <w:rsid w:val="00CF7F77"/>
    <w:rsid w:val="00D000B7"/>
    <w:rsid w:val="00D01131"/>
    <w:rsid w:val="00D01B11"/>
    <w:rsid w:val="00D0262E"/>
    <w:rsid w:val="00D0288D"/>
    <w:rsid w:val="00D030F8"/>
    <w:rsid w:val="00D03679"/>
    <w:rsid w:val="00D04398"/>
    <w:rsid w:val="00D05CAF"/>
    <w:rsid w:val="00D05E3D"/>
    <w:rsid w:val="00D06139"/>
    <w:rsid w:val="00D07413"/>
    <w:rsid w:val="00D110BD"/>
    <w:rsid w:val="00D1227D"/>
    <w:rsid w:val="00D13675"/>
    <w:rsid w:val="00D141E1"/>
    <w:rsid w:val="00D14679"/>
    <w:rsid w:val="00D14A65"/>
    <w:rsid w:val="00D14A71"/>
    <w:rsid w:val="00D15314"/>
    <w:rsid w:val="00D15B48"/>
    <w:rsid w:val="00D16448"/>
    <w:rsid w:val="00D16528"/>
    <w:rsid w:val="00D17AC2"/>
    <w:rsid w:val="00D17D6C"/>
    <w:rsid w:val="00D20950"/>
    <w:rsid w:val="00D211C6"/>
    <w:rsid w:val="00D2155B"/>
    <w:rsid w:val="00D21DA2"/>
    <w:rsid w:val="00D23541"/>
    <w:rsid w:val="00D23D11"/>
    <w:rsid w:val="00D244B6"/>
    <w:rsid w:val="00D258E8"/>
    <w:rsid w:val="00D272D0"/>
    <w:rsid w:val="00D2754D"/>
    <w:rsid w:val="00D27B27"/>
    <w:rsid w:val="00D30D5B"/>
    <w:rsid w:val="00D31096"/>
    <w:rsid w:val="00D318A4"/>
    <w:rsid w:val="00D31EF3"/>
    <w:rsid w:val="00D33722"/>
    <w:rsid w:val="00D33B4C"/>
    <w:rsid w:val="00D33BE9"/>
    <w:rsid w:val="00D33F93"/>
    <w:rsid w:val="00D34356"/>
    <w:rsid w:val="00D35177"/>
    <w:rsid w:val="00D357FF"/>
    <w:rsid w:val="00D37155"/>
    <w:rsid w:val="00D41D26"/>
    <w:rsid w:val="00D424C7"/>
    <w:rsid w:val="00D43422"/>
    <w:rsid w:val="00D43B2A"/>
    <w:rsid w:val="00D43CF1"/>
    <w:rsid w:val="00D43D83"/>
    <w:rsid w:val="00D47575"/>
    <w:rsid w:val="00D47862"/>
    <w:rsid w:val="00D501AD"/>
    <w:rsid w:val="00D50EEB"/>
    <w:rsid w:val="00D510EE"/>
    <w:rsid w:val="00D52204"/>
    <w:rsid w:val="00D52253"/>
    <w:rsid w:val="00D5243B"/>
    <w:rsid w:val="00D52B80"/>
    <w:rsid w:val="00D533EC"/>
    <w:rsid w:val="00D53FD9"/>
    <w:rsid w:val="00D56A95"/>
    <w:rsid w:val="00D57EE8"/>
    <w:rsid w:val="00D6076E"/>
    <w:rsid w:val="00D6407D"/>
    <w:rsid w:val="00D668CA"/>
    <w:rsid w:val="00D70BBB"/>
    <w:rsid w:val="00D70F16"/>
    <w:rsid w:val="00D7176A"/>
    <w:rsid w:val="00D71D8B"/>
    <w:rsid w:val="00D72617"/>
    <w:rsid w:val="00D72F57"/>
    <w:rsid w:val="00D74293"/>
    <w:rsid w:val="00D759A7"/>
    <w:rsid w:val="00D76A44"/>
    <w:rsid w:val="00D772C8"/>
    <w:rsid w:val="00D7740A"/>
    <w:rsid w:val="00D8049D"/>
    <w:rsid w:val="00D815EF"/>
    <w:rsid w:val="00D81949"/>
    <w:rsid w:val="00D81AC6"/>
    <w:rsid w:val="00D81F26"/>
    <w:rsid w:val="00D822E2"/>
    <w:rsid w:val="00D8379D"/>
    <w:rsid w:val="00D843F2"/>
    <w:rsid w:val="00D855F1"/>
    <w:rsid w:val="00D858D7"/>
    <w:rsid w:val="00D85C50"/>
    <w:rsid w:val="00D85F46"/>
    <w:rsid w:val="00D85F8F"/>
    <w:rsid w:val="00D86231"/>
    <w:rsid w:val="00D90B4C"/>
    <w:rsid w:val="00D912AB"/>
    <w:rsid w:val="00D917B4"/>
    <w:rsid w:val="00D91923"/>
    <w:rsid w:val="00D93753"/>
    <w:rsid w:val="00D93C08"/>
    <w:rsid w:val="00D94643"/>
    <w:rsid w:val="00D95150"/>
    <w:rsid w:val="00D96638"/>
    <w:rsid w:val="00D96842"/>
    <w:rsid w:val="00D97234"/>
    <w:rsid w:val="00DA0221"/>
    <w:rsid w:val="00DA0CDC"/>
    <w:rsid w:val="00DA15A2"/>
    <w:rsid w:val="00DA1B09"/>
    <w:rsid w:val="00DA1BCA"/>
    <w:rsid w:val="00DA2269"/>
    <w:rsid w:val="00DA292D"/>
    <w:rsid w:val="00DA2F32"/>
    <w:rsid w:val="00DA3167"/>
    <w:rsid w:val="00DA3E57"/>
    <w:rsid w:val="00DA4DC3"/>
    <w:rsid w:val="00DA4F38"/>
    <w:rsid w:val="00DA57BA"/>
    <w:rsid w:val="00DA5D51"/>
    <w:rsid w:val="00DA64D3"/>
    <w:rsid w:val="00DA7348"/>
    <w:rsid w:val="00DA77A5"/>
    <w:rsid w:val="00DB0E36"/>
    <w:rsid w:val="00DB0E63"/>
    <w:rsid w:val="00DB0F73"/>
    <w:rsid w:val="00DB17AE"/>
    <w:rsid w:val="00DB3DBF"/>
    <w:rsid w:val="00DB484F"/>
    <w:rsid w:val="00DB4B1F"/>
    <w:rsid w:val="00DB53F7"/>
    <w:rsid w:val="00DB54EF"/>
    <w:rsid w:val="00DB5CF6"/>
    <w:rsid w:val="00DB6E0D"/>
    <w:rsid w:val="00DC04F6"/>
    <w:rsid w:val="00DC0690"/>
    <w:rsid w:val="00DC0E8A"/>
    <w:rsid w:val="00DC1D65"/>
    <w:rsid w:val="00DC1FCB"/>
    <w:rsid w:val="00DC20EF"/>
    <w:rsid w:val="00DC283B"/>
    <w:rsid w:val="00DC33A8"/>
    <w:rsid w:val="00DC3C57"/>
    <w:rsid w:val="00DC5501"/>
    <w:rsid w:val="00DC5DE4"/>
    <w:rsid w:val="00DC6E2E"/>
    <w:rsid w:val="00DC7154"/>
    <w:rsid w:val="00DC7E8A"/>
    <w:rsid w:val="00DC7F80"/>
    <w:rsid w:val="00DD0446"/>
    <w:rsid w:val="00DD04B8"/>
    <w:rsid w:val="00DD0F78"/>
    <w:rsid w:val="00DD11A9"/>
    <w:rsid w:val="00DD273C"/>
    <w:rsid w:val="00DD2875"/>
    <w:rsid w:val="00DD302D"/>
    <w:rsid w:val="00DD3050"/>
    <w:rsid w:val="00DD34CC"/>
    <w:rsid w:val="00DD3AD9"/>
    <w:rsid w:val="00DD3F28"/>
    <w:rsid w:val="00DD435E"/>
    <w:rsid w:val="00DD4446"/>
    <w:rsid w:val="00DD4537"/>
    <w:rsid w:val="00DD4C91"/>
    <w:rsid w:val="00DD4E15"/>
    <w:rsid w:val="00DD4F3B"/>
    <w:rsid w:val="00DD5299"/>
    <w:rsid w:val="00DD6142"/>
    <w:rsid w:val="00DE2304"/>
    <w:rsid w:val="00DE2A15"/>
    <w:rsid w:val="00DE3138"/>
    <w:rsid w:val="00DE37F8"/>
    <w:rsid w:val="00DE4273"/>
    <w:rsid w:val="00DE4279"/>
    <w:rsid w:val="00DE4FCB"/>
    <w:rsid w:val="00DE5C05"/>
    <w:rsid w:val="00DE5D07"/>
    <w:rsid w:val="00DE69F4"/>
    <w:rsid w:val="00DE72A7"/>
    <w:rsid w:val="00DE73A3"/>
    <w:rsid w:val="00DE7455"/>
    <w:rsid w:val="00DE74E7"/>
    <w:rsid w:val="00DE7832"/>
    <w:rsid w:val="00DE7D5D"/>
    <w:rsid w:val="00DF095F"/>
    <w:rsid w:val="00DF1642"/>
    <w:rsid w:val="00DF18FC"/>
    <w:rsid w:val="00DF590F"/>
    <w:rsid w:val="00DF5D2B"/>
    <w:rsid w:val="00DF5DF3"/>
    <w:rsid w:val="00DF5FFA"/>
    <w:rsid w:val="00DF6341"/>
    <w:rsid w:val="00E00E8E"/>
    <w:rsid w:val="00E011BB"/>
    <w:rsid w:val="00E01521"/>
    <w:rsid w:val="00E02764"/>
    <w:rsid w:val="00E02C36"/>
    <w:rsid w:val="00E04037"/>
    <w:rsid w:val="00E04CC2"/>
    <w:rsid w:val="00E05630"/>
    <w:rsid w:val="00E05648"/>
    <w:rsid w:val="00E06DBB"/>
    <w:rsid w:val="00E06E25"/>
    <w:rsid w:val="00E06E8F"/>
    <w:rsid w:val="00E10149"/>
    <w:rsid w:val="00E104CD"/>
    <w:rsid w:val="00E11340"/>
    <w:rsid w:val="00E117EE"/>
    <w:rsid w:val="00E122A1"/>
    <w:rsid w:val="00E12B47"/>
    <w:rsid w:val="00E1542F"/>
    <w:rsid w:val="00E16372"/>
    <w:rsid w:val="00E16AD8"/>
    <w:rsid w:val="00E16D7B"/>
    <w:rsid w:val="00E171B7"/>
    <w:rsid w:val="00E178D4"/>
    <w:rsid w:val="00E17FFA"/>
    <w:rsid w:val="00E20A22"/>
    <w:rsid w:val="00E20E4D"/>
    <w:rsid w:val="00E20ED6"/>
    <w:rsid w:val="00E21358"/>
    <w:rsid w:val="00E21925"/>
    <w:rsid w:val="00E21CE5"/>
    <w:rsid w:val="00E2249B"/>
    <w:rsid w:val="00E22A0D"/>
    <w:rsid w:val="00E244F6"/>
    <w:rsid w:val="00E258DB"/>
    <w:rsid w:val="00E263C2"/>
    <w:rsid w:val="00E271B4"/>
    <w:rsid w:val="00E2771E"/>
    <w:rsid w:val="00E27F39"/>
    <w:rsid w:val="00E301A3"/>
    <w:rsid w:val="00E311EF"/>
    <w:rsid w:val="00E32180"/>
    <w:rsid w:val="00E33287"/>
    <w:rsid w:val="00E33802"/>
    <w:rsid w:val="00E34204"/>
    <w:rsid w:val="00E34819"/>
    <w:rsid w:val="00E34948"/>
    <w:rsid w:val="00E34E99"/>
    <w:rsid w:val="00E369D3"/>
    <w:rsid w:val="00E37569"/>
    <w:rsid w:val="00E401B2"/>
    <w:rsid w:val="00E40AD1"/>
    <w:rsid w:val="00E419CA"/>
    <w:rsid w:val="00E41E30"/>
    <w:rsid w:val="00E424C6"/>
    <w:rsid w:val="00E42F73"/>
    <w:rsid w:val="00E43D70"/>
    <w:rsid w:val="00E43EC1"/>
    <w:rsid w:val="00E445B5"/>
    <w:rsid w:val="00E448AA"/>
    <w:rsid w:val="00E448AB"/>
    <w:rsid w:val="00E44D28"/>
    <w:rsid w:val="00E45103"/>
    <w:rsid w:val="00E466F3"/>
    <w:rsid w:val="00E4775D"/>
    <w:rsid w:val="00E47A3D"/>
    <w:rsid w:val="00E47B2C"/>
    <w:rsid w:val="00E51065"/>
    <w:rsid w:val="00E51560"/>
    <w:rsid w:val="00E51821"/>
    <w:rsid w:val="00E53585"/>
    <w:rsid w:val="00E53AE9"/>
    <w:rsid w:val="00E53FC8"/>
    <w:rsid w:val="00E54347"/>
    <w:rsid w:val="00E54D3C"/>
    <w:rsid w:val="00E5537D"/>
    <w:rsid w:val="00E55424"/>
    <w:rsid w:val="00E55915"/>
    <w:rsid w:val="00E55BB5"/>
    <w:rsid w:val="00E55DA2"/>
    <w:rsid w:val="00E5612B"/>
    <w:rsid w:val="00E56597"/>
    <w:rsid w:val="00E57E63"/>
    <w:rsid w:val="00E60734"/>
    <w:rsid w:val="00E60776"/>
    <w:rsid w:val="00E60ED7"/>
    <w:rsid w:val="00E611DF"/>
    <w:rsid w:val="00E633D2"/>
    <w:rsid w:val="00E6467C"/>
    <w:rsid w:val="00E64AA6"/>
    <w:rsid w:val="00E65922"/>
    <w:rsid w:val="00E65E79"/>
    <w:rsid w:val="00E66BA2"/>
    <w:rsid w:val="00E67416"/>
    <w:rsid w:val="00E67711"/>
    <w:rsid w:val="00E718B6"/>
    <w:rsid w:val="00E719FE"/>
    <w:rsid w:val="00E723BA"/>
    <w:rsid w:val="00E729E6"/>
    <w:rsid w:val="00E73581"/>
    <w:rsid w:val="00E8001C"/>
    <w:rsid w:val="00E814DE"/>
    <w:rsid w:val="00E81FB9"/>
    <w:rsid w:val="00E82E08"/>
    <w:rsid w:val="00E833F7"/>
    <w:rsid w:val="00E83BDF"/>
    <w:rsid w:val="00E84D8A"/>
    <w:rsid w:val="00E851D4"/>
    <w:rsid w:val="00E85B9B"/>
    <w:rsid w:val="00E86FCC"/>
    <w:rsid w:val="00E8792F"/>
    <w:rsid w:val="00E87A1D"/>
    <w:rsid w:val="00E9094A"/>
    <w:rsid w:val="00E91D35"/>
    <w:rsid w:val="00E921A6"/>
    <w:rsid w:val="00E926A5"/>
    <w:rsid w:val="00E92878"/>
    <w:rsid w:val="00E9291F"/>
    <w:rsid w:val="00E93198"/>
    <w:rsid w:val="00E931ED"/>
    <w:rsid w:val="00E961F7"/>
    <w:rsid w:val="00E962CC"/>
    <w:rsid w:val="00E97EFE"/>
    <w:rsid w:val="00EA0882"/>
    <w:rsid w:val="00EA093E"/>
    <w:rsid w:val="00EA13FC"/>
    <w:rsid w:val="00EA17C3"/>
    <w:rsid w:val="00EA2CAA"/>
    <w:rsid w:val="00EA3864"/>
    <w:rsid w:val="00EA4A5B"/>
    <w:rsid w:val="00EA6FA6"/>
    <w:rsid w:val="00EA7F1C"/>
    <w:rsid w:val="00EB0252"/>
    <w:rsid w:val="00EB0D02"/>
    <w:rsid w:val="00EB1288"/>
    <w:rsid w:val="00EB15B6"/>
    <w:rsid w:val="00EB394E"/>
    <w:rsid w:val="00EB3A3F"/>
    <w:rsid w:val="00EB3D06"/>
    <w:rsid w:val="00EB3FE4"/>
    <w:rsid w:val="00EB44DD"/>
    <w:rsid w:val="00EB4916"/>
    <w:rsid w:val="00EB4A92"/>
    <w:rsid w:val="00EB6A6D"/>
    <w:rsid w:val="00EB6B5F"/>
    <w:rsid w:val="00EB789A"/>
    <w:rsid w:val="00EB7EE2"/>
    <w:rsid w:val="00EC00C9"/>
    <w:rsid w:val="00EC0673"/>
    <w:rsid w:val="00EC0B8E"/>
    <w:rsid w:val="00EC0DD9"/>
    <w:rsid w:val="00EC17CC"/>
    <w:rsid w:val="00EC2649"/>
    <w:rsid w:val="00EC2E1C"/>
    <w:rsid w:val="00EC31ED"/>
    <w:rsid w:val="00EC37F2"/>
    <w:rsid w:val="00EC5836"/>
    <w:rsid w:val="00EC585B"/>
    <w:rsid w:val="00EC5EB2"/>
    <w:rsid w:val="00EC688C"/>
    <w:rsid w:val="00EC6B0E"/>
    <w:rsid w:val="00ED016A"/>
    <w:rsid w:val="00ED056B"/>
    <w:rsid w:val="00ED0988"/>
    <w:rsid w:val="00ED12E3"/>
    <w:rsid w:val="00ED234B"/>
    <w:rsid w:val="00ED3013"/>
    <w:rsid w:val="00ED3585"/>
    <w:rsid w:val="00ED3DF4"/>
    <w:rsid w:val="00ED3E1C"/>
    <w:rsid w:val="00ED4210"/>
    <w:rsid w:val="00ED4B04"/>
    <w:rsid w:val="00ED5057"/>
    <w:rsid w:val="00ED57EA"/>
    <w:rsid w:val="00ED5BD4"/>
    <w:rsid w:val="00ED6506"/>
    <w:rsid w:val="00ED68D3"/>
    <w:rsid w:val="00ED7E30"/>
    <w:rsid w:val="00EE065A"/>
    <w:rsid w:val="00EE07D3"/>
    <w:rsid w:val="00EE1095"/>
    <w:rsid w:val="00EE1996"/>
    <w:rsid w:val="00EE1C01"/>
    <w:rsid w:val="00EE22AF"/>
    <w:rsid w:val="00EE2607"/>
    <w:rsid w:val="00EE38FE"/>
    <w:rsid w:val="00EE39ED"/>
    <w:rsid w:val="00EE3F3B"/>
    <w:rsid w:val="00EE7563"/>
    <w:rsid w:val="00EF0171"/>
    <w:rsid w:val="00EF11DE"/>
    <w:rsid w:val="00EF1252"/>
    <w:rsid w:val="00EF1B25"/>
    <w:rsid w:val="00EF1DA0"/>
    <w:rsid w:val="00EF2FDD"/>
    <w:rsid w:val="00EF373F"/>
    <w:rsid w:val="00EF4747"/>
    <w:rsid w:val="00EF4BF8"/>
    <w:rsid w:val="00EF5B03"/>
    <w:rsid w:val="00EF6A1A"/>
    <w:rsid w:val="00EF6D47"/>
    <w:rsid w:val="00EF770A"/>
    <w:rsid w:val="00F009C5"/>
    <w:rsid w:val="00F0209C"/>
    <w:rsid w:val="00F02253"/>
    <w:rsid w:val="00F03C2E"/>
    <w:rsid w:val="00F04A66"/>
    <w:rsid w:val="00F04A97"/>
    <w:rsid w:val="00F04B4B"/>
    <w:rsid w:val="00F0516C"/>
    <w:rsid w:val="00F067A2"/>
    <w:rsid w:val="00F07B9E"/>
    <w:rsid w:val="00F1116F"/>
    <w:rsid w:val="00F1263A"/>
    <w:rsid w:val="00F139C5"/>
    <w:rsid w:val="00F13F38"/>
    <w:rsid w:val="00F15B77"/>
    <w:rsid w:val="00F162B8"/>
    <w:rsid w:val="00F16B70"/>
    <w:rsid w:val="00F20BFE"/>
    <w:rsid w:val="00F21236"/>
    <w:rsid w:val="00F21A5F"/>
    <w:rsid w:val="00F22BF2"/>
    <w:rsid w:val="00F22E78"/>
    <w:rsid w:val="00F23EA9"/>
    <w:rsid w:val="00F24837"/>
    <w:rsid w:val="00F24887"/>
    <w:rsid w:val="00F24B37"/>
    <w:rsid w:val="00F25440"/>
    <w:rsid w:val="00F2575F"/>
    <w:rsid w:val="00F26FC4"/>
    <w:rsid w:val="00F27565"/>
    <w:rsid w:val="00F306EF"/>
    <w:rsid w:val="00F310D4"/>
    <w:rsid w:val="00F31D5A"/>
    <w:rsid w:val="00F33455"/>
    <w:rsid w:val="00F33975"/>
    <w:rsid w:val="00F33DE9"/>
    <w:rsid w:val="00F357B5"/>
    <w:rsid w:val="00F35E6D"/>
    <w:rsid w:val="00F3619A"/>
    <w:rsid w:val="00F36350"/>
    <w:rsid w:val="00F37849"/>
    <w:rsid w:val="00F37C69"/>
    <w:rsid w:val="00F4084C"/>
    <w:rsid w:val="00F4085F"/>
    <w:rsid w:val="00F40AAA"/>
    <w:rsid w:val="00F40BA7"/>
    <w:rsid w:val="00F40F9D"/>
    <w:rsid w:val="00F41ACD"/>
    <w:rsid w:val="00F42484"/>
    <w:rsid w:val="00F45ADB"/>
    <w:rsid w:val="00F461C1"/>
    <w:rsid w:val="00F46CB6"/>
    <w:rsid w:val="00F4756D"/>
    <w:rsid w:val="00F47DE8"/>
    <w:rsid w:val="00F51C0D"/>
    <w:rsid w:val="00F520ED"/>
    <w:rsid w:val="00F53B99"/>
    <w:rsid w:val="00F542C1"/>
    <w:rsid w:val="00F543B2"/>
    <w:rsid w:val="00F5462B"/>
    <w:rsid w:val="00F550E3"/>
    <w:rsid w:val="00F55E73"/>
    <w:rsid w:val="00F55EDA"/>
    <w:rsid w:val="00F560F1"/>
    <w:rsid w:val="00F56756"/>
    <w:rsid w:val="00F56C80"/>
    <w:rsid w:val="00F57562"/>
    <w:rsid w:val="00F60092"/>
    <w:rsid w:val="00F6142E"/>
    <w:rsid w:val="00F61C18"/>
    <w:rsid w:val="00F64447"/>
    <w:rsid w:val="00F65575"/>
    <w:rsid w:val="00F65695"/>
    <w:rsid w:val="00F65F4B"/>
    <w:rsid w:val="00F67A69"/>
    <w:rsid w:val="00F67C2D"/>
    <w:rsid w:val="00F67F77"/>
    <w:rsid w:val="00F70BFF"/>
    <w:rsid w:val="00F70C9D"/>
    <w:rsid w:val="00F715FC"/>
    <w:rsid w:val="00F71AED"/>
    <w:rsid w:val="00F73E08"/>
    <w:rsid w:val="00F74CD9"/>
    <w:rsid w:val="00F80178"/>
    <w:rsid w:val="00F8076E"/>
    <w:rsid w:val="00F80A7B"/>
    <w:rsid w:val="00F80E5D"/>
    <w:rsid w:val="00F81953"/>
    <w:rsid w:val="00F81E78"/>
    <w:rsid w:val="00F83916"/>
    <w:rsid w:val="00F84A36"/>
    <w:rsid w:val="00F851CE"/>
    <w:rsid w:val="00F85866"/>
    <w:rsid w:val="00F86E06"/>
    <w:rsid w:val="00F87607"/>
    <w:rsid w:val="00F877B5"/>
    <w:rsid w:val="00F91219"/>
    <w:rsid w:val="00F92444"/>
    <w:rsid w:val="00F92C23"/>
    <w:rsid w:val="00F9393E"/>
    <w:rsid w:val="00F95547"/>
    <w:rsid w:val="00F9671F"/>
    <w:rsid w:val="00F96FD0"/>
    <w:rsid w:val="00F97760"/>
    <w:rsid w:val="00F97A78"/>
    <w:rsid w:val="00FA0B20"/>
    <w:rsid w:val="00FA15CA"/>
    <w:rsid w:val="00FA24E7"/>
    <w:rsid w:val="00FA4174"/>
    <w:rsid w:val="00FA54B2"/>
    <w:rsid w:val="00FA5882"/>
    <w:rsid w:val="00FA5EE6"/>
    <w:rsid w:val="00FA6399"/>
    <w:rsid w:val="00FA7956"/>
    <w:rsid w:val="00FB0270"/>
    <w:rsid w:val="00FB0824"/>
    <w:rsid w:val="00FB1617"/>
    <w:rsid w:val="00FB2617"/>
    <w:rsid w:val="00FB2EB7"/>
    <w:rsid w:val="00FB2FCB"/>
    <w:rsid w:val="00FB4882"/>
    <w:rsid w:val="00FB4C9C"/>
    <w:rsid w:val="00FB4EAB"/>
    <w:rsid w:val="00FB6D5B"/>
    <w:rsid w:val="00FB7C55"/>
    <w:rsid w:val="00FC0AA3"/>
    <w:rsid w:val="00FC1074"/>
    <w:rsid w:val="00FC1617"/>
    <w:rsid w:val="00FC1884"/>
    <w:rsid w:val="00FC1E4E"/>
    <w:rsid w:val="00FC2479"/>
    <w:rsid w:val="00FC371D"/>
    <w:rsid w:val="00FC5F0B"/>
    <w:rsid w:val="00FC6AB6"/>
    <w:rsid w:val="00FC7F7E"/>
    <w:rsid w:val="00FD19F0"/>
    <w:rsid w:val="00FD2100"/>
    <w:rsid w:val="00FD25DF"/>
    <w:rsid w:val="00FD436C"/>
    <w:rsid w:val="00FD445E"/>
    <w:rsid w:val="00FD446D"/>
    <w:rsid w:val="00FD4F2C"/>
    <w:rsid w:val="00FD6394"/>
    <w:rsid w:val="00FD6BF6"/>
    <w:rsid w:val="00FE0E6C"/>
    <w:rsid w:val="00FE1CDC"/>
    <w:rsid w:val="00FE36C3"/>
    <w:rsid w:val="00FE3BDF"/>
    <w:rsid w:val="00FE499B"/>
    <w:rsid w:val="00FE6482"/>
    <w:rsid w:val="00FE70C3"/>
    <w:rsid w:val="00FE75D5"/>
    <w:rsid w:val="00FE7D11"/>
    <w:rsid w:val="00FF060F"/>
    <w:rsid w:val="00FF1A8B"/>
    <w:rsid w:val="00FF2AD9"/>
    <w:rsid w:val="00FF3054"/>
    <w:rsid w:val="00FF34B9"/>
    <w:rsid w:val="00FF359F"/>
    <w:rsid w:val="00FF38AE"/>
    <w:rsid w:val="00FF3DCF"/>
    <w:rsid w:val="00FF45C9"/>
    <w:rsid w:val="00FF492C"/>
    <w:rsid w:val="00FF4A21"/>
    <w:rsid w:val="00FF4D35"/>
    <w:rsid w:val="00FF5AA3"/>
    <w:rsid w:val="00FF5AD8"/>
    <w:rsid w:val="00FF6BDC"/>
    <w:rsid w:val="00FF7D99"/>
    <w:rsid w:val="034BE327"/>
    <w:rsid w:val="4F77A97B"/>
    <w:rsid w:val="4FFC3A3A"/>
    <w:rsid w:val="59C730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Styl moj,Akapit z listą11,Table Legend,ES Paragraph,PBAC ES Paragraph,PBAC normal points,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Styl moj Char,Akapit z listą1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统计型,HTAtableplain,RTI AMCP Table,Conclusion box,Table Grid nm,Dossier table,Section 3- footnotes,Header Table,Table Grid No Lin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3B0D60"/>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9657E3"/>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1301F1"/>
    <w:pPr>
      <w:tabs>
        <w:tab w:val="right" w:leader="dot" w:pos="9016"/>
      </w:tabs>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 Char Char,Comment Text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11"/>
    <w:rsid w:val="00B50DB8"/>
    <w:rPr>
      <w:lang w:eastAsia="en-US"/>
    </w:rPr>
  </w:style>
  <w:style w:type="paragraph" w:styleId="Subtitle">
    <w:name w:val="Subtitle"/>
    <w:basedOn w:val="Normal"/>
    <w:link w:val="SubtitleChar"/>
    <w:uiPriority w:val="11"/>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uiPriority w:val="99"/>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uiPriority w:val="99"/>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qFormat/>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F29DF"/>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F29DF"/>
    <w:rPr>
      <w:rFonts w:ascii="Arial Narrow" w:hAnsi="Arial Narrow" w:cs="Arial"/>
      <w:snapToGrid w:val="0"/>
      <w:sz w:val="18"/>
      <w:szCs w:val="22"/>
    </w:rPr>
  </w:style>
  <w:style w:type="character" w:styleId="UnresolvedMention">
    <w:name w:val="Unresolved Mention"/>
    <w:basedOn w:val="DefaultParagraphFont"/>
    <w:uiPriority w:val="99"/>
    <w:semiHidden/>
    <w:unhideWhenUsed/>
    <w:rsid w:val="006A2425"/>
    <w:rPr>
      <w:color w:val="605E5C"/>
      <w:shd w:val="clear" w:color="auto" w:fill="E1DFDD"/>
    </w:rPr>
  </w:style>
  <w:style w:type="paragraph" w:customStyle="1" w:styleId="Bodytextitalics">
    <w:name w:val="Body text italics"/>
    <w:basedOn w:val="BodyText"/>
    <w:qFormat/>
    <w:rsid w:val="00E81FB9"/>
    <w:pPr>
      <w:spacing w:after="120"/>
      <w:ind w:left="720" w:hanging="720"/>
    </w:pPr>
    <w:rPr>
      <w:rFonts w:asciiTheme="minorHAnsi" w:eastAsiaTheme="minorHAnsi" w:hAnsiTheme="minorHAnsi" w:cstheme="minorBidi"/>
      <w:i/>
      <w:szCs w:val="22"/>
    </w:rPr>
  </w:style>
  <w:style w:type="paragraph" w:customStyle="1" w:styleId="KMC16-Tablecontent">
    <w:name w:val="KMC16 - Table content"/>
    <w:basedOn w:val="Normal"/>
    <w:link w:val="KMC16-TablecontentChar"/>
    <w:qFormat/>
    <w:rsid w:val="007E032A"/>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7E032A"/>
    <w:rPr>
      <w:rFonts w:ascii="Arial Narrow" w:hAnsi="Arial Narrow" w:cs="Arial"/>
      <w:color w:val="000000"/>
      <w:szCs w:val="24"/>
      <w:lang w:val="en-GB" w:eastAsia="en-GB"/>
    </w:rPr>
  </w:style>
  <w:style w:type="paragraph" w:customStyle="1" w:styleId="KMC16-TableHeading">
    <w:name w:val="KMC16 - Table Heading"/>
    <w:basedOn w:val="Normal"/>
    <w:qFormat/>
    <w:rsid w:val="00FE75D5"/>
    <w:pPr>
      <w:spacing w:before="40" w:after="40"/>
      <w:jc w:val="center"/>
    </w:pPr>
    <w:rPr>
      <w:rFonts w:ascii="Arial Narrow" w:hAnsi="Arial Narrow"/>
      <w:b/>
      <w:color w:val="000000"/>
      <w:sz w:val="20"/>
      <w:lang w:eastAsia="en-GB"/>
    </w:rPr>
  </w:style>
  <w:style w:type="character" w:customStyle="1" w:styleId="drug-name">
    <w:name w:val="drug-name"/>
    <w:basedOn w:val="DefaultParagraphFont"/>
    <w:rsid w:val="00FE75D5"/>
  </w:style>
  <w:style w:type="character" w:customStyle="1" w:styleId="form-strength">
    <w:name w:val="form-strength"/>
    <w:basedOn w:val="DefaultParagraphFont"/>
    <w:rsid w:val="00FE75D5"/>
  </w:style>
  <w:style w:type="paragraph" w:customStyle="1" w:styleId="TableHeading0">
    <w:name w:val="Table Heading"/>
    <w:basedOn w:val="Normal"/>
    <w:link w:val="TableHeadingChar"/>
    <w:qFormat/>
    <w:rsid w:val="00BC4E63"/>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0"/>
    <w:rsid w:val="00BC4E63"/>
    <w:rPr>
      <w:rFonts w:ascii="Arial Narrow" w:eastAsiaTheme="minorHAnsi" w:hAnsi="Arial Narrow" w:cstheme="minorBidi"/>
      <w:b/>
      <w:szCs w:val="22"/>
      <w:lang w:eastAsia="en-US"/>
    </w:rPr>
  </w:style>
  <w:style w:type="paragraph" w:customStyle="1" w:styleId="KMC16ES-Tableheading">
    <w:name w:val="KMC16 ES - Table heading"/>
    <w:basedOn w:val="KMC16-TableHeading"/>
    <w:qFormat/>
    <w:rsid w:val="00BC4E63"/>
    <w:pPr>
      <w:jc w:val="left"/>
    </w:pPr>
  </w:style>
  <w:style w:type="paragraph" w:customStyle="1" w:styleId="KMC16ES-tabletext">
    <w:name w:val="KMC16 ES - table text"/>
    <w:basedOn w:val="Normal"/>
    <w:qFormat/>
    <w:rsid w:val="00BC4E63"/>
    <w:pPr>
      <w:keepNext/>
      <w:spacing w:after="40"/>
      <w:jc w:val="left"/>
    </w:pPr>
    <w:rPr>
      <w:rFonts w:ascii="Arial Narrow" w:hAnsi="Arial Narrow" w:cs="Times New Roman"/>
      <w:color w:val="000000" w:themeColor="text1"/>
      <w:sz w:val="20"/>
      <w:szCs w:val="20"/>
      <w:lang w:eastAsia="en-GB"/>
    </w:rPr>
  </w:style>
  <w:style w:type="paragraph" w:styleId="FootnoteText">
    <w:name w:val="footnote text"/>
    <w:basedOn w:val="Normal"/>
    <w:link w:val="FootnoteTextChar"/>
    <w:semiHidden/>
    <w:unhideWhenUsed/>
    <w:rsid w:val="00BC4E63"/>
    <w:rPr>
      <w:sz w:val="20"/>
      <w:szCs w:val="20"/>
    </w:rPr>
  </w:style>
  <w:style w:type="character" w:customStyle="1" w:styleId="FootnoteTextChar">
    <w:name w:val="Footnote Text Char"/>
    <w:basedOn w:val="DefaultParagraphFont"/>
    <w:link w:val="FootnoteText"/>
    <w:semiHidden/>
    <w:rsid w:val="00BC4E63"/>
    <w:rPr>
      <w:rFonts w:ascii="Calibri" w:hAnsi="Calibri" w:cs="Arial"/>
    </w:rPr>
  </w:style>
  <w:style w:type="character" w:styleId="FootnoteReference">
    <w:name w:val="footnote reference"/>
    <w:basedOn w:val="DefaultParagraphFont"/>
    <w:semiHidden/>
    <w:unhideWhenUsed/>
    <w:rsid w:val="00BC4E63"/>
    <w:rPr>
      <w:vertAlign w:val="superscript"/>
    </w:rPr>
  </w:style>
  <w:style w:type="character" w:styleId="Emphasis">
    <w:name w:val="Emphasis"/>
    <w:basedOn w:val="DefaultParagraphFont"/>
    <w:uiPriority w:val="20"/>
    <w:qFormat/>
    <w:rsid w:val="005654D0"/>
    <w:rPr>
      <w:i/>
      <w:iCs/>
    </w:rPr>
  </w:style>
  <w:style w:type="paragraph" w:customStyle="1" w:styleId="PBACTableText">
    <w:name w:val="PBAC Table Text"/>
    <w:basedOn w:val="Normal"/>
    <w:link w:val="PBACTableTextChar"/>
    <w:qFormat/>
    <w:rsid w:val="003E343F"/>
    <w:pPr>
      <w:spacing w:before="40" w:after="40"/>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3E343F"/>
    <w:rPr>
      <w:rFonts w:ascii="Arial Narrow" w:hAnsi="Arial Narrow"/>
      <w:lang w:eastAsia="en-US"/>
    </w:rPr>
  </w:style>
  <w:style w:type="paragraph" w:customStyle="1" w:styleId="PbacTableHeading">
    <w:name w:val="Pbac Table Heading"/>
    <w:basedOn w:val="PBACTableText"/>
    <w:qFormat/>
    <w:rsid w:val="003E343F"/>
    <w:pPr>
      <w:spacing w:before="0" w:after="80"/>
    </w:pPr>
    <w:rPr>
      <w:rFonts w:eastAsiaTheme="minorHAnsi" w:cs="Arial"/>
      <w:b/>
    </w:rPr>
  </w:style>
  <w:style w:type="character" w:customStyle="1" w:styleId="cf01">
    <w:name w:val="cf01"/>
    <w:basedOn w:val="DefaultParagraphFont"/>
    <w:rsid w:val="0064091C"/>
    <w:rPr>
      <w:rFonts w:ascii="Segoe UI" w:hAnsi="Segoe UI" w:cs="Segoe UI" w:hint="default"/>
      <w:sz w:val="18"/>
      <w:szCs w:val="18"/>
    </w:rPr>
  </w:style>
  <w:style w:type="paragraph" w:customStyle="1" w:styleId="pf0">
    <w:name w:val="pf0"/>
    <w:basedOn w:val="Normal"/>
    <w:rsid w:val="0064091C"/>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C4682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C4682E"/>
    <w:rPr>
      <w:rFonts w:asciiTheme="minorHAnsi" w:eastAsiaTheme="majorEastAsia" w:hAnsiTheme="minorHAnsi" w:cstheme="majorBidi"/>
      <w:b/>
      <w:i/>
      <w:snapToGrid/>
      <w:spacing w:val="5"/>
      <w:kern w:val="28"/>
      <w:sz w:val="28"/>
      <w:szCs w:val="36"/>
      <w:lang w:eastAsia="en-US"/>
    </w:rPr>
  </w:style>
  <w:style w:type="paragraph" w:customStyle="1" w:styleId="KMC16ES-text">
    <w:name w:val="KMC16 ES - text"/>
    <w:basedOn w:val="Normal"/>
    <w:qFormat/>
    <w:rsid w:val="0045439B"/>
    <w:rPr>
      <w:rFonts w:ascii="Arial Narrow" w:eastAsiaTheme="minorHAnsi" w:hAnsi="Arial Narrow" w:cstheme="minorBidi"/>
      <w:sz w:val="22"/>
      <w:szCs w:val="22"/>
      <w:lang w:val="en-GB" w:eastAsia="en-US"/>
    </w:rPr>
  </w:style>
  <w:style w:type="character" w:customStyle="1" w:styleId="3BodytextChar">
    <w:name w:val="3. Body text Char"/>
    <w:basedOn w:val="DefaultParagraphFont"/>
    <w:link w:val="3Bodytext"/>
    <w:locked/>
    <w:rsid w:val="00D14679"/>
    <w:rPr>
      <w:rFonts w:asciiTheme="minorHAnsi" w:eastAsiaTheme="minorHAnsi" w:hAnsiTheme="minorHAnsi" w:cstheme="minorBidi"/>
      <w:sz w:val="24"/>
      <w:szCs w:val="22"/>
    </w:rPr>
  </w:style>
  <w:style w:type="paragraph" w:customStyle="1" w:styleId="3Bodytext">
    <w:name w:val="3. Body text"/>
    <w:basedOn w:val="ListParagraph"/>
    <w:link w:val="3BodytextChar"/>
    <w:qFormat/>
    <w:rsid w:val="00D14679"/>
    <w:pPr>
      <w:numPr>
        <w:numId w:val="0"/>
      </w:numPr>
      <w:ind w:left="720" w:hanging="720"/>
      <w:jc w:val="left"/>
    </w:pPr>
    <w:rPr>
      <w:rFonts w:eastAsiaTheme="minorHAnsi" w:cstheme="minorBidi"/>
      <w:snapToGrid/>
      <w:szCs w:val="22"/>
    </w:rPr>
  </w:style>
  <w:style w:type="paragraph" w:customStyle="1" w:styleId="1MainTitle">
    <w:name w:val="1. Main Title"/>
    <w:basedOn w:val="Title"/>
    <w:link w:val="1MainTitleChar"/>
    <w:qFormat/>
    <w:rsid w:val="00683FF6"/>
    <w:pPr>
      <w:spacing w:before="120" w:after="160"/>
      <w:ind w:left="720" w:hanging="720"/>
      <w:contextualSpacing/>
      <w:jc w:val="both"/>
    </w:pPr>
    <w:rPr>
      <w:rFonts w:asciiTheme="minorHAnsi" w:eastAsiaTheme="majorEastAsia" w:hAnsiTheme="minorHAnsi" w:cstheme="majorBidi"/>
      <w:bCs w:val="0"/>
      <w:spacing w:val="5"/>
      <w:sz w:val="36"/>
      <w:szCs w:val="36"/>
      <w:lang w:eastAsia="en-US"/>
    </w:rPr>
  </w:style>
  <w:style w:type="character" w:customStyle="1" w:styleId="1MainTitleChar">
    <w:name w:val="1. Main Title Char"/>
    <w:basedOn w:val="TitleChar"/>
    <w:link w:val="1MainTitle"/>
    <w:rsid w:val="00683FF6"/>
    <w:rPr>
      <w:rFonts w:asciiTheme="minorHAnsi" w:eastAsiaTheme="majorEastAsia" w:hAnsiTheme="minorHAnsi" w:cstheme="majorBidi"/>
      <w:b/>
      <w:bCs w:val="0"/>
      <w:snapToGrid/>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966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6996672">
      <w:bodyDiv w:val="1"/>
      <w:marLeft w:val="0"/>
      <w:marRight w:val="0"/>
      <w:marTop w:val="0"/>
      <w:marBottom w:val="0"/>
      <w:divBdr>
        <w:top w:val="none" w:sz="0" w:space="0" w:color="auto"/>
        <w:left w:val="none" w:sz="0" w:space="0" w:color="auto"/>
        <w:bottom w:val="none" w:sz="0" w:space="0" w:color="auto"/>
        <w:right w:val="none" w:sz="0" w:space="0" w:color="auto"/>
      </w:divBdr>
    </w:div>
    <w:div w:id="250824108">
      <w:bodyDiv w:val="1"/>
      <w:marLeft w:val="0"/>
      <w:marRight w:val="0"/>
      <w:marTop w:val="0"/>
      <w:marBottom w:val="0"/>
      <w:divBdr>
        <w:top w:val="none" w:sz="0" w:space="0" w:color="auto"/>
        <w:left w:val="none" w:sz="0" w:space="0" w:color="auto"/>
        <w:bottom w:val="none" w:sz="0" w:space="0" w:color="auto"/>
        <w:right w:val="none" w:sz="0" w:space="0" w:color="auto"/>
      </w:divBdr>
    </w:div>
    <w:div w:id="283973871">
      <w:bodyDiv w:val="1"/>
      <w:marLeft w:val="0"/>
      <w:marRight w:val="0"/>
      <w:marTop w:val="0"/>
      <w:marBottom w:val="0"/>
      <w:divBdr>
        <w:top w:val="none" w:sz="0" w:space="0" w:color="auto"/>
        <w:left w:val="none" w:sz="0" w:space="0" w:color="auto"/>
        <w:bottom w:val="none" w:sz="0" w:space="0" w:color="auto"/>
        <w:right w:val="none" w:sz="0" w:space="0" w:color="auto"/>
      </w:divBdr>
    </w:div>
    <w:div w:id="29302806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21615335">
      <w:bodyDiv w:val="1"/>
      <w:marLeft w:val="0"/>
      <w:marRight w:val="0"/>
      <w:marTop w:val="0"/>
      <w:marBottom w:val="0"/>
      <w:divBdr>
        <w:top w:val="none" w:sz="0" w:space="0" w:color="auto"/>
        <w:left w:val="none" w:sz="0" w:space="0" w:color="auto"/>
        <w:bottom w:val="none" w:sz="0" w:space="0" w:color="auto"/>
        <w:right w:val="none" w:sz="0" w:space="0" w:color="auto"/>
      </w:divBdr>
    </w:div>
    <w:div w:id="645669800">
      <w:bodyDiv w:val="1"/>
      <w:marLeft w:val="0"/>
      <w:marRight w:val="0"/>
      <w:marTop w:val="0"/>
      <w:marBottom w:val="0"/>
      <w:divBdr>
        <w:top w:val="none" w:sz="0" w:space="0" w:color="auto"/>
        <w:left w:val="none" w:sz="0" w:space="0" w:color="auto"/>
        <w:bottom w:val="none" w:sz="0" w:space="0" w:color="auto"/>
        <w:right w:val="none" w:sz="0" w:space="0" w:color="auto"/>
      </w:divBdr>
    </w:div>
    <w:div w:id="78369164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24865745">
      <w:bodyDiv w:val="1"/>
      <w:marLeft w:val="0"/>
      <w:marRight w:val="0"/>
      <w:marTop w:val="0"/>
      <w:marBottom w:val="0"/>
      <w:divBdr>
        <w:top w:val="none" w:sz="0" w:space="0" w:color="auto"/>
        <w:left w:val="none" w:sz="0" w:space="0" w:color="auto"/>
        <w:bottom w:val="none" w:sz="0" w:space="0" w:color="auto"/>
        <w:right w:val="none" w:sz="0" w:space="0" w:color="auto"/>
      </w:divBdr>
    </w:div>
    <w:div w:id="1027024506">
      <w:bodyDiv w:val="1"/>
      <w:marLeft w:val="0"/>
      <w:marRight w:val="0"/>
      <w:marTop w:val="0"/>
      <w:marBottom w:val="0"/>
      <w:divBdr>
        <w:top w:val="none" w:sz="0" w:space="0" w:color="auto"/>
        <w:left w:val="none" w:sz="0" w:space="0" w:color="auto"/>
        <w:bottom w:val="none" w:sz="0" w:space="0" w:color="auto"/>
        <w:right w:val="none" w:sz="0" w:space="0" w:color="auto"/>
      </w:divBdr>
    </w:div>
    <w:div w:id="1129250846">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56756496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65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43F0-F932-4B2B-8067-9D915371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11480</Words>
  <Characters>65103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2023-10-24T23:58:00Z</dcterms:created>
  <dcterms:modified xsi:type="dcterms:W3CDTF">2023-10-24T23:59:00Z</dcterms:modified>
</cp:coreProperties>
</file>